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60"/>
      </w:tblGrid>
      <w:tr w:rsidR="00836644" w:rsidRPr="00836644" w14:paraId="4A9FDFA6" w14:textId="77777777" w:rsidTr="00836644">
        <w:trPr>
          <w:tblCellSpacing w:w="0" w:type="dxa"/>
        </w:trPr>
        <w:tc>
          <w:tcPr>
            <w:tcW w:w="0" w:type="auto"/>
            <w:tcMar>
              <w:top w:w="0" w:type="dxa"/>
              <w:left w:w="0" w:type="dxa"/>
              <w:bottom w:w="0" w:type="dxa"/>
              <w:right w:w="0" w:type="dxa"/>
            </w:tcMar>
            <w:vAlign w:val="center"/>
            <w:hideMark/>
          </w:tcPr>
          <w:p w14:paraId="3C775FB8" w14:textId="77777777" w:rsidR="00836644" w:rsidRPr="00836644" w:rsidRDefault="00836644" w:rsidP="00836644">
            <w:pPr>
              <w:spacing w:before="45" w:after="0" w:line="240" w:lineRule="auto"/>
              <w:rPr>
                <w:rFonts w:ascii="Arial" w:eastAsia="Times New Roman" w:hAnsi="Arial" w:cs="Arial"/>
                <w:color w:val="333333"/>
                <w:sz w:val="45"/>
                <w:szCs w:val="45"/>
              </w:rPr>
            </w:pPr>
            <w:r>
              <w:rPr>
                <w:rFonts w:ascii="Arial" w:eastAsia="Times New Roman" w:hAnsi="Arial" w:cs="Arial"/>
                <w:color w:val="333333"/>
                <w:sz w:val="45"/>
                <w:szCs w:val="45"/>
              </w:rPr>
              <w:t>5th</w:t>
            </w:r>
            <w:r w:rsidRPr="00836644">
              <w:rPr>
                <w:rFonts w:ascii="Arial" w:eastAsia="Times New Roman" w:hAnsi="Arial" w:cs="Arial"/>
                <w:color w:val="333333"/>
                <w:sz w:val="45"/>
                <w:szCs w:val="45"/>
              </w:rPr>
              <w:t xml:space="preserve"> Judicial District's Problem Solving Courts</w:t>
            </w:r>
          </w:p>
        </w:tc>
      </w:tr>
      <w:tr w:rsidR="00836644" w:rsidRPr="00836644" w14:paraId="6F25602D" w14:textId="77777777" w:rsidTr="00836644">
        <w:trPr>
          <w:tblCellSpacing w:w="0" w:type="dxa"/>
        </w:trPr>
        <w:tc>
          <w:tcPr>
            <w:tcW w:w="0" w:type="auto"/>
            <w:vAlign w:val="center"/>
            <w:hideMark/>
          </w:tcPr>
          <w:p w14:paraId="7253B9EB" w14:textId="77777777" w:rsidR="00836644" w:rsidRPr="00836644" w:rsidRDefault="00836644" w:rsidP="00836644">
            <w:pPr>
              <w:spacing w:after="0" w:line="360" w:lineRule="atLeast"/>
              <w:rPr>
                <w:rFonts w:ascii="Arial" w:eastAsia="Times New Roman" w:hAnsi="Arial" w:cs="Arial"/>
                <w:color w:val="000000"/>
                <w:sz w:val="23"/>
                <w:szCs w:val="23"/>
              </w:rPr>
            </w:pPr>
            <w:r w:rsidRPr="00836644">
              <w:rPr>
                <w:rFonts w:ascii="Arial" w:eastAsia="Times New Roman" w:hAnsi="Arial" w:cs="Arial"/>
                <w:b/>
                <w:bCs/>
                <w:color w:val="000000"/>
                <w:sz w:val="23"/>
                <w:szCs w:val="23"/>
              </w:rPr>
              <w:t>Overview</w:t>
            </w:r>
          </w:p>
          <w:p w14:paraId="11106BAD" w14:textId="1A681C45" w:rsidR="00836644" w:rsidRPr="00836644" w:rsidRDefault="00836644" w:rsidP="00836644">
            <w:pPr>
              <w:spacing w:after="0" w:line="360" w:lineRule="atLeast"/>
              <w:rPr>
                <w:rFonts w:ascii="Arial" w:eastAsia="Times New Roman" w:hAnsi="Arial" w:cs="Arial"/>
                <w:color w:val="000000"/>
                <w:sz w:val="23"/>
                <w:szCs w:val="23"/>
              </w:rPr>
            </w:pPr>
            <w:r w:rsidRPr="00836644">
              <w:rPr>
                <w:rFonts w:ascii="Arial" w:eastAsia="Times New Roman" w:hAnsi="Arial" w:cs="Arial"/>
                <w:color w:val="000000"/>
                <w:sz w:val="23"/>
                <w:szCs w:val="23"/>
              </w:rPr>
              <w:t>Problem-solving courts are innovative criminal justice programs that seek rehabilitation over incarceration. The goal is to treat the underlying issues that lead to criminal behaviors, which have proven resistant to conventional solutions. The foundation of problem-solving courts is close collaboration between agencies in a non-adversarial approach. The programs focus on accountability and responsibility by requiring frequent court appearances, random drug and alcohol testing, community supervision, and an individualized treatment plan along with other specific program requirements. The teams utilize timely incentives</w:t>
            </w:r>
            <w:r w:rsidR="00353CF6">
              <w:rPr>
                <w:rFonts w:ascii="Arial" w:eastAsia="Times New Roman" w:hAnsi="Arial" w:cs="Arial"/>
                <w:color w:val="000000"/>
                <w:sz w:val="23"/>
                <w:szCs w:val="23"/>
              </w:rPr>
              <w:t xml:space="preserve">, </w:t>
            </w:r>
            <w:r w:rsidRPr="00836644">
              <w:rPr>
                <w:rFonts w:ascii="Arial" w:eastAsia="Times New Roman" w:hAnsi="Arial" w:cs="Arial"/>
                <w:color w:val="000000"/>
                <w:sz w:val="23"/>
                <w:szCs w:val="23"/>
              </w:rPr>
              <w:t xml:space="preserve">sanctions </w:t>
            </w:r>
            <w:r w:rsidR="00353CF6">
              <w:rPr>
                <w:rFonts w:ascii="Arial" w:eastAsia="Times New Roman" w:hAnsi="Arial" w:cs="Arial"/>
                <w:color w:val="000000"/>
                <w:sz w:val="23"/>
                <w:szCs w:val="23"/>
              </w:rPr>
              <w:t xml:space="preserve">and service adjustments </w:t>
            </w:r>
            <w:r w:rsidRPr="00836644">
              <w:rPr>
                <w:rFonts w:ascii="Arial" w:eastAsia="Times New Roman" w:hAnsi="Arial" w:cs="Arial"/>
                <w:color w:val="000000"/>
                <w:sz w:val="23"/>
                <w:szCs w:val="23"/>
              </w:rPr>
              <w:t>to facilitate behavior change along with treatment responses. Problem-solving courts strive to stop the revolving-door of the justice system by treating underlying issues and therefore decreasing cost and recidivism. </w:t>
            </w:r>
          </w:p>
          <w:p w14:paraId="3DFF96B4" w14:textId="77777777" w:rsidR="00836644" w:rsidRDefault="00836644" w:rsidP="00836644">
            <w:pPr>
              <w:spacing w:after="0" w:line="360" w:lineRule="atLeast"/>
              <w:rPr>
                <w:rFonts w:ascii="Arial" w:eastAsia="Times New Roman" w:hAnsi="Arial" w:cs="Arial"/>
                <w:b/>
                <w:bCs/>
                <w:color w:val="000000"/>
                <w:sz w:val="23"/>
                <w:szCs w:val="23"/>
              </w:rPr>
            </w:pPr>
          </w:p>
          <w:p w14:paraId="11453C7A" w14:textId="77777777" w:rsidR="00836644" w:rsidRDefault="00836644" w:rsidP="00836644">
            <w:pPr>
              <w:spacing w:after="0" w:line="360" w:lineRule="atLeast"/>
              <w:rPr>
                <w:rFonts w:ascii="Arial" w:eastAsia="Times New Roman" w:hAnsi="Arial" w:cs="Arial"/>
                <w:b/>
                <w:bCs/>
                <w:color w:val="000000"/>
                <w:sz w:val="23"/>
                <w:szCs w:val="23"/>
              </w:rPr>
            </w:pPr>
            <w:r w:rsidRPr="00836644">
              <w:rPr>
                <w:rFonts w:ascii="Arial" w:eastAsia="Times New Roman" w:hAnsi="Arial" w:cs="Arial"/>
                <w:b/>
                <w:bCs/>
                <w:color w:val="000000"/>
                <w:sz w:val="23"/>
                <w:szCs w:val="23"/>
              </w:rPr>
              <w:t>History</w:t>
            </w:r>
          </w:p>
          <w:p w14:paraId="282DD9EE" w14:textId="77777777" w:rsidR="00836644" w:rsidRDefault="00836644" w:rsidP="00836644">
            <w:pPr>
              <w:spacing w:after="0" w:line="360" w:lineRule="atLeast"/>
              <w:rPr>
                <w:rFonts w:ascii="Arial" w:eastAsia="Times New Roman" w:hAnsi="Arial" w:cs="Arial"/>
                <w:color w:val="000000"/>
                <w:sz w:val="23"/>
                <w:szCs w:val="23"/>
              </w:rPr>
            </w:pPr>
            <w:r w:rsidRPr="00836644">
              <w:rPr>
                <w:rFonts w:ascii="Arial" w:eastAsia="Times New Roman" w:hAnsi="Arial" w:cs="Arial"/>
                <w:color w:val="000000"/>
                <w:sz w:val="23"/>
                <w:szCs w:val="23"/>
              </w:rPr>
              <w:t>The first drug court was started in Dade County, Florida, in 1989. To address the problem of over-incarceration, the court began sentencing drug-addicted offenders to drug court versus jail or prison. This innovative justice model led to specialized courts across the country, including domestic violence and mental health courts. Today, there are over 3,000 problem-solving courts in the United States, as they have become one of the justice system’s most successful and resilient innovations.</w:t>
            </w:r>
          </w:p>
          <w:p w14:paraId="020E4F7D" w14:textId="17CD3363" w:rsidR="00836644" w:rsidRDefault="00836644" w:rsidP="00836644">
            <w:pPr>
              <w:spacing w:after="0" w:line="360" w:lineRule="atLeast"/>
              <w:rPr>
                <w:rFonts w:ascii="Arial" w:eastAsia="Times New Roman" w:hAnsi="Arial" w:cs="Arial"/>
                <w:color w:val="000000"/>
                <w:sz w:val="23"/>
                <w:szCs w:val="23"/>
              </w:rPr>
            </w:pPr>
            <w:r w:rsidRPr="00836644">
              <w:rPr>
                <w:rFonts w:ascii="Arial" w:eastAsia="Times New Roman" w:hAnsi="Arial" w:cs="Arial"/>
                <w:color w:val="000000"/>
                <w:sz w:val="23"/>
                <w:szCs w:val="23"/>
              </w:rPr>
              <w:br/>
              <w:t xml:space="preserve">The first drug court in Colorado began in Denver in 1994. </w:t>
            </w:r>
            <w:r w:rsidR="00353CF6">
              <w:rPr>
                <w:rFonts w:ascii="Arial" w:eastAsia="Times New Roman" w:hAnsi="Arial" w:cs="Arial"/>
                <w:color w:val="000000"/>
                <w:sz w:val="23"/>
                <w:szCs w:val="23"/>
              </w:rPr>
              <w:t>T</w:t>
            </w:r>
            <w:r w:rsidRPr="00836644">
              <w:rPr>
                <w:rFonts w:ascii="Arial" w:eastAsia="Times New Roman" w:hAnsi="Arial" w:cs="Arial"/>
                <w:color w:val="000000"/>
                <w:sz w:val="23"/>
                <w:szCs w:val="23"/>
              </w:rPr>
              <w:t xml:space="preserve">here </w:t>
            </w:r>
            <w:r w:rsidR="00353CF6">
              <w:rPr>
                <w:rFonts w:ascii="Arial" w:eastAsia="Times New Roman" w:hAnsi="Arial" w:cs="Arial"/>
                <w:color w:val="000000"/>
                <w:sz w:val="23"/>
                <w:szCs w:val="23"/>
              </w:rPr>
              <w:t>are</w:t>
            </w:r>
            <w:r w:rsidRPr="00836644">
              <w:rPr>
                <w:rFonts w:ascii="Arial" w:eastAsia="Times New Roman" w:hAnsi="Arial" w:cs="Arial"/>
                <w:color w:val="000000"/>
                <w:sz w:val="23"/>
                <w:szCs w:val="23"/>
              </w:rPr>
              <w:t xml:space="preserve"> </w:t>
            </w:r>
            <w:r w:rsidR="00353CF6">
              <w:rPr>
                <w:rFonts w:ascii="Arial" w:eastAsia="Times New Roman" w:hAnsi="Arial" w:cs="Arial"/>
                <w:color w:val="000000"/>
                <w:sz w:val="23"/>
                <w:szCs w:val="23"/>
              </w:rPr>
              <w:t>64</w:t>
            </w:r>
            <w:r w:rsidRPr="00836644">
              <w:rPr>
                <w:rFonts w:ascii="Arial" w:eastAsia="Times New Roman" w:hAnsi="Arial" w:cs="Arial"/>
                <w:color w:val="000000"/>
                <w:sz w:val="23"/>
                <w:szCs w:val="23"/>
              </w:rPr>
              <w:t xml:space="preserve"> problem-solving courts in operation in 20 judicial districts in the State of Colorado. The </w:t>
            </w:r>
            <w:r>
              <w:rPr>
                <w:rFonts w:ascii="Arial" w:eastAsia="Times New Roman" w:hAnsi="Arial" w:cs="Arial"/>
                <w:color w:val="000000"/>
                <w:sz w:val="23"/>
                <w:szCs w:val="23"/>
              </w:rPr>
              <w:t>5</w:t>
            </w:r>
            <w:r w:rsidR="005F73FA" w:rsidRPr="00836644">
              <w:rPr>
                <w:rFonts w:ascii="Arial" w:eastAsia="Times New Roman" w:hAnsi="Arial" w:cs="Arial"/>
                <w:color w:val="000000"/>
                <w:sz w:val="23"/>
                <w:szCs w:val="23"/>
                <w:vertAlign w:val="superscript"/>
              </w:rPr>
              <w:t>th</w:t>
            </w:r>
            <w:r w:rsidR="005F73FA">
              <w:rPr>
                <w:rFonts w:ascii="Arial" w:eastAsia="Times New Roman" w:hAnsi="Arial" w:cs="Arial"/>
                <w:color w:val="000000"/>
                <w:sz w:val="23"/>
                <w:szCs w:val="23"/>
              </w:rPr>
              <w:t xml:space="preserve"> </w:t>
            </w:r>
            <w:r w:rsidR="005F73FA" w:rsidRPr="00836644">
              <w:rPr>
                <w:rFonts w:ascii="Arial" w:eastAsia="Times New Roman" w:hAnsi="Arial" w:cs="Arial"/>
                <w:color w:val="000000"/>
                <w:sz w:val="23"/>
                <w:szCs w:val="23"/>
              </w:rPr>
              <w:t>Judicial</w:t>
            </w:r>
            <w:r w:rsidRPr="00836644">
              <w:rPr>
                <w:rFonts w:ascii="Arial" w:eastAsia="Times New Roman" w:hAnsi="Arial" w:cs="Arial"/>
                <w:color w:val="000000"/>
                <w:sz w:val="23"/>
                <w:szCs w:val="23"/>
              </w:rPr>
              <w:t xml:space="preserve"> District currently has </w:t>
            </w:r>
            <w:r w:rsidR="00353CF6">
              <w:rPr>
                <w:rFonts w:ascii="Arial" w:eastAsia="Times New Roman" w:hAnsi="Arial" w:cs="Arial"/>
                <w:color w:val="000000"/>
                <w:sz w:val="23"/>
                <w:szCs w:val="23"/>
              </w:rPr>
              <w:t xml:space="preserve">three </w:t>
            </w:r>
            <w:r w:rsidRPr="00836644">
              <w:rPr>
                <w:rFonts w:ascii="Arial" w:eastAsia="Times New Roman" w:hAnsi="Arial" w:cs="Arial"/>
                <w:color w:val="000000"/>
                <w:sz w:val="23"/>
                <w:szCs w:val="23"/>
              </w:rPr>
              <w:t xml:space="preserve">problem solving courts: </w:t>
            </w:r>
            <w:r>
              <w:rPr>
                <w:rFonts w:ascii="Arial" w:eastAsia="Times New Roman" w:hAnsi="Arial" w:cs="Arial"/>
                <w:color w:val="000000"/>
                <w:sz w:val="23"/>
                <w:szCs w:val="23"/>
              </w:rPr>
              <w:t xml:space="preserve">Eagle County </w:t>
            </w:r>
            <w:r w:rsidRPr="00836644">
              <w:rPr>
                <w:rFonts w:ascii="Arial" w:eastAsia="Times New Roman" w:hAnsi="Arial" w:cs="Arial"/>
                <w:color w:val="000000"/>
                <w:sz w:val="23"/>
                <w:szCs w:val="23"/>
              </w:rPr>
              <w:t>Recovery Court (adult drug court)</w:t>
            </w:r>
            <w:r>
              <w:rPr>
                <w:rFonts w:ascii="Arial" w:eastAsia="Times New Roman" w:hAnsi="Arial" w:cs="Arial"/>
                <w:color w:val="000000"/>
                <w:sz w:val="23"/>
                <w:szCs w:val="23"/>
              </w:rPr>
              <w:t>, Lake County Sobriety Court (DUI), and Eagle County R</w:t>
            </w:r>
            <w:r w:rsidR="005F73FA">
              <w:rPr>
                <w:rFonts w:ascii="Arial" w:eastAsia="Times New Roman" w:hAnsi="Arial" w:cs="Arial"/>
                <w:color w:val="000000"/>
                <w:sz w:val="23"/>
                <w:szCs w:val="23"/>
              </w:rPr>
              <w:t>.</w:t>
            </w:r>
            <w:r>
              <w:rPr>
                <w:rFonts w:ascii="Arial" w:eastAsia="Times New Roman" w:hAnsi="Arial" w:cs="Arial"/>
                <w:color w:val="000000"/>
                <w:sz w:val="23"/>
                <w:szCs w:val="23"/>
              </w:rPr>
              <w:t>I</w:t>
            </w:r>
            <w:r w:rsidR="005F73FA">
              <w:rPr>
                <w:rFonts w:ascii="Arial" w:eastAsia="Times New Roman" w:hAnsi="Arial" w:cs="Arial"/>
                <w:color w:val="000000"/>
                <w:sz w:val="23"/>
                <w:szCs w:val="23"/>
              </w:rPr>
              <w:t>.</w:t>
            </w:r>
            <w:r>
              <w:rPr>
                <w:rFonts w:ascii="Arial" w:eastAsia="Times New Roman" w:hAnsi="Arial" w:cs="Arial"/>
                <w:color w:val="000000"/>
                <w:sz w:val="23"/>
                <w:szCs w:val="23"/>
              </w:rPr>
              <w:t>S</w:t>
            </w:r>
            <w:r w:rsidR="005F73FA">
              <w:rPr>
                <w:rFonts w:ascii="Arial" w:eastAsia="Times New Roman" w:hAnsi="Arial" w:cs="Arial"/>
                <w:color w:val="000000"/>
                <w:sz w:val="23"/>
                <w:szCs w:val="23"/>
              </w:rPr>
              <w:t>.</w:t>
            </w:r>
            <w:r>
              <w:rPr>
                <w:rFonts w:ascii="Arial" w:eastAsia="Times New Roman" w:hAnsi="Arial" w:cs="Arial"/>
                <w:color w:val="000000"/>
                <w:sz w:val="23"/>
                <w:szCs w:val="23"/>
              </w:rPr>
              <w:t>E</w:t>
            </w:r>
            <w:r w:rsidR="005F73FA">
              <w:rPr>
                <w:rFonts w:ascii="Arial" w:eastAsia="Times New Roman" w:hAnsi="Arial" w:cs="Arial"/>
                <w:color w:val="000000"/>
                <w:sz w:val="23"/>
                <w:szCs w:val="23"/>
              </w:rPr>
              <w:t>.</w:t>
            </w:r>
            <w:r>
              <w:rPr>
                <w:rFonts w:ascii="Arial" w:eastAsia="Times New Roman" w:hAnsi="Arial" w:cs="Arial"/>
                <w:color w:val="000000"/>
                <w:sz w:val="23"/>
                <w:szCs w:val="23"/>
              </w:rPr>
              <w:t xml:space="preserve"> Court (DUI)</w:t>
            </w:r>
            <w:r w:rsidRPr="00836644">
              <w:rPr>
                <w:rFonts w:ascii="Arial" w:eastAsia="Times New Roman" w:hAnsi="Arial" w:cs="Arial"/>
                <w:color w:val="000000"/>
                <w:sz w:val="23"/>
                <w:szCs w:val="23"/>
              </w:rPr>
              <w:t>. </w:t>
            </w:r>
          </w:p>
          <w:p w14:paraId="7A0C2195" w14:textId="77777777" w:rsidR="00836644" w:rsidRPr="00836644" w:rsidRDefault="00836644" w:rsidP="00836644">
            <w:pPr>
              <w:spacing w:after="0" w:line="360" w:lineRule="atLeast"/>
              <w:rPr>
                <w:rFonts w:ascii="Arial" w:eastAsia="Times New Roman" w:hAnsi="Arial" w:cs="Arial"/>
                <w:color w:val="000000"/>
                <w:sz w:val="23"/>
                <w:szCs w:val="23"/>
              </w:rPr>
            </w:pPr>
          </w:p>
          <w:p w14:paraId="3E7153A8" w14:textId="77777777" w:rsidR="00836644" w:rsidRPr="005F73FA" w:rsidRDefault="00836644" w:rsidP="00836644">
            <w:pPr>
              <w:spacing w:after="0" w:line="360" w:lineRule="atLeast"/>
              <w:rPr>
                <w:rFonts w:ascii="Arial" w:eastAsia="Times New Roman" w:hAnsi="Arial" w:cs="Arial"/>
                <w:b/>
                <w:bCs/>
                <w:color w:val="000000"/>
                <w:sz w:val="30"/>
                <w:szCs w:val="30"/>
              </w:rPr>
            </w:pPr>
            <w:r w:rsidRPr="00836644">
              <w:rPr>
                <w:rFonts w:ascii="Arial" w:eastAsia="Times New Roman" w:hAnsi="Arial" w:cs="Arial"/>
                <w:b/>
                <w:bCs/>
                <w:color w:val="000000"/>
                <w:sz w:val="30"/>
                <w:szCs w:val="30"/>
              </w:rPr>
              <w:t>Best Practice Standards</w:t>
            </w:r>
          </w:p>
          <w:p w14:paraId="380134C3" w14:textId="3AF63C63" w:rsidR="00353CF6" w:rsidRDefault="00DD1DDA" w:rsidP="00836644">
            <w:pPr>
              <w:spacing w:after="0" w:line="360" w:lineRule="atLeast"/>
              <w:rPr>
                <w:rFonts w:ascii="Arial" w:eastAsia="Times New Roman" w:hAnsi="Arial" w:cs="Arial"/>
                <w:color w:val="000000"/>
                <w:sz w:val="23"/>
                <w:szCs w:val="23"/>
              </w:rPr>
            </w:pPr>
            <w:r w:rsidRPr="00836644">
              <w:rPr>
                <w:rFonts w:ascii="Arial" w:eastAsia="Times New Roman" w:hAnsi="Arial" w:cs="Arial"/>
                <w:color w:val="000000"/>
                <w:sz w:val="23"/>
                <w:szCs w:val="23"/>
              </w:rPr>
              <w:t>To</w:t>
            </w:r>
            <w:r w:rsidR="00836644" w:rsidRPr="00836644">
              <w:rPr>
                <w:rFonts w:ascii="Arial" w:eastAsia="Times New Roman" w:hAnsi="Arial" w:cs="Arial"/>
                <w:color w:val="000000"/>
                <w:sz w:val="23"/>
                <w:szCs w:val="23"/>
              </w:rPr>
              <w:t xml:space="preserve"> ensure the </w:t>
            </w:r>
            <w:r w:rsidR="00836644">
              <w:rPr>
                <w:rFonts w:ascii="Arial" w:eastAsia="Times New Roman" w:hAnsi="Arial" w:cs="Arial"/>
                <w:color w:val="000000"/>
                <w:sz w:val="23"/>
                <w:szCs w:val="23"/>
              </w:rPr>
              <w:t>5</w:t>
            </w:r>
            <w:r w:rsidR="00836644" w:rsidRPr="00836644">
              <w:rPr>
                <w:rFonts w:ascii="Arial" w:eastAsia="Times New Roman" w:hAnsi="Arial" w:cs="Arial"/>
                <w:color w:val="000000"/>
                <w:sz w:val="23"/>
                <w:szCs w:val="23"/>
                <w:vertAlign w:val="superscript"/>
              </w:rPr>
              <w:t>th</w:t>
            </w:r>
            <w:r w:rsidR="00836644" w:rsidRPr="00836644">
              <w:rPr>
                <w:rFonts w:ascii="Arial" w:eastAsia="Times New Roman" w:hAnsi="Arial" w:cs="Arial"/>
                <w:color w:val="000000"/>
                <w:sz w:val="23"/>
                <w:szCs w:val="23"/>
              </w:rPr>
              <w:t xml:space="preserve"> Judicial District's problem-solving courts operate efficiently and effectively for participants and the community, the following standards are set forth by the </w:t>
            </w:r>
          </w:p>
          <w:p w14:paraId="1CA32E9F" w14:textId="68629030" w:rsidR="00836644" w:rsidRDefault="00353CF6" w:rsidP="00836644">
            <w:pPr>
              <w:spacing w:after="0" w:line="360" w:lineRule="atLeast"/>
              <w:rPr>
                <w:rFonts w:ascii="Arial" w:eastAsia="Times New Roman" w:hAnsi="Arial" w:cs="Arial"/>
                <w:color w:val="000000"/>
                <w:sz w:val="23"/>
                <w:szCs w:val="23"/>
              </w:rPr>
            </w:pPr>
            <w:hyperlink r:id="rId4" w:history="1">
              <w:r w:rsidRPr="00353CF6">
                <w:rPr>
                  <w:rStyle w:val="Hyperlink"/>
                  <w:rFonts w:ascii="Arial" w:eastAsia="Times New Roman" w:hAnsi="Arial" w:cs="Arial"/>
                  <w:sz w:val="23"/>
                  <w:szCs w:val="23"/>
                </w:rPr>
                <w:t>AllRISE</w:t>
              </w:r>
            </w:hyperlink>
            <w:r w:rsidR="00DD1DDA">
              <w:rPr>
                <w:rFonts w:ascii="Arial" w:eastAsia="Times New Roman" w:hAnsi="Arial" w:cs="Arial"/>
                <w:color w:val="000000"/>
                <w:sz w:val="23"/>
                <w:szCs w:val="23"/>
              </w:rPr>
              <w:t>:</w:t>
            </w:r>
          </w:p>
          <w:p w14:paraId="3B405464" w14:textId="77777777" w:rsidR="00836644" w:rsidRPr="00836644" w:rsidRDefault="00836644" w:rsidP="00836644">
            <w:pPr>
              <w:spacing w:after="0" w:line="360" w:lineRule="atLeast"/>
              <w:rPr>
                <w:rFonts w:ascii="Arial" w:eastAsia="Times New Roman" w:hAnsi="Arial" w:cs="Arial"/>
                <w:color w:val="000000"/>
                <w:sz w:val="23"/>
                <w:szCs w:val="23"/>
              </w:rPr>
            </w:pPr>
          </w:p>
          <w:p w14:paraId="7EA9E471" w14:textId="2D12FFB0" w:rsidR="00836644" w:rsidRDefault="00836644" w:rsidP="00E572D8">
            <w:pPr>
              <w:spacing w:after="0" w:line="360" w:lineRule="atLeast"/>
              <w:rPr>
                <w:rFonts w:ascii="Arial" w:eastAsia="Times New Roman" w:hAnsi="Arial" w:cs="Arial"/>
                <w:color w:val="000000"/>
                <w:sz w:val="23"/>
                <w:szCs w:val="23"/>
              </w:rPr>
            </w:pPr>
            <w:r w:rsidRPr="00836644">
              <w:rPr>
                <w:rFonts w:ascii="Arial" w:eastAsia="Times New Roman" w:hAnsi="Arial" w:cs="Arial"/>
                <w:b/>
                <w:bCs/>
                <w:color w:val="000000"/>
                <w:sz w:val="23"/>
                <w:szCs w:val="23"/>
              </w:rPr>
              <w:t>I. Target Population</w:t>
            </w:r>
            <w:r w:rsidRPr="00836644">
              <w:rPr>
                <w:rFonts w:ascii="Arial" w:eastAsia="Times New Roman" w:hAnsi="Arial" w:cs="Arial"/>
                <w:color w:val="000000"/>
                <w:sz w:val="23"/>
                <w:szCs w:val="23"/>
              </w:rPr>
              <w:br/>
            </w:r>
            <w:r w:rsidR="00E572D8" w:rsidRPr="00E572D8">
              <w:rPr>
                <w:rFonts w:ascii="Arial" w:eastAsia="Times New Roman" w:hAnsi="Arial" w:cs="Arial"/>
                <w:color w:val="000000"/>
                <w:sz w:val="23"/>
                <w:szCs w:val="23"/>
              </w:rPr>
              <w:t xml:space="preserve">Eligibility and exclusion criteria for treatment court are predicated on empirical evidence </w:t>
            </w:r>
            <w:r w:rsidR="00E572D8" w:rsidRPr="00E572D8">
              <w:rPr>
                <w:rFonts w:ascii="Arial" w:eastAsia="Times New Roman" w:hAnsi="Arial" w:cs="Arial"/>
                <w:color w:val="000000"/>
                <w:sz w:val="23"/>
                <w:szCs w:val="23"/>
              </w:rPr>
              <w:lastRenderedPageBreak/>
              <w:t>indicating</w:t>
            </w:r>
            <w:r w:rsidR="00E572D8">
              <w:rPr>
                <w:rFonts w:ascii="Arial" w:eastAsia="Times New Roman" w:hAnsi="Arial" w:cs="Arial"/>
                <w:color w:val="000000"/>
                <w:sz w:val="23"/>
                <w:szCs w:val="23"/>
              </w:rPr>
              <w:t xml:space="preserve"> </w:t>
            </w:r>
            <w:r w:rsidR="00E572D8" w:rsidRPr="00E572D8">
              <w:rPr>
                <w:rFonts w:ascii="Arial" w:eastAsia="Times New Roman" w:hAnsi="Arial" w:cs="Arial"/>
                <w:color w:val="000000"/>
                <w:sz w:val="23"/>
                <w:szCs w:val="23"/>
              </w:rPr>
              <w:t>which individuals can be served safely and effectively. Candidates are evaluated expeditiously for</w:t>
            </w:r>
            <w:r w:rsidR="00E572D8">
              <w:rPr>
                <w:rFonts w:ascii="Arial" w:eastAsia="Times New Roman" w:hAnsi="Arial" w:cs="Arial"/>
                <w:color w:val="000000"/>
                <w:sz w:val="23"/>
                <w:szCs w:val="23"/>
              </w:rPr>
              <w:t xml:space="preserve"> </w:t>
            </w:r>
            <w:r w:rsidR="00E572D8" w:rsidRPr="00E572D8">
              <w:rPr>
                <w:rFonts w:ascii="Arial" w:eastAsia="Times New Roman" w:hAnsi="Arial" w:cs="Arial"/>
                <w:color w:val="000000"/>
                <w:sz w:val="23"/>
                <w:szCs w:val="23"/>
              </w:rPr>
              <w:t>admission using valid assessment tools and procedures.</w:t>
            </w:r>
          </w:p>
          <w:p w14:paraId="56ADCD84" w14:textId="77777777" w:rsidR="00836644" w:rsidRPr="00836644" w:rsidRDefault="00836644" w:rsidP="00836644">
            <w:pPr>
              <w:spacing w:after="0" w:line="360" w:lineRule="atLeast"/>
              <w:rPr>
                <w:rFonts w:ascii="Arial" w:eastAsia="Times New Roman" w:hAnsi="Arial" w:cs="Arial"/>
                <w:color w:val="000000"/>
                <w:sz w:val="23"/>
                <w:szCs w:val="23"/>
              </w:rPr>
            </w:pPr>
          </w:p>
          <w:p w14:paraId="64B23491" w14:textId="7B8A3C18" w:rsidR="00836644" w:rsidRDefault="00DD1DDA" w:rsidP="00836644">
            <w:pPr>
              <w:spacing w:after="0" w:line="360" w:lineRule="atLeast"/>
              <w:rPr>
                <w:rFonts w:ascii="Arial" w:eastAsia="Times New Roman" w:hAnsi="Arial" w:cs="Arial"/>
                <w:color w:val="000000"/>
                <w:sz w:val="23"/>
                <w:szCs w:val="23"/>
              </w:rPr>
            </w:pPr>
            <w:r>
              <w:rPr>
                <w:rFonts w:ascii="Arial" w:eastAsia="Times New Roman" w:hAnsi="Arial" w:cs="Arial"/>
                <w:b/>
                <w:bCs/>
                <w:color w:val="000000"/>
                <w:sz w:val="23"/>
                <w:szCs w:val="23"/>
              </w:rPr>
              <w:t>I</w:t>
            </w:r>
            <w:r w:rsidR="00836644" w:rsidRPr="00836644">
              <w:rPr>
                <w:rFonts w:ascii="Arial" w:eastAsia="Times New Roman" w:hAnsi="Arial" w:cs="Arial"/>
                <w:b/>
                <w:bCs/>
                <w:color w:val="000000"/>
                <w:sz w:val="23"/>
                <w:szCs w:val="23"/>
              </w:rPr>
              <w:t>I. Roles and Responsibilities of the Judge</w:t>
            </w:r>
            <w:r w:rsidR="00836644" w:rsidRPr="00836644">
              <w:rPr>
                <w:rFonts w:ascii="Arial" w:eastAsia="Times New Roman" w:hAnsi="Arial" w:cs="Arial"/>
                <w:color w:val="000000"/>
                <w:sz w:val="23"/>
                <w:szCs w:val="23"/>
              </w:rPr>
              <w:br/>
            </w:r>
            <w:r w:rsidR="00E572D8" w:rsidRPr="00E572D8">
              <w:rPr>
                <w:rFonts w:ascii="Arial" w:eastAsia="Times New Roman" w:hAnsi="Arial" w:cs="Arial"/>
                <w:color w:val="000000"/>
                <w:sz w:val="23"/>
                <w:szCs w:val="23"/>
              </w:rPr>
              <w:t>The treatment court judge stays abreast of current law and research on best practices in treatment courts and carefully considers the professional observations and recommendations of other team members when developing and implementing program policies and procedures. The judge develops a collaborative working alliance with participants to support their recovery while holding them accountable for abiding by program conditions and attending treatment and other indicated services.</w:t>
            </w:r>
          </w:p>
          <w:p w14:paraId="239782EF" w14:textId="77777777" w:rsidR="00836644" w:rsidRDefault="00836644" w:rsidP="00836644">
            <w:pPr>
              <w:spacing w:after="0" w:line="360" w:lineRule="atLeast"/>
              <w:rPr>
                <w:rFonts w:ascii="Arial" w:eastAsia="Times New Roman" w:hAnsi="Arial" w:cs="Arial"/>
                <w:color w:val="000000"/>
                <w:sz w:val="23"/>
                <w:szCs w:val="23"/>
              </w:rPr>
            </w:pPr>
          </w:p>
          <w:p w14:paraId="013FEFEA" w14:textId="06E89998" w:rsidR="00DD1DDA" w:rsidRDefault="00DD1DDA" w:rsidP="00DD1DDA">
            <w:pPr>
              <w:spacing w:after="0" w:line="360" w:lineRule="atLeast"/>
              <w:rPr>
                <w:rFonts w:ascii="Arial" w:eastAsia="Times New Roman" w:hAnsi="Arial" w:cs="Arial"/>
                <w:b/>
                <w:bCs/>
                <w:color w:val="000000"/>
                <w:sz w:val="23"/>
                <w:szCs w:val="23"/>
              </w:rPr>
            </w:pPr>
            <w:r>
              <w:rPr>
                <w:rFonts w:ascii="Arial" w:eastAsia="Times New Roman" w:hAnsi="Arial" w:cs="Arial"/>
                <w:b/>
                <w:bCs/>
                <w:color w:val="000000"/>
                <w:sz w:val="23"/>
                <w:szCs w:val="23"/>
              </w:rPr>
              <w:t>III</w:t>
            </w:r>
            <w:r w:rsidRPr="00836644">
              <w:rPr>
                <w:rFonts w:ascii="Arial" w:eastAsia="Times New Roman" w:hAnsi="Arial" w:cs="Arial"/>
                <w:b/>
                <w:bCs/>
                <w:color w:val="000000"/>
                <w:sz w:val="23"/>
                <w:szCs w:val="23"/>
              </w:rPr>
              <w:t>. Multidisciplinary Team</w:t>
            </w:r>
          </w:p>
          <w:p w14:paraId="70E86E00" w14:textId="1E1D9F68" w:rsidR="00DD1DDA" w:rsidRDefault="00E572D8" w:rsidP="00836644">
            <w:pPr>
              <w:spacing w:after="0" w:line="360" w:lineRule="atLeast"/>
              <w:rPr>
                <w:rFonts w:ascii="Arial" w:eastAsia="Times New Roman" w:hAnsi="Arial" w:cs="Arial"/>
                <w:color w:val="000000"/>
                <w:sz w:val="23"/>
                <w:szCs w:val="23"/>
              </w:rPr>
            </w:pPr>
            <w:r w:rsidRPr="00E572D8">
              <w:rPr>
                <w:rFonts w:ascii="Arial" w:eastAsia="Times New Roman" w:hAnsi="Arial" w:cs="Arial"/>
                <w:color w:val="000000"/>
                <w:sz w:val="23"/>
                <w:szCs w:val="23"/>
              </w:rPr>
              <w:t>A dedicated multidisciplinary team of professionals brings together the expertise, resources, and legal authority required to improve outcomes for high-risk and high-need treatment court participants. Team members coordinate their roles and responsibilities to achieve mutually agreed upon goals, practice within the bounds of their expertise and ethical obligations, share pertinent and appropriate information, and avoid crossing boundaries and interfering with the work of other professionals. Reliable and sustained backing from governing leadership and community stakeholders ensures that team members can sustain their commitments to the program and meet participants’ and the community’s needs.</w:t>
            </w:r>
          </w:p>
          <w:p w14:paraId="6DF08F0F" w14:textId="77777777" w:rsidR="00E572D8" w:rsidRDefault="00E572D8" w:rsidP="00836644">
            <w:pPr>
              <w:spacing w:after="0" w:line="360" w:lineRule="atLeast"/>
              <w:rPr>
                <w:rFonts w:ascii="Arial" w:eastAsia="Times New Roman" w:hAnsi="Arial" w:cs="Arial"/>
                <w:color w:val="000000"/>
                <w:sz w:val="23"/>
                <w:szCs w:val="23"/>
              </w:rPr>
            </w:pPr>
          </w:p>
          <w:p w14:paraId="7BAC4691" w14:textId="621D8A07" w:rsidR="00DD1DDA" w:rsidRDefault="00DD1DDA" w:rsidP="00836644">
            <w:pPr>
              <w:spacing w:after="0" w:line="360" w:lineRule="atLeast"/>
              <w:rPr>
                <w:rFonts w:ascii="Arial" w:eastAsia="Times New Roman" w:hAnsi="Arial" w:cs="Arial"/>
                <w:color w:val="000000"/>
                <w:sz w:val="23"/>
                <w:szCs w:val="23"/>
              </w:rPr>
            </w:pPr>
            <w:r>
              <w:rPr>
                <w:rFonts w:ascii="Arial" w:eastAsia="Times New Roman" w:hAnsi="Arial" w:cs="Arial"/>
                <w:b/>
                <w:bCs/>
                <w:color w:val="000000"/>
                <w:sz w:val="23"/>
                <w:szCs w:val="23"/>
              </w:rPr>
              <w:t>I</w:t>
            </w:r>
            <w:r w:rsidRPr="00836644">
              <w:rPr>
                <w:rFonts w:ascii="Arial" w:eastAsia="Times New Roman" w:hAnsi="Arial" w:cs="Arial"/>
                <w:b/>
                <w:bCs/>
                <w:color w:val="000000"/>
                <w:sz w:val="23"/>
                <w:szCs w:val="23"/>
              </w:rPr>
              <w:t xml:space="preserve">V. Substance </w:t>
            </w:r>
            <w:r>
              <w:rPr>
                <w:rFonts w:ascii="Arial" w:eastAsia="Times New Roman" w:hAnsi="Arial" w:cs="Arial"/>
                <w:b/>
                <w:bCs/>
                <w:color w:val="000000"/>
                <w:sz w:val="23"/>
                <w:szCs w:val="23"/>
              </w:rPr>
              <w:t>Use, Mental Health, and Trauma Treatment and Recovery Management</w:t>
            </w:r>
            <w:r w:rsidRPr="00836644">
              <w:rPr>
                <w:rFonts w:ascii="Arial" w:eastAsia="Times New Roman" w:hAnsi="Arial" w:cs="Arial"/>
                <w:color w:val="000000"/>
                <w:sz w:val="23"/>
                <w:szCs w:val="23"/>
              </w:rPr>
              <w:br/>
            </w:r>
            <w:r w:rsidR="00E572D8" w:rsidRPr="00E572D8">
              <w:rPr>
                <w:rFonts w:ascii="Arial" w:eastAsia="Times New Roman" w:hAnsi="Arial" w:cs="Arial"/>
                <w:color w:val="000000"/>
                <w:sz w:val="23"/>
                <w:szCs w:val="23"/>
              </w:rPr>
              <w:t>Treatment court participants receive evidence-based treatment for substance use, mental health, trauma, and co-occurring disorders from qualified treatment professionals that is acceptable to the participants and sufficient to meet their validly assessed treatment needs. Recovery management interventions that connect participants with recovery support services and peer recovery networks in their community are core components of the treatment court regimen and are delivered when participants are motivated for and prepared to benefit from the interventions.</w:t>
            </w:r>
          </w:p>
          <w:p w14:paraId="6003AD44" w14:textId="77777777" w:rsidR="00DD1DDA" w:rsidRDefault="00DD1DDA" w:rsidP="00836644">
            <w:pPr>
              <w:spacing w:after="0" w:line="360" w:lineRule="atLeast"/>
              <w:rPr>
                <w:rFonts w:ascii="Arial" w:eastAsia="Times New Roman" w:hAnsi="Arial" w:cs="Arial"/>
                <w:color w:val="000000"/>
                <w:sz w:val="23"/>
                <w:szCs w:val="23"/>
              </w:rPr>
            </w:pPr>
          </w:p>
          <w:p w14:paraId="62A01393" w14:textId="7D2316EC" w:rsidR="00DD1DDA" w:rsidRDefault="00DD1DDA" w:rsidP="00DD1DDA">
            <w:pPr>
              <w:spacing w:after="0" w:line="360" w:lineRule="atLeast"/>
              <w:rPr>
                <w:rFonts w:ascii="Arial" w:eastAsia="Times New Roman" w:hAnsi="Arial" w:cs="Arial"/>
                <w:b/>
                <w:bCs/>
                <w:color w:val="000000"/>
                <w:sz w:val="23"/>
                <w:szCs w:val="23"/>
              </w:rPr>
            </w:pPr>
            <w:r>
              <w:rPr>
                <w:rFonts w:ascii="Arial" w:eastAsia="Times New Roman" w:hAnsi="Arial" w:cs="Arial"/>
                <w:b/>
                <w:bCs/>
                <w:color w:val="000000"/>
                <w:sz w:val="23"/>
                <w:szCs w:val="23"/>
              </w:rPr>
              <w:t>V</w:t>
            </w:r>
            <w:r w:rsidRPr="00836644">
              <w:rPr>
                <w:rFonts w:ascii="Arial" w:eastAsia="Times New Roman" w:hAnsi="Arial" w:cs="Arial"/>
                <w:b/>
                <w:bCs/>
                <w:color w:val="000000"/>
                <w:sz w:val="23"/>
                <w:szCs w:val="23"/>
              </w:rPr>
              <w:t>. Complementary </w:t>
            </w:r>
            <w:r>
              <w:rPr>
                <w:rFonts w:ascii="Arial" w:eastAsia="Times New Roman" w:hAnsi="Arial" w:cs="Arial"/>
                <w:b/>
                <w:bCs/>
                <w:color w:val="000000"/>
                <w:sz w:val="23"/>
                <w:szCs w:val="23"/>
              </w:rPr>
              <w:t>Services and Recovery Capital</w:t>
            </w:r>
          </w:p>
          <w:p w14:paraId="19912C78" w14:textId="40897EE4" w:rsidR="00DD1DDA" w:rsidRDefault="00E572D8" w:rsidP="00DD1DDA">
            <w:pPr>
              <w:spacing w:after="0" w:line="360" w:lineRule="atLeast"/>
              <w:rPr>
                <w:rFonts w:ascii="Arial" w:eastAsia="Times New Roman" w:hAnsi="Arial" w:cs="Arial"/>
                <w:color w:val="000000"/>
                <w:sz w:val="23"/>
                <w:szCs w:val="23"/>
              </w:rPr>
            </w:pPr>
            <w:r w:rsidRPr="00E572D8">
              <w:rPr>
                <w:rFonts w:ascii="Arial" w:eastAsia="Times New Roman" w:hAnsi="Arial" w:cs="Arial"/>
                <w:color w:val="000000"/>
                <w:sz w:val="23"/>
                <w:szCs w:val="23"/>
              </w:rPr>
              <w:t xml:space="preserve">Treatment court participants receive desired evidence-based services from qualified treatment, public health, social service, or rehabilitation professionals that safeguard their health and welfare, help them to achieve their chosen life goals, sustain indefinite recovery, </w:t>
            </w:r>
            <w:r w:rsidRPr="00E572D8">
              <w:rPr>
                <w:rFonts w:ascii="Arial" w:eastAsia="Times New Roman" w:hAnsi="Arial" w:cs="Arial"/>
                <w:color w:val="000000"/>
                <w:sz w:val="23"/>
                <w:szCs w:val="23"/>
              </w:rPr>
              <w:lastRenderedPageBreak/>
              <w:t>and enhance their quality of life. Trained evaluators assess participants’ skills, resources, and other recovery capital, and work collaboratively with them in deciding what complementary services are needed to help them remain safe and healthy, reach their achievable goals, and optimize their long-term adaptive functioning.</w:t>
            </w:r>
          </w:p>
          <w:p w14:paraId="10DFC97B" w14:textId="77777777" w:rsidR="00E572D8" w:rsidRPr="00DD1DDA" w:rsidRDefault="00E572D8" w:rsidP="00DD1DDA">
            <w:pPr>
              <w:spacing w:after="0" w:line="360" w:lineRule="atLeast"/>
              <w:rPr>
                <w:rFonts w:ascii="Arial" w:eastAsia="Times New Roman" w:hAnsi="Arial" w:cs="Arial"/>
                <w:b/>
                <w:bCs/>
                <w:color w:val="000000"/>
                <w:sz w:val="23"/>
                <w:szCs w:val="23"/>
              </w:rPr>
            </w:pPr>
          </w:p>
          <w:p w14:paraId="1A6123CA" w14:textId="75C1A1A4" w:rsidR="00DD1DDA" w:rsidRPr="00DD1DDA" w:rsidRDefault="00DD1DDA" w:rsidP="00DD1DDA">
            <w:pPr>
              <w:spacing w:after="0" w:line="360" w:lineRule="atLeast"/>
              <w:rPr>
                <w:rFonts w:ascii="Arial" w:eastAsia="Times New Roman" w:hAnsi="Arial" w:cs="Arial"/>
                <w:b/>
                <w:bCs/>
                <w:color w:val="000000"/>
                <w:sz w:val="23"/>
                <w:szCs w:val="23"/>
              </w:rPr>
            </w:pPr>
            <w:r w:rsidRPr="00DD1DDA">
              <w:rPr>
                <w:rFonts w:ascii="Arial" w:eastAsia="Times New Roman" w:hAnsi="Arial" w:cs="Arial"/>
                <w:b/>
                <w:bCs/>
                <w:color w:val="000000"/>
                <w:sz w:val="23"/>
                <w:szCs w:val="23"/>
              </w:rPr>
              <w:t>VI. Community Supervision</w:t>
            </w:r>
          </w:p>
          <w:p w14:paraId="2455DA85" w14:textId="2D7C2B33" w:rsidR="00DD1DDA" w:rsidRDefault="00E572D8" w:rsidP="00836644">
            <w:pPr>
              <w:spacing w:after="0" w:line="360" w:lineRule="atLeast"/>
              <w:rPr>
                <w:rFonts w:ascii="Arial" w:eastAsia="Times New Roman" w:hAnsi="Arial" w:cs="Arial"/>
                <w:color w:val="000000"/>
                <w:sz w:val="23"/>
                <w:szCs w:val="23"/>
              </w:rPr>
            </w:pPr>
            <w:r w:rsidRPr="00E572D8">
              <w:rPr>
                <w:rFonts w:ascii="Arial" w:eastAsia="Times New Roman" w:hAnsi="Arial" w:cs="Arial"/>
                <w:color w:val="000000"/>
                <w:sz w:val="23"/>
                <w:szCs w:val="23"/>
              </w:rPr>
              <w:t>Treatment court staff performing community supervision monitor participants using a balanced approach that addresses participants’ needs while ensuring compliance with court orders and protecting public safety. Supervision officers obtain objective, verifiable, and timely information about participant performance, progress toward behavior change, and adherence to supervision conditions and program requirements. Supervision officers identify participants’ needs, potential safety risks in the participants’ natural social environment, and early signs of impending symptom recurrence to respond quickly before they cause serious problems for the participant. Supervision officers engage participants using evidence-based behavior modification techniques, supervision strategies, and cognitive behavioral interventions. All treatment court personnel are trained in the risk-need-responsivity model, core correctional practices, and other evidence-based practices that enhance outcomes and protect participant and community safety.</w:t>
            </w:r>
          </w:p>
          <w:p w14:paraId="146D900F" w14:textId="77777777" w:rsidR="00DD1DDA" w:rsidRPr="00836644" w:rsidRDefault="00DD1DDA" w:rsidP="00836644">
            <w:pPr>
              <w:spacing w:after="0" w:line="360" w:lineRule="atLeast"/>
              <w:rPr>
                <w:rFonts w:ascii="Arial" w:eastAsia="Times New Roman" w:hAnsi="Arial" w:cs="Arial"/>
                <w:color w:val="000000"/>
                <w:sz w:val="23"/>
                <w:szCs w:val="23"/>
              </w:rPr>
            </w:pPr>
          </w:p>
          <w:p w14:paraId="0686BFA7" w14:textId="30C18F03" w:rsidR="00836644" w:rsidRPr="00836644" w:rsidRDefault="00E572D8" w:rsidP="00836644">
            <w:pPr>
              <w:spacing w:after="0" w:line="360" w:lineRule="atLeast"/>
              <w:rPr>
                <w:rFonts w:ascii="Arial" w:eastAsia="Times New Roman" w:hAnsi="Arial" w:cs="Arial"/>
                <w:color w:val="000000"/>
                <w:sz w:val="23"/>
                <w:szCs w:val="23"/>
              </w:rPr>
            </w:pPr>
            <w:r>
              <w:rPr>
                <w:rFonts w:ascii="Arial" w:eastAsia="Times New Roman" w:hAnsi="Arial" w:cs="Arial"/>
                <w:b/>
                <w:bCs/>
                <w:color w:val="000000"/>
                <w:sz w:val="23"/>
                <w:szCs w:val="23"/>
              </w:rPr>
              <w:t>V</w:t>
            </w:r>
            <w:r w:rsidR="00836644" w:rsidRPr="00836644">
              <w:rPr>
                <w:rFonts w:ascii="Arial" w:eastAsia="Times New Roman" w:hAnsi="Arial" w:cs="Arial"/>
                <w:b/>
                <w:bCs/>
                <w:color w:val="000000"/>
                <w:sz w:val="23"/>
                <w:szCs w:val="23"/>
              </w:rPr>
              <w:t>I</w:t>
            </w:r>
            <w:r w:rsidR="00DD1DDA">
              <w:rPr>
                <w:rFonts w:ascii="Arial" w:eastAsia="Times New Roman" w:hAnsi="Arial" w:cs="Arial"/>
                <w:b/>
                <w:bCs/>
                <w:color w:val="000000"/>
                <w:sz w:val="23"/>
                <w:szCs w:val="23"/>
              </w:rPr>
              <w:t>I</w:t>
            </w:r>
            <w:r w:rsidR="00836644" w:rsidRPr="00836644">
              <w:rPr>
                <w:rFonts w:ascii="Arial" w:eastAsia="Times New Roman" w:hAnsi="Arial" w:cs="Arial"/>
                <w:b/>
                <w:bCs/>
                <w:color w:val="000000"/>
                <w:sz w:val="23"/>
                <w:szCs w:val="23"/>
              </w:rPr>
              <w:t xml:space="preserve">. Incentives, Sanctions, and </w:t>
            </w:r>
            <w:r>
              <w:rPr>
                <w:rFonts w:ascii="Arial" w:eastAsia="Times New Roman" w:hAnsi="Arial" w:cs="Arial"/>
                <w:b/>
                <w:bCs/>
                <w:color w:val="000000"/>
                <w:sz w:val="23"/>
                <w:szCs w:val="23"/>
              </w:rPr>
              <w:t xml:space="preserve">Service </w:t>
            </w:r>
            <w:r w:rsidR="00836644" w:rsidRPr="00836644">
              <w:rPr>
                <w:rFonts w:ascii="Arial" w:eastAsia="Times New Roman" w:hAnsi="Arial" w:cs="Arial"/>
                <w:b/>
                <w:bCs/>
                <w:color w:val="000000"/>
                <w:sz w:val="23"/>
                <w:szCs w:val="23"/>
              </w:rPr>
              <w:t>Adjustments</w:t>
            </w:r>
            <w:r w:rsidR="00836644" w:rsidRPr="00836644">
              <w:rPr>
                <w:rFonts w:ascii="Arial" w:eastAsia="Times New Roman" w:hAnsi="Arial" w:cs="Arial"/>
                <w:color w:val="000000"/>
                <w:sz w:val="23"/>
                <w:szCs w:val="23"/>
              </w:rPr>
              <w:br/>
            </w:r>
            <w:r w:rsidRPr="00E572D8">
              <w:rPr>
                <w:rFonts w:ascii="Arial" w:eastAsia="Times New Roman" w:hAnsi="Arial" w:cs="Arial"/>
                <w:color w:val="000000"/>
                <w:sz w:val="23"/>
                <w:szCs w:val="23"/>
              </w:rPr>
              <w:t>The treatment court applies evidence-based and procedurally fair behavior modification practices that are proven to be safe and effective for high-risk and high-need persons. Incentives and sanctions are delivered to enhance adherence to program goals and conditions that participants can achieve and sustain for a reasonable time, whereas service adjustments are delivered to help participants achieve goals that are too difficult for them to accomplish currently. Decisions relating to setting program goals and choosing safe and effective responses are based on input from qualified treatment professionals, social service providers, supervision officers, and other team members with pertinent knowledge and experience.</w:t>
            </w:r>
          </w:p>
          <w:p w14:paraId="7A731F50" w14:textId="77777777" w:rsidR="005F73FA" w:rsidRDefault="005F73FA" w:rsidP="00836644">
            <w:pPr>
              <w:spacing w:after="0" w:line="360" w:lineRule="atLeast"/>
              <w:rPr>
                <w:rFonts w:ascii="Arial" w:eastAsia="Times New Roman" w:hAnsi="Arial" w:cs="Arial"/>
                <w:b/>
                <w:bCs/>
                <w:color w:val="000000"/>
                <w:sz w:val="23"/>
                <w:szCs w:val="23"/>
              </w:rPr>
            </w:pPr>
          </w:p>
          <w:p w14:paraId="1D7F607E" w14:textId="77777777" w:rsidR="005F73FA" w:rsidRDefault="00836644" w:rsidP="005F73FA">
            <w:pPr>
              <w:spacing w:after="0" w:line="360" w:lineRule="atLeast"/>
              <w:rPr>
                <w:rFonts w:ascii="Arial" w:eastAsia="Times New Roman" w:hAnsi="Arial" w:cs="Arial"/>
                <w:b/>
                <w:bCs/>
                <w:color w:val="000000"/>
                <w:sz w:val="23"/>
                <w:szCs w:val="23"/>
              </w:rPr>
            </w:pPr>
            <w:r w:rsidRPr="00836644">
              <w:rPr>
                <w:rFonts w:ascii="Arial" w:eastAsia="Times New Roman" w:hAnsi="Arial" w:cs="Arial"/>
                <w:b/>
                <w:bCs/>
                <w:color w:val="000000"/>
                <w:sz w:val="23"/>
                <w:szCs w:val="23"/>
              </w:rPr>
              <w:t xml:space="preserve">VII. Drug </w:t>
            </w:r>
            <w:r w:rsidR="005F73FA">
              <w:rPr>
                <w:rFonts w:ascii="Arial" w:eastAsia="Times New Roman" w:hAnsi="Arial" w:cs="Arial"/>
                <w:b/>
                <w:bCs/>
                <w:color w:val="000000"/>
                <w:sz w:val="23"/>
                <w:szCs w:val="23"/>
              </w:rPr>
              <w:t>a</w:t>
            </w:r>
            <w:r w:rsidRPr="00836644">
              <w:rPr>
                <w:rFonts w:ascii="Arial" w:eastAsia="Times New Roman" w:hAnsi="Arial" w:cs="Arial"/>
                <w:b/>
                <w:bCs/>
                <w:color w:val="000000"/>
                <w:sz w:val="23"/>
                <w:szCs w:val="23"/>
              </w:rPr>
              <w:t>nd Alcohol Testing</w:t>
            </w:r>
          </w:p>
          <w:p w14:paraId="78C0C7B8" w14:textId="3266A9B9" w:rsidR="005F73FA" w:rsidRDefault="00E572D8" w:rsidP="00836644">
            <w:pPr>
              <w:spacing w:after="0" w:line="360" w:lineRule="atLeast"/>
              <w:rPr>
                <w:rFonts w:ascii="Arial" w:eastAsia="Times New Roman" w:hAnsi="Arial" w:cs="Arial"/>
                <w:color w:val="000000"/>
                <w:sz w:val="23"/>
                <w:szCs w:val="23"/>
              </w:rPr>
            </w:pPr>
            <w:r w:rsidRPr="00E572D8">
              <w:rPr>
                <w:rFonts w:ascii="Arial" w:eastAsia="Times New Roman" w:hAnsi="Arial" w:cs="Arial"/>
                <w:color w:val="000000"/>
                <w:sz w:val="23"/>
                <w:szCs w:val="23"/>
              </w:rPr>
              <w:t>Drug and alcohol testing provides an accurate, timely, and comprehensive assessment of substance use throughout participants’ enrollment in treatment court.</w:t>
            </w:r>
          </w:p>
          <w:p w14:paraId="4E9C57CC" w14:textId="77777777" w:rsidR="00E572D8" w:rsidRDefault="00E572D8" w:rsidP="00836644">
            <w:pPr>
              <w:spacing w:after="0" w:line="360" w:lineRule="atLeast"/>
              <w:rPr>
                <w:rFonts w:ascii="Arial" w:eastAsia="Times New Roman" w:hAnsi="Arial" w:cs="Arial"/>
                <w:b/>
                <w:bCs/>
                <w:color w:val="000000"/>
                <w:sz w:val="23"/>
                <w:szCs w:val="23"/>
              </w:rPr>
            </w:pPr>
          </w:p>
          <w:p w14:paraId="79BA543F" w14:textId="77777777" w:rsidR="00E572D8" w:rsidRDefault="00836644" w:rsidP="00E572D8">
            <w:pPr>
              <w:spacing w:after="0" w:line="360" w:lineRule="atLeast"/>
              <w:rPr>
                <w:rFonts w:ascii="Arial" w:eastAsia="Times New Roman" w:hAnsi="Arial" w:cs="Arial"/>
                <w:b/>
                <w:bCs/>
                <w:color w:val="000000"/>
                <w:sz w:val="23"/>
                <w:szCs w:val="23"/>
              </w:rPr>
            </w:pPr>
            <w:r w:rsidRPr="00836644">
              <w:rPr>
                <w:rFonts w:ascii="Arial" w:eastAsia="Times New Roman" w:hAnsi="Arial" w:cs="Arial"/>
                <w:b/>
                <w:bCs/>
                <w:color w:val="000000"/>
                <w:sz w:val="23"/>
                <w:szCs w:val="23"/>
              </w:rPr>
              <w:t xml:space="preserve">IX. </w:t>
            </w:r>
            <w:r w:rsidR="00E572D8">
              <w:rPr>
                <w:rFonts w:ascii="Arial" w:eastAsia="Times New Roman" w:hAnsi="Arial" w:cs="Arial"/>
                <w:b/>
                <w:bCs/>
                <w:color w:val="000000"/>
                <w:sz w:val="23"/>
                <w:szCs w:val="23"/>
              </w:rPr>
              <w:t>Program Monitoring, Evaluation and Improvement</w:t>
            </w:r>
          </w:p>
          <w:p w14:paraId="3A524005" w14:textId="7382BDDA" w:rsidR="00E572D8" w:rsidRDefault="00E572D8" w:rsidP="00E572D8">
            <w:pPr>
              <w:spacing w:after="0" w:line="360" w:lineRule="atLeast"/>
              <w:rPr>
                <w:rFonts w:ascii="Arial" w:eastAsia="Times New Roman" w:hAnsi="Arial" w:cs="Arial"/>
                <w:color w:val="000000"/>
                <w:sz w:val="23"/>
                <w:szCs w:val="23"/>
              </w:rPr>
            </w:pPr>
            <w:r w:rsidRPr="00E572D8">
              <w:rPr>
                <w:rFonts w:ascii="Arial" w:eastAsia="Times New Roman" w:hAnsi="Arial" w:cs="Arial"/>
                <w:color w:val="000000"/>
                <w:sz w:val="23"/>
                <w:szCs w:val="23"/>
              </w:rPr>
              <w:lastRenderedPageBreak/>
              <w:t>The treatment court continually monitors its adherence to best practices, evaluates its outcomes, and implements and assesses needed modifications to improve its practices and outcomes. A competently trained and objective evaluator employs scientifically valid methods to reach causal conclusions about the effects of the program on participant outcomes.</w:t>
            </w:r>
          </w:p>
          <w:p w14:paraId="759ACEED" w14:textId="53C15121" w:rsidR="005F73FA" w:rsidRDefault="00836644" w:rsidP="00836644">
            <w:pPr>
              <w:spacing w:before="180" w:after="180" w:line="360" w:lineRule="atLeast"/>
              <w:rPr>
                <w:rFonts w:ascii="Arial" w:eastAsia="Times New Roman" w:hAnsi="Arial" w:cs="Arial"/>
                <w:color w:val="000000"/>
                <w:sz w:val="23"/>
                <w:szCs w:val="23"/>
              </w:rPr>
            </w:pPr>
            <w:r w:rsidRPr="00836644">
              <w:rPr>
                <w:rFonts w:ascii="Arial" w:eastAsia="Times New Roman" w:hAnsi="Arial" w:cs="Arial"/>
                <w:color w:val="000000"/>
                <w:sz w:val="23"/>
                <w:szCs w:val="23"/>
              </w:rPr>
              <w:t xml:space="preserve">Click on the links below for more information on the </w:t>
            </w:r>
            <w:r w:rsidR="005F73FA">
              <w:rPr>
                <w:rFonts w:ascii="Arial" w:eastAsia="Times New Roman" w:hAnsi="Arial" w:cs="Arial"/>
                <w:color w:val="000000"/>
                <w:sz w:val="23"/>
                <w:szCs w:val="23"/>
              </w:rPr>
              <w:t>5</w:t>
            </w:r>
            <w:r w:rsidR="005F73FA" w:rsidRPr="005F73FA">
              <w:rPr>
                <w:rFonts w:ascii="Arial" w:eastAsia="Times New Roman" w:hAnsi="Arial" w:cs="Arial"/>
                <w:color w:val="000000"/>
                <w:sz w:val="23"/>
                <w:szCs w:val="23"/>
                <w:vertAlign w:val="superscript"/>
              </w:rPr>
              <w:t>th</w:t>
            </w:r>
            <w:r w:rsidRPr="00836644">
              <w:rPr>
                <w:rFonts w:ascii="Arial" w:eastAsia="Times New Roman" w:hAnsi="Arial" w:cs="Arial"/>
                <w:color w:val="000000"/>
                <w:sz w:val="23"/>
                <w:szCs w:val="23"/>
              </w:rPr>
              <w:t xml:space="preserve"> Judicial District's problem solving courts:</w:t>
            </w:r>
          </w:p>
          <w:p w14:paraId="4F0147CB" w14:textId="65E78F56" w:rsidR="005F73FA" w:rsidRPr="005F73FA" w:rsidRDefault="004E660B" w:rsidP="00836644">
            <w:pPr>
              <w:spacing w:before="180" w:after="180" w:line="360" w:lineRule="atLeast"/>
              <w:rPr>
                <w:rFonts w:ascii="Arial" w:eastAsia="Times New Roman" w:hAnsi="Arial" w:cs="Arial"/>
                <w:color w:val="000000"/>
                <w:sz w:val="23"/>
                <w:szCs w:val="23"/>
              </w:rPr>
            </w:pPr>
            <w:hyperlink r:id="rId5" w:history="1">
              <w:r w:rsidR="005F73FA" w:rsidRPr="004E660B">
                <w:rPr>
                  <w:rStyle w:val="Hyperlink"/>
                  <w:rFonts w:ascii="Arial" w:eastAsia="Times New Roman" w:hAnsi="Arial" w:cs="Arial"/>
                  <w:sz w:val="23"/>
                  <w:szCs w:val="23"/>
                </w:rPr>
                <w:t>Eagle County Recovery Court (adult drug court)</w:t>
              </w:r>
            </w:hyperlink>
            <w:r w:rsidR="005F73FA" w:rsidRPr="005F73FA">
              <w:rPr>
                <w:rFonts w:ascii="Arial" w:eastAsia="Times New Roman" w:hAnsi="Arial" w:cs="Arial"/>
                <w:color w:val="000000"/>
                <w:sz w:val="23"/>
                <w:szCs w:val="23"/>
              </w:rPr>
              <w:t xml:space="preserve"> </w:t>
            </w:r>
          </w:p>
          <w:p w14:paraId="58122156" w14:textId="6BDC2849" w:rsidR="005F73FA" w:rsidRPr="005F73FA" w:rsidRDefault="004E660B" w:rsidP="00836644">
            <w:pPr>
              <w:spacing w:before="180" w:after="180" w:line="360" w:lineRule="atLeast"/>
              <w:rPr>
                <w:rFonts w:ascii="Arial" w:eastAsia="Times New Roman" w:hAnsi="Arial" w:cs="Arial"/>
                <w:color w:val="000000"/>
                <w:sz w:val="23"/>
                <w:szCs w:val="23"/>
              </w:rPr>
            </w:pPr>
            <w:hyperlink r:id="rId6" w:history="1">
              <w:r w:rsidR="005F73FA" w:rsidRPr="004E660B">
                <w:rPr>
                  <w:rStyle w:val="Hyperlink"/>
                  <w:rFonts w:ascii="Arial" w:eastAsia="Times New Roman" w:hAnsi="Arial" w:cs="Arial"/>
                  <w:sz w:val="23"/>
                  <w:szCs w:val="23"/>
                </w:rPr>
                <w:t>Lake County Sobriety Court (DUI)</w:t>
              </w:r>
            </w:hyperlink>
          </w:p>
          <w:p w14:paraId="4A95C52C" w14:textId="02D19090" w:rsidR="005F73FA" w:rsidRDefault="004E660B" w:rsidP="00836644">
            <w:pPr>
              <w:spacing w:before="180" w:after="180" w:line="360" w:lineRule="atLeast"/>
              <w:rPr>
                <w:rFonts w:ascii="Arial" w:eastAsia="Times New Roman" w:hAnsi="Arial" w:cs="Arial"/>
                <w:color w:val="000000"/>
                <w:sz w:val="23"/>
                <w:szCs w:val="23"/>
              </w:rPr>
            </w:pPr>
            <w:hyperlink r:id="rId7" w:history="1">
              <w:r w:rsidR="005F73FA" w:rsidRPr="004E660B">
                <w:rPr>
                  <w:rStyle w:val="Hyperlink"/>
                  <w:rFonts w:ascii="Arial" w:eastAsia="Times New Roman" w:hAnsi="Arial" w:cs="Arial"/>
                  <w:sz w:val="23"/>
                  <w:szCs w:val="23"/>
                </w:rPr>
                <w:t>Eagle County R.I.S.E. Court (DUI)</w:t>
              </w:r>
            </w:hyperlink>
          </w:p>
          <w:p w14:paraId="0BFE7E33" w14:textId="21D5AE79" w:rsidR="006B549F" w:rsidRDefault="00353CF6" w:rsidP="00836644">
            <w:pPr>
              <w:spacing w:before="180" w:after="180" w:line="360" w:lineRule="atLeast"/>
              <w:rPr>
                <w:rFonts w:ascii="Arial" w:eastAsia="Times New Roman" w:hAnsi="Arial" w:cs="Arial"/>
                <w:color w:val="000000"/>
                <w:sz w:val="23"/>
                <w:szCs w:val="23"/>
              </w:rPr>
            </w:pPr>
            <w:r>
              <w:rPr>
                <w:rFonts w:ascii="Arial" w:eastAsia="Times New Roman" w:hAnsi="Arial" w:cs="Arial"/>
                <w:color w:val="000000"/>
                <w:sz w:val="23"/>
                <w:szCs w:val="23"/>
              </w:rPr>
              <w:t>________________________________________________________________________</w:t>
            </w:r>
          </w:p>
          <w:p w14:paraId="1DE27B8E" w14:textId="77777777" w:rsidR="00353CF6" w:rsidRPr="00353CF6" w:rsidRDefault="00353CF6" w:rsidP="00353CF6">
            <w:pPr>
              <w:spacing w:before="180" w:after="180" w:line="360" w:lineRule="atLeast"/>
              <w:rPr>
                <w:rFonts w:ascii="Arial" w:eastAsia="Times New Roman" w:hAnsi="Arial" w:cs="Arial"/>
                <w:color w:val="000000"/>
                <w:sz w:val="23"/>
                <w:szCs w:val="23"/>
              </w:rPr>
            </w:pPr>
            <w:r w:rsidRPr="00353CF6">
              <w:rPr>
                <w:rFonts w:ascii="Arial" w:eastAsia="Times New Roman" w:hAnsi="Arial" w:cs="Arial"/>
                <w:color w:val="000000"/>
                <w:sz w:val="23"/>
                <w:szCs w:val="23"/>
              </w:rPr>
              <w:t>For more information on the 5th Judicial District's Problem Solving Courts, please contact:</w:t>
            </w:r>
          </w:p>
          <w:p w14:paraId="75FF8ECE" w14:textId="77777777" w:rsidR="00353CF6" w:rsidRPr="00353CF6" w:rsidRDefault="00353CF6" w:rsidP="00353CF6">
            <w:pPr>
              <w:spacing w:before="180" w:after="180" w:line="360" w:lineRule="atLeast"/>
              <w:rPr>
                <w:rFonts w:ascii="Arial" w:eastAsia="Times New Roman" w:hAnsi="Arial" w:cs="Arial"/>
                <w:color w:val="000000"/>
                <w:sz w:val="23"/>
                <w:szCs w:val="23"/>
              </w:rPr>
            </w:pPr>
            <w:r w:rsidRPr="00353CF6">
              <w:rPr>
                <w:rFonts w:ascii="Arial" w:eastAsia="Times New Roman" w:hAnsi="Arial" w:cs="Arial"/>
                <w:color w:val="000000"/>
                <w:sz w:val="23"/>
                <w:szCs w:val="23"/>
              </w:rPr>
              <w:t>Lisa Morton, 5th JD Problem Solving Court Coordinator: </w:t>
            </w:r>
          </w:p>
          <w:p w14:paraId="6816635A" w14:textId="77777777" w:rsidR="00353CF6" w:rsidRPr="00353CF6" w:rsidRDefault="00353CF6" w:rsidP="00353CF6">
            <w:pPr>
              <w:spacing w:before="180" w:after="180" w:line="360" w:lineRule="atLeast"/>
              <w:rPr>
                <w:rFonts w:ascii="Arial" w:eastAsia="Times New Roman" w:hAnsi="Arial" w:cs="Arial"/>
                <w:color w:val="000000"/>
                <w:sz w:val="23"/>
                <w:szCs w:val="23"/>
              </w:rPr>
            </w:pPr>
            <w:r w:rsidRPr="00353CF6">
              <w:rPr>
                <w:rFonts w:ascii="Arial" w:eastAsia="Times New Roman" w:hAnsi="Arial" w:cs="Arial"/>
                <w:color w:val="000000"/>
                <w:sz w:val="23"/>
                <w:szCs w:val="23"/>
              </w:rPr>
              <w:t>(719) 293-8111 (phone) </w:t>
            </w:r>
          </w:p>
          <w:p w14:paraId="3DEE70E7" w14:textId="77777777" w:rsidR="00353CF6" w:rsidRPr="00353CF6" w:rsidRDefault="00353CF6" w:rsidP="00353CF6">
            <w:pPr>
              <w:spacing w:before="180" w:after="180" w:line="360" w:lineRule="atLeast"/>
              <w:rPr>
                <w:rFonts w:ascii="Arial" w:eastAsia="Times New Roman" w:hAnsi="Arial" w:cs="Arial"/>
                <w:color w:val="000000"/>
                <w:sz w:val="23"/>
                <w:szCs w:val="23"/>
              </w:rPr>
            </w:pPr>
            <w:hyperlink r:id="rId8" w:history="1">
              <w:r w:rsidRPr="00353CF6">
                <w:rPr>
                  <w:rStyle w:val="Hyperlink"/>
                  <w:rFonts w:ascii="Arial" w:eastAsia="Times New Roman" w:hAnsi="Arial" w:cs="Arial"/>
                  <w:sz w:val="23"/>
                  <w:szCs w:val="23"/>
                </w:rPr>
                <w:t>lisa.morton@judicial.state.co.us</w:t>
              </w:r>
            </w:hyperlink>
            <w:r w:rsidRPr="00353CF6">
              <w:rPr>
                <w:rFonts w:ascii="Arial" w:eastAsia="Times New Roman" w:hAnsi="Arial" w:cs="Arial"/>
                <w:color w:val="000000"/>
                <w:sz w:val="23"/>
                <w:szCs w:val="23"/>
              </w:rPr>
              <w:t> </w:t>
            </w:r>
          </w:p>
          <w:p w14:paraId="4777511A" w14:textId="77777777" w:rsidR="006B549F" w:rsidRPr="005F73FA" w:rsidRDefault="006B549F" w:rsidP="00836644">
            <w:pPr>
              <w:spacing w:before="180" w:after="180" w:line="360" w:lineRule="atLeast"/>
              <w:rPr>
                <w:rFonts w:ascii="Arial" w:eastAsia="Times New Roman" w:hAnsi="Arial" w:cs="Arial"/>
                <w:color w:val="000000"/>
                <w:sz w:val="23"/>
                <w:szCs w:val="23"/>
              </w:rPr>
            </w:pPr>
          </w:p>
          <w:p w14:paraId="6EB9F628" w14:textId="77777777" w:rsidR="00836644" w:rsidRPr="00836644" w:rsidRDefault="00836644" w:rsidP="00836644">
            <w:pPr>
              <w:spacing w:after="0" w:line="360" w:lineRule="atLeast"/>
              <w:rPr>
                <w:rFonts w:ascii="Arial" w:eastAsia="Times New Roman" w:hAnsi="Arial" w:cs="Arial"/>
                <w:color w:val="000000"/>
                <w:sz w:val="23"/>
                <w:szCs w:val="23"/>
              </w:rPr>
            </w:pPr>
          </w:p>
        </w:tc>
      </w:tr>
    </w:tbl>
    <w:p w14:paraId="07E7A419" w14:textId="77777777" w:rsidR="007F18D5" w:rsidRDefault="007F18D5"/>
    <w:sectPr w:rsidR="007F1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644"/>
    <w:rsid w:val="00155373"/>
    <w:rsid w:val="00353CF6"/>
    <w:rsid w:val="004E660B"/>
    <w:rsid w:val="005F73FA"/>
    <w:rsid w:val="006B549F"/>
    <w:rsid w:val="007F18D5"/>
    <w:rsid w:val="00836644"/>
    <w:rsid w:val="00D53B45"/>
    <w:rsid w:val="00DD1DDA"/>
    <w:rsid w:val="00E5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0C66"/>
  <w15:chartTrackingRefBased/>
  <w15:docId w15:val="{7899BF2A-8CE2-496B-817C-FFD4A7F7F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66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6644"/>
    <w:rPr>
      <w:b/>
      <w:bCs/>
    </w:rPr>
  </w:style>
  <w:style w:type="character" w:styleId="Hyperlink">
    <w:name w:val="Hyperlink"/>
    <w:basedOn w:val="DefaultParagraphFont"/>
    <w:uiPriority w:val="99"/>
    <w:unhideWhenUsed/>
    <w:rsid w:val="00836644"/>
    <w:rPr>
      <w:color w:val="0000FF"/>
      <w:u w:val="single"/>
    </w:rPr>
  </w:style>
  <w:style w:type="paragraph" w:styleId="ListParagraph">
    <w:name w:val="List Paragraph"/>
    <w:basedOn w:val="Normal"/>
    <w:uiPriority w:val="34"/>
    <w:qFormat/>
    <w:rsid w:val="00836644"/>
    <w:pPr>
      <w:ind w:left="720"/>
      <w:contextualSpacing/>
    </w:pPr>
  </w:style>
  <w:style w:type="character" w:styleId="UnresolvedMention">
    <w:name w:val="Unresolved Mention"/>
    <w:basedOn w:val="DefaultParagraphFont"/>
    <w:uiPriority w:val="99"/>
    <w:semiHidden/>
    <w:unhideWhenUsed/>
    <w:rsid w:val="00353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01313">
      <w:bodyDiv w:val="1"/>
      <w:marLeft w:val="0"/>
      <w:marRight w:val="0"/>
      <w:marTop w:val="0"/>
      <w:marBottom w:val="0"/>
      <w:divBdr>
        <w:top w:val="none" w:sz="0" w:space="0" w:color="auto"/>
        <w:left w:val="none" w:sz="0" w:space="0" w:color="auto"/>
        <w:bottom w:val="none" w:sz="0" w:space="0" w:color="auto"/>
        <w:right w:val="none" w:sz="0" w:space="0" w:color="auto"/>
      </w:divBdr>
      <w:divsChild>
        <w:div w:id="1916087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morton@judicial.state.co.us" TargetMode="External"/><Relationship Id="rId3" Type="http://schemas.openxmlformats.org/officeDocument/2006/relationships/webSettings" Target="webSettings.xml"/><Relationship Id="rId7" Type="http://schemas.openxmlformats.org/officeDocument/2006/relationships/hyperlink" Target="file:///H:\Administrative%20Share\Website%20Maint\2026\PSC\Eagle%20RISE%20Court%20Brochure%20Rev.%204.21.2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H:\Administrative%20Share\Website%20Maint\2026\PSC\LCSC%20Brochure%20Rev.%204.21.25.pdf" TargetMode="External"/><Relationship Id="rId5" Type="http://schemas.openxmlformats.org/officeDocument/2006/relationships/hyperlink" Target="file:///H:\Administrative%20Share\Website%20Maint\2026\PSC\ECRC%20Brochure%20Rev.%204.21.25.pdf" TargetMode="External"/><Relationship Id="rId10" Type="http://schemas.openxmlformats.org/officeDocument/2006/relationships/theme" Target="theme/theme1.xml"/><Relationship Id="rId4" Type="http://schemas.openxmlformats.org/officeDocument/2006/relationships/hyperlink" Target="https://allrise.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1217</Words>
  <Characters>6942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rebecca</dc:creator>
  <cp:keywords/>
  <dc:description/>
  <cp:lastModifiedBy>elrick, ashley</cp:lastModifiedBy>
  <cp:revision>2</cp:revision>
  <dcterms:created xsi:type="dcterms:W3CDTF">2026-08-06T22:08:00Z</dcterms:created>
  <dcterms:modified xsi:type="dcterms:W3CDTF">2026-08-06T22:08:00Z</dcterms:modified>
</cp:coreProperties>
</file>