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3"/>
        <w:gridCol w:w="3722"/>
      </w:tblGrid>
      <w:tr w:rsidR="00EE2C3B" w:rsidRPr="00AB3A0F" w14:paraId="68F87561" w14:textId="77777777" w:rsidTr="00141FE8">
        <w:tc>
          <w:tcPr>
            <w:tcW w:w="549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0660DB57" w14:textId="77777777" w:rsidR="00EE2C3B" w:rsidRPr="00E7659A" w:rsidRDefault="0026080B" w:rsidP="00D46112">
            <w:pPr>
              <w:rPr>
                <w:rFonts w:eastAsia="MS Mincho"/>
              </w:rPr>
            </w:pPr>
            <w:r>
              <w:rPr>
                <w:rFonts w:eastAsia="MS Mincho"/>
              </w:rPr>
              <w:t>ORIGINAL PROCEEDING IN DISCIPLINE</w:t>
            </w:r>
          </w:p>
          <w:p w14:paraId="4CCB5659" w14:textId="77777777" w:rsidR="00EE2C3B" w:rsidRPr="00E7659A" w:rsidRDefault="0026080B" w:rsidP="0026080B">
            <w:pPr>
              <w:rPr>
                <w:rFonts w:eastAsia="MS Mincho"/>
              </w:rPr>
            </w:pPr>
            <w:r>
              <w:rPr>
                <w:rFonts w:eastAsia="MS Mincho"/>
                <w:noProof/>
              </w:rPr>
              <w:t>Colorado Commission on Judicial Discipline</w:t>
            </w:r>
          </w:p>
        </w:tc>
        <w:tc>
          <w:tcPr>
            <w:tcW w:w="3772" w:type="dxa"/>
            <w:vMerge w:val="restart"/>
            <w:vAlign w:val="bottom"/>
          </w:tcPr>
          <w:p w14:paraId="2FBC6196" w14:textId="77777777" w:rsidR="00EE2C3B" w:rsidRPr="00E7659A" w:rsidRDefault="00EE2C3B" w:rsidP="00D46112">
            <w:pPr>
              <w:jc w:val="center"/>
              <w:rPr>
                <w:rFonts w:eastAsia="MS Mincho"/>
              </w:rPr>
            </w:pPr>
            <w:r w:rsidRPr="00E7659A">
              <w:rPr>
                <w:rFonts w:eastAsia="MS Mincho"/>
                <w:lang w:eastAsia="ja-JP"/>
              </w:rPr>
              <w:t xml:space="preserve">▲ </w:t>
            </w:r>
            <w:r w:rsidRPr="00E7659A">
              <w:rPr>
                <w:rFonts w:eastAsia="MS Mincho"/>
              </w:rPr>
              <w:t xml:space="preserve">COURT USE ONLY </w:t>
            </w:r>
            <w:r w:rsidRPr="00E7659A">
              <w:rPr>
                <w:rFonts w:eastAsia="MS Mincho"/>
                <w:lang w:eastAsia="ja-JP"/>
              </w:rPr>
              <w:t>▲</w:t>
            </w:r>
          </w:p>
        </w:tc>
      </w:tr>
      <w:tr w:rsidR="00EE2C3B" w:rsidRPr="00AB3A0F" w14:paraId="2E371013" w14:textId="77777777" w:rsidTr="00EB5A6C">
        <w:trPr>
          <w:trHeight w:val="3036"/>
        </w:trPr>
        <w:tc>
          <w:tcPr>
            <w:tcW w:w="549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EBC0BCB" w14:textId="77777777" w:rsidR="005F5FE5" w:rsidRDefault="005F5FE5" w:rsidP="004161E3">
            <w:pPr>
              <w:rPr>
                <w:rFonts w:eastAsia="MS Mincho"/>
              </w:rPr>
            </w:pPr>
          </w:p>
          <w:p w14:paraId="2F1D2065" w14:textId="77777777" w:rsidR="0026080B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IN RE:</w:t>
            </w:r>
          </w:p>
          <w:p w14:paraId="0B709EA2" w14:textId="77777777" w:rsidR="0026080B" w:rsidRDefault="0026080B" w:rsidP="004161E3">
            <w:pPr>
              <w:rPr>
                <w:rFonts w:eastAsia="MS Mincho"/>
              </w:rPr>
            </w:pPr>
          </w:p>
          <w:p w14:paraId="7A825B74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COMPLAINANT</w:t>
            </w:r>
            <w:r w:rsidR="004161E3" w:rsidRPr="00E7659A">
              <w:rPr>
                <w:rFonts w:eastAsia="MS Mincho"/>
              </w:rPr>
              <w:t>,</w:t>
            </w:r>
          </w:p>
          <w:p w14:paraId="75FB7097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Colorado Commission on Judicial Discipline</w:t>
            </w:r>
            <w:r w:rsidR="004161E3" w:rsidRPr="00E7659A">
              <w:rPr>
                <w:rFonts w:eastAsia="MS Mincho"/>
              </w:rPr>
              <w:t>,</w:t>
            </w:r>
          </w:p>
          <w:p w14:paraId="4A1B5002" w14:textId="77777777" w:rsidR="004161E3" w:rsidRPr="00E7659A" w:rsidRDefault="004161E3" w:rsidP="004161E3">
            <w:pPr>
              <w:rPr>
                <w:rFonts w:eastAsia="MS Mincho"/>
              </w:rPr>
            </w:pPr>
          </w:p>
          <w:p w14:paraId="14D94002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and</w:t>
            </w:r>
          </w:p>
          <w:p w14:paraId="6D795A0D" w14:textId="77777777" w:rsidR="004161E3" w:rsidRPr="00E7659A" w:rsidRDefault="004161E3" w:rsidP="004161E3">
            <w:pPr>
              <w:rPr>
                <w:rFonts w:eastAsia="MS Mincho"/>
              </w:rPr>
            </w:pPr>
          </w:p>
          <w:p w14:paraId="63808FF1" w14:textId="77777777" w:rsidR="004161E3" w:rsidRPr="00E7659A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RESPONDENT</w:t>
            </w:r>
            <w:r w:rsidR="004143B9">
              <w:rPr>
                <w:rFonts w:eastAsia="MS Mincho"/>
              </w:rPr>
              <w:t>,</w:t>
            </w:r>
          </w:p>
          <w:p w14:paraId="561F0E0E" w14:textId="77777777" w:rsidR="00EE2C3B" w:rsidRDefault="0026080B" w:rsidP="004161E3">
            <w:pPr>
              <w:rPr>
                <w:rFonts w:eastAsia="MS Mincho"/>
              </w:rPr>
            </w:pPr>
            <w:r>
              <w:rPr>
                <w:rFonts w:eastAsia="MS Mincho"/>
              </w:rPr>
              <w:t>Sean K. Murphy</w:t>
            </w:r>
            <w:r w:rsidR="004161E3" w:rsidRPr="00E7659A">
              <w:rPr>
                <w:rFonts w:eastAsia="MS Mincho"/>
              </w:rPr>
              <w:t>.</w:t>
            </w:r>
          </w:p>
          <w:p w14:paraId="006B1272" w14:textId="77777777" w:rsidR="005F5FE5" w:rsidRPr="00E7659A" w:rsidRDefault="005F5FE5" w:rsidP="004161E3">
            <w:pPr>
              <w:rPr>
                <w:rFonts w:eastAsia="MS Mincho"/>
              </w:rPr>
            </w:pPr>
          </w:p>
        </w:tc>
        <w:tc>
          <w:tcPr>
            <w:tcW w:w="3772" w:type="dxa"/>
            <w:vMerge/>
          </w:tcPr>
          <w:p w14:paraId="26AF4D59" w14:textId="77777777" w:rsidR="00EE2C3B" w:rsidRPr="00E7659A" w:rsidRDefault="00EE2C3B" w:rsidP="00D46112">
            <w:pPr>
              <w:rPr>
                <w:rFonts w:eastAsia="MS Mincho"/>
              </w:rPr>
            </w:pPr>
          </w:p>
        </w:tc>
      </w:tr>
      <w:tr w:rsidR="00EE2C3B" w:rsidRPr="00AB3A0F" w14:paraId="5F9D604A" w14:textId="77777777" w:rsidTr="00141FE8">
        <w:trPr>
          <w:trHeight w:val="876"/>
        </w:trPr>
        <w:tc>
          <w:tcPr>
            <w:tcW w:w="5498" w:type="dxa"/>
            <w:tcMar>
              <w:top w:w="86" w:type="dxa"/>
              <w:left w:w="115" w:type="dxa"/>
              <w:bottom w:w="86" w:type="dxa"/>
              <w:right w:w="115" w:type="dxa"/>
            </w:tcMar>
          </w:tcPr>
          <w:p w14:paraId="1170657C" w14:textId="77777777" w:rsidR="00EE2C3B" w:rsidRPr="00E7659A" w:rsidRDefault="00EE2C3B" w:rsidP="00D46112">
            <w:pPr>
              <w:rPr>
                <w:rFonts w:eastAsia="MS Mincho"/>
              </w:rPr>
            </w:pPr>
          </w:p>
        </w:tc>
        <w:tc>
          <w:tcPr>
            <w:tcW w:w="3772" w:type="dxa"/>
            <w:tcMar>
              <w:top w:w="58" w:type="dxa"/>
              <w:left w:w="115" w:type="dxa"/>
              <w:bottom w:w="58" w:type="dxa"/>
              <w:right w:w="115" w:type="dxa"/>
            </w:tcMar>
          </w:tcPr>
          <w:p w14:paraId="1FF20733" w14:textId="77777777" w:rsidR="005F5FE5" w:rsidRDefault="005F5FE5" w:rsidP="00D46112">
            <w:pPr>
              <w:rPr>
                <w:rFonts w:eastAsia="MS Mincho"/>
              </w:rPr>
            </w:pPr>
          </w:p>
          <w:p w14:paraId="230AF3C0" w14:textId="77777777" w:rsidR="00EE2C3B" w:rsidRPr="00E7659A" w:rsidRDefault="00EE2C3B" w:rsidP="00D46112">
            <w:pPr>
              <w:rPr>
                <w:rFonts w:eastAsia="MS Mincho"/>
              </w:rPr>
            </w:pPr>
            <w:r w:rsidRPr="00E7659A">
              <w:rPr>
                <w:rFonts w:eastAsia="MS Mincho"/>
              </w:rPr>
              <w:t>Case No.:  2</w:t>
            </w:r>
            <w:r w:rsidR="0026080B">
              <w:rPr>
                <w:rFonts w:eastAsia="MS Mincho"/>
              </w:rPr>
              <w:t>5-185</w:t>
            </w:r>
          </w:p>
          <w:p w14:paraId="7635E221" w14:textId="77777777" w:rsidR="00EE2C3B" w:rsidRPr="00E7659A" w:rsidRDefault="00EE2C3B" w:rsidP="00D46112">
            <w:pPr>
              <w:rPr>
                <w:rFonts w:eastAsia="MS Mincho"/>
              </w:rPr>
            </w:pPr>
          </w:p>
          <w:p w14:paraId="0C30F83A" w14:textId="77777777" w:rsidR="00EE2C3B" w:rsidRDefault="0026080B" w:rsidP="00FF2F2B">
            <w:pPr>
              <w:rPr>
                <w:rFonts w:eastAsia="MS Mincho"/>
              </w:rPr>
            </w:pPr>
            <w:r>
              <w:rPr>
                <w:rFonts w:eastAsia="MS Mincho"/>
              </w:rPr>
              <w:t>(Supreme Court Case No. 2025SA317)</w:t>
            </w:r>
          </w:p>
          <w:p w14:paraId="4DAF780D" w14:textId="77777777" w:rsidR="005F5FE5" w:rsidRPr="00E7659A" w:rsidRDefault="005F5FE5" w:rsidP="00FF2F2B">
            <w:pPr>
              <w:rPr>
                <w:rFonts w:eastAsia="MS Mincho"/>
              </w:rPr>
            </w:pPr>
          </w:p>
        </w:tc>
      </w:tr>
      <w:tr w:rsidR="00EE2C3B" w:rsidRPr="00AB3A0F" w14:paraId="6379643A" w14:textId="77777777" w:rsidTr="00141FE8">
        <w:trPr>
          <w:trHeight w:val="576"/>
        </w:trPr>
        <w:tc>
          <w:tcPr>
            <w:tcW w:w="9270" w:type="dxa"/>
            <w:gridSpan w:val="2"/>
            <w:vAlign w:val="center"/>
          </w:tcPr>
          <w:p w14:paraId="3383E15B" w14:textId="77777777" w:rsidR="00AD3380" w:rsidRDefault="00AD3380" w:rsidP="004143B9">
            <w:pPr>
              <w:jc w:val="center"/>
              <w:rPr>
                <w:rFonts w:eastAsia="MS Mincho"/>
                <w:b/>
              </w:rPr>
            </w:pPr>
          </w:p>
          <w:p w14:paraId="37F8AE2A" w14:textId="15652E0F" w:rsidR="00414651" w:rsidRDefault="00FD5BDA" w:rsidP="004143B9">
            <w:pPr>
              <w:jc w:val="center"/>
              <w:rPr>
                <w:b/>
                <w:caps/>
              </w:rPr>
            </w:pPr>
            <w:r>
              <w:rPr>
                <w:rFonts w:eastAsia="MS Mincho"/>
                <w:b/>
              </w:rPr>
              <w:t xml:space="preserve">ORDER GRANTING </w:t>
            </w:r>
            <w:r w:rsidR="00414651">
              <w:rPr>
                <w:b/>
                <w:caps/>
              </w:rPr>
              <w:t xml:space="preserve">joint request to remand </w:t>
            </w:r>
          </w:p>
          <w:p w14:paraId="65693E2B" w14:textId="7217A02C" w:rsidR="004143B9" w:rsidRDefault="00414651" w:rsidP="004143B9">
            <w:pPr>
              <w:jc w:val="center"/>
              <w:rPr>
                <w:rFonts w:eastAsia="MS Mincho"/>
                <w:b/>
              </w:rPr>
            </w:pPr>
            <w:r>
              <w:rPr>
                <w:b/>
                <w:caps/>
              </w:rPr>
              <w:t xml:space="preserve">this matter to the </w:t>
            </w:r>
            <w:r w:rsidR="00EB0119">
              <w:rPr>
                <w:b/>
                <w:caps/>
              </w:rPr>
              <w:t>COMMISSION</w:t>
            </w:r>
            <w:r>
              <w:rPr>
                <w:b/>
                <w:caps/>
              </w:rPr>
              <w:t xml:space="preserve"> pursuant to COLO. </w:t>
            </w:r>
            <w:proofErr w:type="spellStart"/>
            <w:r>
              <w:rPr>
                <w:b/>
                <w:caps/>
              </w:rPr>
              <w:t>RJD</w:t>
            </w:r>
            <w:proofErr w:type="spellEnd"/>
            <w:r>
              <w:rPr>
                <w:b/>
                <w:caps/>
              </w:rPr>
              <w:t xml:space="preserve"> 3</w:t>
            </w:r>
            <w:r w:rsidR="008E5FC6">
              <w:rPr>
                <w:b/>
                <w:caps/>
              </w:rPr>
              <w:t>6</w:t>
            </w:r>
          </w:p>
          <w:p w14:paraId="1182D6DC" w14:textId="77777777" w:rsidR="00AD3380" w:rsidRPr="00E7659A" w:rsidRDefault="00AD3380" w:rsidP="004143B9">
            <w:pPr>
              <w:jc w:val="center"/>
              <w:rPr>
                <w:rFonts w:eastAsia="MS Mincho"/>
                <w:b/>
              </w:rPr>
            </w:pPr>
          </w:p>
        </w:tc>
      </w:tr>
    </w:tbl>
    <w:p w14:paraId="4306E8A6" w14:textId="77777777" w:rsidR="00EE2C3B" w:rsidRDefault="00EE2C3B" w:rsidP="00D46112">
      <w:pPr>
        <w:ind w:firstLine="720"/>
        <w:jc w:val="both"/>
      </w:pPr>
    </w:p>
    <w:p w14:paraId="58DA9756" w14:textId="77777777" w:rsidR="00556F22" w:rsidRDefault="00831D61" w:rsidP="00EB0119">
      <w:pPr>
        <w:ind w:left="180" w:firstLine="720"/>
        <w:rPr>
          <w:rFonts w:eastAsia="Aptos"/>
        </w:rPr>
      </w:pPr>
      <w:r>
        <w:rPr>
          <w:rFonts w:eastAsia="Aptos"/>
        </w:rPr>
        <w:t xml:space="preserve">The parties’ </w:t>
      </w:r>
      <w:r w:rsidRPr="00831D61">
        <w:rPr>
          <w:rFonts w:eastAsia="Aptos"/>
        </w:rPr>
        <w:t xml:space="preserve">Joint </w:t>
      </w:r>
      <w:r w:rsidR="00414651">
        <w:rPr>
          <w:rFonts w:eastAsia="Aptos"/>
        </w:rPr>
        <w:t xml:space="preserve">Request to Remand this Matter to the Commission Pursuant to Colo. </w:t>
      </w:r>
      <w:r w:rsidR="00F96662">
        <w:rPr>
          <w:rFonts w:eastAsia="Aptos"/>
        </w:rPr>
        <w:t xml:space="preserve">Interim </w:t>
      </w:r>
      <w:r w:rsidR="00414651">
        <w:rPr>
          <w:rFonts w:eastAsia="Aptos"/>
        </w:rPr>
        <w:t>R</w:t>
      </w:r>
      <w:r w:rsidR="008E5FC6">
        <w:rPr>
          <w:rFonts w:eastAsia="Aptos"/>
        </w:rPr>
        <w:t>ule of Judicial Discipline (“</w:t>
      </w:r>
      <w:proofErr w:type="spellStart"/>
      <w:r w:rsidR="008E5FC6">
        <w:rPr>
          <w:rFonts w:eastAsia="Aptos"/>
        </w:rPr>
        <w:t>R</w:t>
      </w:r>
      <w:r w:rsidR="00414651">
        <w:rPr>
          <w:rFonts w:eastAsia="Aptos"/>
        </w:rPr>
        <w:t>JD</w:t>
      </w:r>
      <w:proofErr w:type="spellEnd"/>
      <w:r w:rsidR="008E5FC6">
        <w:rPr>
          <w:rFonts w:eastAsia="Aptos"/>
        </w:rPr>
        <w:t>”)</w:t>
      </w:r>
      <w:r w:rsidR="00414651">
        <w:rPr>
          <w:rFonts w:eastAsia="Aptos"/>
        </w:rPr>
        <w:t xml:space="preserve"> 3</w:t>
      </w:r>
      <w:r w:rsidR="008E5FC6">
        <w:rPr>
          <w:rFonts w:eastAsia="Aptos"/>
        </w:rPr>
        <w:t>6</w:t>
      </w:r>
      <w:r>
        <w:rPr>
          <w:rFonts w:eastAsia="Aptos"/>
        </w:rPr>
        <w:t xml:space="preserve"> </w:t>
      </w:r>
      <w:r w:rsidR="00FD5BDA">
        <w:rPr>
          <w:rFonts w:eastAsia="Aptos"/>
        </w:rPr>
        <w:t>is before the Panel.</w:t>
      </w:r>
      <w:r w:rsidR="00BA2794">
        <w:rPr>
          <w:rStyle w:val="FootnoteReference"/>
          <w:rFonts w:eastAsia="Aptos"/>
        </w:rPr>
        <w:footnoteReference w:id="1"/>
      </w:r>
      <w:r w:rsidR="00FD5BDA">
        <w:rPr>
          <w:rFonts w:eastAsia="Aptos"/>
        </w:rPr>
        <w:t xml:space="preserve"> </w:t>
      </w:r>
      <w:r w:rsidR="00EB0119">
        <w:rPr>
          <w:rFonts w:eastAsia="Aptos"/>
        </w:rPr>
        <w:t xml:space="preserve"> </w:t>
      </w:r>
    </w:p>
    <w:p w14:paraId="138D6F90" w14:textId="77777777" w:rsidR="00556F22" w:rsidRDefault="00556F22" w:rsidP="00EB0119">
      <w:pPr>
        <w:ind w:left="180" w:firstLine="720"/>
        <w:rPr>
          <w:rFonts w:eastAsia="Aptos"/>
        </w:rPr>
      </w:pPr>
    </w:p>
    <w:p w14:paraId="70255D61" w14:textId="77777777" w:rsidR="002001D7" w:rsidRDefault="00FD5BDA" w:rsidP="00EB0119">
      <w:pPr>
        <w:ind w:left="180" w:firstLine="720"/>
        <w:rPr>
          <w:rFonts w:eastAsia="Aptos"/>
        </w:rPr>
      </w:pPr>
      <w:r>
        <w:rPr>
          <w:rFonts w:eastAsia="Aptos"/>
        </w:rPr>
        <w:t xml:space="preserve">The Motion is </w:t>
      </w:r>
      <w:r w:rsidRPr="008D18B8">
        <w:rPr>
          <w:rFonts w:eastAsia="Aptos"/>
          <w:b/>
          <w:bCs/>
        </w:rPr>
        <w:t>GRANTED</w:t>
      </w:r>
      <w:r>
        <w:rPr>
          <w:rFonts w:eastAsia="Aptos"/>
        </w:rPr>
        <w:t xml:space="preserve">. </w:t>
      </w:r>
      <w:r w:rsidR="00EB0119">
        <w:rPr>
          <w:rFonts w:eastAsia="Aptos"/>
        </w:rPr>
        <w:t xml:space="preserve"> </w:t>
      </w:r>
      <w:r>
        <w:rPr>
          <w:rFonts w:eastAsia="Aptos"/>
        </w:rPr>
        <w:t>Th</w:t>
      </w:r>
      <w:r w:rsidR="005A3756">
        <w:rPr>
          <w:rFonts w:eastAsia="Aptos"/>
        </w:rPr>
        <w:t xml:space="preserve">e above captioned </w:t>
      </w:r>
      <w:r w:rsidR="00E459E3">
        <w:rPr>
          <w:rFonts w:eastAsia="Aptos"/>
        </w:rPr>
        <w:t xml:space="preserve">matter is hereby </w:t>
      </w:r>
      <w:r w:rsidR="008D18B8" w:rsidRPr="008D18B8">
        <w:rPr>
          <w:rFonts w:eastAsia="Aptos"/>
          <w:b/>
          <w:bCs/>
        </w:rPr>
        <w:t>REMANDED</w:t>
      </w:r>
      <w:r w:rsidR="00E459E3">
        <w:rPr>
          <w:rFonts w:eastAsia="Aptos"/>
        </w:rPr>
        <w:t xml:space="preserve"> to</w:t>
      </w:r>
      <w:r w:rsidR="009815C7">
        <w:rPr>
          <w:rFonts w:eastAsia="Aptos"/>
        </w:rPr>
        <w:t xml:space="preserve"> the </w:t>
      </w:r>
      <w:r w:rsidR="009815C7" w:rsidRPr="009815C7">
        <w:rPr>
          <w:rFonts w:eastAsia="Aptos"/>
        </w:rPr>
        <w:t>Colorado Commission on Judicial Discipline</w:t>
      </w:r>
      <w:r w:rsidR="00440D99">
        <w:rPr>
          <w:rFonts w:eastAsia="Aptos"/>
        </w:rPr>
        <w:t xml:space="preserve"> (“Commission”) </w:t>
      </w:r>
      <w:r w:rsidR="00440D99" w:rsidRPr="00440D99">
        <w:rPr>
          <w:rFonts w:eastAsia="Aptos"/>
        </w:rPr>
        <w:t>for reconsideration</w:t>
      </w:r>
      <w:r>
        <w:rPr>
          <w:rFonts w:eastAsia="Aptos"/>
        </w:rPr>
        <w:t xml:space="preserve">. </w:t>
      </w:r>
      <w:r w:rsidR="00EB0119">
        <w:rPr>
          <w:rFonts w:eastAsia="Aptos"/>
        </w:rPr>
        <w:t xml:space="preserve"> </w:t>
      </w:r>
      <w:r>
        <w:rPr>
          <w:rFonts w:eastAsia="Aptos"/>
        </w:rPr>
        <w:t xml:space="preserve">The </w:t>
      </w:r>
    </w:p>
    <w:p w14:paraId="0D37B00C" w14:textId="77777777" w:rsidR="002001D7" w:rsidRDefault="002001D7">
      <w:pPr>
        <w:rPr>
          <w:rFonts w:eastAsia="Aptos"/>
        </w:rPr>
      </w:pPr>
      <w:r>
        <w:rPr>
          <w:rFonts w:eastAsia="Aptos"/>
        </w:rPr>
        <w:br w:type="page"/>
      </w:r>
    </w:p>
    <w:p w14:paraId="7B181180" w14:textId="647C3CDC" w:rsidR="00AD3380" w:rsidRDefault="00FD5BDA" w:rsidP="002001D7">
      <w:pPr>
        <w:ind w:left="187"/>
      </w:pPr>
      <w:r>
        <w:rPr>
          <w:rFonts w:eastAsia="Aptos"/>
        </w:rPr>
        <w:lastRenderedPageBreak/>
        <w:t xml:space="preserve">undersigned is authorized to sign on behalf of the Panel.  </w:t>
      </w:r>
    </w:p>
    <w:p w14:paraId="65645C99" w14:textId="77777777" w:rsidR="00E5628F" w:rsidRDefault="00E5628F" w:rsidP="002B0F47">
      <w:pPr>
        <w:ind w:firstLine="720"/>
      </w:pPr>
    </w:p>
    <w:p w14:paraId="4034B070" w14:textId="77777777" w:rsidR="00F61F92" w:rsidRDefault="00F61F92" w:rsidP="002B0F47">
      <w:pPr>
        <w:ind w:firstLine="720"/>
      </w:pPr>
    </w:p>
    <w:p w14:paraId="56415896" w14:textId="3377456B" w:rsidR="00FD5BDA" w:rsidRPr="00662387" w:rsidRDefault="00FD5BDA" w:rsidP="00FD5BDA">
      <w:pPr>
        <w:ind w:firstLine="720"/>
      </w:pPr>
      <w:r w:rsidRPr="00662387">
        <w:t xml:space="preserve">ENTERED this </w:t>
      </w:r>
      <w:r w:rsidR="00556F22">
        <w:t>5th day of January, 2026</w:t>
      </w:r>
      <w:r w:rsidRPr="00662387">
        <w:t>.</w:t>
      </w:r>
    </w:p>
    <w:p w14:paraId="23F047C3" w14:textId="77777777" w:rsidR="00FD5BDA" w:rsidRDefault="00FD5BDA" w:rsidP="00FD5BDA">
      <w:pPr>
        <w:jc w:val="both"/>
      </w:pPr>
    </w:p>
    <w:p w14:paraId="6BFD373D" w14:textId="77777777" w:rsidR="009815C7" w:rsidRDefault="009815C7" w:rsidP="00FD5BDA">
      <w:pPr>
        <w:jc w:val="both"/>
      </w:pPr>
    </w:p>
    <w:p w14:paraId="53FDD270" w14:textId="77777777" w:rsidR="00FD5BDA" w:rsidRPr="00662387" w:rsidRDefault="00FD5BDA" w:rsidP="00FD5BDA">
      <w:pPr>
        <w:ind w:left="5400"/>
        <w:jc w:val="both"/>
      </w:pPr>
      <w:r>
        <w:t>FOR THE PANEL</w:t>
      </w:r>
      <w:r w:rsidRPr="00662387">
        <w:t>:</w:t>
      </w:r>
    </w:p>
    <w:p w14:paraId="4B7F0148" w14:textId="77777777" w:rsidR="00FD5BDA" w:rsidRDefault="00FD5BDA" w:rsidP="00FD5BDA">
      <w:pPr>
        <w:jc w:val="both"/>
      </w:pPr>
    </w:p>
    <w:p w14:paraId="626104E4" w14:textId="4F1ECC18" w:rsidR="00FD5BDA" w:rsidRPr="00662387" w:rsidRDefault="002001D7" w:rsidP="00FD5BDA">
      <w:pPr>
        <w:ind w:left="5040"/>
        <w:jc w:val="both"/>
      </w:pPr>
      <w:r w:rsidRPr="007B179C">
        <w:rPr>
          <w:noProof/>
        </w:rPr>
        <w:drawing>
          <wp:inline distT="0" distB="0" distL="0" distR="0" wp14:anchorId="227BCFE6" wp14:editId="6F79F39D">
            <wp:extent cx="1746885" cy="657860"/>
            <wp:effectExtent l="0" t="0" r="5715" b="8890"/>
            <wp:docPr id="186765195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61F92">
        <w:t>__________________________</w:t>
      </w:r>
      <w:r w:rsidR="00831D61">
        <w:tab/>
      </w:r>
    </w:p>
    <w:p w14:paraId="3F058196" w14:textId="77777777" w:rsidR="00FD5BDA" w:rsidRDefault="00FD5BDA" w:rsidP="00831D61">
      <w:pPr>
        <w:ind w:left="4680" w:firstLine="720"/>
      </w:pPr>
      <w:r>
        <w:t>J. Eric Elliff</w:t>
      </w:r>
    </w:p>
    <w:p w14:paraId="51491A67" w14:textId="77777777" w:rsidR="00FD5BDA" w:rsidRDefault="00FD5BDA" w:rsidP="00831D61">
      <w:pPr>
        <w:ind w:left="4680" w:firstLine="720"/>
      </w:pPr>
      <w:r w:rsidRPr="00662387">
        <w:t>District Court J</w:t>
      </w:r>
      <w:r>
        <w:t>udge</w:t>
      </w:r>
    </w:p>
    <w:p w14:paraId="7C86C31F" w14:textId="77777777" w:rsidR="00700BEE" w:rsidRDefault="00700BEE">
      <w:pPr>
        <w:ind w:left="3600"/>
        <w:jc w:val="center"/>
      </w:pPr>
    </w:p>
    <w:sectPr w:rsidR="00700BEE" w:rsidSect="00EE2C3B">
      <w:footerReference w:type="even" r:id="rId8"/>
      <w:footerReference w:type="default" r:id="rId9"/>
      <w:pgSz w:w="12240" w:h="15840"/>
      <w:pgMar w:top="21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C42C35" w14:textId="77777777" w:rsidR="003C105A" w:rsidRDefault="003C105A">
      <w:r>
        <w:separator/>
      </w:r>
    </w:p>
  </w:endnote>
  <w:endnote w:type="continuationSeparator" w:id="0">
    <w:p w14:paraId="5065B65E" w14:textId="77777777" w:rsidR="003C105A" w:rsidRDefault="003C1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610AE" w14:textId="77777777" w:rsidR="00EE2C3B" w:rsidRDefault="00EE2C3B" w:rsidP="00EE2C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27AAFB7" w14:textId="77777777" w:rsidR="00EE2C3B" w:rsidRDefault="00EE2C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F48B" w14:textId="77777777" w:rsidR="00EE2C3B" w:rsidRDefault="00EE2C3B" w:rsidP="00EE2C3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A1FDA">
      <w:rPr>
        <w:rStyle w:val="PageNumber"/>
        <w:noProof/>
      </w:rPr>
      <w:t>2</w:t>
    </w:r>
    <w:r>
      <w:rPr>
        <w:rStyle w:val="PageNumber"/>
      </w:rPr>
      <w:fldChar w:fldCharType="end"/>
    </w:r>
  </w:p>
  <w:p w14:paraId="28EC50D7" w14:textId="77777777" w:rsidR="00EE2C3B" w:rsidRDefault="00EE2C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E31E9" w14:textId="77777777" w:rsidR="003C105A" w:rsidRDefault="003C105A">
      <w:r>
        <w:separator/>
      </w:r>
    </w:p>
  </w:footnote>
  <w:footnote w:type="continuationSeparator" w:id="0">
    <w:p w14:paraId="25E368FE" w14:textId="77777777" w:rsidR="003C105A" w:rsidRDefault="003C105A">
      <w:r>
        <w:continuationSeparator/>
      </w:r>
    </w:p>
  </w:footnote>
  <w:footnote w:id="1">
    <w:p w14:paraId="0A54E2B0" w14:textId="5CFB4570" w:rsidR="00BA2794" w:rsidRDefault="00BA2794">
      <w:pPr>
        <w:pStyle w:val="FootnoteText"/>
      </w:pPr>
      <w:r>
        <w:rPr>
          <w:rStyle w:val="FootnoteReference"/>
        </w:rPr>
        <w:footnoteRef/>
      </w:r>
      <w:r>
        <w:t xml:space="preserve"> The Motion’s caption actually refers to </w:t>
      </w:r>
      <w:r w:rsidR="00556F22">
        <w:t>“</w:t>
      </w:r>
      <w:proofErr w:type="spellStart"/>
      <w:r>
        <w:t>RJD</w:t>
      </w:r>
      <w:proofErr w:type="spellEnd"/>
      <w:r>
        <w:t xml:space="preserve"> 3(D).</w:t>
      </w:r>
      <w:r w:rsidR="00556F22">
        <w:t>”</w:t>
      </w:r>
      <w:r>
        <w:t xml:space="preserve">  This rule does not appear to be applicable, and the Panel assumes that it is a typographical error.  Interim </w:t>
      </w:r>
      <w:proofErr w:type="spellStart"/>
      <w:r>
        <w:t>RJD</w:t>
      </w:r>
      <w:proofErr w:type="spellEnd"/>
      <w:r>
        <w:t xml:space="preserve"> 36(d) </w:t>
      </w:r>
      <w:r w:rsidR="007572C4">
        <w:t xml:space="preserve">provides for a remand to the Commission in the event </w:t>
      </w:r>
      <w:r w:rsidR="00A16C30">
        <w:t>that the Panel determines after a “formal proceeding”</w:t>
      </w:r>
      <w:r w:rsidR="00622DF3">
        <w:t xml:space="preserve"> that a disability proceeding is called for.  Here, there was no “formal proceeding,” but given the parties’ stipulation, the Panel has determined that remand is the </w:t>
      </w:r>
      <w:r w:rsidR="00556F22">
        <w:t xml:space="preserve">correct course of action. 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85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3B"/>
    <w:rsid w:val="00016960"/>
    <w:rsid w:val="00037D81"/>
    <w:rsid w:val="0006039C"/>
    <w:rsid w:val="00080D79"/>
    <w:rsid w:val="000A1A10"/>
    <w:rsid w:val="000A734B"/>
    <w:rsid w:val="000D1F36"/>
    <w:rsid w:val="00124E28"/>
    <w:rsid w:val="00131EE9"/>
    <w:rsid w:val="001320E5"/>
    <w:rsid w:val="00141F13"/>
    <w:rsid w:val="00141FE8"/>
    <w:rsid w:val="001567E0"/>
    <w:rsid w:val="00184A59"/>
    <w:rsid w:val="0018558A"/>
    <w:rsid w:val="001A2C7B"/>
    <w:rsid w:val="001D38A3"/>
    <w:rsid w:val="001E5913"/>
    <w:rsid w:val="001F4FB9"/>
    <w:rsid w:val="001F741D"/>
    <w:rsid w:val="002001D7"/>
    <w:rsid w:val="0021570B"/>
    <w:rsid w:val="002242F2"/>
    <w:rsid w:val="0026080B"/>
    <w:rsid w:val="00263E52"/>
    <w:rsid w:val="00265257"/>
    <w:rsid w:val="00275614"/>
    <w:rsid w:val="00284E15"/>
    <w:rsid w:val="00286405"/>
    <w:rsid w:val="002B0868"/>
    <w:rsid w:val="002B0F47"/>
    <w:rsid w:val="002C5B53"/>
    <w:rsid w:val="002D3D57"/>
    <w:rsid w:val="002E049C"/>
    <w:rsid w:val="002F23DE"/>
    <w:rsid w:val="003124CB"/>
    <w:rsid w:val="00321B37"/>
    <w:rsid w:val="0034576F"/>
    <w:rsid w:val="00351E62"/>
    <w:rsid w:val="00354CDD"/>
    <w:rsid w:val="00356B45"/>
    <w:rsid w:val="003B0C26"/>
    <w:rsid w:val="003B59E2"/>
    <w:rsid w:val="003B79F6"/>
    <w:rsid w:val="003C105A"/>
    <w:rsid w:val="003C5EDB"/>
    <w:rsid w:val="003D3F9A"/>
    <w:rsid w:val="003F2DF9"/>
    <w:rsid w:val="004143B9"/>
    <w:rsid w:val="00414651"/>
    <w:rsid w:val="00415949"/>
    <w:rsid w:val="004161E3"/>
    <w:rsid w:val="00437884"/>
    <w:rsid w:val="00440D99"/>
    <w:rsid w:val="00442C78"/>
    <w:rsid w:val="0044506A"/>
    <w:rsid w:val="0045763D"/>
    <w:rsid w:val="00474117"/>
    <w:rsid w:val="004A1CB8"/>
    <w:rsid w:val="004C17C6"/>
    <w:rsid w:val="004E3A35"/>
    <w:rsid w:val="0053690E"/>
    <w:rsid w:val="005414E7"/>
    <w:rsid w:val="00544489"/>
    <w:rsid w:val="00551143"/>
    <w:rsid w:val="00552EE0"/>
    <w:rsid w:val="0055530B"/>
    <w:rsid w:val="00556F22"/>
    <w:rsid w:val="005644A7"/>
    <w:rsid w:val="005A3756"/>
    <w:rsid w:val="005A3C1A"/>
    <w:rsid w:val="005B3D64"/>
    <w:rsid w:val="005C2395"/>
    <w:rsid w:val="005E7B21"/>
    <w:rsid w:val="005F5E02"/>
    <w:rsid w:val="005F5FE5"/>
    <w:rsid w:val="0061511D"/>
    <w:rsid w:val="00616154"/>
    <w:rsid w:val="00622DF3"/>
    <w:rsid w:val="00641F00"/>
    <w:rsid w:val="00654B0C"/>
    <w:rsid w:val="00656DD8"/>
    <w:rsid w:val="006C22F6"/>
    <w:rsid w:val="006D2F81"/>
    <w:rsid w:val="006E7B01"/>
    <w:rsid w:val="00700BEE"/>
    <w:rsid w:val="00710E7D"/>
    <w:rsid w:val="00712CA3"/>
    <w:rsid w:val="007164F1"/>
    <w:rsid w:val="00727B1C"/>
    <w:rsid w:val="00743E03"/>
    <w:rsid w:val="00746FB2"/>
    <w:rsid w:val="007503F0"/>
    <w:rsid w:val="007572C4"/>
    <w:rsid w:val="0079666A"/>
    <w:rsid w:val="00797CBF"/>
    <w:rsid w:val="007A2C4F"/>
    <w:rsid w:val="007A3EE9"/>
    <w:rsid w:val="007F1685"/>
    <w:rsid w:val="0080792E"/>
    <w:rsid w:val="008229B8"/>
    <w:rsid w:val="00831152"/>
    <w:rsid w:val="00831D61"/>
    <w:rsid w:val="00833B8F"/>
    <w:rsid w:val="008664E9"/>
    <w:rsid w:val="008A5648"/>
    <w:rsid w:val="008D18B8"/>
    <w:rsid w:val="008E5FC6"/>
    <w:rsid w:val="00911214"/>
    <w:rsid w:val="00934174"/>
    <w:rsid w:val="00973AB0"/>
    <w:rsid w:val="009815C7"/>
    <w:rsid w:val="00986724"/>
    <w:rsid w:val="009E15E7"/>
    <w:rsid w:val="00A16C30"/>
    <w:rsid w:val="00A2796F"/>
    <w:rsid w:val="00A44533"/>
    <w:rsid w:val="00A86A24"/>
    <w:rsid w:val="00A87FDD"/>
    <w:rsid w:val="00AB1403"/>
    <w:rsid w:val="00AC2205"/>
    <w:rsid w:val="00AD3380"/>
    <w:rsid w:val="00AE4DD4"/>
    <w:rsid w:val="00AE7F95"/>
    <w:rsid w:val="00AF30A6"/>
    <w:rsid w:val="00B064C9"/>
    <w:rsid w:val="00B72B1F"/>
    <w:rsid w:val="00BA2794"/>
    <w:rsid w:val="00BA636D"/>
    <w:rsid w:val="00BB3945"/>
    <w:rsid w:val="00BE227D"/>
    <w:rsid w:val="00C02014"/>
    <w:rsid w:val="00C21D6A"/>
    <w:rsid w:val="00C27C8D"/>
    <w:rsid w:val="00C458B2"/>
    <w:rsid w:val="00C67201"/>
    <w:rsid w:val="00C73DCF"/>
    <w:rsid w:val="00C96F2D"/>
    <w:rsid w:val="00CD2BD7"/>
    <w:rsid w:val="00CE4568"/>
    <w:rsid w:val="00D02C51"/>
    <w:rsid w:val="00D07FF8"/>
    <w:rsid w:val="00D32F0E"/>
    <w:rsid w:val="00D46112"/>
    <w:rsid w:val="00D56F31"/>
    <w:rsid w:val="00DB66B6"/>
    <w:rsid w:val="00DF59AC"/>
    <w:rsid w:val="00E32EC9"/>
    <w:rsid w:val="00E459E3"/>
    <w:rsid w:val="00E45D96"/>
    <w:rsid w:val="00E5628F"/>
    <w:rsid w:val="00E62ED2"/>
    <w:rsid w:val="00E709BC"/>
    <w:rsid w:val="00E7659A"/>
    <w:rsid w:val="00E87707"/>
    <w:rsid w:val="00EA0825"/>
    <w:rsid w:val="00EB0119"/>
    <w:rsid w:val="00EB5A6C"/>
    <w:rsid w:val="00EC1E26"/>
    <w:rsid w:val="00EC36ED"/>
    <w:rsid w:val="00EE2C3B"/>
    <w:rsid w:val="00F349F0"/>
    <w:rsid w:val="00F60968"/>
    <w:rsid w:val="00F61F92"/>
    <w:rsid w:val="00F77C5D"/>
    <w:rsid w:val="00F92095"/>
    <w:rsid w:val="00F96662"/>
    <w:rsid w:val="00FA1FDA"/>
    <w:rsid w:val="00FA72A8"/>
    <w:rsid w:val="00FB07E6"/>
    <w:rsid w:val="00FD5BDA"/>
    <w:rsid w:val="00FF2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934D88"/>
  <w15:chartTrackingRefBased/>
  <w15:docId w15:val="{038BE501-6248-4642-B8EF-1CF179F86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E2C3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E2C3B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2C3B"/>
    <w:rPr>
      <w:color w:val="0000FF"/>
      <w:u w:val="single"/>
    </w:rPr>
  </w:style>
  <w:style w:type="paragraph" w:styleId="Footer">
    <w:name w:val="footer"/>
    <w:basedOn w:val="Normal"/>
    <w:rsid w:val="00EE2C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E2C3B"/>
  </w:style>
  <w:style w:type="paragraph" w:styleId="Header">
    <w:name w:val="header"/>
    <w:basedOn w:val="Normal"/>
    <w:rsid w:val="001E5913"/>
    <w:pPr>
      <w:tabs>
        <w:tab w:val="center" w:pos="4320"/>
        <w:tab w:val="right" w:pos="8640"/>
      </w:tabs>
    </w:pPr>
  </w:style>
  <w:style w:type="character" w:customStyle="1" w:styleId="ui-provider">
    <w:name w:val="ui-provider"/>
    <w:basedOn w:val="DefaultParagraphFont"/>
    <w:rsid w:val="001320E5"/>
  </w:style>
  <w:style w:type="character" w:styleId="UnresolvedMention">
    <w:name w:val="Unresolved Mention"/>
    <w:uiPriority w:val="99"/>
    <w:semiHidden/>
    <w:unhideWhenUsed/>
    <w:rsid w:val="0026080B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rsid w:val="00BA27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BA2794"/>
  </w:style>
  <w:style w:type="character" w:styleId="FootnoteReference">
    <w:name w:val="footnote reference"/>
    <w:basedOn w:val="DefaultParagraphFont"/>
    <w:rsid w:val="00BA27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90E02-ED01-4014-93B4-534A4C6F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Proposed Order for Protective Order (00463864).DOC</vt:lpstr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Proposed Order for Protective Order (00463864).DOC</dc:title>
  <dc:subject/>
  <dc:creator>HCleary</dc:creator>
  <cp:keywords/>
  <cp:lastModifiedBy>elliff, j. eric</cp:lastModifiedBy>
  <cp:revision>12</cp:revision>
  <cp:lastPrinted>2012-01-27T17:33:00Z</cp:lastPrinted>
  <dcterms:created xsi:type="dcterms:W3CDTF">2026-01-05T16:45:00Z</dcterms:created>
  <dcterms:modified xsi:type="dcterms:W3CDTF">2026-01-05T17:56:00Z</dcterms:modified>
</cp:coreProperties>
</file>