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2723" w14:textId="77777777" w:rsidR="003252D3" w:rsidRPr="00C706BF" w:rsidRDefault="003252D3" w:rsidP="003719D3">
      <w:pPr>
        <w:jc w:val="center"/>
        <w:rPr>
          <w:b/>
          <w:sz w:val="20"/>
          <w:szCs w:val="20"/>
        </w:rPr>
      </w:pPr>
      <w:bookmarkStart w:id="0" w:name="_Hlk45609241"/>
      <w:bookmarkStart w:id="1" w:name="_Hlk526925666"/>
      <w:bookmarkStart w:id="2" w:name="_Hlk535244379"/>
      <w:bookmarkStart w:id="3" w:name="_Hlk535225266"/>
      <w:bookmarkStart w:id="4" w:name="_Hlk34399347"/>
      <w:bookmarkStart w:id="5" w:name="_Hlk535244975"/>
      <w:r w:rsidRPr="00C706BF">
        <w:rPr>
          <w:b/>
          <w:sz w:val="20"/>
          <w:szCs w:val="20"/>
        </w:rPr>
        <w:t>DISTRICT COURT, WATER DIVISION 6, COLORADO</w:t>
      </w:r>
    </w:p>
    <w:p w14:paraId="126F5BAF" w14:textId="77777777" w:rsidR="003252D3" w:rsidRPr="00C706BF" w:rsidRDefault="003252D3" w:rsidP="003719D3">
      <w:pPr>
        <w:jc w:val="center"/>
        <w:rPr>
          <w:b/>
          <w:sz w:val="20"/>
          <w:szCs w:val="20"/>
        </w:rPr>
      </w:pPr>
      <w:r w:rsidRPr="00C706BF">
        <w:rPr>
          <w:b/>
          <w:sz w:val="20"/>
          <w:szCs w:val="20"/>
        </w:rPr>
        <w:t>TO ALL PERSONS INTERESTED IN WATER APPLICATIONS</w:t>
      </w:r>
    </w:p>
    <w:p w14:paraId="551D06B0" w14:textId="77777777" w:rsidR="003252D3" w:rsidRPr="00C706BF" w:rsidRDefault="003252D3" w:rsidP="003719D3">
      <w:pPr>
        <w:jc w:val="center"/>
        <w:rPr>
          <w:b/>
          <w:sz w:val="20"/>
          <w:szCs w:val="20"/>
        </w:rPr>
      </w:pPr>
      <w:r w:rsidRPr="00C706BF">
        <w:rPr>
          <w:b/>
          <w:sz w:val="20"/>
          <w:szCs w:val="20"/>
        </w:rPr>
        <w:t>IN WATER DIVISION 6</w:t>
      </w:r>
    </w:p>
    <w:p w14:paraId="55967E07" w14:textId="77777777" w:rsidR="003252D3" w:rsidRPr="00C706BF" w:rsidRDefault="003252D3" w:rsidP="003252D3">
      <w:pPr>
        <w:rPr>
          <w:b/>
          <w:sz w:val="20"/>
          <w:szCs w:val="20"/>
        </w:rPr>
      </w:pPr>
    </w:p>
    <w:p w14:paraId="096DC88F" w14:textId="3237FE33" w:rsidR="003252D3" w:rsidRPr="00C706BF" w:rsidRDefault="003252D3" w:rsidP="003719D3">
      <w:pPr>
        <w:jc w:val="both"/>
        <w:rPr>
          <w:b/>
          <w:sz w:val="20"/>
          <w:szCs w:val="20"/>
        </w:rPr>
      </w:pPr>
      <w:bookmarkStart w:id="6" w:name="_Hlk526925311"/>
      <w:r w:rsidRPr="00C706BF">
        <w:rPr>
          <w:sz w:val="20"/>
          <w:szCs w:val="20"/>
        </w:rPr>
        <w:t>Pursuant to C.R.S. 37-92-302, you are hereby notified that the following pages comprise a resume of Applications and Amended Applications filed in the office of Water Division 6, during the month of</w:t>
      </w:r>
      <w:r w:rsidRPr="00C706BF">
        <w:rPr>
          <w:b/>
          <w:sz w:val="20"/>
          <w:szCs w:val="20"/>
        </w:rPr>
        <w:t xml:space="preserve"> </w:t>
      </w:r>
      <w:bookmarkEnd w:id="0"/>
      <w:r w:rsidR="008F48DD">
        <w:rPr>
          <w:b/>
          <w:sz w:val="20"/>
          <w:szCs w:val="20"/>
        </w:rPr>
        <w:t>November</w:t>
      </w:r>
      <w:r w:rsidR="0064274D" w:rsidRPr="00C706BF">
        <w:rPr>
          <w:b/>
          <w:sz w:val="20"/>
          <w:szCs w:val="20"/>
        </w:rPr>
        <w:t xml:space="preserve"> </w:t>
      </w:r>
      <w:r w:rsidR="006207C6" w:rsidRPr="00C706BF">
        <w:rPr>
          <w:b/>
          <w:sz w:val="20"/>
          <w:szCs w:val="20"/>
        </w:rPr>
        <w:t>2025</w:t>
      </w:r>
      <w:r w:rsidRPr="00C706BF">
        <w:rPr>
          <w:b/>
          <w:sz w:val="20"/>
          <w:szCs w:val="20"/>
        </w:rPr>
        <w:t>.</w:t>
      </w:r>
    </w:p>
    <w:p w14:paraId="2CDB00AA" w14:textId="77777777" w:rsidR="00C706BF" w:rsidRDefault="00C706BF" w:rsidP="003719D3">
      <w:pPr>
        <w:jc w:val="both"/>
        <w:rPr>
          <w:b/>
          <w:sz w:val="20"/>
          <w:szCs w:val="20"/>
        </w:rPr>
      </w:pPr>
      <w:bookmarkStart w:id="7" w:name="_Hlk535237473"/>
      <w:bookmarkStart w:id="8" w:name="_Hlk535237624"/>
      <w:bookmarkStart w:id="9" w:name="_Hlk526925387"/>
      <w:bookmarkStart w:id="10" w:name="_Hlk535225584"/>
      <w:bookmarkStart w:id="11" w:name="_Hlk87430550"/>
      <w:bookmarkStart w:id="12" w:name="_Hlk526925467"/>
      <w:bookmarkStart w:id="13" w:name="_Hlk187646038"/>
      <w:bookmarkEnd w:id="1"/>
      <w:bookmarkEnd w:id="2"/>
      <w:bookmarkEnd w:id="3"/>
      <w:bookmarkEnd w:id="4"/>
      <w:bookmarkEnd w:id="6"/>
    </w:p>
    <w:p w14:paraId="63ADBD2C" w14:textId="4324F0BC" w:rsidR="008F48DD" w:rsidRPr="007A58E2" w:rsidRDefault="008F48DD" w:rsidP="008F48DD">
      <w:pPr>
        <w:pStyle w:val="ListParagraph"/>
        <w:widowControl/>
        <w:spacing w:after="240"/>
        <w:ind w:left="0"/>
        <w:contextualSpacing w:val="0"/>
        <w:jc w:val="both"/>
        <w:rPr>
          <w:rFonts w:ascii="Times New Roman" w:hAnsi="Times New Roman"/>
          <w:sz w:val="20"/>
          <w:szCs w:val="20"/>
        </w:rPr>
      </w:pPr>
      <w:r>
        <w:rPr>
          <w:rFonts w:ascii="Times New Roman" w:hAnsi="Times New Roman"/>
          <w:b/>
          <w:sz w:val="20"/>
          <w:szCs w:val="20"/>
        </w:rPr>
        <w:t xml:space="preserve">(Republished from October) </w:t>
      </w:r>
      <w:r w:rsidRPr="007A58E2">
        <w:rPr>
          <w:rFonts w:ascii="Times New Roman" w:hAnsi="Times New Roman"/>
          <w:b/>
          <w:sz w:val="20"/>
          <w:szCs w:val="20"/>
        </w:rPr>
        <w:t xml:space="preserve">2024CW3033 (2017CW0010), </w:t>
      </w:r>
      <w:r w:rsidRPr="007A58E2">
        <w:rPr>
          <w:rFonts w:ascii="Times New Roman" w:hAnsi="Times New Roman"/>
          <w:bCs/>
          <w:sz w:val="20"/>
          <w:szCs w:val="20"/>
        </w:rPr>
        <w:t>Tributary to Willow Creek, tributary to Little Snake River, tributary to Yampa River, and springs tributary to Willow Creek, tributary to Little Snake River, tributary to Yampa River,</w:t>
      </w:r>
      <w:r w:rsidRPr="007A58E2">
        <w:rPr>
          <w:rFonts w:ascii="Times New Roman" w:hAnsi="Times New Roman"/>
          <w:sz w:val="20"/>
          <w:szCs w:val="20"/>
        </w:rPr>
        <w:t xml:space="preserve"> in </w:t>
      </w:r>
      <w:r w:rsidRPr="007A58E2">
        <w:rPr>
          <w:rFonts w:ascii="Times New Roman" w:hAnsi="Times New Roman"/>
          <w:smallCaps/>
          <w:sz w:val="20"/>
          <w:szCs w:val="20"/>
        </w:rPr>
        <w:t>Moffat County, Colorado</w:t>
      </w:r>
      <w:r w:rsidRPr="007A58E2">
        <w:rPr>
          <w:rFonts w:ascii="Times New Roman" w:hAnsi="Times New Roman"/>
          <w:sz w:val="20"/>
          <w:szCs w:val="20"/>
        </w:rPr>
        <w:t xml:space="preserve">, </w:t>
      </w:r>
      <w:r w:rsidRPr="007A58E2">
        <w:rPr>
          <w:rFonts w:ascii="Times New Roman" w:hAnsi="Times New Roman"/>
          <w:b/>
          <w:smallCaps/>
          <w:sz w:val="20"/>
          <w:szCs w:val="20"/>
        </w:rPr>
        <w:t xml:space="preserve">First Amended Application To Make Surface and Storage Water Rights Absolute In Part  </w:t>
      </w:r>
      <w:r w:rsidRPr="007A58E2">
        <w:rPr>
          <w:rFonts w:ascii="Times New Roman" w:hAnsi="Times New Roman"/>
          <w:smallCaps/>
          <w:sz w:val="20"/>
          <w:szCs w:val="20"/>
        </w:rPr>
        <w:t xml:space="preserve">1. </w:t>
      </w:r>
      <w:r w:rsidRPr="007A58E2">
        <w:rPr>
          <w:rFonts w:ascii="Times New Roman" w:hAnsi="Times New Roman"/>
          <w:b/>
          <w:i/>
          <w:sz w:val="20"/>
          <w:szCs w:val="20"/>
        </w:rPr>
        <w:t>Applicants</w:t>
      </w:r>
      <w:r w:rsidRPr="007A58E2">
        <w:rPr>
          <w:rFonts w:ascii="Times New Roman" w:hAnsi="Times New Roman"/>
          <w:bCs/>
          <w:iCs/>
          <w:sz w:val="20"/>
          <w:szCs w:val="20"/>
        </w:rPr>
        <w:t xml:space="preserve">: </w:t>
      </w:r>
      <w:r w:rsidRPr="007A58E2">
        <w:rPr>
          <w:rFonts w:ascii="Times New Roman" w:hAnsi="Times New Roman"/>
          <w:sz w:val="20"/>
          <w:szCs w:val="20"/>
        </w:rPr>
        <w:t>Russell E. Cartwright and Lori L. Cartwright [“Cartwrights”], 595 Breeze Street, #500, Craig, CO 81625</w:t>
      </w:r>
      <w:r w:rsidRPr="007A58E2">
        <w:rPr>
          <w:rFonts w:ascii="Times New Roman" w:hAnsi="Times New Roman"/>
          <w:color w:val="333333"/>
          <w:sz w:val="20"/>
          <w:szCs w:val="20"/>
        </w:rPr>
        <w:t xml:space="preserve">, </w:t>
      </w:r>
      <w:r w:rsidRPr="007A58E2">
        <w:rPr>
          <w:rFonts w:ascii="Times New Roman" w:hAnsi="Times New Roman"/>
          <w:sz w:val="20"/>
          <w:szCs w:val="20"/>
        </w:rPr>
        <w:t>970.424.4374 or 970.414.1188</w:t>
      </w:r>
      <w:r w:rsidRPr="007A58E2">
        <w:rPr>
          <w:rFonts w:ascii="Times New Roman" w:hAnsi="Times New Roman"/>
          <w:bCs/>
          <w:iCs/>
          <w:sz w:val="20"/>
          <w:szCs w:val="20"/>
        </w:rPr>
        <w:t xml:space="preserve">.  </w:t>
      </w:r>
      <w:r w:rsidRPr="007A58E2">
        <w:rPr>
          <w:rFonts w:ascii="Times New Roman" w:hAnsi="Times New Roman"/>
          <w:sz w:val="20"/>
          <w:szCs w:val="20"/>
        </w:rPr>
        <w:t xml:space="preserve">All pleadings and court-related documents are to be sent to Claire E. Sollars, Esq., Colorado Water Matters, PLLC, P.O. Box 773474, Steamboat Springs, CO 80477, </w:t>
      </w:r>
      <w:hyperlink r:id="rId5" w:history="1">
        <w:r w:rsidRPr="007A58E2">
          <w:rPr>
            <w:rFonts w:ascii="Times New Roman" w:hAnsi="Times New Roman"/>
            <w:color w:val="0563C1"/>
            <w:sz w:val="20"/>
            <w:szCs w:val="20"/>
            <w:u w:val="single"/>
          </w:rPr>
          <w:t>Claire@ColoradoWaterMatters.com</w:t>
        </w:r>
      </w:hyperlink>
      <w:r w:rsidRPr="007A58E2">
        <w:rPr>
          <w:rFonts w:ascii="Times New Roman" w:hAnsi="Times New Roman"/>
          <w:sz w:val="20"/>
          <w:szCs w:val="20"/>
        </w:rPr>
        <w:t xml:space="preserve">, 970.875.3370.  2. </w:t>
      </w:r>
      <w:r w:rsidRPr="007A58E2">
        <w:rPr>
          <w:rFonts w:ascii="Times New Roman" w:hAnsi="Times New Roman"/>
          <w:b/>
          <w:i/>
          <w:sz w:val="20"/>
          <w:szCs w:val="20"/>
        </w:rPr>
        <w:t>Names and Types of Structures</w:t>
      </w:r>
      <w:r w:rsidRPr="007A58E2">
        <w:rPr>
          <w:rFonts w:ascii="Times New Roman" w:hAnsi="Times New Roman"/>
          <w:sz w:val="20"/>
          <w:szCs w:val="20"/>
        </w:rPr>
        <w:t xml:space="preserve">: Dane’s Spring (spring), Cartwright Pond (storage structure).  3. </w:t>
      </w:r>
      <w:r w:rsidRPr="007A58E2">
        <w:rPr>
          <w:rFonts w:ascii="Times New Roman" w:hAnsi="Times New Roman"/>
          <w:b/>
          <w:i/>
          <w:sz w:val="20"/>
          <w:szCs w:val="20"/>
        </w:rPr>
        <w:t xml:space="preserve">Description of Conditional Rights to Make Absolute: </w:t>
      </w:r>
      <w:r w:rsidRPr="007A58E2">
        <w:rPr>
          <w:rFonts w:ascii="Times New Roman" w:hAnsi="Times New Roman"/>
          <w:bCs/>
          <w:i/>
          <w:sz w:val="20"/>
          <w:szCs w:val="20"/>
        </w:rPr>
        <w:t xml:space="preserve">a. </w:t>
      </w:r>
      <w:r w:rsidRPr="007A58E2">
        <w:rPr>
          <w:rFonts w:ascii="Times New Roman" w:hAnsi="Times New Roman"/>
          <w:b/>
          <w:i/>
          <w:sz w:val="20"/>
          <w:szCs w:val="20"/>
        </w:rPr>
        <w:t>Original Decree</w:t>
      </w:r>
      <w:r w:rsidRPr="007A58E2">
        <w:rPr>
          <w:rFonts w:ascii="Times New Roman" w:hAnsi="Times New Roman"/>
          <w:bCs/>
          <w:iCs/>
          <w:sz w:val="20"/>
          <w:szCs w:val="20"/>
        </w:rPr>
        <w:t xml:space="preserve">: December 11, 2019; Case No. 2017CW0010; District Court, Water Division No. 6, Colorado.  </w:t>
      </w:r>
      <w:r w:rsidRPr="007A58E2">
        <w:rPr>
          <w:rFonts w:ascii="Times New Roman" w:hAnsi="Times New Roman"/>
          <w:bCs/>
          <w:i/>
          <w:sz w:val="20"/>
          <w:szCs w:val="20"/>
        </w:rPr>
        <w:t>b.</w:t>
      </w:r>
      <w:r w:rsidRPr="007A58E2">
        <w:rPr>
          <w:rFonts w:ascii="Times New Roman" w:hAnsi="Times New Roman"/>
          <w:bCs/>
          <w:iCs/>
          <w:sz w:val="20"/>
          <w:szCs w:val="20"/>
        </w:rPr>
        <w:t xml:space="preserve"> </w:t>
      </w:r>
      <w:r w:rsidRPr="007A58E2">
        <w:rPr>
          <w:rFonts w:ascii="Times New Roman" w:hAnsi="Times New Roman"/>
          <w:b/>
          <w:i/>
          <w:sz w:val="20"/>
          <w:szCs w:val="20"/>
        </w:rPr>
        <w:t>Subsequent Diligence Decree</w:t>
      </w:r>
      <w:r w:rsidRPr="007A58E2">
        <w:rPr>
          <w:rFonts w:ascii="Times New Roman" w:hAnsi="Times New Roman"/>
          <w:bCs/>
          <w:iCs/>
          <w:sz w:val="20"/>
          <w:szCs w:val="20"/>
        </w:rPr>
        <w:t xml:space="preserve">: Not applicable; this is Cartwrights’ first Application filed after entry of the Decree in Case No. 2017CW0010.  </w:t>
      </w:r>
      <w:r w:rsidRPr="007A58E2">
        <w:rPr>
          <w:rFonts w:ascii="Times New Roman" w:hAnsi="Times New Roman"/>
          <w:bCs/>
          <w:i/>
          <w:sz w:val="20"/>
          <w:szCs w:val="20"/>
        </w:rPr>
        <w:t xml:space="preserve">c. </w:t>
      </w:r>
      <w:r w:rsidRPr="007A58E2">
        <w:rPr>
          <w:rFonts w:ascii="Times New Roman" w:hAnsi="Times New Roman"/>
          <w:b/>
          <w:i/>
          <w:sz w:val="20"/>
          <w:szCs w:val="20"/>
        </w:rPr>
        <w:t>Legal Descriptions of Water Rights as Decreed (Zone 13 UTM Coordinates and PLSS)</w:t>
      </w:r>
      <w:r w:rsidRPr="007A58E2">
        <w:rPr>
          <w:rFonts w:ascii="Times New Roman" w:hAnsi="Times New Roman"/>
          <w:sz w:val="20"/>
          <w:szCs w:val="20"/>
        </w:rPr>
        <w:t>: Dane’s Spring 293912 mE 4525575 mN; Cartwright Pond 293912 mE 4525672mN.  All structures are located in the NW1/4 NW1/4 Section 1, Township 10 North, Range 90 West of the 6</w:t>
      </w:r>
      <w:r w:rsidRPr="007A58E2">
        <w:rPr>
          <w:rFonts w:ascii="Times New Roman" w:hAnsi="Times New Roman"/>
          <w:sz w:val="20"/>
          <w:szCs w:val="20"/>
          <w:vertAlign w:val="superscript"/>
        </w:rPr>
        <w:t>th</w:t>
      </w:r>
      <w:r w:rsidRPr="007A58E2">
        <w:rPr>
          <w:rFonts w:ascii="Times New Roman" w:hAnsi="Times New Roman"/>
          <w:sz w:val="20"/>
          <w:szCs w:val="20"/>
        </w:rPr>
        <w:t xml:space="preserve"> Principle Meridian, in Moffat County, Colorado, and are depicted on the filed Exhibit 1.  </w:t>
      </w:r>
      <w:r w:rsidRPr="007A58E2">
        <w:rPr>
          <w:rFonts w:ascii="Times New Roman" w:hAnsi="Times New Roman"/>
          <w:i/>
          <w:iCs/>
          <w:sz w:val="20"/>
          <w:szCs w:val="20"/>
        </w:rPr>
        <w:t xml:space="preserve">d. </w:t>
      </w:r>
      <w:r w:rsidRPr="007A58E2">
        <w:rPr>
          <w:rFonts w:ascii="Times New Roman" w:hAnsi="Times New Roman"/>
          <w:b/>
          <w:bCs/>
          <w:i/>
          <w:iCs/>
          <w:sz w:val="20"/>
          <w:szCs w:val="20"/>
        </w:rPr>
        <w:t>Sources of Water</w:t>
      </w:r>
      <w:r w:rsidRPr="007A58E2">
        <w:rPr>
          <w:rFonts w:ascii="Times New Roman" w:hAnsi="Times New Roman"/>
          <w:sz w:val="20"/>
          <w:szCs w:val="20"/>
        </w:rPr>
        <w:t xml:space="preserve">: </w:t>
      </w:r>
      <w:r w:rsidRPr="007A58E2">
        <w:rPr>
          <w:rFonts w:ascii="Times New Roman" w:hAnsi="Times New Roman"/>
          <w:sz w:val="20"/>
          <w:szCs w:val="20"/>
          <w:u w:val="single"/>
        </w:rPr>
        <w:t>Dane’s Spring</w:t>
      </w:r>
      <w:r w:rsidRPr="007A58E2">
        <w:rPr>
          <w:rFonts w:ascii="Times New Roman" w:hAnsi="Times New Roman"/>
          <w:sz w:val="20"/>
          <w:szCs w:val="20"/>
        </w:rPr>
        <w:t xml:space="preserve"> - spring tributary to Willow Creek, tributary to Little Snake River, tributary to Yampa River.  </w:t>
      </w:r>
      <w:r w:rsidRPr="007A58E2">
        <w:rPr>
          <w:rFonts w:ascii="Times New Roman" w:hAnsi="Times New Roman"/>
          <w:sz w:val="20"/>
          <w:szCs w:val="20"/>
          <w:u w:val="single"/>
        </w:rPr>
        <w:t xml:space="preserve">Cartwright Pond </w:t>
      </w:r>
      <w:r w:rsidRPr="007A58E2">
        <w:rPr>
          <w:rFonts w:ascii="Times New Roman" w:hAnsi="Times New Roman"/>
          <w:sz w:val="20"/>
          <w:szCs w:val="20"/>
        </w:rPr>
        <w:t xml:space="preserve">– tributary to Willow Creek, tributary to Little Snake River, tributary to Yampa River.  In addition to surface flow being stored in Cartwright Pond, Cartwright Pond will be sourced from Dane’s Spring and Tara’s Spring through pipelines.  </w:t>
      </w:r>
      <w:r w:rsidRPr="007A58E2">
        <w:rPr>
          <w:rFonts w:ascii="Times New Roman" w:hAnsi="Times New Roman"/>
          <w:i/>
          <w:iCs/>
          <w:sz w:val="20"/>
          <w:szCs w:val="20"/>
        </w:rPr>
        <w:t xml:space="preserve">e. </w:t>
      </w:r>
      <w:r w:rsidRPr="007A58E2">
        <w:rPr>
          <w:rFonts w:ascii="Times New Roman" w:hAnsi="Times New Roman"/>
          <w:b/>
          <w:bCs/>
          <w:i/>
          <w:iCs/>
          <w:sz w:val="20"/>
          <w:szCs w:val="20"/>
        </w:rPr>
        <w:t>Appropriation Date and Amounts</w:t>
      </w:r>
      <w:r w:rsidRPr="007A58E2">
        <w:rPr>
          <w:rFonts w:ascii="Times New Roman" w:hAnsi="Times New Roman"/>
          <w:sz w:val="20"/>
          <w:szCs w:val="20"/>
        </w:rPr>
        <w:t xml:space="preserve">: May 29, 2015 (both structures); Dane’s Spring (0.15 cfs, conditional), Cartwright Pond (1.5 acre-feet, conditional).  f. </w:t>
      </w:r>
      <w:r w:rsidRPr="007A58E2">
        <w:rPr>
          <w:rFonts w:ascii="Times New Roman" w:hAnsi="Times New Roman"/>
          <w:b/>
          <w:bCs/>
          <w:i/>
          <w:iCs/>
          <w:sz w:val="20"/>
          <w:szCs w:val="20"/>
        </w:rPr>
        <w:t>Uses</w:t>
      </w:r>
      <w:r w:rsidRPr="007A58E2">
        <w:rPr>
          <w:rFonts w:ascii="Times New Roman" w:hAnsi="Times New Roman"/>
          <w:sz w:val="20"/>
          <w:szCs w:val="20"/>
        </w:rPr>
        <w:t xml:space="preserve">: Dane’s Spring– domestic, irrigation, and provide freshening flows to Cartwright Pond; Cartwright Pond – irrigation, livestock, wildlife watering, recreation, aesthetics, and evaporation.  Total acreage of irrigation not to exceed 4 acres within the area depicted on Exhibit 2.  g. </w:t>
      </w:r>
      <w:r w:rsidRPr="007A58E2">
        <w:rPr>
          <w:rFonts w:ascii="Times New Roman" w:hAnsi="Times New Roman"/>
          <w:b/>
          <w:bCs/>
          <w:i/>
          <w:iCs/>
          <w:sz w:val="20"/>
          <w:szCs w:val="20"/>
        </w:rPr>
        <w:t>Depth (if well)</w:t>
      </w:r>
      <w:r w:rsidRPr="007A58E2">
        <w:rPr>
          <w:rFonts w:ascii="Times New Roman" w:hAnsi="Times New Roman"/>
          <w:sz w:val="20"/>
          <w:szCs w:val="20"/>
        </w:rPr>
        <w:t xml:space="preserve"> N/A</w:t>
      </w:r>
      <w:r w:rsidRPr="007A58E2">
        <w:rPr>
          <w:rFonts w:ascii="Times New Roman" w:hAnsi="Times New Roman"/>
          <w:bCs/>
          <w:iCs/>
          <w:sz w:val="20"/>
          <w:szCs w:val="20"/>
        </w:rPr>
        <w:t>.</w:t>
      </w:r>
      <w:r w:rsidRPr="007A58E2">
        <w:rPr>
          <w:rFonts w:ascii="Times New Roman" w:hAnsi="Times New Roman"/>
          <w:sz w:val="20"/>
          <w:szCs w:val="20"/>
        </w:rPr>
        <w:t xml:space="preserve">  4. </w:t>
      </w:r>
      <w:r w:rsidRPr="007A58E2">
        <w:rPr>
          <w:rFonts w:ascii="Times New Roman" w:hAnsi="Times New Roman"/>
          <w:b/>
          <w:i/>
          <w:sz w:val="20"/>
          <w:szCs w:val="20"/>
        </w:rPr>
        <w:t>Detailed Outline of what has been done toward completion or for completion of the appropriation and application of water to a beneficial use as conditionally decreed, including expenditures:</w:t>
      </w:r>
      <w:r w:rsidRPr="007A58E2">
        <w:rPr>
          <w:rFonts w:ascii="Times New Roman" w:hAnsi="Times New Roman"/>
          <w:bCs/>
          <w:iCs/>
          <w:sz w:val="20"/>
          <w:szCs w:val="20"/>
        </w:rPr>
        <w:t xml:space="preserve"> Cartwrights conducted testing to demonstrate Cartwright Pond did not intercept groundwater; Division Engineer Light confirmed their findings on Oct. 21, 2021.  Cartwrights notified Division Engineer Light on June 23, 2023, </w:t>
      </w:r>
      <w:r w:rsidRPr="007A58E2">
        <w:rPr>
          <w:rFonts w:ascii="Times New Roman" w:hAnsi="Times New Roman"/>
          <w:sz w:val="20"/>
          <w:szCs w:val="20"/>
        </w:rPr>
        <w:t xml:space="preserve">that they were commencing the process to complete the springs and pond project.  Cartwrights performed the following work, which was done from August through September 2023, and in their </w:t>
      </w:r>
      <w:r w:rsidRPr="007A58E2">
        <w:rPr>
          <w:rFonts w:ascii="Times New Roman" w:eastAsia="Aptos" w:hAnsi="Times New Roman"/>
          <w:i/>
          <w:iCs/>
          <w:sz w:val="20"/>
          <w:szCs w:val="20"/>
        </w:rPr>
        <w:t xml:space="preserve">Supplemental </w:t>
      </w:r>
      <w:r w:rsidRPr="007A58E2">
        <w:rPr>
          <w:rFonts w:ascii="Times New Roman" w:eastAsia="Aptos" w:hAnsi="Times New Roman"/>
          <w:i/>
          <w:sz w:val="20"/>
          <w:szCs w:val="20"/>
        </w:rPr>
        <w:t xml:space="preserve">Response to Part 2.G. of the Statement of Opposition of the State Engineer and the Division Engineer for Water Division 6 </w:t>
      </w:r>
      <w:r w:rsidRPr="007A58E2">
        <w:rPr>
          <w:rFonts w:ascii="Times New Roman" w:eastAsia="Aptos" w:hAnsi="Times New Roman"/>
          <w:iCs/>
          <w:sz w:val="20"/>
          <w:szCs w:val="20"/>
        </w:rPr>
        <w:t>(filed Oct. 31, 2025) (Exhibit 3), Cartwrights confirmed the pond does not intercept groundwater.</w:t>
      </w:r>
      <w:r w:rsidRPr="007A58E2">
        <w:rPr>
          <w:rFonts w:ascii="Times New Roman" w:hAnsi="Times New Roman"/>
          <w:sz w:val="20"/>
          <w:szCs w:val="20"/>
        </w:rPr>
        <w:t xml:space="preserve">  a. </w:t>
      </w:r>
      <w:r w:rsidRPr="007A58E2">
        <w:rPr>
          <w:rFonts w:ascii="Times New Roman" w:hAnsi="Times New Roman"/>
          <w:sz w:val="20"/>
          <w:szCs w:val="20"/>
          <w:u w:val="single"/>
        </w:rPr>
        <w:t>Dane’s Spring</w:t>
      </w:r>
      <w:r w:rsidRPr="007A58E2">
        <w:rPr>
          <w:rFonts w:ascii="Times New Roman" w:hAnsi="Times New Roman"/>
          <w:sz w:val="20"/>
          <w:szCs w:val="20"/>
        </w:rPr>
        <w:t xml:space="preserve">: a spring box (holding tank) with two outlet pipes was buried below Dane’s Spring to capture spring flows.  The lower outlet pipe is equipped with three spigots between the spring box and residence lawn and garden irrigation (not to exceed 1 acre), and supplies spring flows to a cistern at the residence for domestic use.  The upper outlet pipe directs spring flows to Cartwright Pond.  Exhibit 4 includes schematics for the system and photographs of the spigots.  b. </w:t>
      </w:r>
      <w:r w:rsidRPr="007A58E2">
        <w:rPr>
          <w:rFonts w:ascii="Times New Roman" w:hAnsi="Times New Roman"/>
          <w:sz w:val="20"/>
          <w:szCs w:val="20"/>
          <w:u w:val="single"/>
        </w:rPr>
        <w:t>Cartwright Pond</w:t>
      </w:r>
      <w:r w:rsidRPr="007A58E2">
        <w:rPr>
          <w:rFonts w:ascii="Times New Roman" w:hAnsi="Times New Roman"/>
          <w:sz w:val="20"/>
          <w:szCs w:val="20"/>
        </w:rPr>
        <w:t xml:space="preserve">: The pond was surveyed by Epp &amp; Associates in September 2024.  Total capacity is 0.49 acre-feet (Exhibit 5 – Pond Survey).  Cartwright Pond is used for irrigation (not to exceed 3 acres), livestock, wildlife watering, recreation, and aesthetics.  c. </w:t>
      </w:r>
      <w:r w:rsidRPr="007A58E2">
        <w:rPr>
          <w:rFonts w:ascii="Times New Roman" w:hAnsi="Times New Roman"/>
          <w:sz w:val="20"/>
          <w:szCs w:val="20"/>
          <w:u w:val="single"/>
        </w:rPr>
        <w:t>Expenditures</w:t>
      </w:r>
      <w:r w:rsidRPr="007A58E2">
        <w:rPr>
          <w:rFonts w:ascii="Times New Roman" w:hAnsi="Times New Roman"/>
          <w:sz w:val="20"/>
          <w:szCs w:val="20"/>
        </w:rPr>
        <w:t xml:space="preserve">: Cartwrights estimate the cost to develop the spring system and pond (materials, supplies, and their labor) was $30,000.  The pond survey cost $1,600.  Attorney fees and costs incurred to date exceed $1,750.  5. </w:t>
      </w:r>
      <w:r w:rsidRPr="007A58E2">
        <w:rPr>
          <w:rFonts w:ascii="Times New Roman" w:hAnsi="Times New Roman"/>
          <w:b/>
          <w:i/>
          <w:iCs/>
          <w:sz w:val="20"/>
          <w:szCs w:val="20"/>
        </w:rPr>
        <w:t>If Claim to Make Absolute In Whole or In Part:</w:t>
      </w:r>
      <w:r w:rsidRPr="007A58E2">
        <w:rPr>
          <w:rFonts w:ascii="Times New Roman" w:hAnsi="Times New Roman"/>
          <w:bCs/>
          <w:i/>
          <w:iCs/>
          <w:sz w:val="20"/>
          <w:szCs w:val="20"/>
        </w:rPr>
        <w:t xml:space="preserve"> a.  </w:t>
      </w:r>
      <w:r w:rsidRPr="007A58E2">
        <w:rPr>
          <w:rFonts w:ascii="Times New Roman" w:hAnsi="Times New Roman"/>
          <w:b/>
          <w:bCs/>
          <w:i/>
          <w:iCs/>
          <w:sz w:val="20"/>
          <w:szCs w:val="20"/>
        </w:rPr>
        <w:t>Date Water Applied to Beneficial Use:</w:t>
      </w:r>
      <w:r w:rsidRPr="007A58E2">
        <w:rPr>
          <w:rFonts w:ascii="Times New Roman" w:hAnsi="Times New Roman"/>
          <w:sz w:val="20"/>
          <w:szCs w:val="20"/>
        </w:rPr>
        <w:t xml:space="preserve"> September 24, 2023 (completion of spring collection and distribution system).  </w:t>
      </w:r>
      <w:r w:rsidRPr="007A58E2">
        <w:rPr>
          <w:rFonts w:ascii="Times New Roman" w:hAnsi="Times New Roman"/>
          <w:b/>
          <w:bCs/>
          <w:i/>
          <w:iCs/>
          <w:sz w:val="20"/>
          <w:szCs w:val="20"/>
        </w:rPr>
        <w:t xml:space="preserve">Amount: </w:t>
      </w:r>
      <w:r w:rsidRPr="007A58E2">
        <w:rPr>
          <w:rFonts w:ascii="Times New Roman" w:hAnsi="Times New Roman"/>
          <w:sz w:val="20"/>
          <w:szCs w:val="20"/>
        </w:rPr>
        <w:t xml:space="preserve">Dane’s Spring– 0.0426 cfs (19.1 gpm) (quantity determined by bucket and stopwatch test conducted by DWR during the June 11, 2025 Field Inspection (Exhibit 6)); Cartwrights relinquish the remaining 0.1074 cfs conditional surface water right.  Cartwright Pond – 0.49 acre-feet (verified by survey (Exhibit 5)); Cartwrights relinquish the remaining 1.01 acre-feet conditional storage water right.  </w:t>
      </w:r>
      <w:r w:rsidRPr="007A58E2">
        <w:rPr>
          <w:rFonts w:ascii="Times New Roman" w:hAnsi="Times New Roman"/>
          <w:b/>
          <w:bCs/>
          <w:i/>
          <w:iCs/>
          <w:sz w:val="20"/>
          <w:szCs w:val="20"/>
        </w:rPr>
        <w:t>Uses:</w:t>
      </w:r>
      <w:r w:rsidRPr="007A58E2">
        <w:rPr>
          <w:rFonts w:ascii="Times New Roman" w:hAnsi="Times New Roman"/>
          <w:sz w:val="20"/>
          <w:szCs w:val="20"/>
        </w:rPr>
        <w:t xml:space="preserve"> </w:t>
      </w:r>
      <w:r w:rsidRPr="007A58E2">
        <w:rPr>
          <w:rFonts w:ascii="Times New Roman" w:hAnsi="Times New Roman"/>
          <w:sz w:val="20"/>
          <w:szCs w:val="20"/>
          <w:u w:val="single"/>
        </w:rPr>
        <w:t>Dane’s Spring</w:t>
      </w:r>
      <w:r w:rsidRPr="007A58E2">
        <w:rPr>
          <w:rFonts w:ascii="Times New Roman" w:hAnsi="Times New Roman"/>
          <w:sz w:val="20"/>
          <w:szCs w:val="20"/>
        </w:rPr>
        <w:t xml:space="preserve"> - domestic, irrigation (not to exceed 1 acre of lawn and garden), and to supply freshening flows to Cartwright Pond; </w:t>
      </w:r>
      <w:r w:rsidRPr="007A58E2">
        <w:rPr>
          <w:rFonts w:ascii="Times New Roman" w:hAnsi="Times New Roman"/>
          <w:sz w:val="20"/>
          <w:szCs w:val="20"/>
          <w:u w:val="single"/>
        </w:rPr>
        <w:t>Cartwright Pond</w:t>
      </w:r>
      <w:r w:rsidRPr="007A58E2">
        <w:rPr>
          <w:rFonts w:ascii="Times New Roman" w:hAnsi="Times New Roman"/>
          <w:sz w:val="20"/>
          <w:szCs w:val="20"/>
        </w:rPr>
        <w:t xml:space="preserve"> – all uses previously decreed (irrigation, livestock, wildlife watering, recreation, aesthetics, evaporation), pursuant to Colorado Revised Statute Section 37-92-301(4)(e).  b. </w:t>
      </w:r>
      <w:r w:rsidRPr="007A58E2">
        <w:rPr>
          <w:rFonts w:ascii="Times New Roman" w:hAnsi="Times New Roman"/>
          <w:b/>
          <w:bCs/>
          <w:i/>
          <w:iCs/>
          <w:sz w:val="20"/>
          <w:szCs w:val="20"/>
        </w:rPr>
        <w:t>Supporting evidence that applicant diverted water in-priority and applied such water to the beneficial uses claimed in the amounts claimed</w:t>
      </w:r>
      <w:r w:rsidRPr="007A58E2">
        <w:rPr>
          <w:rFonts w:ascii="Times New Roman" w:hAnsi="Times New Roman"/>
          <w:sz w:val="20"/>
          <w:szCs w:val="20"/>
        </w:rPr>
        <w:t>.</w:t>
      </w:r>
      <w:r w:rsidRPr="007A58E2" w:rsidDel="00951DCE">
        <w:rPr>
          <w:rFonts w:ascii="Times New Roman" w:hAnsi="Times New Roman"/>
          <w:sz w:val="20"/>
          <w:szCs w:val="20"/>
        </w:rPr>
        <w:t xml:space="preserve"> </w:t>
      </w:r>
      <w:r w:rsidRPr="007A58E2">
        <w:rPr>
          <w:rFonts w:ascii="Times New Roman" w:hAnsi="Times New Roman"/>
          <w:sz w:val="20"/>
          <w:szCs w:val="20"/>
        </w:rPr>
        <w:t xml:space="preserve">Exhibit 7 and Exhibit 8 document that the water was legally available at the time it was appropriated and placed to beneficial use.  Exhibit 5 and Exhibit 6 document the claimed amounts for Cartwright Pond and Dane’s Spring, respectively. </w:t>
      </w:r>
      <w:r w:rsidRPr="007A58E2">
        <w:rPr>
          <w:rFonts w:ascii="Times New Roman" w:hAnsi="Times New Roman"/>
          <w:bCs/>
          <w:i/>
          <w:iCs/>
          <w:sz w:val="20"/>
          <w:szCs w:val="20"/>
        </w:rPr>
        <w:t xml:space="preserve"> c.  </w:t>
      </w:r>
      <w:r w:rsidRPr="007A58E2">
        <w:rPr>
          <w:rFonts w:ascii="Times New Roman" w:hAnsi="Times New Roman"/>
          <w:b/>
          <w:bCs/>
          <w:i/>
          <w:iCs/>
          <w:sz w:val="20"/>
          <w:szCs w:val="20"/>
        </w:rPr>
        <w:t>Description of Location Where Water is Applied to Beneficial Use</w:t>
      </w:r>
      <w:r w:rsidRPr="007A58E2">
        <w:rPr>
          <w:rFonts w:ascii="Times New Roman" w:hAnsi="Times New Roman"/>
          <w:sz w:val="20"/>
          <w:szCs w:val="20"/>
        </w:rPr>
        <w:t xml:space="preserve">.  The structures and places of use are depicted on the filed Exhibit 1 and Exhibit 2.  6.  </w:t>
      </w:r>
      <w:r w:rsidRPr="007A58E2">
        <w:rPr>
          <w:rFonts w:ascii="Times New Roman" w:hAnsi="Times New Roman"/>
          <w:b/>
          <w:i/>
          <w:iCs/>
          <w:sz w:val="20"/>
          <w:szCs w:val="20"/>
        </w:rPr>
        <w:t xml:space="preserve">Name(s) and address(es) </w:t>
      </w:r>
      <w:r w:rsidRPr="007A58E2">
        <w:rPr>
          <w:rFonts w:ascii="Times New Roman" w:hAnsi="Times New Roman"/>
          <w:b/>
          <w:i/>
          <w:iCs/>
          <w:sz w:val="20"/>
          <w:szCs w:val="20"/>
        </w:rPr>
        <w:lastRenderedPageBreak/>
        <w:t>of owner(s) or reputed owners of the land upon which any new diversion or storage structure or modification to any existing diversion or storage structure is or will be constructed or upon which water is or will be stored, including any modification to the existing storage pool</w:t>
      </w:r>
      <w:r w:rsidRPr="007A58E2">
        <w:rPr>
          <w:rFonts w:ascii="Times New Roman" w:hAnsi="Times New Roman"/>
          <w:iCs/>
          <w:sz w:val="20"/>
          <w:szCs w:val="20"/>
        </w:rPr>
        <w:t>: Cartwrights own the land where the structures are located and upon which the water rights have been and will be used.</w:t>
      </w:r>
      <w:r w:rsidRPr="007A58E2">
        <w:rPr>
          <w:rFonts w:ascii="Times New Roman" w:hAnsi="Times New Roman"/>
          <w:sz w:val="20"/>
          <w:szCs w:val="20"/>
        </w:rPr>
        <w:t xml:space="preserve">  7. </w:t>
      </w:r>
      <w:r w:rsidRPr="007A58E2">
        <w:rPr>
          <w:rFonts w:ascii="Times New Roman" w:hAnsi="Times New Roman"/>
          <w:b/>
          <w:i/>
          <w:sz w:val="20"/>
          <w:szCs w:val="20"/>
        </w:rPr>
        <w:t>Remarks or any pertinent information</w:t>
      </w:r>
      <w:r w:rsidRPr="007A58E2">
        <w:rPr>
          <w:rFonts w:ascii="Times New Roman" w:hAnsi="Times New Roman"/>
          <w:bCs/>
          <w:iCs/>
          <w:sz w:val="20"/>
          <w:szCs w:val="20"/>
        </w:rPr>
        <w:t>: Cartwrights respectfully request the Water Court enter a decree confirming that portions of the conditional rights have been made absolute in the claimed amounts and for the claimed uses.  Cartwrights relinquish the conditional water right of Tara’s Spring in its entirety and the portions of the conditional water rights of Dane’s Spring and Cartwright Pond not made absolute.  These relinquished water rights shall be cancelled by the Water Court.</w:t>
      </w:r>
    </w:p>
    <w:p w14:paraId="0C402915" w14:textId="7DE5B83A" w:rsidR="00BE5B91" w:rsidRPr="00001699" w:rsidRDefault="00BE5B91" w:rsidP="00BE5B91">
      <w:pPr>
        <w:jc w:val="both"/>
        <w:rPr>
          <w:sz w:val="20"/>
          <w:szCs w:val="20"/>
        </w:rPr>
      </w:pPr>
      <w:r w:rsidRPr="00001699">
        <w:rPr>
          <w:sz w:val="20"/>
          <w:szCs w:val="20"/>
        </w:rPr>
        <w:t>25CW3036 (CA2259) (W-144) (W-144-76) (80CW49) (85CW107) (89CW101) (93CW131) (96CW63) (03CW14) (10CW15) (18CW3032) – MO</w:t>
      </w:r>
      <w:r>
        <w:rPr>
          <w:sz w:val="20"/>
          <w:szCs w:val="20"/>
        </w:rPr>
        <w:t>FF</w:t>
      </w:r>
      <w:r w:rsidRPr="00001699">
        <w:rPr>
          <w:sz w:val="20"/>
          <w:szCs w:val="20"/>
        </w:rPr>
        <w:t xml:space="preserve">AT AND ROUTT COUNTIES – APPLICATION TO MAKE ABSOLUTE AND FOR FINDING OF REASONABLE DILIGENCE. </w:t>
      </w:r>
      <w:r w:rsidRPr="00001699">
        <w:rPr>
          <w:b/>
          <w:sz w:val="20"/>
          <w:szCs w:val="20"/>
        </w:rPr>
        <w:t xml:space="preserve">1. </w:t>
      </w:r>
      <w:r w:rsidRPr="00001699">
        <w:rPr>
          <w:b/>
          <w:sz w:val="20"/>
          <w:szCs w:val="20"/>
          <w:u w:val="single"/>
        </w:rPr>
        <w:t>Name, Mailing Address, Phone Number, and E-mail Address of Applicant</w:t>
      </w:r>
      <w:r w:rsidRPr="00001699">
        <w:rPr>
          <w:b/>
          <w:sz w:val="20"/>
          <w:szCs w:val="20"/>
        </w:rPr>
        <w:t xml:space="preserve">. </w:t>
      </w:r>
      <w:r w:rsidRPr="00001699">
        <w:rPr>
          <w:sz w:val="20"/>
          <w:szCs w:val="20"/>
        </w:rPr>
        <w:t>City of Craig, c/o Peter Brixius, City Manager, 300 West 4</w:t>
      </w:r>
      <w:r w:rsidRPr="00001699">
        <w:rPr>
          <w:sz w:val="20"/>
          <w:szCs w:val="20"/>
          <w:vertAlign w:val="superscript"/>
        </w:rPr>
        <w:t>th</w:t>
      </w:r>
      <w:r w:rsidRPr="00001699">
        <w:rPr>
          <w:sz w:val="20"/>
          <w:szCs w:val="20"/>
        </w:rPr>
        <w:t xml:space="preserve"> Street, Craig, Colorado 81625; Phone:</w:t>
      </w:r>
      <w:r w:rsidRPr="00001699">
        <w:rPr>
          <w:color w:val="000000"/>
          <w:sz w:val="20"/>
          <w:szCs w:val="20"/>
        </w:rPr>
        <w:t xml:space="preserve"> (970) 826-2023; </w:t>
      </w:r>
      <w:r w:rsidRPr="00001699">
        <w:rPr>
          <w:sz w:val="20"/>
          <w:szCs w:val="20"/>
        </w:rPr>
        <w:t>E-mail: pbrixius@ci.craig.co.us.</w:t>
      </w:r>
      <w:r w:rsidRPr="00001699">
        <w:rPr>
          <w:color w:val="000000"/>
          <w:sz w:val="20"/>
          <w:szCs w:val="20"/>
        </w:rPr>
        <w:t xml:space="preserve"> </w:t>
      </w:r>
      <w:r w:rsidRPr="00001699">
        <w:rPr>
          <w:sz w:val="20"/>
          <w:szCs w:val="20"/>
        </w:rPr>
        <w:t xml:space="preserve">Copies of all pleadings and other correspondence to David F. Bower and Cameron C. Frazier, Johnson &amp; Repucci LLP, 850 W. South Boulder Road, Suite 100, Louisville, Colorado 80027. </w:t>
      </w:r>
      <w:r w:rsidRPr="00001699">
        <w:rPr>
          <w:b/>
          <w:bCs/>
          <w:sz w:val="20"/>
          <w:szCs w:val="20"/>
        </w:rPr>
        <w:t>2.</w:t>
      </w:r>
      <w:r w:rsidRPr="00001699">
        <w:rPr>
          <w:sz w:val="20"/>
          <w:szCs w:val="20"/>
        </w:rPr>
        <w:t xml:space="preserve"> </w:t>
      </w:r>
      <w:r w:rsidRPr="00001699">
        <w:rPr>
          <w:b/>
          <w:bCs/>
          <w:sz w:val="20"/>
          <w:szCs w:val="20"/>
          <w:u w:val="single"/>
        </w:rPr>
        <w:t>Overview</w:t>
      </w:r>
      <w:r w:rsidRPr="00001699">
        <w:rPr>
          <w:b/>
          <w:bCs/>
          <w:sz w:val="20"/>
          <w:szCs w:val="20"/>
        </w:rPr>
        <w:t xml:space="preserve">. </w:t>
      </w:r>
      <w:r w:rsidRPr="00001699">
        <w:rPr>
          <w:sz w:val="20"/>
          <w:szCs w:val="20"/>
        </w:rPr>
        <w:t xml:space="preserve">The City of Craig (“Applicant” or the “City”) seeks to (i) make absolute 4,413 acre-feet of its 4,945.39 acre-feet conditional California Park Reservoir water right stored in Elkhead Creek Reservoir and (ii) continue the remaining 532.13 acre-feet storage right, or whatever amount is not recognized as absolute in this matter, as conditional for all decreed uses. </w:t>
      </w:r>
      <w:r w:rsidRPr="00001699">
        <w:rPr>
          <w:b/>
          <w:bCs/>
          <w:sz w:val="20"/>
          <w:szCs w:val="20"/>
        </w:rPr>
        <w:t xml:space="preserve">3. </w:t>
      </w:r>
      <w:r w:rsidRPr="00001699">
        <w:rPr>
          <w:b/>
          <w:bCs/>
          <w:sz w:val="20"/>
          <w:szCs w:val="20"/>
          <w:u w:val="single"/>
        </w:rPr>
        <w:t>Original and Subsequent Decrees</w:t>
      </w:r>
      <w:r w:rsidRPr="00001699">
        <w:rPr>
          <w:b/>
          <w:bCs/>
          <w:sz w:val="20"/>
          <w:szCs w:val="20"/>
        </w:rPr>
        <w:t>.</w:t>
      </w:r>
      <w:r w:rsidRPr="00001699">
        <w:rPr>
          <w:sz w:val="20"/>
          <w:szCs w:val="20"/>
        </w:rPr>
        <w:t xml:space="preserve"> </w:t>
      </w:r>
      <w:bookmarkStart w:id="14" w:name="_Hlk202447495"/>
      <w:r w:rsidRPr="00001699">
        <w:rPr>
          <w:sz w:val="20"/>
          <w:szCs w:val="20"/>
        </w:rPr>
        <w:t xml:space="preserve">The conditional California Park Reservoir water right was originally decreed by the District Court of Moffat County, in Civil Action No. 2259, dated May 30, 1972. Subsequent findings of diligence were entered by the District Court, Water Division 6, in Case Nos. </w:t>
      </w:r>
      <w:bookmarkEnd w:id="14"/>
      <w:r w:rsidRPr="00001699">
        <w:rPr>
          <w:sz w:val="20"/>
          <w:szCs w:val="20"/>
        </w:rPr>
        <w:t xml:space="preserve">W-144 dated January 14, 1974, W-144-76 dated November 14, 1979, 80CW49 dated March 17, 1982, 85CW107 dated February 20, 1986, 89CW101 dated August 30, 1990, 96CW63 dated February 24, 1997, 03CW14 dated February 11, 2004, 10CW15 dated September 24, 2012, and 18CW3032 dated November 12, 2019. The place of storage for the conditional water right was changed from California Park Reservoir to Elkhead Creek Reservoir in Case No. 93CW131, Water Division 6, dated May 12, 1998. </w:t>
      </w:r>
      <w:r w:rsidRPr="00001699">
        <w:rPr>
          <w:b/>
          <w:sz w:val="20"/>
          <w:szCs w:val="20"/>
        </w:rPr>
        <w:t xml:space="preserve">4. </w:t>
      </w:r>
      <w:r w:rsidRPr="00001699">
        <w:rPr>
          <w:b/>
          <w:sz w:val="20"/>
          <w:szCs w:val="20"/>
          <w:u w:val="single"/>
        </w:rPr>
        <w:t>Description of Conditional Storage Right</w:t>
      </w:r>
      <w:r w:rsidRPr="00001699">
        <w:rPr>
          <w:b/>
          <w:sz w:val="20"/>
          <w:szCs w:val="20"/>
        </w:rPr>
        <w:t xml:space="preserve">. </w:t>
      </w:r>
      <w:r w:rsidRPr="00001699">
        <w:rPr>
          <w:iCs/>
          <w:sz w:val="20"/>
          <w:szCs w:val="20"/>
        </w:rPr>
        <w:t>(</w:t>
      </w:r>
      <w:r w:rsidRPr="00001699">
        <w:rPr>
          <w:sz w:val="20"/>
          <w:szCs w:val="20"/>
        </w:rPr>
        <w:t xml:space="preserve">a) </w:t>
      </w:r>
      <w:bookmarkStart w:id="15" w:name="_Hlk202447693"/>
      <w:r w:rsidRPr="00001699">
        <w:rPr>
          <w:sz w:val="20"/>
          <w:szCs w:val="20"/>
          <w:u w:val="single"/>
        </w:rPr>
        <w:t>Name of Structure</w:t>
      </w:r>
      <w:r w:rsidRPr="00001699">
        <w:rPr>
          <w:sz w:val="20"/>
          <w:szCs w:val="20"/>
        </w:rPr>
        <w:t xml:space="preserve">. Elkhead Creek Reservoir [WDID 4403902]. (b) </w:t>
      </w:r>
      <w:r w:rsidRPr="00001699">
        <w:rPr>
          <w:sz w:val="20"/>
          <w:szCs w:val="20"/>
          <w:u w:val="single"/>
        </w:rPr>
        <w:t>Location</w:t>
      </w:r>
      <w:r w:rsidRPr="00001699">
        <w:rPr>
          <w:sz w:val="20"/>
          <w:szCs w:val="20"/>
        </w:rPr>
        <w:t xml:space="preserve">. The Elkhead Creek Reservoir dam is in Section 16, Township 7 North, Range 89 West of the 6th P.M., in Moffat County. The initial point of survey of the high water line of the reservoir is located at a point whence the South Quarter Corner of said Section 16 bears South 34°47ʹ13ʺ East 869.37 feet. CDSS describes the location as Zone 13, NAD 83, Easting 298257.0, Northing 4492473.0. A map showing the general location of the reservoir is attached as </w:t>
      </w:r>
      <w:r w:rsidRPr="00001699">
        <w:rPr>
          <w:sz w:val="20"/>
          <w:szCs w:val="20"/>
          <w:u w:val="single"/>
        </w:rPr>
        <w:t>Exhibit A</w:t>
      </w:r>
      <w:r w:rsidRPr="00001699">
        <w:rPr>
          <w:sz w:val="20"/>
          <w:szCs w:val="20"/>
        </w:rPr>
        <w:t xml:space="preserve">. (c) </w:t>
      </w:r>
      <w:r w:rsidRPr="00001699">
        <w:rPr>
          <w:sz w:val="20"/>
          <w:szCs w:val="20"/>
          <w:u w:val="single"/>
        </w:rPr>
        <w:t>Source</w:t>
      </w:r>
      <w:r w:rsidRPr="00001699">
        <w:rPr>
          <w:sz w:val="20"/>
          <w:szCs w:val="20"/>
        </w:rPr>
        <w:t xml:space="preserve">. Elkhead Creek and its tributaries, tributary to the Yampa River. (d) </w:t>
      </w:r>
      <w:r w:rsidRPr="00001699">
        <w:rPr>
          <w:sz w:val="20"/>
          <w:szCs w:val="20"/>
          <w:u w:val="single"/>
        </w:rPr>
        <w:t>Appropriation Date</w:t>
      </w:r>
      <w:r w:rsidRPr="00001699">
        <w:rPr>
          <w:sz w:val="20"/>
          <w:szCs w:val="20"/>
        </w:rPr>
        <w:t xml:space="preserve">. August 7, 1962. (e) </w:t>
      </w:r>
      <w:r w:rsidRPr="00001699">
        <w:rPr>
          <w:sz w:val="20"/>
          <w:szCs w:val="20"/>
          <w:u w:val="single"/>
        </w:rPr>
        <w:t>Amount</w:t>
      </w:r>
      <w:r w:rsidRPr="00001699">
        <w:rPr>
          <w:sz w:val="20"/>
          <w:szCs w:val="20"/>
        </w:rPr>
        <w:t xml:space="preserve">. 4,945.39 acre-feet, conditional. (f) </w:t>
      </w:r>
      <w:r w:rsidRPr="00001699">
        <w:rPr>
          <w:sz w:val="20"/>
          <w:szCs w:val="20"/>
          <w:u w:val="single"/>
        </w:rPr>
        <w:t>Uses</w:t>
      </w:r>
      <w:r w:rsidRPr="00001699">
        <w:rPr>
          <w:sz w:val="20"/>
          <w:szCs w:val="20"/>
        </w:rPr>
        <w:t xml:space="preserve">. </w:t>
      </w:r>
      <w:bookmarkEnd w:id="15"/>
      <w:r w:rsidRPr="00001699">
        <w:rPr>
          <w:sz w:val="20"/>
          <w:szCs w:val="20"/>
        </w:rPr>
        <w:t xml:space="preserve">Irrigation, domestic, municipal, stockwater, industrial, power generation, and recreational uses. </w:t>
      </w:r>
      <w:r w:rsidRPr="00001699">
        <w:rPr>
          <w:b/>
          <w:bCs/>
          <w:sz w:val="20"/>
          <w:szCs w:val="20"/>
        </w:rPr>
        <w:t xml:space="preserve">5. </w:t>
      </w:r>
      <w:r w:rsidRPr="00001699">
        <w:rPr>
          <w:b/>
          <w:sz w:val="20"/>
          <w:szCs w:val="20"/>
          <w:u w:val="single"/>
        </w:rPr>
        <w:t>Claim to Make Absolute in Part</w:t>
      </w:r>
      <w:r w:rsidRPr="00001699">
        <w:rPr>
          <w:b/>
          <w:sz w:val="20"/>
          <w:szCs w:val="20"/>
        </w:rPr>
        <w:t xml:space="preserve">. </w:t>
      </w:r>
      <w:bookmarkStart w:id="16" w:name="_Hlk202447932"/>
      <w:r w:rsidRPr="00001699">
        <w:rPr>
          <w:sz w:val="20"/>
          <w:szCs w:val="20"/>
        </w:rPr>
        <w:t xml:space="preserve">Applicant seeks to have </w:t>
      </w:r>
      <w:bookmarkEnd w:id="16"/>
      <w:r w:rsidRPr="00001699">
        <w:rPr>
          <w:sz w:val="20"/>
          <w:szCs w:val="20"/>
        </w:rPr>
        <w:t xml:space="preserve">4,413 acre-feet of the conditional right described above made absolute. An engineering report prepared by the City’s water resources consultants, Wilson Water Group (“WWG”), supporting this claim is attached hereto as </w:t>
      </w:r>
      <w:r w:rsidRPr="00001699">
        <w:rPr>
          <w:sz w:val="20"/>
          <w:szCs w:val="20"/>
          <w:u w:val="single"/>
        </w:rPr>
        <w:t>Exhibit B</w:t>
      </w:r>
      <w:r w:rsidRPr="00001699">
        <w:rPr>
          <w:sz w:val="20"/>
          <w:szCs w:val="20"/>
        </w:rPr>
        <w:t xml:space="preserve">. As shown in the Elkhead Reservoir accounting, a total of 4,413 acre-feet was legally stored in-priority under the California Park Reservoir water right between May 17, 2024 and June 18, 2024 under an accounting protocol approved by the Division Engineer’s Office. All storage was during periods in which the California Park Reservoir right was in-priority. Accordingly, </w:t>
      </w:r>
      <w:bookmarkStart w:id="17" w:name="_Hlk193907119"/>
      <w:r w:rsidRPr="00001699">
        <w:rPr>
          <w:sz w:val="20"/>
          <w:szCs w:val="20"/>
        </w:rPr>
        <w:t xml:space="preserve">4,413 acre-feet of the conditional right </w:t>
      </w:r>
      <w:bookmarkEnd w:id="17"/>
      <w:r w:rsidRPr="00001699">
        <w:rPr>
          <w:sz w:val="20"/>
          <w:szCs w:val="20"/>
        </w:rPr>
        <w:t xml:space="preserve">should be recognized as absolute. </w:t>
      </w:r>
      <w:r w:rsidRPr="00001699">
        <w:rPr>
          <w:b/>
          <w:bCs/>
          <w:sz w:val="20"/>
          <w:szCs w:val="20"/>
        </w:rPr>
        <w:t>6.</w:t>
      </w:r>
      <w:r w:rsidRPr="00001699">
        <w:rPr>
          <w:sz w:val="20"/>
          <w:szCs w:val="20"/>
        </w:rPr>
        <w:t xml:space="preserve"> </w:t>
      </w:r>
      <w:r w:rsidRPr="00001699">
        <w:rPr>
          <w:b/>
          <w:sz w:val="20"/>
          <w:szCs w:val="20"/>
          <w:u w:val="single"/>
        </w:rPr>
        <w:t>Claim for Finding of Reasonable Diligence</w:t>
      </w:r>
      <w:r w:rsidRPr="00001699">
        <w:rPr>
          <w:b/>
          <w:sz w:val="20"/>
          <w:szCs w:val="20"/>
        </w:rPr>
        <w:t>.</w:t>
      </w:r>
      <w:r w:rsidRPr="00001699">
        <w:rPr>
          <w:bCs/>
          <w:sz w:val="20"/>
          <w:szCs w:val="20"/>
        </w:rPr>
        <w:t xml:space="preserve"> </w:t>
      </w:r>
      <w:r w:rsidRPr="00001699">
        <w:rPr>
          <w:bCs/>
          <w:iCs/>
          <w:sz w:val="20"/>
          <w:szCs w:val="20"/>
        </w:rPr>
        <w:t xml:space="preserve">Applicant also seeks to continue as conditional the California Park Reservoir storage right </w:t>
      </w:r>
      <w:r w:rsidRPr="00001699">
        <w:rPr>
          <w:sz w:val="20"/>
          <w:szCs w:val="20"/>
        </w:rPr>
        <w:t xml:space="preserve">not made absolute in this matter </w:t>
      </w:r>
      <w:r w:rsidRPr="00001699">
        <w:rPr>
          <w:bCs/>
          <w:iCs/>
          <w:sz w:val="20"/>
          <w:szCs w:val="20"/>
        </w:rPr>
        <w:t xml:space="preserve">for its remaining decreed amount and uses. In addition to storing water in-priority for its decreed beneficial uses, during the subject diligence period, the following activities were performed to develop the </w:t>
      </w:r>
      <w:r w:rsidRPr="00001699">
        <w:rPr>
          <w:sz w:val="20"/>
          <w:szCs w:val="20"/>
        </w:rPr>
        <w:t xml:space="preserve">California Park Reservoir conditional water </w:t>
      </w:r>
      <w:r w:rsidRPr="00001699">
        <w:rPr>
          <w:bCs/>
          <w:iCs/>
          <w:sz w:val="20"/>
          <w:szCs w:val="20"/>
        </w:rPr>
        <w:t>right:</w:t>
      </w:r>
      <w:r w:rsidRPr="00001699">
        <w:rPr>
          <w:sz w:val="20"/>
          <w:szCs w:val="20"/>
        </w:rPr>
        <w:t xml:space="preserve"> (a) </w:t>
      </w:r>
      <w:r w:rsidRPr="00001699">
        <w:rPr>
          <w:i/>
          <w:iCs/>
          <w:sz w:val="20"/>
          <w:szCs w:val="20"/>
          <w:u w:val="single"/>
        </w:rPr>
        <w:t>Long-Term Water Supply Planning</w:t>
      </w:r>
      <w:r w:rsidRPr="00001699">
        <w:rPr>
          <w:sz w:val="20"/>
          <w:szCs w:val="20"/>
        </w:rPr>
        <w:t xml:space="preserve">. Beginning in 2022, the City of Craig initiated a major technical analysis to determine the sufficiency of all its water supplies against future demands. Applicant obtained the services of WWG, who modeled Applicant’s water rights portfolio yield and compared it against future demands in 2050 under different hydrological and economic scenarios. The resulting report was presented to City Council on April 25, 2023. Overall, this report demonstrates that Applicant has a continued need for the California Park Reservoir water right, as well as its other municipal supplies. (b) </w:t>
      </w:r>
      <w:r w:rsidRPr="00001699">
        <w:rPr>
          <w:i/>
          <w:iCs/>
          <w:sz w:val="20"/>
          <w:szCs w:val="20"/>
          <w:u w:val="single"/>
        </w:rPr>
        <w:t>California Park Reservoir Water Report</w:t>
      </w:r>
      <w:r w:rsidRPr="00001699">
        <w:rPr>
          <w:sz w:val="20"/>
          <w:szCs w:val="20"/>
        </w:rPr>
        <w:t xml:space="preserve">. In addition, pursuant to paragraph 16 of the decree entered in Case No. 18CW3032, Applicant is required to prepare and submit a water rights report specific to its conditional water rights portfolio in Elkhead Creek Reservoir. That report was to identify, among other things, how the subject conditional right can be developed from a physical and legal standpoint. Work on this water rights plan may be considered evidence of diligence towards development of the California Park storage right. A copy of this report, completed by WWG, is attached hereto as </w:t>
      </w:r>
      <w:r w:rsidRPr="00001699">
        <w:rPr>
          <w:sz w:val="20"/>
          <w:szCs w:val="20"/>
          <w:u w:val="single"/>
        </w:rPr>
        <w:t>Exhibit C</w:t>
      </w:r>
      <w:r w:rsidRPr="00001699">
        <w:rPr>
          <w:sz w:val="20"/>
          <w:szCs w:val="20"/>
        </w:rPr>
        <w:t xml:space="preserve">. (c) </w:t>
      </w:r>
      <w:r w:rsidRPr="00001699">
        <w:rPr>
          <w:i/>
          <w:iCs/>
          <w:sz w:val="20"/>
          <w:szCs w:val="20"/>
          <w:u w:val="single"/>
        </w:rPr>
        <w:t>Revised Elkhead Reservoir Accounting</w:t>
      </w:r>
      <w:r w:rsidRPr="00001699">
        <w:rPr>
          <w:sz w:val="20"/>
          <w:szCs w:val="20"/>
        </w:rPr>
        <w:t xml:space="preserve">. In the process of preparing the above-referenced reports, WWG also identified improvements to the Elkhead Creek Reservoir. WWG worked with the Division Engineer’s Office, the Colorado River Water Conservation District, and the Yampa Project </w:t>
      </w:r>
      <w:r w:rsidRPr="00001699">
        <w:rPr>
          <w:sz w:val="20"/>
          <w:szCs w:val="20"/>
        </w:rPr>
        <w:lastRenderedPageBreak/>
        <w:t xml:space="preserve">Participants to revise and update the accounting, which is now in place. (d) </w:t>
      </w:r>
      <w:r w:rsidRPr="00001699">
        <w:rPr>
          <w:i/>
          <w:iCs/>
          <w:sz w:val="20"/>
          <w:szCs w:val="20"/>
          <w:u w:val="single"/>
        </w:rPr>
        <w:t>Lease of Elkhead Reservoir Water</w:t>
      </w:r>
      <w:r w:rsidRPr="00001699">
        <w:rPr>
          <w:sz w:val="20"/>
          <w:szCs w:val="20"/>
        </w:rPr>
        <w:t xml:space="preserve">. As part of the City’s ongoing work optimizing its water rights portfolio, it determined that water is available in Elkhead Creek Reservoir on a temporary basis. Applicant’s legal counsel prepared a template lease agreement, and discussions are undergoing both with private landowners adjacent to the reservoir and Colorado Parks and Wildlife to use water stored in Elkhead Creek Reservoir for irrigation, commercial, municipal, and recreational uses. (e) </w:t>
      </w:r>
      <w:r w:rsidRPr="00001699">
        <w:rPr>
          <w:i/>
          <w:iCs/>
          <w:sz w:val="20"/>
          <w:szCs w:val="20"/>
          <w:u w:val="single"/>
        </w:rPr>
        <w:t>Elkhead Automation System</w:t>
      </w:r>
      <w:r w:rsidRPr="00001699">
        <w:rPr>
          <w:sz w:val="20"/>
          <w:szCs w:val="20"/>
        </w:rPr>
        <w:t xml:space="preserve">. The City improved its automation system at Elkhead Reservoir so that it can continuously monitor in real time the reservoir level, discharge, and other relevant operations information. This data is tracked in the SCADA system used by the City at the water treatment plant. Applicant also developed an automated way of extracting SCADA data to import it into the Elkhead Reservoir accounting spreadsheet developed by WWG. This will all assist Elkhead Reservoir operations and storage pool operations. (f) </w:t>
      </w:r>
      <w:r w:rsidRPr="00001699">
        <w:rPr>
          <w:i/>
          <w:iCs/>
          <w:sz w:val="20"/>
          <w:szCs w:val="20"/>
          <w:u w:val="single"/>
        </w:rPr>
        <w:t>Maintenance of Facilities</w:t>
      </w:r>
      <w:r w:rsidRPr="00001699">
        <w:rPr>
          <w:sz w:val="20"/>
          <w:szCs w:val="20"/>
        </w:rPr>
        <w:t>. Applicant has also maintained and repaired inflow and outflow structures and equipment, including measuring devices. This is in addition to the general operational costs of operating Elkhead Creek Reservoir. (g)</w:t>
      </w:r>
      <w:r w:rsidRPr="00001699">
        <w:rPr>
          <w:i/>
          <w:iCs/>
          <w:sz w:val="20"/>
          <w:szCs w:val="20"/>
        </w:rPr>
        <w:t xml:space="preserve"> </w:t>
      </w:r>
      <w:r w:rsidRPr="00001699">
        <w:rPr>
          <w:i/>
          <w:iCs/>
          <w:sz w:val="20"/>
          <w:szCs w:val="20"/>
          <w:u w:val="single"/>
        </w:rPr>
        <w:t>Moffat County Blanket Augmentation Plan</w:t>
      </w:r>
      <w:r w:rsidRPr="00001699">
        <w:rPr>
          <w:sz w:val="20"/>
          <w:szCs w:val="20"/>
        </w:rPr>
        <w:t xml:space="preserve">. Applicant filed a Statement of Opposition in Case No. 23CW3025 in order to ensure that its water rights in Elkhead Creek Reservoir and the Yampa River are not adversely affected, and to work cooperatively with Moffat County to ensure that the blanket augmentation plan applied for in this case is operated for the benefit of the City and the surrounding areas. (h) </w:t>
      </w:r>
      <w:r w:rsidRPr="00001699">
        <w:rPr>
          <w:i/>
          <w:iCs/>
          <w:sz w:val="20"/>
          <w:szCs w:val="20"/>
          <w:u w:val="single"/>
        </w:rPr>
        <w:t>Yampa River Corridor Project</w:t>
      </w:r>
      <w:r w:rsidRPr="00001699">
        <w:rPr>
          <w:sz w:val="20"/>
          <w:szCs w:val="20"/>
        </w:rPr>
        <w:t xml:space="preserve">. For the last decade, the City has been working to implement the community vision for the Yampa River Corridor Project, including a fish-friendly, in-channel recreational water feature constructed near the City’s municipal water intake structure. Releases from Elkhead Creek Reservoir and re-diversions at the City’s municipal intake will benefit from all the work performed to improve the river corridor. (i) </w:t>
      </w:r>
      <w:r w:rsidRPr="00001699">
        <w:rPr>
          <w:i/>
          <w:iCs/>
          <w:sz w:val="20"/>
          <w:szCs w:val="20"/>
          <w:u w:val="single"/>
        </w:rPr>
        <w:t>Roundtable Participation</w:t>
      </w:r>
      <w:r w:rsidRPr="00001699">
        <w:rPr>
          <w:sz w:val="20"/>
          <w:szCs w:val="20"/>
        </w:rPr>
        <w:t xml:space="preserve">. The City has continued to participate in the Yampa- White-Green Basin Roundtable, including seeking funding for its other improvement projects conducted during the due diligence period. (j) </w:t>
      </w:r>
      <w:r w:rsidRPr="00001699">
        <w:rPr>
          <w:i/>
          <w:iCs/>
          <w:sz w:val="20"/>
          <w:szCs w:val="20"/>
          <w:u w:val="single"/>
        </w:rPr>
        <w:t>Accounting Submittals</w:t>
      </w:r>
      <w:r w:rsidRPr="00001699">
        <w:rPr>
          <w:i/>
          <w:iCs/>
          <w:sz w:val="20"/>
          <w:szCs w:val="20"/>
        </w:rPr>
        <w:t>.</w:t>
      </w:r>
      <w:r w:rsidRPr="00001699">
        <w:rPr>
          <w:sz w:val="20"/>
          <w:szCs w:val="20"/>
        </w:rPr>
        <w:t xml:space="preserve"> Applicant, with the assistance of WWG, continues to prepare and submit accounting for Craig’s water rights as required by the City’s decrees and the Division Engineer’s Office. (k) </w:t>
      </w:r>
      <w:r w:rsidRPr="00001699">
        <w:rPr>
          <w:i/>
          <w:iCs/>
          <w:sz w:val="20"/>
          <w:szCs w:val="20"/>
          <w:u w:val="single"/>
        </w:rPr>
        <w:t>General Legal and Engineering Costs</w:t>
      </w:r>
      <w:r w:rsidRPr="00001699">
        <w:rPr>
          <w:sz w:val="20"/>
          <w:szCs w:val="20"/>
        </w:rPr>
        <w:t xml:space="preserve">. Applicant has also incurred general legal and engineering costs relating to Elkhead Creek Reservoir over the last six years. </w:t>
      </w:r>
      <w:r w:rsidRPr="00001699">
        <w:rPr>
          <w:b/>
          <w:bCs/>
          <w:sz w:val="20"/>
          <w:szCs w:val="20"/>
        </w:rPr>
        <w:t xml:space="preserve">7. </w:t>
      </w:r>
      <w:r w:rsidRPr="00001699">
        <w:rPr>
          <w:b/>
          <w:sz w:val="20"/>
          <w:szCs w:val="20"/>
          <w:u w:val="single"/>
        </w:rPr>
        <w:t>Name and Address of Landowner upon which any New or Modified Diversion or Storage Structure is Located, Including Any Modification to the Storage Pool</w:t>
      </w:r>
      <w:r w:rsidRPr="00001699">
        <w:rPr>
          <w:b/>
          <w:sz w:val="20"/>
          <w:szCs w:val="20"/>
        </w:rPr>
        <w:t>.</w:t>
      </w:r>
      <w:r w:rsidRPr="00001699">
        <w:rPr>
          <w:sz w:val="20"/>
          <w:szCs w:val="20"/>
        </w:rPr>
        <w:t xml:space="preserve"> There are no new or modified diversion structures associated with the California Park Reservoir conditional right. Applicant has the legal right to use lands inundated by Elkhead Creek Reservoir, either through ownership in fee or agreements with other parties. WHEREFORE, the City of Craig respectfully requests that the Water Court enter a decree finding and concluding that (i) 4,413 acre-feet was stored in Elkhead Creek Reservoir under the California Park Reservoir water right, and therefore the right has been made absolute for such amount for all decreed uses, and (ii) Applicant has been reasonably diligent in the development of the California Park Reservoir conditional water right, and the right or portions thereof not made absolute in this matter are continued in full force and effect for an additional six-year period or until such time as a determination is made that the right has been made absolute or otherwise disposed of. (6 pages plus exhibits)</w:t>
      </w:r>
    </w:p>
    <w:bookmarkEnd w:id="7"/>
    <w:bookmarkEnd w:id="8"/>
    <w:bookmarkEnd w:id="9"/>
    <w:bookmarkEnd w:id="10"/>
    <w:p w14:paraId="36085AB5" w14:textId="77777777" w:rsidR="00BE5B91" w:rsidRDefault="00BE5B91" w:rsidP="00BE5B91">
      <w:pPr>
        <w:jc w:val="both"/>
        <w:rPr>
          <w:b/>
          <w:sz w:val="20"/>
          <w:szCs w:val="20"/>
        </w:rPr>
      </w:pPr>
    </w:p>
    <w:p w14:paraId="3E221F22" w14:textId="77777777" w:rsidR="008F48DD" w:rsidRPr="00BD6E88" w:rsidRDefault="008F48DD" w:rsidP="008F48DD">
      <w:pPr>
        <w:tabs>
          <w:tab w:val="left" w:pos="-1200"/>
          <w:tab w:val="left" w:pos="-840"/>
          <w:tab w:val="left" w:pos="-120"/>
        </w:tabs>
        <w:jc w:val="both"/>
        <w:rPr>
          <w:sz w:val="20"/>
          <w:szCs w:val="20"/>
        </w:rPr>
      </w:pPr>
      <w:r w:rsidRPr="00BD6E88">
        <w:rPr>
          <w:b/>
          <w:bCs/>
          <w:sz w:val="20"/>
          <w:szCs w:val="20"/>
        </w:rPr>
        <w:t>2025CW3037 MOFFAT COUNTY</w:t>
      </w:r>
      <w:r w:rsidRPr="00BD6E88">
        <w:rPr>
          <w:sz w:val="20"/>
          <w:szCs w:val="20"/>
        </w:rPr>
        <w:t xml:space="preserve">, </w:t>
      </w:r>
      <w:r w:rsidRPr="00BD6E88">
        <w:rPr>
          <w:b/>
          <w:bCs/>
          <w:sz w:val="20"/>
          <w:szCs w:val="20"/>
        </w:rPr>
        <w:t>Application for Absolute Water Right and Conditional Water Right</w:t>
      </w:r>
      <w:r w:rsidRPr="00BD6E88">
        <w:rPr>
          <w:sz w:val="20"/>
          <w:szCs w:val="20"/>
        </w:rPr>
        <w:t xml:space="preserve">. </w:t>
      </w:r>
      <w:bookmarkStart w:id="18" w:name="_Hlk215045276"/>
      <w:r w:rsidRPr="00BD6E88">
        <w:rPr>
          <w:sz w:val="20"/>
          <w:szCs w:val="20"/>
        </w:rPr>
        <w:t xml:space="preserve">Applicant: Joel Mayne; </w:t>
      </w:r>
      <w:r w:rsidRPr="00BD6E88">
        <w:rPr>
          <w:i/>
          <w:sz w:val="20"/>
          <w:szCs w:val="20"/>
        </w:rPr>
        <w:t xml:space="preserve">please direct all correspondence to Applicant’s attorneys: </w:t>
      </w:r>
      <w:r w:rsidRPr="00BD6E88">
        <w:rPr>
          <w:sz w:val="20"/>
          <w:szCs w:val="20"/>
        </w:rPr>
        <w:t xml:space="preserve">Mary Elizabeth Geiger, Garfield &amp; Hecht, P.C., 910 Grand Avenue, Suite 201, Glenwood Springs, CO 81601, (970)947-1936, </w:t>
      </w:r>
      <w:hyperlink r:id="rId6" w:history="1">
        <w:r w:rsidRPr="00BD6E88">
          <w:rPr>
            <w:rStyle w:val="Hyperlink"/>
            <w:rFonts w:eastAsiaTheme="majorEastAsia"/>
            <w:sz w:val="20"/>
            <w:szCs w:val="20"/>
          </w:rPr>
          <w:t>megeiger@garfieldhecht.com</w:t>
        </w:r>
      </w:hyperlink>
      <w:r w:rsidRPr="00BD6E88">
        <w:rPr>
          <w:sz w:val="20"/>
          <w:szCs w:val="20"/>
        </w:rPr>
        <w:t>.</w:t>
      </w:r>
      <w:bookmarkEnd w:id="18"/>
      <w:r w:rsidRPr="00BD6E88">
        <w:rPr>
          <w:sz w:val="20"/>
          <w:szCs w:val="20"/>
        </w:rPr>
        <w:t xml:space="preserve"> </w:t>
      </w:r>
      <w:r w:rsidRPr="007363B0">
        <w:rPr>
          <w:i/>
          <w:iCs/>
          <w:sz w:val="20"/>
          <w:szCs w:val="20"/>
          <w:lang w:eastAsia="ja-JP"/>
        </w:rPr>
        <w:t>Name of Structure</w:t>
      </w:r>
      <w:r w:rsidRPr="00BD6E88">
        <w:rPr>
          <w:sz w:val="20"/>
          <w:szCs w:val="20"/>
          <w:lang w:eastAsia="ja-JP"/>
        </w:rPr>
        <w:t xml:space="preserve">: </w:t>
      </w:r>
      <w:r w:rsidRPr="00BD6E88">
        <w:rPr>
          <w:b/>
          <w:bCs/>
          <w:sz w:val="20"/>
          <w:szCs w:val="20"/>
          <w:lang w:eastAsia="ja-JP"/>
        </w:rPr>
        <w:t>Mayne’s</w:t>
      </w:r>
      <w:r w:rsidRPr="00BD6E88">
        <w:rPr>
          <w:b/>
          <w:sz w:val="20"/>
          <w:szCs w:val="20"/>
          <w:lang w:eastAsia="ja-JP"/>
        </w:rPr>
        <w:t xml:space="preserve"> Spring</w:t>
      </w:r>
      <w:r w:rsidRPr="00BD6E88">
        <w:rPr>
          <w:sz w:val="20"/>
          <w:szCs w:val="20"/>
        </w:rPr>
        <w:t xml:space="preserve">. </w:t>
      </w:r>
      <w:r w:rsidRPr="00BD6E88">
        <w:rPr>
          <w:i/>
          <w:iCs/>
          <w:sz w:val="20"/>
          <w:szCs w:val="20"/>
          <w:lang w:eastAsia="ja-JP"/>
        </w:rPr>
        <w:t>Legal Description</w:t>
      </w:r>
      <w:r w:rsidRPr="00BD6E88">
        <w:rPr>
          <w:sz w:val="20"/>
          <w:szCs w:val="20"/>
          <w:lang w:eastAsia="ja-JP"/>
        </w:rPr>
        <w:t>: The spring is located in the NE1/4 SE1/4 of Section 13, Township 11 North, Range 90 West of the 6</w:t>
      </w:r>
      <w:r w:rsidRPr="00BD6E88">
        <w:rPr>
          <w:sz w:val="20"/>
          <w:szCs w:val="20"/>
          <w:vertAlign w:val="superscript"/>
          <w:lang w:eastAsia="ja-JP"/>
        </w:rPr>
        <w:t>th</w:t>
      </w:r>
      <w:r w:rsidRPr="00BD6E88">
        <w:rPr>
          <w:sz w:val="20"/>
          <w:szCs w:val="20"/>
          <w:lang w:eastAsia="ja-JP"/>
        </w:rPr>
        <w:t xml:space="preserve"> P.M., UTM Zone 13N Easting = 295051.44, Northing = 4531241.86</w:t>
      </w:r>
      <w:r w:rsidRPr="00BD6E88">
        <w:rPr>
          <w:sz w:val="20"/>
          <w:szCs w:val="20"/>
        </w:rPr>
        <w:t xml:space="preserve">. </w:t>
      </w:r>
      <w:r w:rsidRPr="00BD6E88">
        <w:rPr>
          <w:i/>
          <w:iCs/>
          <w:sz w:val="20"/>
          <w:szCs w:val="20"/>
          <w:lang w:eastAsia="ja-JP"/>
        </w:rPr>
        <w:t>Source</w:t>
      </w:r>
      <w:r w:rsidRPr="00BD6E88">
        <w:rPr>
          <w:sz w:val="20"/>
          <w:szCs w:val="20"/>
          <w:lang w:eastAsia="ja-JP"/>
        </w:rPr>
        <w:t xml:space="preserve">: spring, tributary to unknown tributary (possibly Willow Creek or First Creek, maybe tributary to the Slater River) to the Little Snake River, tributary to the Yampa River. </w:t>
      </w:r>
      <w:r w:rsidRPr="00BD6E88">
        <w:rPr>
          <w:i/>
          <w:iCs/>
          <w:sz w:val="20"/>
          <w:szCs w:val="20"/>
          <w:lang w:eastAsia="ja-JP"/>
        </w:rPr>
        <w:t>Date of Appropriation</w:t>
      </w:r>
      <w:r w:rsidRPr="00BD6E88">
        <w:rPr>
          <w:sz w:val="20"/>
          <w:szCs w:val="20"/>
          <w:lang w:eastAsia="ja-JP"/>
        </w:rPr>
        <w:t>: September 1, 2016, upon purchase of the property upon which the spring is located and survey location of the spring.</w:t>
      </w:r>
      <w:r w:rsidRPr="00BD6E88">
        <w:rPr>
          <w:sz w:val="20"/>
          <w:szCs w:val="20"/>
        </w:rPr>
        <w:t xml:space="preserve"> </w:t>
      </w:r>
      <w:r w:rsidRPr="00BD6E88">
        <w:rPr>
          <w:i/>
          <w:iCs/>
          <w:sz w:val="20"/>
          <w:szCs w:val="20"/>
          <w:lang w:eastAsia="ja-JP"/>
        </w:rPr>
        <w:t>Amount</w:t>
      </w:r>
      <w:r w:rsidRPr="00BD6E88">
        <w:rPr>
          <w:sz w:val="20"/>
          <w:szCs w:val="20"/>
          <w:lang w:eastAsia="ja-JP"/>
        </w:rPr>
        <w:t>: 3 g.p.m., absolute, for irrigation of 0.75 acres around the cabin, wildlife watering and outside domestic uses.</w:t>
      </w:r>
      <w:r w:rsidRPr="00BD6E88">
        <w:rPr>
          <w:sz w:val="20"/>
          <w:szCs w:val="20"/>
        </w:rPr>
        <w:t xml:space="preserve"> </w:t>
      </w:r>
      <w:r w:rsidRPr="00BD6E88">
        <w:rPr>
          <w:sz w:val="20"/>
          <w:szCs w:val="20"/>
          <w:lang w:eastAsia="ja-JP"/>
        </w:rPr>
        <w:t>2 g.p.m., conditional, for irrigation of an additional 0.25 acres around the cabin, wildlife watering outside domestic uses and wetlands enhancement.</w:t>
      </w:r>
      <w:r w:rsidRPr="00BD6E88">
        <w:rPr>
          <w:sz w:val="20"/>
          <w:szCs w:val="20"/>
        </w:rPr>
        <w:t xml:space="preserve"> </w:t>
      </w:r>
      <w:r w:rsidRPr="00BD6E88">
        <w:rPr>
          <w:i/>
          <w:iCs/>
          <w:sz w:val="20"/>
          <w:szCs w:val="20"/>
          <w:lang w:eastAsia="ja-JP"/>
        </w:rPr>
        <w:t>Use</w:t>
      </w:r>
      <w:r w:rsidRPr="00BD6E88">
        <w:rPr>
          <w:sz w:val="20"/>
          <w:szCs w:val="20"/>
          <w:lang w:eastAsia="ja-JP"/>
        </w:rPr>
        <w:t>: Wildlife watering, lawn irrigation and domestic uses (not potable but associated with cabin).</w:t>
      </w:r>
      <w:r w:rsidRPr="00BD6E88">
        <w:rPr>
          <w:sz w:val="20"/>
          <w:szCs w:val="20"/>
        </w:rPr>
        <w:t xml:space="preserve"> </w:t>
      </w:r>
      <w:r w:rsidRPr="00BD6E88">
        <w:rPr>
          <w:i/>
          <w:iCs/>
          <w:sz w:val="20"/>
          <w:szCs w:val="20"/>
          <w:lang w:eastAsia="ja-JP"/>
        </w:rPr>
        <w:t>Date applied to beneficial use</w:t>
      </w:r>
      <w:r w:rsidRPr="00BD6E88">
        <w:rPr>
          <w:sz w:val="20"/>
          <w:szCs w:val="20"/>
          <w:lang w:eastAsia="ja-JP"/>
        </w:rPr>
        <w:t>: September 4, 2016, by improving spring by removing debris and construction of barrier to hold water and taking water from the spring for irrigation and outside domestic purposes. The spring also provides wildlife watering.</w:t>
      </w:r>
      <w:r w:rsidRPr="00BD6E88">
        <w:rPr>
          <w:sz w:val="20"/>
          <w:szCs w:val="20"/>
        </w:rPr>
        <w:t xml:space="preserve"> </w:t>
      </w:r>
      <w:r w:rsidRPr="00BD6E88">
        <w:rPr>
          <w:i/>
          <w:iCs/>
          <w:sz w:val="20"/>
          <w:szCs w:val="20"/>
          <w:lang w:eastAsia="ja-JP"/>
        </w:rPr>
        <w:t>Owner of land upon which spring is located and used</w:t>
      </w:r>
      <w:r w:rsidRPr="00BD6E88">
        <w:rPr>
          <w:sz w:val="20"/>
          <w:szCs w:val="20"/>
          <w:lang w:eastAsia="ja-JP"/>
        </w:rPr>
        <w:t>: Applicant. (3 pages).</w:t>
      </w:r>
    </w:p>
    <w:p w14:paraId="3E114048" w14:textId="77777777" w:rsidR="008F48DD" w:rsidRPr="00BD6E88" w:rsidRDefault="008F48DD" w:rsidP="008F48DD">
      <w:pPr>
        <w:tabs>
          <w:tab w:val="left" w:pos="-1200"/>
          <w:tab w:val="left" w:pos="-720"/>
          <w:tab w:val="left" w:pos="720"/>
        </w:tabs>
        <w:jc w:val="both"/>
        <w:rPr>
          <w:sz w:val="20"/>
          <w:szCs w:val="20"/>
        </w:rPr>
      </w:pPr>
    </w:p>
    <w:p w14:paraId="65120605" w14:textId="77777777" w:rsidR="00BE5B91" w:rsidRPr="006124DA" w:rsidRDefault="00BE5B91" w:rsidP="00BE5B91">
      <w:pPr>
        <w:pStyle w:val="Heading3"/>
        <w:numPr>
          <w:ilvl w:val="0"/>
          <w:numId w:val="0"/>
        </w:numPr>
        <w:tabs>
          <w:tab w:val="left" w:pos="1530"/>
        </w:tabs>
        <w:spacing w:after="0"/>
        <w:jc w:val="both"/>
        <w:rPr>
          <w:rFonts w:ascii="Times New Roman" w:hAnsi="Times New Roman" w:cs="Times New Roman"/>
          <w:sz w:val="20"/>
          <w:szCs w:val="20"/>
        </w:rPr>
      </w:pPr>
      <w:r w:rsidRPr="006124DA">
        <w:rPr>
          <w:rFonts w:ascii="Times New Roman" w:hAnsi="Times New Roman" w:cs="Times New Roman"/>
          <w:b/>
          <w:sz w:val="20"/>
          <w:szCs w:val="20"/>
        </w:rPr>
        <w:t xml:space="preserve">25CW3038 APPLICATION FOR FINDINGS OF REASONABLE DILIGENCE AND TO MAKE ABSOLUTE IN PART IN </w:t>
      </w:r>
      <w:r w:rsidRPr="006124DA">
        <w:rPr>
          <w:rFonts w:ascii="Times New Roman" w:hAnsi="Times New Roman" w:cs="Times New Roman"/>
          <w:b/>
          <w:sz w:val="20"/>
          <w:szCs w:val="20"/>
          <w:u w:val="single"/>
        </w:rPr>
        <w:t>MOFFAT AND ROUTT COUNTIES, COLORADO</w:t>
      </w:r>
      <w:r w:rsidRPr="006124DA">
        <w:rPr>
          <w:rFonts w:ascii="Times New Roman" w:hAnsi="Times New Roman" w:cs="Times New Roman"/>
          <w:b/>
          <w:sz w:val="20"/>
          <w:szCs w:val="20"/>
        </w:rPr>
        <w:t>.</w:t>
      </w:r>
      <w:r w:rsidRPr="006124DA">
        <w:rPr>
          <w:rFonts w:ascii="Times New Roman" w:hAnsi="Times New Roman" w:cs="Times New Roman"/>
          <w:sz w:val="20"/>
          <w:szCs w:val="20"/>
        </w:rPr>
        <w:t xml:space="preserve"> </w:t>
      </w:r>
      <w:r w:rsidRPr="006124DA">
        <w:rPr>
          <w:rFonts w:ascii="Times New Roman" w:hAnsi="Times New Roman" w:cs="Times New Roman"/>
          <w:b/>
          <w:sz w:val="20"/>
          <w:szCs w:val="20"/>
        </w:rPr>
        <w:t xml:space="preserve">TRI-STATE GENERATION AND TRANSMISSION ASSOCIATION, INC. AND THE YAMPA PROJECT PARTICIPANTS, </w:t>
      </w:r>
      <w:r w:rsidRPr="006124DA">
        <w:rPr>
          <w:rFonts w:ascii="Times New Roman" w:hAnsi="Times New Roman" w:cs="Times New Roman"/>
          <w:bCs w:val="0"/>
          <w:sz w:val="20"/>
          <w:szCs w:val="20"/>
        </w:rPr>
        <w:t>1100 W. 116</w:t>
      </w:r>
      <w:r w:rsidRPr="006124DA">
        <w:rPr>
          <w:rFonts w:ascii="Times New Roman" w:hAnsi="Times New Roman" w:cs="Times New Roman"/>
          <w:bCs w:val="0"/>
          <w:sz w:val="20"/>
          <w:szCs w:val="20"/>
          <w:vertAlign w:val="superscript"/>
        </w:rPr>
        <w:t>th</w:t>
      </w:r>
      <w:r w:rsidRPr="006124DA">
        <w:rPr>
          <w:rFonts w:ascii="Times New Roman" w:hAnsi="Times New Roman" w:cs="Times New Roman"/>
          <w:bCs w:val="0"/>
          <w:sz w:val="20"/>
          <w:szCs w:val="20"/>
        </w:rPr>
        <w:t xml:space="preserve"> Avenue, Westminster, CO</w:t>
      </w:r>
      <w:r w:rsidRPr="006124DA">
        <w:rPr>
          <w:rFonts w:ascii="Times New Roman" w:hAnsi="Times New Roman" w:cs="Times New Roman"/>
          <w:sz w:val="20"/>
          <w:szCs w:val="20"/>
        </w:rPr>
        <w:t xml:space="preserve"> 80234; Email: </w:t>
      </w:r>
      <w:hyperlink r:id="rId7" w:history="1">
        <w:r w:rsidRPr="006124DA">
          <w:rPr>
            <w:rStyle w:val="Hyperlink"/>
            <w:rFonts w:ascii="Times New Roman" w:hAnsi="Times New Roman" w:cs="Times New Roman"/>
            <w:sz w:val="20"/>
            <w:szCs w:val="20"/>
          </w:rPr>
          <w:t>thomas.kennedy@tristategt.org</w:t>
        </w:r>
      </w:hyperlink>
      <w:r w:rsidRPr="006124DA">
        <w:rPr>
          <w:rFonts w:ascii="Times New Roman" w:hAnsi="Times New Roman" w:cs="Times New Roman"/>
          <w:sz w:val="20"/>
          <w:szCs w:val="20"/>
        </w:rPr>
        <w:t>;  Telephone Number: (303) 452-6111. Please address all correspondence for Tri-State Generation and Transmission Association, Inc. to: Aaron S. Ladd, Esq. and Rachel L. Bolt, Esq., Dickinson Wright, PLLC, 1125 17</w:t>
      </w:r>
      <w:r w:rsidRPr="006124DA">
        <w:rPr>
          <w:rFonts w:ascii="Times New Roman" w:hAnsi="Times New Roman" w:cs="Times New Roman"/>
          <w:sz w:val="20"/>
          <w:szCs w:val="20"/>
          <w:vertAlign w:val="superscript"/>
        </w:rPr>
        <w:t>th</w:t>
      </w:r>
      <w:r w:rsidRPr="006124DA">
        <w:rPr>
          <w:rFonts w:ascii="Times New Roman" w:hAnsi="Times New Roman" w:cs="Times New Roman"/>
          <w:sz w:val="20"/>
          <w:szCs w:val="20"/>
        </w:rPr>
        <w:t xml:space="preserve"> Street, Suite 550, Denver, CO 80202; Email: </w:t>
      </w:r>
      <w:hyperlink r:id="rId8" w:history="1">
        <w:r w:rsidRPr="006124DA">
          <w:rPr>
            <w:rStyle w:val="Hyperlink"/>
            <w:rFonts w:ascii="Times New Roman" w:eastAsiaTheme="majorEastAsia" w:hAnsi="Times New Roman" w:cs="Times New Roman"/>
            <w:sz w:val="20"/>
            <w:szCs w:val="20"/>
          </w:rPr>
          <w:t>aladd@dickinson-wright.com</w:t>
        </w:r>
      </w:hyperlink>
      <w:r w:rsidRPr="006124DA">
        <w:rPr>
          <w:rFonts w:ascii="Times New Roman" w:hAnsi="Times New Roman" w:cs="Times New Roman"/>
          <w:sz w:val="20"/>
          <w:szCs w:val="20"/>
        </w:rPr>
        <w:t xml:space="preserve">; </w:t>
      </w:r>
      <w:hyperlink r:id="rId9" w:history="1">
        <w:r w:rsidRPr="006124DA">
          <w:rPr>
            <w:rStyle w:val="Hyperlink"/>
            <w:rFonts w:ascii="Times New Roman" w:eastAsiaTheme="majorEastAsia" w:hAnsi="Times New Roman" w:cs="Times New Roman"/>
            <w:sz w:val="20"/>
            <w:szCs w:val="20"/>
          </w:rPr>
          <w:t>rbolt@dickinson-wright.com</w:t>
        </w:r>
      </w:hyperlink>
      <w:r w:rsidRPr="006124DA">
        <w:rPr>
          <w:rFonts w:ascii="Times New Roman" w:hAnsi="Times New Roman" w:cs="Times New Roman"/>
          <w:sz w:val="20"/>
          <w:szCs w:val="20"/>
        </w:rPr>
        <w:t>; Telephone Number: (303) 723-8400, with a copy to: Roger T. Williams, Tri-State Generation and Transmission Association, Inc, 1100 West 116</w:t>
      </w:r>
      <w:r w:rsidRPr="006124DA">
        <w:rPr>
          <w:rFonts w:ascii="Times New Roman" w:hAnsi="Times New Roman" w:cs="Times New Roman"/>
          <w:sz w:val="20"/>
          <w:szCs w:val="20"/>
          <w:vertAlign w:val="superscript"/>
        </w:rPr>
        <w:t>th</w:t>
      </w:r>
      <w:r w:rsidRPr="006124DA">
        <w:rPr>
          <w:rFonts w:ascii="Times New Roman" w:hAnsi="Times New Roman" w:cs="Times New Roman"/>
          <w:sz w:val="20"/>
          <w:szCs w:val="20"/>
        </w:rPr>
        <w:t xml:space="preserve"> Ave., Westminster, CO 80234; Email: </w:t>
      </w:r>
      <w:hyperlink r:id="rId10" w:history="1">
        <w:r w:rsidRPr="006124DA">
          <w:rPr>
            <w:rStyle w:val="Hyperlink"/>
            <w:rFonts w:ascii="Times New Roman" w:hAnsi="Times New Roman" w:cs="Times New Roman"/>
            <w:sz w:val="20"/>
            <w:szCs w:val="20"/>
          </w:rPr>
          <w:t>rwilliams@tristategt.org</w:t>
        </w:r>
      </w:hyperlink>
      <w:r w:rsidRPr="006124DA">
        <w:rPr>
          <w:rFonts w:ascii="Times New Roman" w:hAnsi="Times New Roman" w:cs="Times New Roman"/>
          <w:sz w:val="20"/>
          <w:szCs w:val="20"/>
        </w:rPr>
        <w:t xml:space="preserve">; Telephone Number: (303) 254-3218. 2. </w:t>
      </w:r>
      <w:r w:rsidRPr="006124DA">
        <w:rPr>
          <w:rFonts w:ascii="Times New Roman" w:hAnsi="Times New Roman" w:cs="Times New Roman"/>
          <w:sz w:val="20"/>
          <w:szCs w:val="20"/>
          <w:u w:val="single"/>
        </w:rPr>
        <w:t>Applicants request findings of reasonable diligence and to make absolute in part with regard to their interests in the following water right: California Park Reservoir</w:t>
      </w:r>
      <w:r w:rsidRPr="006124DA">
        <w:rPr>
          <w:rFonts w:ascii="Times New Roman" w:hAnsi="Times New Roman" w:cs="Times New Roman"/>
          <w:sz w:val="20"/>
          <w:szCs w:val="20"/>
        </w:rPr>
        <w:t xml:space="preserve">: A. </w:t>
      </w:r>
      <w:r w:rsidRPr="006124DA">
        <w:rPr>
          <w:rFonts w:ascii="Times New Roman" w:hAnsi="Times New Roman" w:cs="Times New Roman"/>
          <w:i/>
          <w:iCs/>
          <w:sz w:val="20"/>
          <w:szCs w:val="20"/>
        </w:rPr>
        <w:t>Prior Decrees</w:t>
      </w:r>
      <w:r w:rsidRPr="006124DA">
        <w:rPr>
          <w:rFonts w:ascii="Times New Roman" w:hAnsi="Times New Roman" w:cs="Times New Roman"/>
          <w:sz w:val="20"/>
          <w:szCs w:val="20"/>
        </w:rPr>
        <w:t xml:space="preserve">: </w:t>
      </w:r>
      <w:r w:rsidRPr="006124DA">
        <w:rPr>
          <w:rFonts w:ascii="Times New Roman" w:hAnsi="Times New Roman" w:cs="Times New Roman"/>
          <w:iCs/>
          <w:sz w:val="20"/>
          <w:szCs w:val="20"/>
        </w:rPr>
        <w:t xml:space="preserve">May 30, 1972 in Civil Action No. 2259, by the District Court of Moffat County, State of Colorado. </w:t>
      </w:r>
      <w:r w:rsidRPr="006124DA">
        <w:rPr>
          <w:rFonts w:ascii="Times New Roman" w:hAnsi="Times New Roman" w:cs="Times New Roman"/>
          <w:i/>
          <w:iCs/>
          <w:sz w:val="20"/>
          <w:szCs w:val="20"/>
        </w:rPr>
        <w:t xml:space="preserve">Subsequent findings of reasonable diligence: </w:t>
      </w:r>
      <w:r w:rsidRPr="006124DA">
        <w:rPr>
          <w:rFonts w:ascii="Times New Roman" w:hAnsi="Times New Roman" w:cs="Times New Roman"/>
          <w:iCs/>
          <w:sz w:val="20"/>
          <w:szCs w:val="20"/>
        </w:rPr>
        <w:t xml:space="preserve">Case Nos. W-144 on January 14, 1974, W144-76 on November 14, 1979; 80CW49 on March 17, 1982, 85CW107 on February 20, 1986, 89CW101 on August 30, 1990, 96CW63 on February 24, 1997, 03CW14 on February 11, 2004,10CW15 on September 24, 2012, and 18CW3032 on November 12, 2019, all in the District Court in and for Water Division No. 6. B. </w:t>
      </w:r>
      <w:r w:rsidRPr="006124DA">
        <w:rPr>
          <w:rFonts w:ascii="Times New Roman" w:hAnsi="Times New Roman" w:cs="Times New Roman"/>
          <w:i/>
          <w:iCs/>
          <w:sz w:val="20"/>
          <w:szCs w:val="20"/>
        </w:rPr>
        <w:t>Change Decree for Storage in Elkhead Creek Reservoir:</w:t>
      </w:r>
      <w:r w:rsidRPr="006124DA">
        <w:rPr>
          <w:rFonts w:ascii="Times New Roman" w:hAnsi="Times New Roman" w:cs="Times New Roman"/>
          <w:iCs/>
          <w:sz w:val="20"/>
          <w:szCs w:val="20"/>
        </w:rPr>
        <w:t xml:space="preserve"> By the decree entered on May 12, 1998, in Case No. 93CW131, Applicants were granted a change of water right transferring the total amount of the California Park Reservoir decree owned by Applicants (13,699 acre-feet, conditional) to a new place of storage at Elkhead Creek Reservoir. Elkhead Creek Reservoir is located in Section 16, Township 7 North, Range 89 West of the 6</w:t>
      </w:r>
      <w:r w:rsidRPr="006124DA">
        <w:rPr>
          <w:rFonts w:ascii="Times New Roman" w:hAnsi="Times New Roman" w:cs="Times New Roman"/>
          <w:iCs/>
          <w:sz w:val="20"/>
          <w:szCs w:val="20"/>
          <w:vertAlign w:val="superscript"/>
        </w:rPr>
        <w:t>th</w:t>
      </w:r>
      <w:r w:rsidRPr="006124DA">
        <w:rPr>
          <w:rFonts w:ascii="Times New Roman" w:hAnsi="Times New Roman" w:cs="Times New Roman"/>
          <w:iCs/>
          <w:sz w:val="20"/>
          <w:szCs w:val="20"/>
        </w:rPr>
        <w:t xml:space="preserve"> P.M., in Moffat County, Colorado. On April 13, 1998, Applicants were granted a right-of-way by the State of Colorado, acting by and through the State Board of Land Commissioners, providing for a perpetual and exclusive right-of-way over, under and across state trust lands for the use of certain active storage access to and reconstruction, operation and maintenance of that reservoir. C. </w:t>
      </w:r>
      <w:r w:rsidRPr="006124DA">
        <w:rPr>
          <w:rFonts w:ascii="Times New Roman" w:hAnsi="Times New Roman" w:cs="Times New Roman"/>
          <w:i/>
          <w:iCs/>
          <w:sz w:val="20"/>
          <w:szCs w:val="20"/>
        </w:rPr>
        <w:t xml:space="preserve">Original Decreed Location: </w:t>
      </w:r>
      <w:r w:rsidRPr="006124DA">
        <w:rPr>
          <w:rFonts w:ascii="Times New Roman" w:hAnsi="Times New Roman" w:cs="Times New Roman"/>
          <w:iCs/>
          <w:sz w:val="20"/>
          <w:szCs w:val="20"/>
        </w:rPr>
        <w:t>The initial point of survey of California Park Reservoir is located at a point on the right abutment of the dam forming said reservoir whence the southwest corner of Section 17, Township 9 North, Range 87 West of the 6</w:t>
      </w:r>
      <w:r w:rsidRPr="006124DA">
        <w:rPr>
          <w:rFonts w:ascii="Times New Roman" w:hAnsi="Times New Roman" w:cs="Times New Roman"/>
          <w:iCs/>
          <w:sz w:val="20"/>
          <w:szCs w:val="20"/>
          <w:vertAlign w:val="superscript"/>
        </w:rPr>
        <w:t>th</w:t>
      </w:r>
      <w:r w:rsidRPr="006124DA">
        <w:rPr>
          <w:rFonts w:ascii="Times New Roman" w:hAnsi="Times New Roman" w:cs="Times New Roman"/>
          <w:iCs/>
          <w:sz w:val="20"/>
          <w:szCs w:val="20"/>
        </w:rPr>
        <w:t xml:space="preserve"> P.M., bears South 13°14’ West a distance of 262 feet. D. </w:t>
      </w:r>
      <w:r w:rsidRPr="006124DA">
        <w:rPr>
          <w:rFonts w:ascii="Times New Roman" w:hAnsi="Times New Roman" w:cs="Times New Roman"/>
          <w:i/>
          <w:sz w:val="20"/>
          <w:szCs w:val="20"/>
        </w:rPr>
        <w:t>Changed Location (Elkhead Creek Reservoir):</w:t>
      </w:r>
      <w:bookmarkStart w:id="19" w:name="_Hlk214981229"/>
      <w:r w:rsidRPr="006124DA">
        <w:rPr>
          <w:rFonts w:ascii="Times New Roman" w:hAnsi="Times New Roman" w:cs="Times New Roman"/>
          <w:sz w:val="20"/>
          <w:szCs w:val="20"/>
        </w:rPr>
        <w:t xml:space="preserve"> Elkhead Creek Reservoir </w:t>
      </w:r>
      <w:bookmarkEnd w:id="19"/>
      <w:r w:rsidRPr="006124DA">
        <w:rPr>
          <w:rFonts w:ascii="Times New Roman" w:hAnsi="Times New Roman" w:cs="Times New Roman"/>
          <w:sz w:val="20"/>
          <w:szCs w:val="20"/>
        </w:rPr>
        <w:t xml:space="preserve">is located in Section 16, Township 7 North, Range 89 West of the 6th P.M., in Moffat County, Colorado. Alternate description: The dam is located where the South quarter corner of Section 16, Township 7 North, Range 89 West of the 6th P.M. bears South 34°47’13” east, 869.37 feet. A point on the dam is located 370 feet North of the South line and 1637 feet east of the West line of said Section 16. E. </w:t>
      </w:r>
      <w:r w:rsidRPr="006124DA">
        <w:rPr>
          <w:rFonts w:ascii="Times New Roman" w:hAnsi="Times New Roman" w:cs="Times New Roman"/>
          <w:i/>
          <w:iCs/>
          <w:sz w:val="20"/>
          <w:szCs w:val="20"/>
        </w:rPr>
        <w:t xml:space="preserve">Source: </w:t>
      </w:r>
      <w:r w:rsidRPr="006124DA">
        <w:rPr>
          <w:rFonts w:ascii="Times New Roman" w:hAnsi="Times New Roman" w:cs="Times New Roman"/>
          <w:sz w:val="20"/>
          <w:szCs w:val="20"/>
        </w:rPr>
        <w:t xml:space="preserve">Elkhead Creek and its tributaries, which are tributary to the Yampa River. F. </w:t>
      </w:r>
      <w:r w:rsidRPr="006124DA">
        <w:rPr>
          <w:rFonts w:ascii="Times New Roman" w:hAnsi="Times New Roman" w:cs="Times New Roman"/>
          <w:i/>
          <w:iCs/>
          <w:sz w:val="20"/>
          <w:szCs w:val="20"/>
        </w:rPr>
        <w:t>Appropriation Date:</w:t>
      </w:r>
      <w:r w:rsidRPr="006124DA">
        <w:rPr>
          <w:rFonts w:ascii="Times New Roman" w:hAnsi="Times New Roman" w:cs="Times New Roman"/>
          <w:sz w:val="20"/>
          <w:szCs w:val="20"/>
        </w:rPr>
        <w:t xml:space="preserve"> August 7, 1962. G. </w:t>
      </w:r>
      <w:r w:rsidRPr="006124DA">
        <w:rPr>
          <w:rFonts w:ascii="Times New Roman" w:hAnsi="Times New Roman" w:cs="Times New Roman"/>
          <w:i/>
          <w:iCs/>
          <w:sz w:val="20"/>
          <w:szCs w:val="20"/>
        </w:rPr>
        <w:t xml:space="preserve">Amount: </w:t>
      </w:r>
      <w:r w:rsidRPr="006124DA">
        <w:rPr>
          <w:rFonts w:ascii="Times New Roman" w:hAnsi="Times New Roman" w:cs="Times New Roman"/>
          <w:sz w:val="20"/>
          <w:szCs w:val="20"/>
        </w:rPr>
        <w:t xml:space="preserve">Yampa Project Participants own a total of 8,753.61 acre-feet, conditional. By this Application, Yampa Project Participants seek to make 800.61 acre-feet absolute and continue as conditional 7,953 acre-feet, for all decreed uses. H. </w:t>
      </w:r>
      <w:r w:rsidRPr="006124DA">
        <w:rPr>
          <w:rFonts w:ascii="Times New Roman" w:hAnsi="Times New Roman" w:cs="Times New Roman"/>
          <w:i/>
          <w:iCs/>
          <w:sz w:val="20"/>
          <w:szCs w:val="20"/>
        </w:rPr>
        <w:t xml:space="preserve">Uses: </w:t>
      </w:r>
      <w:r w:rsidRPr="006124DA">
        <w:rPr>
          <w:rFonts w:ascii="Times New Roman" w:hAnsi="Times New Roman" w:cs="Times New Roman"/>
          <w:sz w:val="20"/>
          <w:szCs w:val="20"/>
        </w:rPr>
        <w:t xml:space="preserve">Industrial, including power generation, and irrigation, domestic and stockwater uses coincident to the overarching industrial use. I. </w:t>
      </w:r>
      <w:r w:rsidRPr="006124DA">
        <w:rPr>
          <w:rFonts w:ascii="Times New Roman" w:hAnsi="Times New Roman" w:cs="Times New Roman"/>
          <w:i/>
          <w:iCs/>
          <w:sz w:val="20"/>
          <w:szCs w:val="20"/>
        </w:rPr>
        <w:t xml:space="preserve">Map of Structures: </w:t>
      </w:r>
      <w:r w:rsidRPr="006124DA">
        <w:rPr>
          <w:rFonts w:ascii="Times New Roman" w:hAnsi="Times New Roman" w:cs="Times New Roman"/>
          <w:sz w:val="20"/>
          <w:szCs w:val="20"/>
        </w:rPr>
        <w:t xml:space="preserve">A map of the above-structures is attached as </w:t>
      </w:r>
      <w:r w:rsidRPr="006124DA">
        <w:rPr>
          <w:rFonts w:ascii="Times New Roman" w:hAnsi="Times New Roman" w:cs="Times New Roman"/>
          <w:b/>
          <w:bCs w:val="0"/>
          <w:sz w:val="20"/>
          <w:szCs w:val="20"/>
        </w:rPr>
        <w:t xml:space="preserve">Exhibit A. </w:t>
      </w:r>
      <w:r w:rsidRPr="006124DA">
        <w:rPr>
          <w:rFonts w:ascii="Times New Roman" w:hAnsi="Times New Roman" w:cs="Times New Roman"/>
          <w:sz w:val="20"/>
          <w:szCs w:val="20"/>
        </w:rPr>
        <w:t xml:space="preserve">3. </w:t>
      </w:r>
      <w:r w:rsidRPr="006124DA">
        <w:rPr>
          <w:rFonts w:ascii="Times New Roman" w:hAnsi="Times New Roman" w:cs="Times New Roman"/>
          <w:iCs/>
          <w:sz w:val="20"/>
          <w:szCs w:val="20"/>
          <w:u w:val="single"/>
        </w:rPr>
        <w:t>Description of activities undertaken during the diligence period toward the application of the water right to beneficial use:</w:t>
      </w:r>
      <w:r w:rsidRPr="006124DA">
        <w:rPr>
          <w:rFonts w:ascii="Times New Roman" w:hAnsi="Times New Roman" w:cs="Times New Roman"/>
          <w:i/>
          <w:sz w:val="20"/>
          <w:szCs w:val="20"/>
        </w:rPr>
        <w:t xml:space="preserve"> </w:t>
      </w:r>
      <w:r w:rsidRPr="006124DA">
        <w:rPr>
          <w:rFonts w:ascii="Times New Roman" w:hAnsi="Times New Roman" w:cs="Times New Roman"/>
          <w:iCs/>
          <w:sz w:val="20"/>
          <w:szCs w:val="20"/>
        </w:rPr>
        <w:t xml:space="preserve">A. </w:t>
      </w:r>
      <w:r w:rsidRPr="006124DA">
        <w:rPr>
          <w:rFonts w:ascii="Times New Roman" w:hAnsi="Times New Roman" w:cs="Times New Roman"/>
          <w:sz w:val="20"/>
          <w:szCs w:val="20"/>
        </w:rPr>
        <w:t xml:space="preserve">Tri-State is a wholesale electric generation and transmission cooperative association which supplies the electric power requirements of the service area of its owner-members on a non-profit basis through long-term contracts. Prudent utility planning requires long-range water supply planning and development to ensure that the necessary water supply will be available when required to meet increasing demand for electric power. B. The Yampa Project Participants own Units 1 and 2 of the Craig Station Power Plant, a thermal electric power plant consisting of three existing generating units with potential for expansion of use or capacity or upgrade of technology utilizing the same facilities at the same site. Tri-State is one of the Yampa Project Participants and is the operator of the Craig Station Power Plant. The subject conditional water right is part of the integrated water supply system for Craig Station Power Plant, Units 1 and 2. The subject conditional water right is diligently maintained by Tri-State and the other Yampa Project Participants to ensure a long-term secure water supply for Craig Station Power Plant and any possible expansion or installation of, conversion to new technology, or development of replacement generation, and, in addition to the claims to make absolute in part outline below, they desire to continue said conditional right in full force and effect to ensure a long-term water supply for Craig Station. C. The decree in Case No. 03CW14, at paragraph 10, determined that the California Park Reservoir water rights were part of an integrated water supply system together with the conditional water rights owned by the Yampa Participant’s Craig Station Power Plant.  Therefore, any activities undertaken during the diligence period on any water right that is part of these integrated water supply systems supports diligence toward all water rights comprising that system. Tri-State and the Yampa Project Participants have spent substantial sums of money during the diligence period for work related to ensuring adequate water supplies and related water supply facilities for the Craig Station Power Plant, including legal, environmental and other work to maintain these water rights. D. Tri-State and the Yampa Project Participants spent approximately $190,000 for operation, maintenance, and the annual service charge at Elkhead Reservoir during the diligence period. Tri-State and the Yampa Project Participants paid in excess of $360,000 in attorney’s fees for the protection and development of its water rights portfolio, including the subject California Park water right.  These figures include, but are not limited to, (i) development of the water right planning for Elkhead Creek Reservoir required by the decree in Case No. 18CW3032, (ii) filing and pursuing various statements of opposition to applications in the Yampa River basin, and (iii) protesting the inclusion on the abandonment list for direct flow water rights, which protest resulted in maintenance of Tri-State’s and the Yampa Project Participants’ absolute direct flow rights included in the integrated system. Tri-State and the Yampa Project Participants also </w:t>
      </w:r>
      <w:r w:rsidRPr="006124DA">
        <w:rPr>
          <w:rFonts w:ascii="Times New Roman" w:hAnsi="Times New Roman" w:cs="Times New Roman"/>
          <w:sz w:val="20"/>
          <w:szCs w:val="20"/>
        </w:rPr>
        <w:lastRenderedPageBreak/>
        <w:t xml:space="preserve">dedicated significant staff time and resources to the same, including staff engineering and attorney time during the diligence period. E. During the diligence period, Tri-State and the Yampa Project Participants paid in excess of $190,000 for outside water rights engineering consulting, which expenses included engineering support for the abandonment protest and statements of opposition, accounting for Craig Station and Elkhead Reservoir, and analyses of diversion records. This figure also includes development of the water rights report and analysis required by Case No. 18CW3032 and in support of this application. F. </w:t>
      </w:r>
      <w:bookmarkStart w:id="20" w:name="_Hlk215067537"/>
      <w:r w:rsidRPr="006124DA">
        <w:rPr>
          <w:rFonts w:ascii="Times New Roman" w:hAnsi="Times New Roman" w:cs="Times New Roman"/>
          <w:sz w:val="20"/>
          <w:szCs w:val="20"/>
        </w:rPr>
        <w:t>T</w:t>
      </w:r>
      <w:bookmarkStart w:id="21" w:name="_Hlk215065560"/>
      <w:r w:rsidRPr="006124DA">
        <w:rPr>
          <w:rFonts w:ascii="Times New Roman" w:hAnsi="Times New Roman" w:cs="Times New Roman"/>
          <w:sz w:val="20"/>
          <w:szCs w:val="20"/>
        </w:rPr>
        <w:t xml:space="preserve">ri-State and the Yampa Project Participants dedicated significant staff time to the above diligence activities, as well as a number of efforts related to, and in response to, enactment of House Bill 19-1261, by which Colorado established a statewide goal to reduce 2050 greenhouse gas emissions by 90% relative to those levels that existed in 2005. House Bill 19-1261 directed and accelerated Tri-State’s shift from coal generation to renewable generation. Consistent with its “Responsible Energy Plan,” developed during the diligence period, Tri-State is in the process of developing replacement generation for Craig Station following closure of that facility, as well as certain Just Transition objectives; Tri-State and the Yampa Project Participants plan to use the subject water rights to support generation at Craig Station through its planned closure. The water rights should remain available to support future energy generation projects in the Yampa River basin consistent with the State of Colorado’s green energy generation targets. </w:t>
      </w:r>
      <w:bookmarkEnd w:id="20"/>
      <w:bookmarkEnd w:id="21"/>
      <w:r w:rsidRPr="006124DA">
        <w:rPr>
          <w:rFonts w:ascii="Times New Roman" w:hAnsi="Times New Roman" w:cs="Times New Roman"/>
          <w:sz w:val="20"/>
          <w:szCs w:val="20"/>
        </w:rPr>
        <w:t xml:space="preserve">G. Tri-State and the Yampa Project Participants also regularly participate in Yampa River basin water planning meetings and initiatives to protect their water rights on the Yampa River, which includes the Yampa/White Basin Roundtable and Yampa River Flow Coordination meetings. H. This list of activities during the diligence period is not intended to be all inclusive and Applicants reserve the right to provide additional information. 4. </w:t>
      </w:r>
      <w:r w:rsidRPr="006124DA">
        <w:rPr>
          <w:rFonts w:ascii="Times New Roman" w:hAnsi="Times New Roman" w:cs="Times New Roman"/>
          <w:iCs/>
          <w:sz w:val="20"/>
          <w:szCs w:val="20"/>
          <w:u w:val="single"/>
        </w:rPr>
        <w:t>Claim to make absolute in whole or in part:</w:t>
      </w:r>
      <w:r w:rsidRPr="006124DA">
        <w:rPr>
          <w:rFonts w:ascii="Times New Roman" w:hAnsi="Times New Roman" w:cs="Times New Roman"/>
          <w:sz w:val="20"/>
          <w:szCs w:val="20"/>
        </w:rPr>
        <w:t xml:space="preserve"> Yampa Project Participants claim to make absolute 800.61 acre-feet of their California Park water right to complete the initial fill of their storage account in Elkhead Creek Reservoir, for refill of evaporation, and for refill of water released for beneficial use. Analysis of the 2009 storage year supports an absolute claim based on storage of the California Park Reservoir water right in Elkhead Creek Reservoir for the purposes the appropriation was lawfully made, entitling Yampa Project Participants to a decree confirming their make-absolute claim. 5. Names(s)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  No modification of the existing Elkhead Creek Reservoir structure is sought or intended by this Application. A list of the reputed owners whose property is impacted by the existing reservoir structure is attached as </w:t>
      </w:r>
      <w:r w:rsidRPr="006124DA">
        <w:rPr>
          <w:rFonts w:ascii="Times New Roman" w:hAnsi="Times New Roman" w:cs="Times New Roman"/>
          <w:b/>
          <w:bCs w:val="0"/>
          <w:sz w:val="20"/>
          <w:szCs w:val="20"/>
        </w:rPr>
        <w:t>Exhibit B</w:t>
      </w:r>
      <w:r w:rsidRPr="006124DA">
        <w:rPr>
          <w:rFonts w:ascii="Times New Roman" w:hAnsi="Times New Roman" w:cs="Times New Roman"/>
          <w:sz w:val="20"/>
          <w:szCs w:val="20"/>
        </w:rPr>
        <w:t xml:space="preserve"> hereto. WHEREFORE, Applicants respectfully request that the Court enter an order finding that: 1. Tri-State and the Yampa Project Participants have: (1) completed their appropriation of the California Park Reservoir water rights and are entitled to a decree making it absolute in the amount of 800.61 acre-feet by storage of the same for all decreed uses, (2) been reasonably diligent in the development of their interest in the California Park Reservoir water right for all purposes for the remaining 7,953 acre-feet and such is continued in full force and effect.  To the extent any portion of the claimed absolute amount is not confirmed, Tri-State and the Yampa Project Participants seek a decree confirming they have been reasonably diligent in the development of their interest in the California Park Reservoir water right for all purposes and such is continued in full force and effect up to 8,753.61 acre-feet, conditional. 2. That the Court award such other and further relief that it may deem appropriate. (6 Pages, 2 Exhibits)</w:t>
      </w:r>
    </w:p>
    <w:p w14:paraId="5DF8E167" w14:textId="77777777" w:rsidR="00BE5B91" w:rsidRPr="00C706BF" w:rsidRDefault="00BE5B91" w:rsidP="00BE5B91">
      <w:pPr>
        <w:jc w:val="both"/>
        <w:rPr>
          <w:sz w:val="20"/>
          <w:szCs w:val="20"/>
        </w:rPr>
      </w:pPr>
    </w:p>
    <w:p w14:paraId="68206F11" w14:textId="1E01FB55" w:rsidR="00BE5B91" w:rsidRPr="00C706BF" w:rsidRDefault="00BE5B91" w:rsidP="00BE5B91">
      <w:pPr>
        <w:jc w:val="both"/>
        <w:rPr>
          <w:b/>
          <w:sz w:val="20"/>
          <w:szCs w:val="20"/>
        </w:rPr>
      </w:pPr>
      <w:r w:rsidRPr="00C706BF">
        <w:rPr>
          <w:b/>
          <w:sz w:val="20"/>
          <w:szCs w:val="20"/>
        </w:rPr>
        <w:t>The water right claimed by this application may affect in priority any water right claimed or heretofore adjudicated within this division and owners of affected rights must appear to object and protest within the time provided by statute or be forever barred.</w:t>
      </w:r>
    </w:p>
    <w:p w14:paraId="3F51C501" w14:textId="77777777" w:rsidR="00BE5B91" w:rsidRPr="00C706BF" w:rsidRDefault="00BE5B91" w:rsidP="00BE5B91">
      <w:pPr>
        <w:jc w:val="both"/>
        <w:rPr>
          <w:sz w:val="20"/>
          <w:szCs w:val="20"/>
        </w:rPr>
      </w:pPr>
    </w:p>
    <w:p w14:paraId="3EFF8B6F" w14:textId="2CB71BC3" w:rsidR="00BE5B91" w:rsidRPr="00C706BF" w:rsidRDefault="00BE5B91" w:rsidP="00BE5B91">
      <w:pPr>
        <w:jc w:val="both"/>
        <w:rPr>
          <w:sz w:val="20"/>
          <w:szCs w:val="20"/>
        </w:rPr>
      </w:pPr>
      <w:r w:rsidRPr="00C706BF">
        <w:rPr>
          <w:sz w:val="20"/>
          <w:szCs w:val="20"/>
        </w:rPr>
        <w:t xml:space="preserve">You are hereby notified that you will have until the last day of </w:t>
      </w:r>
      <w:r w:rsidR="008F48DD">
        <w:rPr>
          <w:b/>
          <w:sz w:val="20"/>
          <w:szCs w:val="20"/>
        </w:rPr>
        <w:t>January</w:t>
      </w:r>
      <w:r w:rsidRPr="00C706BF">
        <w:rPr>
          <w:b/>
          <w:sz w:val="20"/>
          <w:szCs w:val="20"/>
        </w:rPr>
        <w:t xml:space="preserve"> 202</w:t>
      </w:r>
      <w:r w:rsidR="008F48DD">
        <w:rPr>
          <w:b/>
          <w:sz w:val="20"/>
          <w:szCs w:val="20"/>
        </w:rPr>
        <w:t>6</w:t>
      </w:r>
      <w:r w:rsidRPr="00C706BF">
        <w:rPr>
          <w:b/>
          <w:sz w:val="20"/>
          <w:szCs w:val="20"/>
        </w:rPr>
        <w:t xml:space="preserve"> </w:t>
      </w:r>
      <w:r w:rsidRPr="00C706BF">
        <w:rPr>
          <w:sz w:val="20"/>
          <w:szCs w:val="20"/>
        </w:rPr>
        <w:t>to file with the Water Court a Verified Statement of Opposition, setting forth facts as to why a certain Application should not be granted or why it should be granted only in part or on certain conditions.  A copy of such Statement of Opposition must be served on the Applicant or the Applicant’s Attorney, with an affidavit or certificate of such service being filed with the Water Court, as prescribed by Rule 5, C.R.C.P.  The filing fee for the Statement of Opposition is $192.00, and should be sent to the Clerk of the Water Court, Division 6, 1955 Shield Dr. Unit 200, Steamboat Springs, CO  80487.</w:t>
      </w:r>
    </w:p>
    <w:p w14:paraId="7B3E8DC5" w14:textId="77777777" w:rsidR="009520A6" w:rsidRPr="00C706BF" w:rsidRDefault="003C7C25">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p>
    <w:p w14:paraId="29D1A60B" w14:textId="103266FE" w:rsidR="009520A6" w:rsidRPr="00C706BF" w:rsidRDefault="00BF24DC" w:rsidP="009520A6">
      <w:pPr>
        <w:ind w:left="3600" w:firstLine="720"/>
        <w:rPr>
          <w:sz w:val="20"/>
          <w:szCs w:val="20"/>
        </w:rPr>
      </w:pPr>
      <w:bookmarkStart w:id="22" w:name="_Hlk535226039"/>
      <w:r w:rsidRPr="00C706BF">
        <w:rPr>
          <w:sz w:val="20"/>
          <w:szCs w:val="20"/>
        </w:rPr>
        <w:t xml:space="preserve">CARMMA </w:t>
      </w:r>
      <w:r w:rsidR="00266AEE">
        <w:rPr>
          <w:sz w:val="20"/>
          <w:szCs w:val="20"/>
        </w:rPr>
        <w:t xml:space="preserve">L </w:t>
      </w:r>
      <w:r w:rsidRPr="00C706BF">
        <w:rPr>
          <w:sz w:val="20"/>
          <w:szCs w:val="20"/>
        </w:rPr>
        <w:t>PARKISON</w:t>
      </w:r>
    </w:p>
    <w:p w14:paraId="6ADBC7FD" w14:textId="77777777" w:rsidR="009520A6" w:rsidRPr="00C706BF" w:rsidRDefault="009520A6" w:rsidP="009520A6">
      <w:pPr>
        <w:ind w:left="3600" w:firstLine="720"/>
        <w:rPr>
          <w:sz w:val="20"/>
          <w:szCs w:val="20"/>
        </w:rPr>
      </w:pPr>
      <w:r w:rsidRPr="00C706BF">
        <w:rPr>
          <w:sz w:val="20"/>
          <w:szCs w:val="20"/>
        </w:rPr>
        <w:t>CLERK OF COURT</w:t>
      </w:r>
    </w:p>
    <w:p w14:paraId="0C942681" w14:textId="77777777" w:rsidR="003C7C25" w:rsidRPr="00C706BF" w:rsidRDefault="003C7C25" w:rsidP="009520A6">
      <w:pPr>
        <w:ind w:left="3600" w:firstLine="720"/>
        <w:rPr>
          <w:sz w:val="20"/>
          <w:szCs w:val="20"/>
        </w:rPr>
      </w:pPr>
      <w:r w:rsidRPr="00C706BF">
        <w:rPr>
          <w:sz w:val="20"/>
          <w:szCs w:val="20"/>
        </w:rPr>
        <w:t>ROUTT COUNTY COMBINED COURT</w:t>
      </w:r>
    </w:p>
    <w:p w14:paraId="2A95E46D" w14:textId="77777777" w:rsidR="003C7C25" w:rsidRPr="00C706BF" w:rsidRDefault="003C7C25">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t>WATER DIVISION 6</w:t>
      </w:r>
    </w:p>
    <w:bookmarkEnd w:id="11"/>
    <w:p w14:paraId="536900F7" w14:textId="77777777" w:rsidR="003C7C25" w:rsidRPr="00C706BF" w:rsidRDefault="003C7C25">
      <w:pPr>
        <w:rPr>
          <w:sz w:val="20"/>
          <w:szCs w:val="20"/>
        </w:rPr>
      </w:pPr>
    </w:p>
    <w:p w14:paraId="7E56D5A0" w14:textId="72CBC568" w:rsidR="003C7C25" w:rsidRPr="00C706BF" w:rsidRDefault="009520A6">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003C7C25" w:rsidRPr="00C706BF">
        <w:rPr>
          <w:sz w:val="20"/>
          <w:szCs w:val="20"/>
          <w:u w:val="single"/>
        </w:rPr>
        <w:t xml:space="preserve">/s/ </w:t>
      </w:r>
      <w:r w:rsidR="00C706BF">
        <w:rPr>
          <w:sz w:val="20"/>
          <w:szCs w:val="20"/>
          <w:u w:val="single"/>
        </w:rPr>
        <w:t>Carmma L. Parkison</w:t>
      </w:r>
      <w:r w:rsidR="007C20EB" w:rsidRPr="00C706BF">
        <w:rPr>
          <w:sz w:val="20"/>
          <w:szCs w:val="20"/>
          <w:u w:val="single"/>
        </w:rPr>
        <w:t xml:space="preserve"> </w:t>
      </w:r>
    </w:p>
    <w:p w14:paraId="644E496B" w14:textId="79BD6EBB" w:rsidR="003C7C25" w:rsidRPr="00C706BF" w:rsidRDefault="009520A6">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bookmarkEnd w:id="5"/>
      <w:bookmarkEnd w:id="12"/>
      <w:bookmarkEnd w:id="13"/>
      <w:bookmarkEnd w:id="22"/>
      <w:r w:rsidR="00C706BF">
        <w:rPr>
          <w:sz w:val="20"/>
          <w:szCs w:val="20"/>
        </w:rPr>
        <w:t>Clerk of Court</w:t>
      </w:r>
    </w:p>
    <w:sectPr w:rsidR="003C7C25" w:rsidRPr="00C706BF" w:rsidSect="00A91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C45FE"/>
    <w:multiLevelType w:val="multilevel"/>
    <w:tmpl w:val="C6124580"/>
    <w:lvl w:ilvl="0">
      <w:start w:val="1"/>
      <w:numFmt w:val="decimal"/>
      <w:lvlRestart w:val="0"/>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0894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AB"/>
    <w:rsid w:val="00031A61"/>
    <w:rsid w:val="000465AD"/>
    <w:rsid w:val="000B59FC"/>
    <w:rsid w:val="000C23A9"/>
    <w:rsid w:val="000D6981"/>
    <w:rsid w:val="00105E85"/>
    <w:rsid w:val="00137193"/>
    <w:rsid w:val="00160DBC"/>
    <w:rsid w:val="00165866"/>
    <w:rsid w:val="001975EB"/>
    <w:rsid w:val="001F6AFF"/>
    <w:rsid w:val="002320BF"/>
    <w:rsid w:val="00266AEE"/>
    <w:rsid w:val="00276EA8"/>
    <w:rsid w:val="002947D7"/>
    <w:rsid w:val="002C42EC"/>
    <w:rsid w:val="002C48EC"/>
    <w:rsid w:val="002D2352"/>
    <w:rsid w:val="002D3E40"/>
    <w:rsid w:val="002E55F9"/>
    <w:rsid w:val="002F092B"/>
    <w:rsid w:val="002F0C51"/>
    <w:rsid w:val="00301544"/>
    <w:rsid w:val="003252D3"/>
    <w:rsid w:val="00353365"/>
    <w:rsid w:val="003719D3"/>
    <w:rsid w:val="0037657D"/>
    <w:rsid w:val="00393DA6"/>
    <w:rsid w:val="003A3F00"/>
    <w:rsid w:val="003C7C25"/>
    <w:rsid w:val="003D4679"/>
    <w:rsid w:val="003F036F"/>
    <w:rsid w:val="003F251C"/>
    <w:rsid w:val="00445368"/>
    <w:rsid w:val="00461280"/>
    <w:rsid w:val="004719F9"/>
    <w:rsid w:val="004801E6"/>
    <w:rsid w:val="00486975"/>
    <w:rsid w:val="00487ACF"/>
    <w:rsid w:val="004B0C3B"/>
    <w:rsid w:val="004B2478"/>
    <w:rsid w:val="004B6BD3"/>
    <w:rsid w:val="004D6C04"/>
    <w:rsid w:val="004E2BF2"/>
    <w:rsid w:val="004E431E"/>
    <w:rsid w:val="004F3829"/>
    <w:rsid w:val="005108A9"/>
    <w:rsid w:val="00510B9A"/>
    <w:rsid w:val="00514491"/>
    <w:rsid w:val="005413C4"/>
    <w:rsid w:val="00556BC7"/>
    <w:rsid w:val="00562971"/>
    <w:rsid w:val="0056784C"/>
    <w:rsid w:val="005770F0"/>
    <w:rsid w:val="005B05B3"/>
    <w:rsid w:val="005D2BF1"/>
    <w:rsid w:val="006079CB"/>
    <w:rsid w:val="0061401B"/>
    <w:rsid w:val="006207C6"/>
    <w:rsid w:val="006223D6"/>
    <w:rsid w:val="0064274D"/>
    <w:rsid w:val="006F6BEC"/>
    <w:rsid w:val="00707D3D"/>
    <w:rsid w:val="00720B01"/>
    <w:rsid w:val="0074488F"/>
    <w:rsid w:val="00764203"/>
    <w:rsid w:val="00784893"/>
    <w:rsid w:val="007C20EB"/>
    <w:rsid w:val="007D2362"/>
    <w:rsid w:val="007F3CB4"/>
    <w:rsid w:val="007F7825"/>
    <w:rsid w:val="008553DE"/>
    <w:rsid w:val="00855FDC"/>
    <w:rsid w:val="00873B48"/>
    <w:rsid w:val="00882001"/>
    <w:rsid w:val="008A4214"/>
    <w:rsid w:val="008E426A"/>
    <w:rsid w:val="008F48DD"/>
    <w:rsid w:val="009203C9"/>
    <w:rsid w:val="009520A6"/>
    <w:rsid w:val="00982504"/>
    <w:rsid w:val="009854DB"/>
    <w:rsid w:val="009A153C"/>
    <w:rsid w:val="009C55D6"/>
    <w:rsid w:val="00A732C8"/>
    <w:rsid w:val="00A77F63"/>
    <w:rsid w:val="00A91785"/>
    <w:rsid w:val="00AA1DDC"/>
    <w:rsid w:val="00B04FFC"/>
    <w:rsid w:val="00B34C23"/>
    <w:rsid w:val="00B43948"/>
    <w:rsid w:val="00BB7F99"/>
    <w:rsid w:val="00BC00DD"/>
    <w:rsid w:val="00BC3CDA"/>
    <w:rsid w:val="00BE5B91"/>
    <w:rsid w:val="00BF24DC"/>
    <w:rsid w:val="00C16E0A"/>
    <w:rsid w:val="00C26BFA"/>
    <w:rsid w:val="00C26DE4"/>
    <w:rsid w:val="00C61EA8"/>
    <w:rsid w:val="00C706BF"/>
    <w:rsid w:val="00C7535D"/>
    <w:rsid w:val="00C77148"/>
    <w:rsid w:val="00CC0339"/>
    <w:rsid w:val="00CE6389"/>
    <w:rsid w:val="00D47FE5"/>
    <w:rsid w:val="00DA6127"/>
    <w:rsid w:val="00DB3D45"/>
    <w:rsid w:val="00DF287F"/>
    <w:rsid w:val="00DF56B7"/>
    <w:rsid w:val="00E073B0"/>
    <w:rsid w:val="00E122D2"/>
    <w:rsid w:val="00E408AB"/>
    <w:rsid w:val="00E60A9E"/>
    <w:rsid w:val="00E93631"/>
    <w:rsid w:val="00EC3DAB"/>
    <w:rsid w:val="00ED0306"/>
    <w:rsid w:val="00EE3FB7"/>
    <w:rsid w:val="00EE60C6"/>
    <w:rsid w:val="00F13F49"/>
    <w:rsid w:val="00F1469E"/>
    <w:rsid w:val="00F35055"/>
    <w:rsid w:val="00F42C8B"/>
    <w:rsid w:val="00F707AD"/>
    <w:rsid w:val="00F7092B"/>
    <w:rsid w:val="00FF1B29"/>
    <w:rsid w:val="00FF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669F5"/>
  <w15:docId w15:val="{3E92E17C-D336-4E5F-B6B8-6108C9C1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1" w:unhideWhenUsed="1" w:qFormat="1"/>
    <w:lsdException w:name="heading 3" w:locked="1" w:semiHidden="1" w:uiPriority="1" w:unhideWhenUsed="1" w:qFormat="1"/>
    <w:lsdException w:name="heading 4" w:locked="1" w:semiHidden="1" w:uiPriority="1" w:unhideWhenUsed="1" w:qFormat="1"/>
    <w:lsdException w:name="heading 5" w:locked="1" w:semiHidden="1" w:uiPriority="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A9E"/>
    <w:rPr>
      <w:sz w:val="24"/>
      <w:szCs w:val="24"/>
    </w:rPr>
  </w:style>
  <w:style w:type="paragraph" w:styleId="Heading1">
    <w:name w:val="heading 1"/>
    <w:basedOn w:val="Normal"/>
    <w:next w:val="DWBTSingle"/>
    <w:link w:val="Heading1Char"/>
    <w:uiPriority w:val="1"/>
    <w:qFormat/>
    <w:locked/>
    <w:rsid w:val="00BE5B91"/>
    <w:pPr>
      <w:numPr>
        <w:numId w:val="1"/>
      </w:numPr>
      <w:spacing w:after="240"/>
      <w:outlineLvl w:val="0"/>
    </w:pPr>
    <w:rPr>
      <w:rFonts w:ascii="Palatino Linotype" w:hAnsi="Palatino Linotype" w:cs="Arial"/>
      <w:bCs/>
      <w:kern w:val="28"/>
      <w:szCs w:val="28"/>
    </w:rPr>
  </w:style>
  <w:style w:type="paragraph" w:styleId="Heading2">
    <w:name w:val="heading 2"/>
    <w:basedOn w:val="Normal"/>
    <w:next w:val="DWBTSingle"/>
    <w:link w:val="Heading2Char"/>
    <w:uiPriority w:val="1"/>
    <w:qFormat/>
    <w:locked/>
    <w:rsid w:val="00BE5B91"/>
    <w:pPr>
      <w:numPr>
        <w:ilvl w:val="1"/>
        <w:numId w:val="1"/>
      </w:numPr>
      <w:spacing w:after="240"/>
      <w:outlineLvl w:val="1"/>
    </w:pPr>
    <w:rPr>
      <w:rFonts w:ascii="Palatino Linotype" w:hAnsi="Palatino Linotype" w:cs="Arial"/>
      <w:bCs/>
      <w:szCs w:val="26"/>
    </w:rPr>
  </w:style>
  <w:style w:type="paragraph" w:styleId="Heading3">
    <w:name w:val="heading 3"/>
    <w:basedOn w:val="Normal"/>
    <w:next w:val="DWBTSingle"/>
    <w:link w:val="Heading3Char"/>
    <w:uiPriority w:val="1"/>
    <w:qFormat/>
    <w:locked/>
    <w:rsid w:val="00BE5B91"/>
    <w:pPr>
      <w:numPr>
        <w:ilvl w:val="2"/>
        <w:numId w:val="1"/>
      </w:numPr>
      <w:spacing w:after="240"/>
      <w:outlineLvl w:val="2"/>
    </w:pPr>
    <w:rPr>
      <w:rFonts w:ascii="Palatino Linotype" w:hAnsi="Palatino Linotype" w:cs="Arial"/>
      <w:bCs/>
    </w:rPr>
  </w:style>
  <w:style w:type="paragraph" w:styleId="Heading4">
    <w:name w:val="heading 4"/>
    <w:basedOn w:val="Normal"/>
    <w:next w:val="DWBTSingle"/>
    <w:link w:val="Heading4Char"/>
    <w:uiPriority w:val="1"/>
    <w:qFormat/>
    <w:locked/>
    <w:rsid w:val="00BE5B91"/>
    <w:pPr>
      <w:numPr>
        <w:ilvl w:val="3"/>
        <w:numId w:val="1"/>
      </w:numPr>
      <w:spacing w:after="240"/>
      <w:outlineLvl w:val="3"/>
    </w:pPr>
    <w:rPr>
      <w:rFonts w:ascii="Palatino Linotype" w:hAnsi="Palatino Linotype" w:cs="Arial"/>
      <w:bCs/>
      <w:iCs/>
    </w:rPr>
  </w:style>
  <w:style w:type="paragraph" w:styleId="Heading5">
    <w:name w:val="heading 5"/>
    <w:basedOn w:val="Normal"/>
    <w:next w:val="DWBTSingle"/>
    <w:link w:val="Heading5Char"/>
    <w:uiPriority w:val="1"/>
    <w:qFormat/>
    <w:locked/>
    <w:rsid w:val="00BE5B91"/>
    <w:pPr>
      <w:numPr>
        <w:ilvl w:val="4"/>
        <w:numId w:val="1"/>
      </w:numPr>
      <w:spacing w:after="240"/>
      <w:outlineLvl w:val="4"/>
    </w:pPr>
    <w:rPr>
      <w:rFonts w:ascii="Palatino Linotype" w:hAnsi="Palatino Linotype"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E5B91"/>
    <w:rPr>
      <w:rFonts w:ascii="Palatino Linotype" w:hAnsi="Palatino Linotype" w:cs="Arial"/>
      <w:bCs/>
      <w:kern w:val="28"/>
      <w:sz w:val="24"/>
      <w:szCs w:val="28"/>
    </w:rPr>
  </w:style>
  <w:style w:type="character" w:customStyle="1" w:styleId="Heading2Char">
    <w:name w:val="Heading 2 Char"/>
    <w:basedOn w:val="DefaultParagraphFont"/>
    <w:link w:val="Heading2"/>
    <w:uiPriority w:val="1"/>
    <w:rsid w:val="00BE5B91"/>
    <w:rPr>
      <w:rFonts w:ascii="Palatino Linotype" w:hAnsi="Palatino Linotype" w:cs="Arial"/>
      <w:bCs/>
      <w:sz w:val="24"/>
      <w:szCs w:val="26"/>
    </w:rPr>
  </w:style>
  <w:style w:type="character" w:customStyle="1" w:styleId="Heading3Char">
    <w:name w:val="Heading 3 Char"/>
    <w:basedOn w:val="DefaultParagraphFont"/>
    <w:link w:val="Heading3"/>
    <w:uiPriority w:val="1"/>
    <w:rsid w:val="00BE5B91"/>
    <w:rPr>
      <w:rFonts w:ascii="Palatino Linotype" w:hAnsi="Palatino Linotype" w:cs="Arial"/>
      <w:bCs/>
      <w:sz w:val="24"/>
      <w:szCs w:val="24"/>
    </w:rPr>
  </w:style>
  <w:style w:type="character" w:customStyle="1" w:styleId="Heading4Char">
    <w:name w:val="Heading 4 Char"/>
    <w:basedOn w:val="DefaultParagraphFont"/>
    <w:link w:val="Heading4"/>
    <w:uiPriority w:val="1"/>
    <w:rsid w:val="00BE5B91"/>
    <w:rPr>
      <w:rFonts w:ascii="Palatino Linotype" w:hAnsi="Palatino Linotype" w:cs="Arial"/>
      <w:bCs/>
      <w:iCs/>
      <w:sz w:val="24"/>
      <w:szCs w:val="24"/>
    </w:rPr>
  </w:style>
  <w:style w:type="character" w:customStyle="1" w:styleId="Heading5Char">
    <w:name w:val="Heading 5 Char"/>
    <w:basedOn w:val="DefaultParagraphFont"/>
    <w:link w:val="Heading5"/>
    <w:uiPriority w:val="1"/>
    <w:rsid w:val="00BE5B91"/>
    <w:rPr>
      <w:rFonts w:ascii="Palatino Linotype" w:hAnsi="Palatino Linotype" w:cs="Arial"/>
      <w:sz w:val="24"/>
      <w:szCs w:val="24"/>
    </w:rPr>
  </w:style>
  <w:style w:type="paragraph" w:customStyle="1" w:styleId="DWBTSingle">
    <w:name w:val="DWBTSingle"/>
    <w:basedOn w:val="Normal"/>
    <w:qFormat/>
    <w:rsid w:val="00BE5B91"/>
    <w:pPr>
      <w:spacing w:after="240"/>
    </w:pPr>
    <w:rPr>
      <w:rFonts w:ascii="Palatino Linotype" w:hAnsi="Palatino Linotype" w:cs="Arial"/>
    </w:rPr>
  </w:style>
  <w:style w:type="character" w:styleId="Hyperlink">
    <w:name w:val="Hyperlink"/>
    <w:basedOn w:val="DefaultParagraphFont"/>
    <w:uiPriority w:val="99"/>
    <w:unhideWhenUsed/>
    <w:rsid w:val="00BE5B91"/>
    <w:rPr>
      <w:color w:val="0000FF" w:themeColor="hyperlink"/>
      <w:u w:val="single"/>
    </w:rPr>
  </w:style>
  <w:style w:type="paragraph" w:styleId="ListParagraph">
    <w:name w:val="List Paragraph"/>
    <w:basedOn w:val="Normal"/>
    <w:link w:val="ListParagraphChar"/>
    <w:uiPriority w:val="34"/>
    <w:qFormat/>
    <w:rsid w:val="008F48DD"/>
    <w:pPr>
      <w:widowControl w:val="0"/>
      <w:autoSpaceDE w:val="0"/>
      <w:autoSpaceDN w:val="0"/>
      <w:ind w:left="720"/>
      <w:contextualSpacing/>
    </w:pPr>
    <w:rPr>
      <w:rFonts w:ascii="Century Schoolbook" w:hAnsi="Century Schoolbook"/>
    </w:rPr>
  </w:style>
  <w:style w:type="character" w:customStyle="1" w:styleId="ListParagraphChar">
    <w:name w:val="List Paragraph Char"/>
    <w:basedOn w:val="DefaultParagraphFont"/>
    <w:link w:val="ListParagraph"/>
    <w:uiPriority w:val="34"/>
    <w:rsid w:val="008F48DD"/>
    <w:rPr>
      <w:rFonts w:ascii="Century Schoolbook" w:hAnsi="Century School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add@dickinson-wright.com" TargetMode="External"/><Relationship Id="rId3" Type="http://schemas.openxmlformats.org/officeDocument/2006/relationships/settings" Target="settings.xml"/><Relationship Id="rId7" Type="http://schemas.openxmlformats.org/officeDocument/2006/relationships/hyperlink" Target="mailto:thomas.kennedy@tristateg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geiger@garfieldhecht.com" TargetMode="External"/><Relationship Id="rId11" Type="http://schemas.openxmlformats.org/officeDocument/2006/relationships/fontTable" Target="fontTable.xml"/><Relationship Id="rId5" Type="http://schemas.openxmlformats.org/officeDocument/2006/relationships/hyperlink" Target="mailto:Claire@ColoradoWaterMatters.com" TargetMode="External"/><Relationship Id="rId10" Type="http://schemas.openxmlformats.org/officeDocument/2006/relationships/hyperlink" Target="mailto:rwilliams@tristategt.org" TargetMode="External"/><Relationship Id="rId4" Type="http://schemas.openxmlformats.org/officeDocument/2006/relationships/webSettings" Target="webSettings.xml"/><Relationship Id="rId9" Type="http://schemas.openxmlformats.org/officeDocument/2006/relationships/hyperlink" Target="mailto:rbolt@dickinson-wr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4510</Words>
  <Characters>25707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Colorado State Judicial</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Courts</dc:creator>
  <cp:lastModifiedBy>parkison, carmma</cp:lastModifiedBy>
  <cp:revision>3</cp:revision>
  <dcterms:created xsi:type="dcterms:W3CDTF">2025-12-02T19:52:00Z</dcterms:created>
  <dcterms:modified xsi:type="dcterms:W3CDTF">2025-12-02T20:01:00Z</dcterms:modified>
</cp:coreProperties>
</file>