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F973" w14:textId="7B742783" w:rsidR="00CA41CC" w:rsidRPr="00914128" w:rsidRDefault="0068336D" w:rsidP="00914128">
      <w:pPr>
        <w:pStyle w:val="Heading1"/>
      </w:pPr>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BC789A" w:rsidP="00914128">
      <w:pPr>
        <w:pStyle w:val="ToC"/>
      </w:pPr>
      <w:hyperlink w:anchor="IntroNote" w:history="1">
        <w:r w:rsidRPr="00BC789A">
          <w:rPr>
            <w:rStyle w:val="Hyperlink"/>
          </w:rPr>
          <w:t>Introductory Note</w:t>
        </w:r>
      </w:hyperlink>
    </w:p>
    <w:p w14:paraId="2D675AB9" w14:textId="77777777" w:rsidR="00EC7C98" w:rsidRDefault="000029B0" w:rsidP="00914128">
      <w:pPr>
        <w:pStyle w:val="ToC"/>
      </w:pPr>
      <w:hyperlink w:anchor="a22_01" w:history="1">
        <w:r w:rsidRPr="00171705">
          <w:rPr>
            <w:rStyle w:val="Hyperlink"/>
          </w:rPr>
          <w:t>22:1</w:t>
        </w:r>
      </w:hyperlink>
      <w:r w:rsidRPr="00171705">
        <w:t xml:space="preserve"> </w:t>
      </w:r>
      <w:r w:rsidRPr="00171705">
        <w:tab/>
        <w:t xml:space="preserve">Libel </w:t>
      </w:r>
      <w:r>
        <w:t>o</w:t>
      </w:r>
      <w:r w:rsidRPr="00171705">
        <w:t xml:space="preserve">r Slander Per Se — Where </w:t>
      </w:r>
      <w:r>
        <w:t>t</w:t>
      </w:r>
      <w:r w:rsidRPr="00171705">
        <w:t xml:space="preserve">he Plaintiff Is </w:t>
      </w:r>
      <w:r>
        <w:t>a</w:t>
      </w:r>
      <w:r w:rsidRPr="00171705">
        <w:t xml:space="preserve"> Public Official </w:t>
      </w:r>
      <w:r>
        <w:t>o</w:t>
      </w:r>
      <w:r w:rsidRPr="00171705">
        <w:t xml:space="preserve">r Public Person </w:t>
      </w:r>
      <w:r>
        <w:t>or, If a</w:t>
      </w:r>
      <w:r w:rsidRPr="00171705">
        <w:t xml:space="preserve"> Private Person, </w:t>
      </w:r>
      <w:r>
        <w:t>t</w:t>
      </w:r>
      <w:r w:rsidRPr="00171705">
        <w:t xml:space="preserve">he Statement Pertained </w:t>
      </w:r>
      <w:r>
        <w:t>t</w:t>
      </w:r>
      <w:r w:rsidRPr="00171705">
        <w:t xml:space="preserve">o </w:t>
      </w:r>
      <w:r>
        <w:t>a</w:t>
      </w:r>
      <w:r w:rsidRPr="00171705">
        <w:t xml:space="preserve"> Matter </w:t>
      </w:r>
      <w:r>
        <w:t>o</w:t>
      </w:r>
      <w:r w:rsidRPr="00171705">
        <w:t xml:space="preserve">f Public Interest </w:t>
      </w:r>
      <w:r>
        <w:t>o</w:t>
      </w:r>
      <w:r w:rsidRPr="00171705">
        <w:t xml:space="preserve">r General Concern — Elements </w:t>
      </w:r>
      <w:r>
        <w:t>o</w:t>
      </w:r>
      <w:r w:rsidRPr="00171705">
        <w:t>f Liability</w:t>
      </w:r>
    </w:p>
    <w:p w14:paraId="71104771" w14:textId="77777777" w:rsidR="00171705" w:rsidRDefault="000029B0" w:rsidP="00914128">
      <w:pPr>
        <w:pStyle w:val="ToC"/>
      </w:pPr>
      <w:hyperlink w:anchor="a22_02" w:history="1">
        <w:r w:rsidRPr="00171705">
          <w:rPr>
            <w:rStyle w:val="Hyperlink"/>
          </w:rPr>
          <w:t>22:2</w:t>
        </w:r>
      </w:hyperlink>
      <w:r w:rsidRPr="00171705">
        <w:tab/>
        <w:t xml:space="preserve">Libel </w:t>
      </w:r>
      <w:r>
        <w:t xml:space="preserve">or </w:t>
      </w:r>
      <w:r w:rsidRPr="00171705">
        <w:t xml:space="preserve">Slander Per Quod — Where </w:t>
      </w:r>
      <w:r>
        <w:t xml:space="preserve">the </w:t>
      </w:r>
      <w:r w:rsidRPr="00171705">
        <w:t>Plaintiff Is</w:t>
      </w:r>
      <w:r>
        <w:t xml:space="preserve"> a </w:t>
      </w:r>
      <w:r w:rsidRPr="00171705">
        <w:t xml:space="preserve">Public Official </w:t>
      </w:r>
      <w:r>
        <w:t xml:space="preserve">or </w:t>
      </w:r>
      <w:r w:rsidRPr="00171705">
        <w:t xml:space="preserve">Public Person </w:t>
      </w:r>
      <w:r w:rsidR="00BC789A">
        <w:t>o</w:t>
      </w:r>
      <w:r w:rsidRPr="00171705">
        <w:t>r, If</w:t>
      </w:r>
      <w:r>
        <w:t xml:space="preserve"> a </w:t>
      </w:r>
      <w:r w:rsidRPr="00171705">
        <w:t xml:space="preserve">Private Person, </w:t>
      </w:r>
      <w:r>
        <w:t xml:space="preserve">the </w:t>
      </w:r>
      <w:r w:rsidRPr="00171705">
        <w:t xml:space="preserve">Statement Pertained </w:t>
      </w:r>
      <w:r>
        <w:t xml:space="preserve">to a </w:t>
      </w:r>
      <w:r w:rsidRPr="00171705">
        <w:t xml:space="preserve">Matter </w:t>
      </w:r>
      <w:r>
        <w:t xml:space="preserve">of </w:t>
      </w:r>
      <w:r w:rsidRPr="00171705">
        <w:t xml:space="preserve">Public Interest </w:t>
      </w:r>
      <w:r>
        <w:t xml:space="preserve">or </w:t>
      </w:r>
      <w:r w:rsidRPr="00171705">
        <w:t xml:space="preserve">General Concern — Elements </w:t>
      </w:r>
      <w:r>
        <w:t xml:space="preserve">of </w:t>
      </w:r>
      <w:r w:rsidRPr="00171705">
        <w:t>Liability</w:t>
      </w:r>
    </w:p>
    <w:p w14:paraId="1891AAE5" w14:textId="77777777" w:rsidR="00171705" w:rsidRDefault="000029B0" w:rsidP="00914128">
      <w:pPr>
        <w:pStyle w:val="ToC"/>
      </w:pPr>
      <w:hyperlink w:anchor="a22_03" w:history="1">
        <w:r w:rsidRPr="00171705">
          <w:rPr>
            <w:rStyle w:val="Hyperlink"/>
          </w:rPr>
          <w:t>22:3</w:t>
        </w:r>
      </w:hyperlink>
      <w:r w:rsidRPr="00171705">
        <w:t xml:space="preserve"> </w:t>
      </w:r>
      <w:r w:rsidRPr="00171705">
        <w:tab/>
        <w:t xml:space="preserve">Reckless Disregard Defined — Where </w:t>
      </w:r>
      <w:r>
        <w:t xml:space="preserve">the </w:t>
      </w:r>
      <w:r w:rsidRPr="00171705">
        <w:t>Plaintiff Is</w:t>
      </w:r>
      <w:r>
        <w:t xml:space="preserve"> a </w:t>
      </w:r>
      <w:r w:rsidRPr="00171705">
        <w:t xml:space="preserve">Public Official </w:t>
      </w:r>
      <w:r>
        <w:t xml:space="preserve">or </w:t>
      </w:r>
      <w:r w:rsidRPr="00171705">
        <w:t xml:space="preserve">Public Person </w:t>
      </w:r>
      <w:r w:rsidR="00BC789A">
        <w:t>o</w:t>
      </w:r>
      <w:r w:rsidRPr="00171705">
        <w:t>r, If</w:t>
      </w:r>
      <w:r>
        <w:t xml:space="preserve"> a </w:t>
      </w:r>
      <w:r w:rsidRPr="00171705">
        <w:t xml:space="preserve">Private Person, </w:t>
      </w:r>
      <w:r>
        <w:t xml:space="preserve">the </w:t>
      </w:r>
      <w:r w:rsidRPr="00171705">
        <w:t xml:space="preserve">Statement Pertained </w:t>
      </w:r>
      <w:r>
        <w:t xml:space="preserve">to a </w:t>
      </w:r>
      <w:r w:rsidRPr="00171705">
        <w:t xml:space="preserve">Matter </w:t>
      </w:r>
      <w:r>
        <w:t xml:space="preserve">of </w:t>
      </w:r>
      <w:r w:rsidRPr="00171705">
        <w:t xml:space="preserve">Public Interest </w:t>
      </w:r>
      <w:r>
        <w:t xml:space="preserve">or </w:t>
      </w:r>
      <w:r w:rsidRPr="00171705">
        <w:t>General Concern</w:t>
      </w:r>
    </w:p>
    <w:p w14:paraId="2755DBF3" w14:textId="77777777" w:rsidR="00171705" w:rsidRDefault="000029B0" w:rsidP="00914128">
      <w:pPr>
        <w:pStyle w:val="ToC"/>
      </w:pPr>
      <w:hyperlink w:anchor="a22_04" w:history="1">
        <w:r w:rsidRPr="00171705">
          <w:rPr>
            <w:rStyle w:val="Hyperlink"/>
          </w:rPr>
          <w:t>22:4</w:t>
        </w:r>
      </w:hyperlink>
      <w:r w:rsidRPr="00171705">
        <w:t xml:space="preserve"> </w:t>
      </w:r>
      <w:r w:rsidRPr="00171705">
        <w:tab/>
        <w:t xml:space="preserve">Libel </w:t>
      </w:r>
      <w:r>
        <w:t xml:space="preserve">or </w:t>
      </w:r>
      <w:r w:rsidRPr="00171705">
        <w:t>Slander Per Se — In</w:t>
      </w:r>
      <w:r>
        <w:t xml:space="preserve"> a </w:t>
      </w:r>
      <w:r w:rsidRPr="00171705">
        <w:t>Private Matter Where Plaintiff Is</w:t>
      </w:r>
      <w:r>
        <w:t xml:space="preserve"> a </w:t>
      </w:r>
      <w:r w:rsidRPr="00171705">
        <w:t xml:space="preserve">Private Person — Elements </w:t>
      </w:r>
      <w:r>
        <w:t xml:space="preserve">of </w:t>
      </w:r>
      <w:r w:rsidRPr="00171705">
        <w:t>Liability</w:t>
      </w:r>
    </w:p>
    <w:p w14:paraId="23E3BB11" w14:textId="77777777" w:rsidR="00171705" w:rsidRDefault="000029B0" w:rsidP="00914128">
      <w:pPr>
        <w:pStyle w:val="ToC"/>
      </w:pPr>
      <w:hyperlink w:anchor="a22_05" w:history="1">
        <w:r w:rsidRPr="00171705">
          <w:rPr>
            <w:rStyle w:val="Hyperlink"/>
          </w:rPr>
          <w:t>22:5</w:t>
        </w:r>
      </w:hyperlink>
      <w:r w:rsidRPr="00171705">
        <w:t xml:space="preserve"> </w:t>
      </w:r>
      <w:r w:rsidRPr="00171705">
        <w:tab/>
        <w:t xml:space="preserve">Libel </w:t>
      </w:r>
      <w:r>
        <w:t xml:space="preserve">or </w:t>
      </w:r>
      <w:r w:rsidRPr="00171705">
        <w:t>Slander Per Quod — In</w:t>
      </w:r>
      <w:r>
        <w:t xml:space="preserve"> a </w:t>
      </w:r>
      <w:r w:rsidRPr="00171705">
        <w:t>Private Matter Where Plaintiff Is</w:t>
      </w:r>
      <w:r>
        <w:t xml:space="preserve"> a </w:t>
      </w:r>
      <w:r w:rsidRPr="00171705">
        <w:t xml:space="preserve">Private Person — Elements </w:t>
      </w:r>
      <w:r>
        <w:t xml:space="preserve">of </w:t>
      </w:r>
      <w:r w:rsidRPr="00171705">
        <w:t>Liability</w:t>
      </w:r>
    </w:p>
    <w:p w14:paraId="728C4115" w14:textId="77777777" w:rsidR="00171705" w:rsidRDefault="000029B0" w:rsidP="00914128">
      <w:pPr>
        <w:pStyle w:val="ToC"/>
      </w:pPr>
      <w:hyperlink w:anchor="a22_06" w:history="1">
        <w:r w:rsidRPr="00171705">
          <w:rPr>
            <w:rStyle w:val="Hyperlink"/>
          </w:rPr>
          <w:t>22:6</w:t>
        </w:r>
      </w:hyperlink>
      <w:r w:rsidRPr="00171705">
        <w:tab/>
        <w:t>Incremental Harm</w:t>
      </w:r>
    </w:p>
    <w:p w14:paraId="09A9AE87" w14:textId="77777777" w:rsidR="00171705" w:rsidRDefault="000029B0" w:rsidP="00914128">
      <w:pPr>
        <w:pStyle w:val="ToC"/>
      </w:pPr>
      <w:hyperlink w:anchor="a22_07" w:history="1">
        <w:r w:rsidRPr="00171705">
          <w:rPr>
            <w:rStyle w:val="Hyperlink"/>
          </w:rPr>
          <w:t>22:7</w:t>
        </w:r>
      </w:hyperlink>
      <w:r w:rsidRPr="00171705">
        <w:t xml:space="preserve"> </w:t>
      </w:r>
      <w:r w:rsidRPr="00171705">
        <w:tab/>
        <w:t>Published — Defined</w:t>
      </w:r>
    </w:p>
    <w:p w14:paraId="4D993A19" w14:textId="77777777" w:rsidR="00171705" w:rsidRDefault="000029B0" w:rsidP="00914128">
      <w:pPr>
        <w:pStyle w:val="ToC"/>
      </w:pPr>
      <w:hyperlink w:anchor="a22_08" w:history="1">
        <w:r w:rsidRPr="00171705">
          <w:rPr>
            <w:rStyle w:val="Hyperlink"/>
          </w:rPr>
          <w:t>22:8</w:t>
        </w:r>
      </w:hyperlink>
      <w:r w:rsidRPr="00171705">
        <w:t xml:space="preserve"> </w:t>
      </w:r>
      <w:r w:rsidRPr="00171705">
        <w:tab/>
        <w:t>Defamatory — Defined</w:t>
      </w:r>
    </w:p>
    <w:p w14:paraId="0A56AEBF" w14:textId="77777777" w:rsidR="00171705" w:rsidRDefault="000029B0" w:rsidP="00914128">
      <w:pPr>
        <w:pStyle w:val="ToC"/>
      </w:pPr>
      <w:hyperlink w:anchor="a22_09" w:history="1">
        <w:r w:rsidRPr="00171705">
          <w:rPr>
            <w:rStyle w:val="Hyperlink"/>
          </w:rPr>
          <w:t>22:9</w:t>
        </w:r>
      </w:hyperlink>
      <w:r w:rsidRPr="00171705">
        <w:t xml:space="preserve"> </w:t>
      </w:r>
      <w:r w:rsidRPr="00171705">
        <w:tab/>
        <w:t xml:space="preserve">About </w:t>
      </w:r>
      <w:r>
        <w:t xml:space="preserve">the </w:t>
      </w:r>
      <w:r w:rsidRPr="00171705">
        <w:t>Plaintiff — Defined</w:t>
      </w:r>
    </w:p>
    <w:p w14:paraId="3A7A8AD0" w14:textId="77777777" w:rsidR="00D54276" w:rsidRDefault="000029B0" w:rsidP="00914128">
      <w:pPr>
        <w:pStyle w:val="ToC"/>
      </w:pPr>
      <w:hyperlink w:anchor="a22_10" w:history="1">
        <w:r w:rsidRPr="00D54276">
          <w:rPr>
            <w:rStyle w:val="Hyperlink"/>
          </w:rPr>
          <w:t>22:10</w:t>
        </w:r>
      </w:hyperlink>
      <w:r w:rsidRPr="00D54276">
        <w:tab/>
        <w:t xml:space="preserve">Determination </w:t>
      </w:r>
      <w:r>
        <w:t xml:space="preserve">of </w:t>
      </w:r>
      <w:r w:rsidRPr="00D54276">
        <w:t xml:space="preserve">Meaning </w:t>
      </w:r>
      <w:r>
        <w:t xml:space="preserve">of </w:t>
      </w:r>
      <w:r w:rsidRPr="00D54276">
        <w:t xml:space="preserve">Statement — How Understood </w:t>
      </w:r>
      <w:r>
        <w:t xml:space="preserve">by </w:t>
      </w:r>
      <w:r w:rsidRPr="00D54276">
        <w:t>Others</w:t>
      </w:r>
    </w:p>
    <w:p w14:paraId="0A2C1499" w14:textId="77777777" w:rsidR="00D54276" w:rsidRDefault="000029B0" w:rsidP="00914128">
      <w:pPr>
        <w:pStyle w:val="ToC"/>
      </w:pPr>
      <w:hyperlink w:anchor="a22_11" w:history="1">
        <w:r w:rsidRPr="00D54276">
          <w:rPr>
            <w:rStyle w:val="Hyperlink"/>
          </w:rPr>
          <w:t>22:11</w:t>
        </w:r>
      </w:hyperlink>
      <w:r w:rsidRPr="00D54276">
        <w:t xml:space="preserve"> </w:t>
      </w:r>
      <w:r w:rsidRPr="00D54276">
        <w:tab/>
        <w:t xml:space="preserve">Determination </w:t>
      </w:r>
      <w:r>
        <w:t xml:space="preserve">of </w:t>
      </w:r>
      <w:r w:rsidRPr="00D54276">
        <w:t xml:space="preserve">Meaning </w:t>
      </w:r>
      <w:r>
        <w:t xml:space="preserve">of </w:t>
      </w:r>
      <w:r w:rsidRPr="00D54276">
        <w:t xml:space="preserve">Statement — Publication </w:t>
      </w:r>
      <w:r>
        <w:t xml:space="preserve">to </w:t>
      </w:r>
      <w:r w:rsidRPr="00D54276">
        <w:t xml:space="preserve">Be Considered </w:t>
      </w:r>
      <w:r>
        <w:t xml:space="preserve">as a </w:t>
      </w:r>
      <w:r w:rsidRPr="00D54276">
        <w:t>Whole</w:t>
      </w:r>
    </w:p>
    <w:p w14:paraId="581EEC8D" w14:textId="77777777" w:rsidR="00D54276" w:rsidRDefault="000029B0" w:rsidP="00914128">
      <w:pPr>
        <w:pStyle w:val="ToC"/>
      </w:pPr>
      <w:hyperlink w:anchor="a22_12" w:history="1">
        <w:r w:rsidRPr="00D54276">
          <w:rPr>
            <w:rStyle w:val="Hyperlink"/>
          </w:rPr>
          <w:t>22:12</w:t>
        </w:r>
      </w:hyperlink>
      <w:r w:rsidRPr="00D54276">
        <w:tab/>
        <w:t xml:space="preserve">Determination </w:t>
      </w:r>
      <w:r>
        <w:t xml:space="preserve">of </w:t>
      </w:r>
      <w:r w:rsidRPr="00D54276">
        <w:t xml:space="preserve">Meaning </w:t>
      </w:r>
      <w:r>
        <w:t xml:space="preserve">of </w:t>
      </w:r>
      <w:r w:rsidRPr="00D54276">
        <w:t xml:space="preserve">Statement — Publication </w:t>
      </w:r>
      <w:r>
        <w:t xml:space="preserve">to </w:t>
      </w:r>
      <w:r w:rsidRPr="00D54276">
        <w:t xml:space="preserve">Be Considered In Light </w:t>
      </w:r>
      <w:r>
        <w:t xml:space="preserve">of </w:t>
      </w:r>
      <w:r w:rsidRPr="00D54276">
        <w:t>Surrounding Circumstances</w:t>
      </w:r>
    </w:p>
    <w:p w14:paraId="3565B530" w14:textId="77777777" w:rsidR="00D54276" w:rsidRDefault="000029B0" w:rsidP="00914128">
      <w:pPr>
        <w:pStyle w:val="ToC"/>
      </w:pPr>
      <w:hyperlink w:anchor="a22_13" w:history="1">
        <w:r w:rsidRPr="00D54276">
          <w:rPr>
            <w:rStyle w:val="Hyperlink"/>
          </w:rPr>
          <w:t>22:13</w:t>
        </w:r>
      </w:hyperlink>
      <w:r w:rsidRPr="00D54276">
        <w:tab/>
        <w:t>False — Defined</w:t>
      </w:r>
    </w:p>
    <w:p w14:paraId="19E4D5B8" w14:textId="77777777" w:rsidR="00D54276" w:rsidRDefault="000029B0" w:rsidP="00914128">
      <w:pPr>
        <w:pStyle w:val="ToC"/>
      </w:pPr>
      <w:hyperlink w:anchor="a22_14" w:history="1">
        <w:r w:rsidRPr="00D54276">
          <w:rPr>
            <w:rStyle w:val="Hyperlink"/>
          </w:rPr>
          <w:t>22:14</w:t>
        </w:r>
      </w:hyperlink>
      <w:r w:rsidR="0066100E">
        <w:tab/>
        <w:t xml:space="preserve">Special Damages — </w:t>
      </w:r>
      <w:r w:rsidRPr="00D54276">
        <w:t>Defined</w:t>
      </w:r>
    </w:p>
    <w:p w14:paraId="7AE7C12B" w14:textId="77777777" w:rsidR="00D54276" w:rsidRDefault="000029B0" w:rsidP="00914128">
      <w:pPr>
        <w:pStyle w:val="ToC"/>
      </w:pPr>
      <w:hyperlink w:anchor="a22_15" w:history="1">
        <w:r w:rsidRPr="00D54276">
          <w:rPr>
            <w:rStyle w:val="Hyperlink"/>
          </w:rPr>
          <w:t>22:15</w:t>
        </w:r>
      </w:hyperlink>
      <w:r w:rsidRPr="00D54276">
        <w:t xml:space="preserve"> </w:t>
      </w:r>
      <w:r w:rsidRPr="00D54276">
        <w:tab/>
        <w:t>Actual Damage — Defined</w:t>
      </w:r>
    </w:p>
    <w:p w14:paraId="27EA79D8" w14:textId="77777777" w:rsidR="00D54276" w:rsidRDefault="000029B0" w:rsidP="00914128">
      <w:pPr>
        <w:pStyle w:val="ToC"/>
      </w:pPr>
      <w:hyperlink w:anchor="a22_16" w:history="1">
        <w:r w:rsidRPr="00D54276">
          <w:rPr>
            <w:rStyle w:val="Hyperlink"/>
          </w:rPr>
          <w:t>22:16</w:t>
        </w:r>
      </w:hyperlink>
      <w:r w:rsidRPr="00D54276">
        <w:t xml:space="preserve"> </w:t>
      </w:r>
      <w:r w:rsidRPr="00D54276">
        <w:tab/>
        <w:t>Affirmative Defense — Substantial Truth</w:t>
      </w:r>
    </w:p>
    <w:p w14:paraId="69512A9C" w14:textId="77777777" w:rsidR="00D54276" w:rsidRDefault="000029B0" w:rsidP="00914128">
      <w:pPr>
        <w:pStyle w:val="ToC"/>
      </w:pPr>
      <w:hyperlink w:anchor="a22_17" w:history="1">
        <w:r w:rsidRPr="00D54276">
          <w:rPr>
            <w:rStyle w:val="Hyperlink"/>
          </w:rPr>
          <w:t>22:17</w:t>
        </w:r>
      </w:hyperlink>
      <w:r w:rsidRPr="00D54276">
        <w:t xml:space="preserve"> </w:t>
      </w:r>
      <w:r w:rsidRPr="00D54276">
        <w:tab/>
        <w:t>Affirmative Defense — Absolute Privilege</w:t>
      </w:r>
    </w:p>
    <w:p w14:paraId="69DC8606" w14:textId="77777777" w:rsidR="00D54276" w:rsidRDefault="000029B0" w:rsidP="00914128">
      <w:pPr>
        <w:pStyle w:val="ToC"/>
      </w:pPr>
      <w:hyperlink w:anchor="a22_18" w:history="1">
        <w:r w:rsidRPr="00D54276">
          <w:rPr>
            <w:rStyle w:val="Hyperlink"/>
          </w:rPr>
          <w:t>22:18</w:t>
        </w:r>
      </w:hyperlink>
      <w:r w:rsidRPr="00D54276">
        <w:t xml:space="preserve"> </w:t>
      </w:r>
      <w:r w:rsidRPr="00D54276">
        <w:tab/>
        <w:t>Affirmative Defense — Qualified Privilege — When Lost</w:t>
      </w:r>
    </w:p>
    <w:p w14:paraId="4C0E8ED6" w14:textId="77777777" w:rsidR="00D54276" w:rsidRDefault="000029B0" w:rsidP="00914128">
      <w:pPr>
        <w:pStyle w:val="ToC"/>
      </w:pPr>
      <w:hyperlink w:anchor="a22_19" w:history="1">
        <w:r w:rsidRPr="00D54276">
          <w:rPr>
            <w:rStyle w:val="Hyperlink"/>
          </w:rPr>
          <w:t>22:19</w:t>
        </w:r>
      </w:hyperlink>
      <w:r w:rsidRPr="00D54276">
        <w:t xml:space="preserve"> </w:t>
      </w:r>
      <w:r w:rsidRPr="00D54276">
        <w:tab/>
        <w:t xml:space="preserve">Affirmative Defense — Privilege </w:t>
      </w:r>
      <w:r>
        <w:t xml:space="preserve">to </w:t>
      </w:r>
      <w:r w:rsidRPr="00D54276">
        <w:t xml:space="preserve">Report Official </w:t>
      </w:r>
      <w:r>
        <w:t xml:space="preserve">or </w:t>
      </w:r>
      <w:r w:rsidRPr="00D54276">
        <w:t>Public Meeting Proceedings</w:t>
      </w:r>
    </w:p>
    <w:p w14:paraId="658A8ED7" w14:textId="77777777" w:rsidR="00D54276" w:rsidRDefault="000029B0" w:rsidP="00914128">
      <w:pPr>
        <w:pStyle w:val="ToC"/>
      </w:pPr>
      <w:hyperlink w:anchor="a22_20" w:history="1">
        <w:r w:rsidRPr="00D54276">
          <w:rPr>
            <w:rStyle w:val="Hyperlink"/>
          </w:rPr>
          <w:t>22:20</w:t>
        </w:r>
      </w:hyperlink>
      <w:r w:rsidRPr="00D54276">
        <w:t xml:space="preserve"> </w:t>
      </w:r>
      <w:r w:rsidRPr="00D54276">
        <w:tab/>
        <w:t xml:space="preserve">Affirmative Defense — Privilege </w:t>
      </w:r>
      <w:r>
        <w:t xml:space="preserve">to </w:t>
      </w:r>
      <w:r w:rsidRPr="00D54276">
        <w:t xml:space="preserve">Provider </w:t>
      </w:r>
      <w:r>
        <w:t xml:space="preserve">of </w:t>
      </w:r>
      <w:r w:rsidRPr="00D54276">
        <w:t xml:space="preserve">Means </w:t>
      </w:r>
      <w:r>
        <w:t xml:space="preserve">of </w:t>
      </w:r>
      <w:r w:rsidRPr="00D54276">
        <w:t>Communication</w:t>
      </w:r>
    </w:p>
    <w:p w14:paraId="0F96CBEA" w14:textId="77777777" w:rsidR="00D54276" w:rsidRDefault="000029B0" w:rsidP="00914128">
      <w:pPr>
        <w:pStyle w:val="ToC"/>
      </w:pPr>
      <w:hyperlink w:anchor="a22_21" w:history="1">
        <w:r w:rsidRPr="00D54276">
          <w:rPr>
            <w:rStyle w:val="Hyperlink"/>
          </w:rPr>
          <w:t>22:21</w:t>
        </w:r>
      </w:hyperlink>
      <w:r w:rsidRPr="00D54276">
        <w:t xml:space="preserve"> </w:t>
      </w:r>
      <w:r w:rsidRPr="00D54276">
        <w:tab/>
        <w:t>Affirmative Defense — Fair Comment</w:t>
      </w:r>
    </w:p>
    <w:p w14:paraId="27198283" w14:textId="77777777" w:rsidR="00D54276" w:rsidRDefault="000029B0" w:rsidP="00914128">
      <w:pPr>
        <w:pStyle w:val="ToC"/>
      </w:pPr>
      <w:hyperlink w:anchor="a22_22" w:history="1">
        <w:r w:rsidRPr="00D54276">
          <w:rPr>
            <w:rStyle w:val="Hyperlink"/>
          </w:rPr>
          <w:t>22:22</w:t>
        </w:r>
      </w:hyperlink>
      <w:r w:rsidRPr="00D54276">
        <w:t xml:space="preserve"> </w:t>
      </w:r>
      <w:r w:rsidRPr="00D54276">
        <w:tab/>
        <w:t>Affirmative Defense — Consent</w:t>
      </w:r>
    </w:p>
    <w:p w14:paraId="18B09F67" w14:textId="77777777" w:rsidR="00D54276" w:rsidRDefault="000029B0" w:rsidP="00914128">
      <w:pPr>
        <w:pStyle w:val="ToC"/>
      </w:pPr>
      <w:hyperlink w:anchor="a22_23" w:history="1">
        <w:r w:rsidRPr="00D54276">
          <w:rPr>
            <w:rStyle w:val="Hyperlink"/>
          </w:rPr>
          <w:t>22:23</w:t>
        </w:r>
      </w:hyperlink>
      <w:r w:rsidRPr="00D54276">
        <w:t xml:space="preserve"> </w:t>
      </w:r>
      <w:r w:rsidRPr="00D54276">
        <w:tab/>
        <w:t xml:space="preserve">Affirmative Defense — Statute </w:t>
      </w:r>
      <w:r>
        <w:t xml:space="preserve">of </w:t>
      </w:r>
      <w:r w:rsidRPr="00D54276">
        <w:t>Limitations</w:t>
      </w:r>
    </w:p>
    <w:p w14:paraId="4ADFF4A7" w14:textId="77777777" w:rsidR="00D54276" w:rsidRDefault="000029B0" w:rsidP="00914128">
      <w:pPr>
        <w:pStyle w:val="ToC"/>
      </w:pPr>
      <w:hyperlink w:anchor="a22_24" w:history="1">
        <w:r w:rsidRPr="00D54276">
          <w:rPr>
            <w:rStyle w:val="Hyperlink"/>
          </w:rPr>
          <w:t>22:24</w:t>
        </w:r>
      </w:hyperlink>
      <w:r w:rsidRPr="00D54276">
        <w:t xml:space="preserve"> </w:t>
      </w:r>
      <w:r w:rsidRPr="00D54276">
        <w:tab/>
        <w:t xml:space="preserve">Repetition </w:t>
      </w:r>
      <w:r>
        <w:t xml:space="preserve">by </w:t>
      </w:r>
      <w:r w:rsidRPr="00D54276">
        <w:t xml:space="preserve">Third Persons </w:t>
      </w:r>
      <w:r>
        <w:t xml:space="preserve">as an </w:t>
      </w:r>
      <w:r w:rsidRPr="00D54276">
        <w:t xml:space="preserve">Element </w:t>
      </w:r>
      <w:r>
        <w:t xml:space="preserve">of </w:t>
      </w:r>
      <w:r w:rsidRPr="00D54276">
        <w:t>Damages</w:t>
      </w:r>
    </w:p>
    <w:p w14:paraId="0CB99A64" w14:textId="77777777" w:rsidR="00D54276" w:rsidRDefault="000029B0" w:rsidP="00914128">
      <w:pPr>
        <w:pStyle w:val="ToC"/>
      </w:pPr>
      <w:hyperlink w:anchor="a22_25" w:history="1">
        <w:r w:rsidRPr="00D54276">
          <w:rPr>
            <w:rStyle w:val="Hyperlink"/>
          </w:rPr>
          <w:t>22:25</w:t>
        </w:r>
      </w:hyperlink>
      <w:r w:rsidR="00BC789A">
        <w:t xml:space="preserve"> </w:t>
      </w:r>
      <w:r w:rsidR="00BC789A">
        <w:tab/>
        <w:t>Damages — Recovery o</w:t>
      </w:r>
      <w:r w:rsidRPr="00D54276">
        <w:t>f</w:t>
      </w:r>
    </w:p>
    <w:p w14:paraId="47649B23" w14:textId="77777777" w:rsidR="00D54276" w:rsidRDefault="000029B0" w:rsidP="00914128">
      <w:pPr>
        <w:pStyle w:val="ToC"/>
      </w:pPr>
      <w:hyperlink w:anchor="a22_26" w:history="1">
        <w:r w:rsidRPr="00D54276">
          <w:rPr>
            <w:rStyle w:val="Hyperlink"/>
          </w:rPr>
          <w:t>22:26</w:t>
        </w:r>
      </w:hyperlink>
      <w:r w:rsidRPr="00D54276">
        <w:t xml:space="preserve"> </w:t>
      </w:r>
      <w:r w:rsidRPr="00D54276">
        <w:tab/>
        <w:t>Circumstances That Mitigate Damages</w:t>
      </w:r>
    </w:p>
    <w:p w14:paraId="79A05904" w14:textId="77777777" w:rsidR="00D54276" w:rsidRDefault="000029B0" w:rsidP="00914128">
      <w:pPr>
        <w:pStyle w:val="ToC"/>
      </w:pPr>
      <w:hyperlink w:anchor="a22_27" w:history="1">
        <w:r w:rsidRPr="00D54276">
          <w:rPr>
            <w:rStyle w:val="Hyperlink"/>
          </w:rPr>
          <w:t>22:27</w:t>
        </w:r>
      </w:hyperlink>
      <w:r w:rsidRPr="00D54276">
        <w:t xml:space="preserve"> </w:t>
      </w:r>
      <w:r w:rsidRPr="00D54276">
        <w:tab/>
        <w:t xml:space="preserve">Exemplary </w:t>
      </w:r>
      <w:r>
        <w:t xml:space="preserve">or </w:t>
      </w:r>
      <w:r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r w:rsidRPr="00195972">
        <w:rPr>
          <w:rFonts w:eastAsia="Times New Roman"/>
          <w:i/>
          <w:sz w:val="24"/>
          <w:szCs w:val="24"/>
        </w:rPr>
        <w:t>Id.</w:t>
      </w:r>
      <w:r w:rsidRPr="00195972">
        <w:rPr>
          <w:rFonts w:eastAsia="Times New Roman"/>
          <w:sz w:val="24"/>
          <w:szCs w:val="24"/>
        </w:rPr>
        <w:t xml:space="preserve"> at 270. In</w:t>
      </w:r>
      <w:r w:rsidRPr="00195972">
        <w:rPr>
          <w:rFonts w:eastAsia="Times New Roman"/>
          <w:i/>
          <w:sz w:val="24"/>
          <w:szCs w:val="24"/>
        </w:rPr>
        <w:t xml:space="preserve"> </w:t>
      </w:r>
      <w:r w:rsidRPr="00195972">
        <w:rPr>
          <w:rFonts w:eastAsia="Times New Roman"/>
          <w:b/>
          <w:sz w:val="24"/>
          <w:szCs w:val="24"/>
        </w:rPr>
        <w:t>St. Amant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lace">
        <w:smartTag w:uri="urn:schemas-microsoft-com:office:smarttags" w:element="Stat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Shoen v. Shoen</w:t>
      </w:r>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3. The “constitutionalization”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r w:rsidRPr="00195972">
        <w:rPr>
          <w:rFonts w:eastAsia="Times New Roman"/>
          <w:b/>
          <w:sz w:val="24"/>
          <w:szCs w:val="24"/>
        </w:rPr>
        <w:t>Speiser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r w:rsidRPr="00195972">
        <w:rPr>
          <w:rFonts w:eastAsia="Times New Roman"/>
          <w:b/>
          <w:sz w:val="24"/>
          <w:szCs w:val="24"/>
        </w:rPr>
        <w:t>Pennekamp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DiLeo v. Koltnow</w:t>
      </w:r>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 Inc. v. 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s-St. Amant</w:t>
      </w:r>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DiLeo</w:t>
      </w:r>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 v. 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r w:rsidRPr="00195972">
        <w:rPr>
          <w:rFonts w:eastAsia="Times New Roman"/>
          <w:sz w:val="24"/>
          <w:szCs w:val="24"/>
        </w:rPr>
        <w:t xml:space="preserve">, 475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cmt.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566 cmt.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r w:rsidR="0075735A">
        <w:rPr>
          <w:rFonts w:eastAsia="Times New Roman"/>
          <w:b/>
          <w:sz w:val="24"/>
          <w:szCs w:val="24"/>
        </w:rPr>
        <w:t>Hepps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Greenbelt Coop. Publ’g Ass’n v. Bresler</w:t>
      </w:r>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r w:rsidRPr="00195972">
        <w:rPr>
          <w:rFonts w:eastAsia="Times New Roman"/>
          <w:b/>
          <w:sz w:val="24"/>
          <w:szCs w:val="24"/>
        </w:rPr>
        <w:t>Sall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Pittman v. Larson Distrib.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55641DB2"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xml:space="preserve">, the court observed, with respect to a “letter to the editor” that appeared in the editorial section of the newspaper, that the editorial department was a “traditional forum for debate, where intemperate </w:t>
      </w:r>
      <w:r w:rsidRPr="00177176">
        <w:rPr>
          <w:rFonts w:eastAsia="Times New Roman"/>
          <w:sz w:val="24"/>
          <w:szCs w:val="24"/>
        </w:rPr>
        <w:t>and highly biased opinions are frequently presented and, absent credentials which make the author particularly credible, often</w:t>
      </w:r>
      <w:r w:rsidR="00F97741" w:rsidRPr="00177176">
        <w:rPr>
          <w:rFonts w:eastAsia="Times New Roman"/>
          <w:sz w:val="24"/>
          <w:szCs w:val="24"/>
        </w:rPr>
        <w:t xml:space="preserve"> </w:t>
      </w:r>
      <w:r w:rsidRPr="00177176">
        <w:rPr>
          <w:rFonts w:eastAsia="Times New Roman"/>
          <w:sz w:val="24"/>
          <w:szCs w:val="24"/>
        </w:rPr>
        <w:t xml:space="preserve">times should not be taken at face value.” </w:t>
      </w:r>
      <w:r w:rsidR="00F97741" w:rsidRPr="00177176">
        <w:rPr>
          <w:rFonts w:eastAsia="Times New Roman"/>
          <w:sz w:val="24"/>
          <w:szCs w:val="24"/>
        </w:rPr>
        <w:t>882 P.2d</w:t>
      </w:r>
      <w:r w:rsidRPr="00177176">
        <w:rPr>
          <w:rFonts w:eastAsia="Times New Roman"/>
          <w:sz w:val="24"/>
          <w:szCs w:val="24"/>
        </w:rPr>
        <w:t xml:space="preserve"> at 1301</w:t>
      </w:r>
      <w:r w:rsidR="00435937" w:rsidRPr="00177176">
        <w:rPr>
          <w:rFonts w:eastAsia="Times New Roman"/>
          <w:sz w:val="24"/>
          <w:szCs w:val="24"/>
        </w:rPr>
        <w:t>;</w:t>
      </w:r>
      <w:r w:rsidRPr="00177176">
        <w:rPr>
          <w:rFonts w:eastAsia="Times New Roman"/>
          <w:sz w:val="24"/>
          <w:szCs w:val="24"/>
        </w:rPr>
        <w:t xml:space="preserve"> </w:t>
      </w:r>
      <w:r w:rsidR="00435937" w:rsidRPr="00177176">
        <w:rPr>
          <w:rFonts w:eastAsia="Times New Roman"/>
          <w:i/>
          <w:sz w:val="24"/>
          <w:szCs w:val="24"/>
        </w:rPr>
        <w:t>s</w:t>
      </w:r>
      <w:r w:rsidRPr="00177176">
        <w:rPr>
          <w:rFonts w:eastAsia="Times New Roman"/>
          <w:i/>
          <w:sz w:val="24"/>
          <w:szCs w:val="24"/>
        </w:rPr>
        <w:t>ee also</w:t>
      </w:r>
      <w:r w:rsidRPr="00177176">
        <w:rPr>
          <w:rFonts w:eastAsia="Times New Roman"/>
          <w:sz w:val="24"/>
          <w:szCs w:val="24"/>
        </w:rPr>
        <w:t xml:space="preserve"> </w:t>
      </w:r>
      <w:r w:rsidR="008C28B7" w:rsidRPr="0027133A">
        <w:rPr>
          <w:b/>
          <w:bCs/>
          <w:sz w:val="24"/>
          <w:szCs w:val="24"/>
        </w:rPr>
        <w:t>Coomer v. Donald J. Trump for President</w:t>
      </w:r>
      <w:r w:rsidR="008C28B7" w:rsidRPr="00177176">
        <w:rPr>
          <w:b/>
          <w:bCs/>
          <w:sz w:val="24"/>
          <w:szCs w:val="24"/>
        </w:rPr>
        <w:t>, Inc</w:t>
      </w:r>
      <w:r w:rsidR="008C28B7" w:rsidRPr="0027133A">
        <w:rPr>
          <w:b/>
          <w:bCs/>
          <w:sz w:val="24"/>
          <w:szCs w:val="24"/>
        </w:rPr>
        <w:t>.</w:t>
      </w:r>
      <w:r w:rsidR="008C28B7" w:rsidRPr="00177176">
        <w:rPr>
          <w:sz w:val="24"/>
          <w:szCs w:val="24"/>
        </w:rPr>
        <w:t>, 2024 COA 35, ¶¶ 131-132</w:t>
      </w:r>
      <w:r w:rsidR="00177176" w:rsidRPr="00177176">
        <w:rPr>
          <w:sz w:val="24"/>
          <w:szCs w:val="24"/>
        </w:rPr>
        <w:t>, 552 P.3d 562</w:t>
      </w:r>
      <w:r w:rsidR="008C28B7" w:rsidRPr="00177176">
        <w:rPr>
          <w:sz w:val="24"/>
          <w:szCs w:val="24"/>
        </w:rPr>
        <w:t xml:space="preserve"> (applying </w:t>
      </w:r>
      <w:r w:rsidR="008C28B7" w:rsidRPr="0027133A">
        <w:rPr>
          <w:b/>
          <w:bCs/>
          <w:sz w:val="24"/>
          <w:szCs w:val="24"/>
        </w:rPr>
        <w:t>Milkovich</w:t>
      </w:r>
      <w:r w:rsidR="008C28B7" w:rsidRPr="00177176">
        <w:rPr>
          <w:sz w:val="24"/>
          <w:szCs w:val="24"/>
        </w:rPr>
        <w:t xml:space="preserve"> test and finding assertions by a presidential campaign organization that plaintiff, an employee of a voting machine company, allegedly stated he would “make sure Donald Trump is not elected” and that he would take steps to undermine the presidential election results were “sufficiently factual to be susceptible of being proved true or false,” and were therefore actionable); </w:t>
      </w:r>
      <w:r w:rsidRPr="00177176">
        <w:rPr>
          <w:rFonts w:eastAsia="Times New Roman"/>
          <w:b/>
          <w:sz w:val="24"/>
          <w:szCs w:val="24"/>
        </w:rPr>
        <w:t>Giduck v. Niblett</w:t>
      </w:r>
      <w:r w:rsidRPr="00177176">
        <w:rPr>
          <w:rFonts w:eastAsia="Times New Roman"/>
          <w:sz w:val="24"/>
          <w:szCs w:val="24"/>
        </w:rPr>
        <w:t>, 2014 COA 86, ¶¶ 3</w:t>
      </w:r>
      <w:r w:rsidR="00435937" w:rsidRPr="00177176">
        <w:rPr>
          <w:rFonts w:eastAsia="Times New Roman"/>
          <w:sz w:val="24"/>
          <w:szCs w:val="24"/>
        </w:rPr>
        <w:t>8</w:t>
      </w:r>
      <w:r w:rsidRPr="00177176">
        <w:rPr>
          <w:rFonts w:eastAsia="Times New Roman"/>
          <w:sz w:val="24"/>
          <w:szCs w:val="24"/>
        </w:rPr>
        <w:t>-39</w:t>
      </w:r>
      <w:r w:rsidR="00435937" w:rsidRPr="00177176">
        <w:rPr>
          <w:rFonts w:eastAsia="Times New Roman"/>
          <w:sz w:val="24"/>
          <w:szCs w:val="24"/>
        </w:rPr>
        <w:t>, 408 P.3d 856, 868</w:t>
      </w:r>
      <w:r w:rsidRPr="00177176">
        <w:rPr>
          <w:rFonts w:eastAsia="Times New Roman"/>
          <w:sz w:val="24"/>
          <w:szCs w:val="24"/>
        </w:rPr>
        <w:t xml:space="preserve"> (statement that plaintiff is a “charlatan” who “exaggerate</w:t>
      </w:r>
      <w:r w:rsidRPr="00195972">
        <w:rPr>
          <w:rFonts w:eastAsia="Times New Roman"/>
          <w:sz w:val="24"/>
          <w:szCs w:val="24"/>
        </w:rPr>
        <w:t xml:space="preserve">[d] his resume” is protected opinion when stated “in an online community where anonymous individuals can express highly biased opinions”); </w:t>
      </w:r>
      <w:r w:rsidRPr="00195972">
        <w:rPr>
          <w:rFonts w:eastAsia="Times New Roman"/>
          <w:b/>
          <w:sz w:val="24"/>
          <w:szCs w:val="24"/>
        </w:rPr>
        <w:t>Sky Fun 1, Inc. v. 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r w:rsidRPr="00195972">
        <w:rPr>
          <w:rFonts w:eastAsia="Times New Roman"/>
          <w:i/>
          <w:sz w:val="24"/>
          <w:szCs w:val="24"/>
        </w:rPr>
        <w:t>rev’d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09443722"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008C30BF">
        <w:rPr>
          <w:rFonts w:eastAsia="Times New Roman"/>
          <w:sz w:val="24"/>
          <w:szCs w:val="24"/>
        </w:rPr>
        <w:t xml:space="preserve">; </w:t>
      </w:r>
      <w:r w:rsidR="008C30BF" w:rsidRPr="008C30BF">
        <w:rPr>
          <w:rFonts w:eastAsia="Times New Roman"/>
          <w:b/>
          <w:bCs/>
          <w:sz w:val="24"/>
          <w:szCs w:val="24"/>
        </w:rPr>
        <w:t>Creekside Endodontics, L.L.C. v. Sullivan</w:t>
      </w:r>
      <w:r w:rsidR="008C30BF">
        <w:rPr>
          <w:rFonts w:eastAsia="Times New Roman"/>
          <w:sz w:val="24"/>
          <w:szCs w:val="24"/>
        </w:rPr>
        <w:t>, 2022 COA 145, ¶ 51, 527 P.3d 424</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r w:rsidRPr="00195972">
        <w:rPr>
          <w:rFonts w:eastAsia="Times New Roman"/>
          <w:b/>
          <w:sz w:val="24"/>
          <w:szCs w:val="24"/>
        </w:rPr>
        <w:t>Cinquanta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cmt.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lastRenderedPageBreak/>
        <w:br w:type="page"/>
      </w:r>
    </w:p>
    <w:p w14:paraId="7E1778A9" w14:textId="77777777" w:rsidR="009E3DA4" w:rsidRPr="009E3DA4" w:rsidRDefault="00BB436B" w:rsidP="00CC0502">
      <w:pPr>
        <w:spacing w:after="240"/>
        <w:ind w:left="720" w:hanging="720"/>
        <w:rPr>
          <w:rFonts w:eastAsia="Times New Roman"/>
          <w:b/>
          <w:sz w:val="24"/>
          <w:szCs w:val="24"/>
        </w:rPr>
      </w:pPr>
      <w:bookmarkStart w:id="1" w:name="a22_01"/>
      <w:bookmarkEnd w:id="1"/>
      <w:r w:rsidRPr="00BB436B">
        <w:rPr>
          <w:rFonts w:eastAsia="Times New Roman"/>
          <w:b/>
          <w:sz w:val="24"/>
          <w:szCs w:val="24"/>
        </w:rPr>
        <w:lastRenderedPageBreak/>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FDE059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BB436B">
        <w:rPr>
          <w:rFonts w:eastAsia="Times New Roman"/>
          <w:b/>
          <w:sz w:val="24"/>
          <w:szCs w:val="24"/>
        </w:rPr>
        <w:t xml:space="preserve">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cmt.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place">
        <w:smartTag w:uri="urn:schemas-microsoft-com:office:smarttags" w:element="country-region">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Tonnessen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w:t>
      </w:r>
      <w:r w:rsidRPr="00BB436B">
        <w:rPr>
          <w:rFonts w:eastAsia="Times New Roman"/>
          <w:sz w:val="24"/>
          <w:szCs w:val="24"/>
        </w:rPr>
        <w:lastRenderedPageBreak/>
        <w:t xml:space="preserve">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quod), Instruction 22:4 (libel or slander per se by and concerning private persons in a private matter), or Instruction 22:5 (same situation as 22:4 except libel or slander per quod).</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Sky Fun 1, Inc. v. Schuttloffel</w:t>
      </w:r>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r w:rsidRPr="00BB436B">
        <w:rPr>
          <w:rFonts w:eastAsia="Times New Roman"/>
          <w:i/>
          <w:sz w:val="24"/>
          <w:szCs w:val="24"/>
        </w:rPr>
        <w:t>rev’d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Phila. Newspapers, Inc. v. Hepps</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St. Amant</w:t>
      </w:r>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Ocala Star-Banner Co. v. Damron</w:t>
      </w:r>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Greenbelt Coop. Publ’g Ass’n v. Bresler</w:t>
      </w:r>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w:t>
      </w:r>
      <w:r w:rsidRPr="00BB436B">
        <w:rPr>
          <w:rFonts w:eastAsia="Times New Roman"/>
          <w:sz w:val="24"/>
          <w:szCs w:val="24"/>
        </w:rPr>
        <w:lastRenderedPageBreak/>
        <w:t xml:space="preserve">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Concerned Members of Intermountain Rural Elec. Ass’n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Pittman v. Larson Dist</w:t>
      </w:r>
      <w:r w:rsidR="00DE380A">
        <w:rPr>
          <w:rFonts w:eastAsia="Times New Roman"/>
          <w:b/>
          <w:sz w:val="24"/>
          <w:szCs w:val="24"/>
        </w:rPr>
        <w:t>rib</w:t>
      </w:r>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r w:rsidRPr="00BB436B">
        <w:rPr>
          <w:rFonts w:eastAsia="Times New Roman"/>
          <w:b/>
          <w:sz w:val="24"/>
          <w:szCs w:val="24"/>
        </w:rPr>
        <w:t>Zueger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w:t>
      </w:r>
      <w:r w:rsidRPr="00231BC4">
        <w:rPr>
          <w:rFonts w:eastAsia="Times New Roman"/>
          <w:sz w:val="24"/>
          <w:szCs w:val="24"/>
        </w:rPr>
        <w:lastRenderedPageBreak/>
        <w:t xml:space="preserve">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quod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16C0FF9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r w:rsidRPr="00231BC4">
        <w:rPr>
          <w:rFonts w:eastAsia="Times New Roman"/>
          <w:b/>
          <w:sz w:val="24"/>
          <w:szCs w:val="24"/>
        </w:rPr>
        <w:t>Shoen v. Shoen</w:t>
      </w:r>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r w:rsidRPr="00231BC4">
        <w:rPr>
          <w:rFonts w:eastAsia="Times New Roman"/>
          <w:b/>
          <w:sz w:val="24"/>
          <w:szCs w:val="24"/>
        </w:rPr>
        <w:t>Seible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r w:rsidRPr="00231BC4">
        <w:rPr>
          <w:rFonts w:eastAsia="Times New Roman"/>
          <w:b/>
          <w:sz w:val="24"/>
          <w:szCs w:val="24"/>
        </w:rPr>
        <w:t>Zueger</w:t>
      </w:r>
      <w:r w:rsidRPr="00231BC4">
        <w:rPr>
          <w:rFonts w:eastAsia="Times New Roman"/>
          <w:sz w:val="24"/>
          <w:szCs w:val="24"/>
        </w:rPr>
        <w:t>, ¶ 28</w:t>
      </w:r>
      <w:r w:rsidR="002F73DE">
        <w:rPr>
          <w:rFonts w:eastAsia="Times New Roman"/>
          <w:sz w:val="24"/>
          <w:szCs w:val="24"/>
        </w:rPr>
        <w:t>, 343 P.3d at 1036</w:t>
      </w:r>
      <w:r w:rsidRPr="00231BC4">
        <w:rPr>
          <w:rFonts w:eastAsia="Times New Roman"/>
          <w:sz w:val="24"/>
          <w:szCs w:val="24"/>
        </w:rPr>
        <w:t xml:space="preserve"> (business dispute between two private parties discussed on </w:t>
      </w:r>
      <w:r w:rsidR="002F73DE">
        <w:rPr>
          <w:rFonts w:eastAsia="Times New Roman"/>
          <w:sz w:val="24"/>
          <w:szCs w:val="24"/>
        </w:rPr>
        <w:t>i</w:t>
      </w:r>
      <w:r w:rsidRPr="00231BC4">
        <w:rPr>
          <w:rFonts w:eastAsia="Times New Roman"/>
          <w:sz w:val="24"/>
          <w:szCs w:val="24"/>
        </w:rPr>
        <w:t>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r w:rsidRPr="00231BC4">
        <w:rPr>
          <w:rFonts w:eastAsia="Times New Roman"/>
          <w:b/>
          <w:sz w:val="24"/>
          <w:szCs w:val="24"/>
        </w:rPr>
        <w:t>Cinquanta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w:t>
      </w:r>
      <w:r w:rsidRPr="00231BC4">
        <w:rPr>
          <w:rFonts w:eastAsia="Times New Roman"/>
          <w:sz w:val="24"/>
          <w:szCs w:val="24"/>
        </w:rPr>
        <w:lastRenderedPageBreak/>
        <w:t xml:space="preserve">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Pittman v. Larson Distrib</w:t>
      </w:r>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“[i]t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evidence may be used to prove a publication refers to the plaintiff without rendering the statement defamatory per quod</w:t>
      </w:r>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 xml:space="preserve">to require that “[a]lthough </w:t>
      </w:r>
      <w:r w:rsidR="00BB1229" w:rsidRPr="00BB1229">
        <w:rPr>
          <w:rFonts w:eastAsia="Times New Roman"/>
          <w:sz w:val="24"/>
          <w:szCs w:val="24"/>
        </w:rPr>
        <w:t>defamatory meaning must be apparent from the statement itself for a statement to be defamatory per se, whether the statement is directed at the plaintiff can be established by extrinsic proof without rendering the publication defamatory per quod</w:t>
      </w:r>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r w:rsidRPr="00231BC4">
        <w:rPr>
          <w:rFonts w:eastAsia="Times New Roman"/>
          <w:b/>
          <w:sz w:val="24"/>
          <w:szCs w:val="24"/>
        </w:rPr>
        <w:t>Pietrafeso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xml:space="preserve">. The claimed false implication </w:t>
      </w:r>
      <w:r w:rsidRPr="00231BC4">
        <w:rPr>
          <w:rFonts w:eastAsia="Times New Roman"/>
          <w:sz w:val="24"/>
          <w:szCs w:val="24"/>
        </w:rPr>
        <w:lastRenderedPageBreak/>
        <w:t>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Wolston v. Reader’s Digest Ass’n</w:t>
      </w:r>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r w:rsidRPr="00231BC4">
        <w:rPr>
          <w:rFonts w:eastAsia="Times New Roman"/>
          <w:b/>
          <w:sz w:val="24"/>
          <w:szCs w:val="24"/>
        </w:rPr>
        <w:t>DiLeo v. Koltnow</w:t>
      </w:r>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Dun &amp; Bradstreet, Inc. v. Greenmoss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Winter Park Real Estate &amp; Invs.,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2" w:name="a22_02"/>
      <w:bookmarkEnd w:id="2"/>
      <w:r w:rsidRPr="00A9205E">
        <w:rPr>
          <w:rFonts w:eastAsia="Times New Roman"/>
          <w:b/>
          <w:sz w:val="24"/>
          <w:szCs w:val="24"/>
        </w:rPr>
        <w:lastRenderedPageBreak/>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5DF2FE2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A9205E">
        <w:rPr>
          <w:rFonts w:eastAsia="Times New Roman"/>
          <w:b/>
          <w:sz w:val="24"/>
          <w:szCs w:val="24"/>
        </w:rPr>
        <w:t xml:space="preserve">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lastRenderedPageBreak/>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566 cmt.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lastRenderedPageBreak/>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Hour" w:val="22"/>
          <w:attr w:name="Minute" w:val="14"/>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Hour" w:val="22"/>
          <w:attr w:name="Minute" w:val="15"/>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3" w:name="a22_03"/>
      <w:bookmarkEnd w:id="3"/>
      <w:r w:rsidRPr="00116A3D">
        <w:rPr>
          <w:rFonts w:eastAsia="Times New Roman"/>
          <w:b/>
          <w:sz w:val="24"/>
          <w:szCs w:val="24"/>
        </w:rPr>
        <w:lastRenderedPageBreak/>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33BD37F6"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Herbert v. Lando</w:t>
      </w:r>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St. Amant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008C30BF">
        <w:rPr>
          <w:rFonts w:eastAsia="Times New Roman"/>
          <w:sz w:val="24"/>
          <w:szCs w:val="24"/>
        </w:rPr>
        <w:t xml:space="preserve">; </w:t>
      </w:r>
      <w:r w:rsidR="008C30BF" w:rsidRPr="00F82FE2">
        <w:rPr>
          <w:rFonts w:eastAsia="Times New Roman"/>
          <w:b/>
          <w:bCs/>
          <w:sz w:val="24"/>
          <w:szCs w:val="24"/>
        </w:rPr>
        <w:t>Rosenblum v. Budd</w:t>
      </w:r>
      <w:r w:rsidR="008C30BF" w:rsidRPr="009D317B">
        <w:rPr>
          <w:rFonts w:eastAsia="Times New Roman"/>
          <w:sz w:val="24"/>
          <w:szCs w:val="24"/>
        </w:rPr>
        <w:t>,</w:t>
      </w:r>
      <w:r w:rsidR="008C30BF">
        <w:rPr>
          <w:rFonts w:eastAsia="Times New Roman"/>
          <w:sz w:val="24"/>
          <w:szCs w:val="24"/>
        </w:rPr>
        <w:t xml:space="preserve"> 2023 COA 72, ¶ 39</w:t>
      </w:r>
      <w:r w:rsidR="005A7429">
        <w:rPr>
          <w:rFonts w:eastAsia="Times New Roman"/>
          <w:sz w:val="24"/>
          <w:szCs w:val="24"/>
        </w:rPr>
        <w:t>, 538 P.3d 354</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St. Amant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r w:rsidRPr="00116A3D">
        <w:rPr>
          <w:rFonts w:eastAsia="Times New Roman"/>
          <w:sz w:val="24"/>
          <w:szCs w:val="24"/>
        </w:rPr>
        <w:t xml:space="preserve">eckless conduct is not measured by whether a reasonably prudent man would have published, or would have investigated before publishing.”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w:t>
      </w:r>
      <w:r w:rsidRPr="00116A3D">
        <w:rPr>
          <w:rFonts w:eastAsia="Times New Roman"/>
          <w:sz w:val="24"/>
          <w:szCs w:val="24"/>
        </w:rPr>
        <w:lastRenderedPageBreak/>
        <w:t xml:space="preserve">constitute “actual malice” as interpreted in the First Amendment cases. </w:t>
      </w:r>
      <w:r w:rsidRPr="00116A3D">
        <w:rPr>
          <w:rFonts w:eastAsia="Times New Roman"/>
          <w:b/>
          <w:sz w:val="24"/>
          <w:szCs w:val="24"/>
        </w:rPr>
        <w:t>Greenbelt Coop. Publ’g Ass’n v. Bresler</w:t>
      </w:r>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3FF5C48E"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Air Wis. Airlines Corp. v. Hoeper</w:t>
      </w:r>
      <w:r w:rsidRPr="00116A3D">
        <w:rPr>
          <w:rFonts w:eastAsia="Times New Roman"/>
          <w:sz w:val="24"/>
          <w:szCs w:val="24"/>
        </w:rPr>
        <w:t>, 2012 CO 19</w:t>
      </w:r>
      <w:r w:rsidR="002F73DE">
        <w:rPr>
          <w:rFonts w:eastAsia="Times New Roman"/>
          <w:sz w:val="24"/>
          <w:szCs w:val="24"/>
        </w:rPr>
        <w:t>, 320 P.3d 830</w:t>
      </w:r>
      <w:r w:rsidRPr="00116A3D">
        <w:rPr>
          <w:rFonts w:eastAsia="Times New Roman"/>
          <w:sz w:val="24"/>
          <w:szCs w:val="24"/>
        </w:rPr>
        <w:t xml:space="preserve"> (airline employee’s statements to TSA presented a jury question on the issue of reckless disregard)</w:t>
      </w:r>
      <w:r w:rsidR="002F73DE">
        <w:rPr>
          <w:rFonts w:eastAsia="Times New Roman"/>
          <w:sz w:val="24"/>
          <w:szCs w:val="24"/>
        </w:rPr>
        <w:t>,</w:t>
      </w:r>
      <w:r w:rsidRPr="00116A3D">
        <w:rPr>
          <w:rFonts w:eastAsia="Times New Roman"/>
          <w:i/>
          <w:sz w:val="24"/>
          <w:szCs w:val="24"/>
        </w:rPr>
        <w:t xml:space="preserve"> rev’d</w:t>
      </w:r>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r w:rsidRPr="00116A3D">
        <w:rPr>
          <w:rFonts w:eastAsia="Times New Roman"/>
          <w:b/>
          <w:sz w:val="24"/>
          <w:szCs w:val="24"/>
        </w:rPr>
        <w:t>DiLeo v. Koltnow</w:t>
      </w:r>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Pierce v. St. Vrain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r w:rsidRPr="00116A3D">
        <w:rPr>
          <w:rFonts w:eastAsia="Times New Roman"/>
          <w:i/>
          <w:sz w:val="24"/>
          <w:szCs w:val="24"/>
        </w:rPr>
        <w:t>rev’d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r w:rsidRPr="00116A3D">
        <w:rPr>
          <w:rFonts w:eastAsia="Times New Roman"/>
          <w:b/>
          <w:sz w:val="24"/>
          <w:szCs w:val="24"/>
        </w:rPr>
        <w:t>Seible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w:t>
      </w:r>
      <w:r w:rsidRPr="00116A3D">
        <w:rPr>
          <w:rFonts w:eastAsia="Times New Roman"/>
          <w:sz w:val="24"/>
          <w:szCs w:val="24"/>
        </w:rPr>
        <w:lastRenderedPageBreak/>
        <w:t xml:space="preserve">recklessness may be found where there are obvious reasons to doubt the veracity of the informant or the accuracy of his reports.”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4" w:name="a22_04"/>
      <w:bookmarkEnd w:id="4"/>
      <w:r w:rsidRPr="00116A3D">
        <w:rPr>
          <w:rFonts w:eastAsia="Times New Roman"/>
          <w:b/>
          <w:sz w:val="24"/>
          <w:szCs w:val="24"/>
        </w:rPr>
        <w:lastRenderedPageBreak/>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6FAFA2A4"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116A3D">
        <w:rPr>
          <w:rFonts w:eastAsia="Times New Roman"/>
          <w:b/>
          <w:sz w:val="24"/>
          <w:szCs w:val="24"/>
        </w:rPr>
        <w:t xml:space="preserve">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r w:rsidRPr="00116A3D">
        <w:rPr>
          <w:rFonts w:eastAsia="Times New Roman"/>
          <w:sz w:val="24"/>
          <w:szCs w:val="24"/>
        </w:rPr>
        <w:lastRenderedPageBreak/>
        <w:t>quod).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5" w:name="a22_05"/>
      <w:bookmarkEnd w:id="5"/>
      <w:r w:rsidRPr="0027486C">
        <w:rPr>
          <w:rFonts w:eastAsia="Times New Roman"/>
          <w:b/>
          <w:sz w:val="24"/>
          <w:szCs w:val="24"/>
        </w:rPr>
        <w:lastRenderedPageBreak/>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DC43328"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For the plaintiff to recover from the defendant on </w:t>
      </w:r>
      <w:r w:rsidR="006A1D54" w:rsidRPr="006A1D54">
        <w:rPr>
          <w:rFonts w:eastAsia="Times New Roman"/>
          <w:bCs/>
          <w:i/>
          <w:iCs/>
          <w:sz w:val="24"/>
          <w:szCs w:val="24"/>
        </w:rPr>
        <w:t>(insert applicable pronoun)</w:t>
      </w:r>
      <w:r w:rsidRPr="0027486C">
        <w:rPr>
          <w:rFonts w:eastAsia="Times New Roman"/>
          <w:b/>
          <w:sz w:val="24"/>
          <w:szCs w:val="24"/>
        </w:rPr>
        <w:t xml:space="preserve">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s), (b) </w:t>
      </w:r>
      <w:r w:rsidRPr="0027486C">
        <w:rPr>
          <w:rFonts w:eastAsia="Times New Roman"/>
          <w:sz w:val="24"/>
          <w:szCs w:val="24"/>
        </w:rPr>
        <w:lastRenderedPageBreak/>
        <w:t>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quod),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quod,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6" w:name="a22_06"/>
      <w:bookmarkEnd w:id="6"/>
      <w:r w:rsidRPr="0027486C">
        <w:rPr>
          <w:rFonts w:eastAsia="Times New Roman"/>
          <w:b/>
          <w:sz w:val="24"/>
          <w:szCs w:val="24"/>
        </w:rPr>
        <w:lastRenderedPageBreak/>
        <w:t>22:6</w:t>
      </w:r>
      <w:r w:rsidRPr="0027486C">
        <w:rPr>
          <w:rFonts w:eastAsia="Times New Roman"/>
          <w:b/>
          <w:sz w:val="24"/>
          <w:szCs w:val="24"/>
        </w:rPr>
        <w:tab/>
        <w:t>INCREMENTAL HARM</w:t>
      </w:r>
    </w:p>
    <w:p w14:paraId="25091F02" w14:textId="19392EED" w:rsidR="0027486C" w:rsidRDefault="0027486C" w:rsidP="0027486C">
      <w:pPr>
        <w:jc w:val="center"/>
        <w:rPr>
          <w:rFonts w:eastAsia="Times New Roman"/>
          <w:sz w:val="24"/>
          <w:szCs w:val="24"/>
        </w:rPr>
      </w:pPr>
    </w:p>
    <w:p w14:paraId="69F750E9" w14:textId="5EA88149"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p>
    <w:p w14:paraId="69F8F493" w14:textId="77777777" w:rsidR="002F73DE" w:rsidRPr="0099627C" w:rsidRDefault="0027486C" w:rsidP="002F73DE">
      <w:pPr>
        <w:spacing w:after="240"/>
        <w:ind w:firstLine="720"/>
        <w:rPr>
          <w:rFonts w:eastAsia="Times New Roman"/>
          <w:sz w:val="24"/>
          <w:szCs w:val="24"/>
        </w:rPr>
      </w:pPr>
      <w:r w:rsidRPr="0027486C">
        <w:rPr>
          <w:rFonts w:eastAsia="Times New Roman"/>
          <w:sz w:val="24"/>
          <w:szCs w:val="24"/>
        </w:rPr>
        <w:t xml:space="preserve">1. </w:t>
      </w:r>
      <w:r w:rsidR="002F73DE" w:rsidRPr="0099627C">
        <w:rPr>
          <w:rFonts w:eastAsia="Times New Roman"/>
          <w:sz w:val="24"/>
          <w:szCs w:val="24"/>
        </w:rPr>
        <w:t>No instruction has b</w:t>
      </w:r>
      <w:smartTag w:uri="urn:schemas-microsoft-com:office:smarttags" w:element="PersonName">
        <w:r w:rsidR="002F73DE" w:rsidRPr="0099627C">
          <w:rPr>
            <w:rFonts w:eastAsia="Times New Roman"/>
            <w:sz w:val="24"/>
            <w:szCs w:val="24"/>
          </w:rPr>
          <w:t>e</w:t>
        </w:r>
      </w:smartTag>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n pr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par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caus</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it is unlik</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ly that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will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any fact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 for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t</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rmination by a jury as distinguish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from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stions of law to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cid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by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court.</w:t>
      </w:r>
    </w:p>
    <w:p w14:paraId="2F113006" w14:textId="03A05D77" w:rsidR="0027486C" w:rsidRPr="0027486C" w:rsidRDefault="002F73DE" w:rsidP="0027486C">
      <w:pPr>
        <w:spacing w:after="240"/>
        <w:ind w:firstLine="720"/>
        <w:rPr>
          <w:rFonts w:eastAsia="Times New Roman"/>
          <w:sz w:val="24"/>
          <w:szCs w:val="24"/>
        </w:rPr>
      </w:pPr>
      <w:r>
        <w:rPr>
          <w:rFonts w:eastAsia="Times New Roman"/>
          <w:sz w:val="24"/>
          <w:szCs w:val="24"/>
        </w:rPr>
        <w:t>2</w:t>
      </w:r>
      <w:r w:rsidR="0027486C" w:rsidRPr="0027486C">
        <w:rPr>
          <w:rFonts w:eastAsia="Times New Roman"/>
          <w:sz w:val="24"/>
          <w:szCs w:val="24"/>
        </w:rPr>
        <w:t xml:space="preserve">. </w:t>
      </w:r>
      <w:r w:rsidR="0023190E">
        <w:rPr>
          <w:rFonts w:eastAsia="Times New Roman"/>
          <w:sz w:val="24"/>
          <w:szCs w:val="24"/>
        </w:rPr>
        <w:t>In</w:t>
      </w:r>
      <w:r w:rsidR="0027486C" w:rsidRPr="0027486C">
        <w:rPr>
          <w:rFonts w:eastAsia="Times New Roman"/>
          <w:sz w:val="24"/>
          <w:szCs w:val="24"/>
        </w:rPr>
        <w:t xml:space="preserve"> </w:t>
      </w:r>
      <w:r w:rsidR="0027486C" w:rsidRPr="0027486C">
        <w:rPr>
          <w:rFonts w:eastAsia="Times New Roman"/>
          <w:b/>
          <w:sz w:val="24"/>
          <w:szCs w:val="24"/>
        </w:rPr>
        <w:t>Tonnessen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place">
        <w:smartTag w:uri="urn:schemas-microsoft-com:office:smarttags" w:element="Stat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3A2E596D" w:rsidR="0027486C" w:rsidRPr="0027486C" w:rsidRDefault="002F73D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sidR="0027486C" w:rsidRPr="0027486C">
        <w:rPr>
          <w:rFonts w:eastAsia="Times New Roman"/>
          <w:b/>
          <w:sz w:val="24"/>
          <w:szCs w:val="24"/>
        </w:rPr>
        <w:t xml:space="preserve">Tonnessen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quod. The </w:t>
      </w:r>
      <w:r w:rsidR="0027486C" w:rsidRPr="0027486C">
        <w:rPr>
          <w:rFonts w:eastAsia="Times New Roman"/>
          <w:b/>
          <w:sz w:val="24"/>
          <w:szCs w:val="24"/>
        </w:rPr>
        <w:t xml:space="preserve">Tonnessen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7" w:name="a22_07"/>
      <w:bookmarkEnd w:id="7"/>
      <w:r w:rsidRPr="00D66858">
        <w:rPr>
          <w:rFonts w:eastAsia="Times New Roman"/>
          <w:b/>
          <w:sz w:val="24"/>
          <w:szCs w:val="24"/>
        </w:rPr>
        <w:lastRenderedPageBreak/>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8" w:name="a22_08"/>
      <w:bookmarkEnd w:id="8"/>
      <w:r w:rsidRPr="00D66858">
        <w:rPr>
          <w:rFonts w:eastAsia="Times New Roman"/>
          <w:b/>
          <w:sz w:val="24"/>
          <w:szCs w:val="24"/>
        </w:rPr>
        <w:lastRenderedPageBreak/>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r w:rsidR="0023190E" w:rsidRPr="00D66858">
        <w:rPr>
          <w:rFonts w:eastAsia="Times New Roman"/>
          <w:b/>
          <w:sz w:val="24"/>
          <w:szCs w:val="24"/>
        </w:rPr>
        <w:t>Tonnessen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publican Publ’g Co. v. Mosman</w:t>
      </w:r>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r w:rsidRPr="00D66858">
        <w:rPr>
          <w:rFonts w:eastAsia="Times New Roman"/>
          <w:b/>
          <w:sz w:val="24"/>
          <w:szCs w:val="24"/>
        </w:rPr>
        <w:t>Cinquanta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w:t>
      </w:r>
      <w:r w:rsidRPr="00D66858">
        <w:rPr>
          <w:rFonts w:eastAsia="Times New Roman"/>
          <w:sz w:val="24"/>
          <w:szCs w:val="24"/>
        </w:rPr>
        <w:lastRenderedPageBreak/>
        <w:t xml:space="preserve">filed); </w:t>
      </w:r>
      <w:r w:rsidRPr="00D66858">
        <w:rPr>
          <w:rFonts w:eastAsia="Times New Roman"/>
          <w:b/>
          <w:sz w:val="24"/>
          <w:szCs w:val="24"/>
        </w:rPr>
        <w:t>Tonnessen</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9" w:name="a22_09"/>
      <w:bookmarkEnd w:id="9"/>
      <w:r w:rsidRPr="00F82676">
        <w:rPr>
          <w:rFonts w:eastAsia="Times New Roman"/>
          <w:b/>
          <w:sz w:val="24"/>
          <w:szCs w:val="24"/>
        </w:rPr>
        <w:lastRenderedPageBreak/>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r quod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0" w:name="a22_10"/>
      <w:bookmarkEnd w:id="10"/>
      <w:r w:rsidRPr="008F19CE">
        <w:rPr>
          <w:rFonts w:eastAsia="Times New Roman"/>
          <w:b/>
          <w:sz w:val="24"/>
          <w:szCs w:val="24"/>
        </w:rPr>
        <w:lastRenderedPageBreak/>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AEB8CD9"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Wehrle</w:t>
      </w:r>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ws Printing Co. v. Fridborn</w:t>
      </w:r>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1" w:name="a22_11"/>
      <w:bookmarkEnd w:id="11"/>
      <w:r w:rsidRPr="008F19CE">
        <w:rPr>
          <w:rFonts w:eastAsia="Times New Roman"/>
          <w:b/>
          <w:sz w:val="24"/>
          <w:szCs w:val="24"/>
        </w:rPr>
        <w:lastRenderedPageBreak/>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place">
        <w:smartTag w:uri="urn:schemas-microsoft-com:office:smarttags" w:element="Stat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place">
        <w:smartTag w:uri="urn:schemas-microsoft-com:office:smarttags" w:element="City">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r w:rsidR="008F19CE" w:rsidRPr="008F19CE">
        <w:rPr>
          <w:rFonts w:eastAsia="Times New Roman"/>
          <w:b/>
          <w:sz w:val="24"/>
          <w:szCs w:val="24"/>
        </w:rPr>
        <w:t>Tonnessen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2" w:name="a22_12"/>
      <w:bookmarkEnd w:id="12"/>
      <w:r w:rsidRPr="008F19CE">
        <w:rPr>
          <w:rFonts w:eastAsia="Times New Roman"/>
          <w:b/>
          <w:sz w:val="24"/>
          <w:szCs w:val="24"/>
        </w:rPr>
        <w:lastRenderedPageBreak/>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r w:rsidRPr="008F19CE">
        <w:rPr>
          <w:rFonts w:eastAsia="Times New Roman"/>
          <w:b/>
          <w:sz w:val="24"/>
          <w:szCs w:val="24"/>
        </w:rPr>
        <w:t>Cinquanta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r w:rsidRPr="008F19CE">
        <w:rPr>
          <w:rFonts w:eastAsia="Times New Roman"/>
          <w:b/>
          <w:sz w:val="24"/>
          <w:szCs w:val="24"/>
        </w:rPr>
        <w:t>Seefried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cmt.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3" w:name="a22_13"/>
      <w:bookmarkEnd w:id="13"/>
      <w:r w:rsidRPr="008F19CE">
        <w:rPr>
          <w:rFonts w:eastAsia="Times New Roman"/>
          <w:b/>
          <w:sz w:val="24"/>
          <w:szCs w:val="24"/>
        </w:rPr>
        <w:lastRenderedPageBreak/>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Phila. Newspapers, Inc. v. Hepps</w:t>
      </w:r>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698762D5"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Vrain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4. When the plaintiff is a public official or public figure, or is a private person and the statement relates to a matter of public concern, the plaintiff’s burden of proving falsity is </w:t>
      </w:r>
      <w:r w:rsidRPr="008F19CE">
        <w:rPr>
          <w:rFonts w:eastAsia="Times New Roman"/>
          <w:sz w:val="24"/>
          <w:szCs w:val="24"/>
        </w:rPr>
        <w:lastRenderedPageBreak/>
        <w:t>required by the First Amendment.</w:t>
      </w:r>
      <w:r w:rsidR="004F1AD8">
        <w:rPr>
          <w:rFonts w:eastAsia="Times New Roman"/>
          <w:sz w:val="24"/>
          <w:szCs w:val="24"/>
        </w:rPr>
        <w:t xml:space="preserve"> </w:t>
      </w:r>
      <w:r w:rsidR="007D22FB">
        <w:rPr>
          <w:rFonts w:eastAsia="Times New Roman"/>
          <w:b/>
          <w:sz w:val="24"/>
          <w:szCs w:val="24"/>
        </w:rPr>
        <w:t>Hepps</w:t>
      </w:r>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r w:rsidRPr="008F19CE">
        <w:rPr>
          <w:rFonts w:eastAsia="Times New Roman"/>
          <w:b/>
          <w:sz w:val="24"/>
          <w:szCs w:val="24"/>
        </w:rPr>
        <w:t>Shoen v. Shoen</w:t>
      </w:r>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4" w:name="a22_14"/>
      <w:bookmarkEnd w:id="14"/>
      <w:r w:rsidRPr="001303C5">
        <w:rPr>
          <w:rFonts w:eastAsia="Times New Roman"/>
          <w:b/>
          <w:sz w:val="24"/>
          <w:szCs w:val="24"/>
        </w:rPr>
        <w:lastRenderedPageBreak/>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09E764EB"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be given with Instruction 22:2 or 22:5 whenever the existence of special damages is in issue.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r w:rsidRPr="001303C5">
        <w:rPr>
          <w:rFonts w:eastAsia="Times New Roman"/>
          <w:b/>
          <w:sz w:val="24"/>
          <w:szCs w:val="24"/>
        </w:rPr>
        <w:t>Teilhaber Mfg. Co. v. Unarco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quod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5" w:name="a22_15"/>
      <w:bookmarkEnd w:id="15"/>
      <w:r w:rsidRPr="0099627C">
        <w:rPr>
          <w:rFonts w:eastAsia="Times New Roman"/>
          <w:b/>
          <w:sz w:val="24"/>
          <w:szCs w:val="24"/>
        </w:rPr>
        <w:lastRenderedPageBreak/>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6" w:name="a22_16"/>
      <w:bookmarkEnd w:id="16"/>
      <w:r w:rsidRPr="0099627C">
        <w:rPr>
          <w:rFonts w:eastAsia="Times New Roman"/>
          <w:b/>
          <w:sz w:val="24"/>
          <w:szCs w:val="24"/>
        </w:rPr>
        <w:lastRenderedPageBreak/>
        <w:t xml:space="preserve">22:16 </w:t>
      </w:r>
      <w:r w:rsidRPr="0099627C">
        <w:rPr>
          <w:rFonts w:eastAsia="Times New Roman"/>
          <w:b/>
          <w:sz w:val="24"/>
          <w:szCs w:val="24"/>
        </w:rPr>
        <w:tab/>
        <w:t>AFFIRMATIVE DEFENSE — SUBSTANTIAL TRUTH</w:t>
      </w:r>
    </w:p>
    <w:p w14:paraId="0B464F1A" w14:textId="6CF49B2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xml:space="preserve">, on </w:t>
      </w:r>
      <w:r w:rsidR="006A1D54" w:rsidRPr="006A1D54">
        <w:rPr>
          <w:rFonts w:eastAsia="Times New Roman"/>
          <w:bCs/>
          <w:i/>
          <w:iCs/>
          <w:sz w:val="24"/>
          <w:szCs w:val="24"/>
        </w:rPr>
        <w:t>(insert applicable pronoun)</w:t>
      </w:r>
      <w:r w:rsidRPr="0099627C">
        <w:rPr>
          <w:rFonts w:eastAsia="Times New Roman"/>
          <w:b/>
          <w:sz w:val="24"/>
          <w:szCs w:val="24"/>
        </w:rPr>
        <w:t xml:space="preserve">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0349C73B"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3. This instruction should be given only with Instruction 22:4 or 22:5, when the question of truth has been put in issue, either (1) because the defendant in the answer pleaded truth in justification and presented some evidence in support of the plea, or (2) because the plaintiff alleged that the words were untrue and the defendant in the answer denied the allegations and then presented some evidence to prove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406CCD38"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be given with Instruction 22:1 or 22:2, because in those cases, the burden of proving falsity is on the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30FD79"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r w:rsidRPr="0099627C">
        <w:rPr>
          <w:rFonts w:eastAsia="Times New Roman"/>
          <w:b/>
          <w:sz w:val="24"/>
          <w:szCs w:val="24"/>
        </w:rPr>
        <w:t>Churchey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r w:rsidRPr="0099627C">
        <w:rPr>
          <w:rFonts w:eastAsia="Times New Roman"/>
          <w:b/>
          <w:sz w:val="24"/>
          <w:szCs w:val="24"/>
        </w:rPr>
        <w:t>Gomba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Kolbenschlag</w:t>
      </w:r>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w:t>
      </w:r>
      <w:r w:rsidR="00785B7B">
        <w:rPr>
          <w:rFonts w:eastAsia="Times New Roman"/>
          <w:sz w:val="24"/>
          <w:szCs w:val="24"/>
        </w:rPr>
        <w:t>, 452 P.3d 1, 6</w:t>
      </w:r>
      <w:r w:rsidR="00A30E87">
        <w:rPr>
          <w:rFonts w:eastAsia="Times New Roman"/>
          <w:sz w:val="24"/>
          <w:szCs w:val="24"/>
        </w:rPr>
        <w:t xml:space="preserve">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Pierce v. St. Vrain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r w:rsidRPr="0099627C">
        <w:rPr>
          <w:rFonts w:eastAsia="Times New Roman"/>
          <w:b/>
          <w:sz w:val="24"/>
          <w:szCs w:val="24"/>
        </w:rPr>
        <w:t xml:space="preserve">Lindemuth v. </w:t>
      </w:r>
      <w:r w:rsidRPr="0099627C">
        <w:rPr>
          <w:rFonts w:eastAsia="Times New Roman"/>
          <w:b/>
          <w:sz w:val="24"/>
          <w:szCs w:val="24"/>
        </w:rPr>
        <w:lastRenderedPageBreak/>
        <w:t>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 Cnty.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Pittman v. Larson Distrib.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7" w:name="a22_17"/>
      <w:bookmarkEnd w:id="17"/>
      <w:r w:rsidRPr="0099627C">
        <w:rPr>
          <w:rFonts w:eastAsia="Times New Roman"/>
          <w:b/>
          <w:sz w:val="24"/>
          <w:szCs w:val="24"/>
        </w:rPr>
        <w:lastRenderedPageBreak/>
        <w:t xml:space="preserve">22:17 </w:t>
      </w:r>
      <w:r w:rsidRPr="0099627C">
        <w:rPr>
          <w:rFonts w:eastAsia="Times New Roman"/>
          <w:b/>
          <w:sz w:val="24"/>
          <w:szCs w:val="24"/>
        </w:rPr>
        <w:tab/>
        <w:t>AFFIRMATIVE DEFENSE — ABSOLUTE PRIVILEGE</w:t>
      </w:r>
    </w:p>
    <w:p w14:paraId="519348CC" w14:textId="77777777" w:rsidR="0099627C" w:rsidRDefault="0099627C" w:rsidP="0099627C">
      <w:pPr>
        <w:jc w:val="center"/>
        <w:rPr>
          <w:rFonts w:eastAsia="Times New Roman"/>
          <w:sz w:val="24"/>
          <w:szCs w:val="24"/>
        </w:rPr>
      </w:pPr>
    </w:p>
    <w:p w14:paraId="1A5CA722" w14:textId="7E4E8A32"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317F915D" w:rsidR="0099627C" w:rsidRPr="009D317B" w:rsidRDefault="0099627C" w:rsidP="0099627C">
      <w:pPr>
        <w:spacing w:after="240"/>
        <w:ind w:firstLine="720"/>
        <w:rPr>
          <w:rFonts w:eastAsia="Times New Roman"/>
          <w:sz w:val="24"/>
          <w:szCs w:val="24"/>
        </w:rPr>
      </w:pPr>
      <w:r w:rsidRPr="009D317B">
        <w:rPr>
          <w:rFonts w:eastAsia="Times New Roman"/>
          <w:sz w:val="24"/>
          <w:szCs w:val="24"/>
        </w:rPr>
        <w:t xml:space="preserve">2. Certain classes of persons, by virtue of their position or status, are absolutely privileged to publish defamatory matter and are not liable even if the statements are false or defamatory. An absolute privilege is not conditioned on any knowledge or belief as to the truth of the statements or upon an absence of ill will on the part of the actor. Those absolutely privileged include: (a) a judge or other officers performing a judicial function if the publication has some relation to the matter before that person; (b) an attorney, party, witness, or juror, if the defamatory matter communicated has some relation to a judicial proceeding in which that person participates; (c) legislators in the performance of their legislative functions; (d) witnesses testifying at or persons providing communication preliminary to a legislative proceeding if the matter has some relation to the proceeding; (e) certain executive and administrative officers in communications made in the performance of their official duties; (f) one who is required by law to publish the defamatory matter; and (g) persons in a statutory confidential relationship. </w:t>
      </w:r>
      <w:r w:rsidRPr="009D317B">
        <w:rPr>
          <w:rFonts w:eastAsia="Times New Roman"/>
          <w:smallCaps/>
          <w:sz w:val="24"/>
          <w:szCs w:val="24"/>
        </w:rPr>
        <w:t>Restatement (Second) of Torts</w:t>
      </w:r>
      <w:r w:rsidRPr="009D317B">
        <w:rPr>
          <w:rFonts w:eastAsia="Times New Roman"/>
          <w:sz w:val="24"/>
          <w:szCs w:val="24"/>
        </w:rPr>
        <w:t xml:space="preserve"> §§ 585-592A (1977)</w:t>
      </w:r>
      <w:r w:rsidR="00FC5111" w:rsidRPr="009D317B">
        <w:rPr>
          <w:rFonts w:eastAsia="Times New Roman"/>
          <w:sz w:val="24"/>
          <w:szCs w:val="24"/>
        </w:rPr>
        <w:t>;</w:t>
      </w:r>
      <w:r w:rsidRPr="009D317B">
        <w:rPr>
          <w:rFonts w:eastAsia="Times New Roman"/>
          <w:sz w:val="24"/>
          <w:szCs w:val="24"/>
        </w:rPr>
        <w:t xml:space="preserve"> </w:t>
      </w:r>
      <w:r w:rsidR="00FC5111" w:rsidRPr="009D317B">
        <w:rPr>
          <w:rFonts w:eastAsia="Times New Roman"/>
          <w:i/>
          <w:sz w:val="24"/>
          <w:szCs w:val="24"/>
        </w:rPr>
        <w:t>s</w:t>
      </w:r>
      <w:r w:rsidRPr="009D317B">
        <w:rPr>
          <w:rFonts w:eastAsia="Times New Roman"/>
          <w:i/>
          <w:sz w:val="24"/>
          <w:szCs w:val="24"/>
        </w:rPr>
        <w:t>ee</w:t>
      </w:r>
      <w:r w:rsidRPr="009D317B">
        <w:rPr>
          <w:rFonts w:eastAsia="Times New Roman"/>
          <w:sz w:val="24"/>
          <w:szCs w:val="24"/>
        </w:rPr>
        <w:t xml:space="preserve"> </w:t>
      </w:r>
      <w:r w:rsidR="006A1D54" w:rsidRPr="009D317B">
        <w:rPr>
          <w:b/>
          <w:bCs/>
          <w:sz w:val="24"/>
          <w:szCs w:val="24"/>
        </w:rPr>
        <w:t>Killmer, Lane &amp; Newman, LLP</w:t>
      </w:r>
      <w:r w:rsidR="006A1D54" w:rsidRPr="009D317B">
        <w:rPr>
          <w:color w:val="000000"/>
          <w:sz w:val="24"/>
          <w:szCs w:val="24"/>
        </w:rPr>
        <w:t xml:space="preserve"> </w:t>
      </w:r>
      <w:r w:rsidR="006A1D54" w:rsidRPr="009D317B">
        <w:rPr>
          <w:b/>
          <w:bCs/>
          <w:color w:val="000000"/>
          <w:sz w:val="24"/>
          <w:szCs w:val="24"/>
        </w:rPr>
        <w:t>v.</w:t>
      </w:r>
      <w:r w:rsidR="006A1D54" w:rsidRPr="009D317B">
        <w:rPr>
          <w:color w:val="000000"/>
          <w:sz w:val="24"/>
          <w:szCs w:val="24"/>
        </w:rPr>
        <w:t xml:space="preserve"> </w:t>
      </w:r>
      <w:r w:rsidR="006A1D54" w:rsidRPr="009D317B">
        <w:rPr>
          <w:b/>
          <w:bCs/>
          <w:sz w:val="24"/>
          <w:szCs w:val="24"/>
        </w:rPr>
        <w:t>BKP, Inc.</w:t>
      </w:r>
      <w:r w:rsidR="006A1D54" w:rsidRPr="009D317B">
        <w:rPr>
          <w:sz w:val="24"/>
          <w:szCs w:val="24"/>
        </w:rPr>
        <w:t>,</w:t>
      </w:r>
      <w:r w:rsidR="006A1D54" w:rsidRPr="009D317B">
        <w:rPr>
          <w:b/>
          <w:bCs/>
          <w:sz w:val="24"/>
          <w:szCs w:val="24"/>
        </w:rPr>
        <w:t xml:space="preserve"> </w:t>
      </w:r>
      <w:r w:rsidR="006A1D54" w:rsidRPr="009D317B">
        <w:rPr>
          <w:color w:val="000000"/>
          <w:sz w:val="24"/>
          <w:szCs w:val="24"/>
        </w:rPr>
        <w:t>2023 CO 47, ¶ 21</w:t>
      </w:r>
      <w:r w:rsidR="005A7429">
        <w:rPr>
          <w:color w:val="000000"/>
          <w:sz w:val="24"/>
          <w:szCs w:val="24"/>
        </w:rPr>
        <w:t>, 535 P.3d 91</w:t>
      </w:r>
      <w:r w:rsidR="006A1D54" w:rsidRPr="009D317B">
        <w:rPr>
          <w:color w:val="000000"/>
          <w:sz w:val="24"/>
          <w:szCs w:val="24"/>
        </w:rPr>
        <w:t xml:space="preserve"> (absolute privilege applies to attorney’s statements at press conference announcing class action lawsuit, because those statements are </w:t>
      </w:r>
      <w:r w:rsidR="006A1D54" w:rsidRPr="009D317B">
        <w:rPr>
          <w:sz w:val="24"/>
          <w:szCs w:val="24"/>
        </w:rPr>
        <w:t>“</w:t>
      </w:r>
      <w:r w:rsidR="006A1D54" w:rsidRPr="009D317B">
        <w:rPr>
          <w:color w:val="000000"/>
          <w:sz w:val="24"/>
          <w:szCs w:val="24"/>
        </w:rPr>
        <w:t xml:space="preserve">preliminary to a proposed </w:t>
      </w:r>
      <w:r w:rsidR="006A1D54" w:rsidRPr="00177176">
        <w:rPr>
          <w:color w:val="000000"/>
          <w:sz w:val="24"/>
          <w:szCs w:val="24"/>
        </w:rPr>
        <w:t>judicial proceeding, or in the institution of, or during the course and as a part of, a judicial proceeding in which he participates as counsel, if it has some relation to the proceeding”</w:t>
      </w:r>
      <w:r w:rsidR="006A1D54" w:rsidRPr="00177176">
        <w:rPr>
          <w:color w:val="3D3D3D"/>
          <w:sz w:val="24"/>
          <w:szCs w:val="24"/>
        </w:rPr>
        <w:t xml:space="preserve"> </w:t>
      </w:r>
      <w:r w:rsidR="006A1D54" w:rsidRPr="00177176">
        <w:rPr>
          <w:color w:val="000000"/>
          <w:sz w:val="24"/>
          <w:szCs w:val="24"/>
        </w:rPr>
        <w:t xml:space="preserve">(quoting </w:t>
      </w:r>
      <w:r w:rsidR="006A1D54" w:rsidRPr="00177176">
        <w:rPr>
          <w:smallCaps/>
          <w:color w:val="000000"/>
          <w:sz w:val="24"/>
          <w:szCs w:val="24"/>
        </w:rPr>
        <w:t>Restatement (Second) of Torts</w:t>
      </w:r>
      <w:r w:rsidR="006A1D54" w:rsidRPr="00177176">
        <w:rPr>
          <w:color w:val="000000"/>
          <w:sz w:val="24"/>
          <w:szCs w:val="24"/>
        </w:rPr>
        <w:t xml:space="preserve"> § 586 (1977)); </w:t>
      </w:r>
      <w:r w:rsidR="008604F8" w:rsidRPr="009D317B">
        <w:rPr>
          <w:rFonts w:eastAsia="Times New Roman"/>
          <w:b/>
          <w:sz w:val="24"/>
          <w:szCs w:val="24"/>
        </w:rPr>
        <w:t>Hoffler v. Colo. Dep’t of Corr.</w:t>
      </w:r>
      <w:r w:rsidR="008604F8" w:rsidRPr="009D317B">
        <w:rPr>
          <w:rFonts w:eastAsia="Times New Roman"/>
          <w:sz w:val="24"/>
          <w:szCs w:val="24"/>
        </w:rPr>
        <w:t xml:space="preserve">, 27 P.3d 371 (Colo. 2001) (recognized common-law privilege protecting statements made in course of judicial or quasi-judicial proceedings); </w:t>
      </w:r>
      <w:r w:rsidR="008604F8" w:rsidRPr="009D317B">
        <w:rPr>
          <w:rFonts w:eastAsia="Times New Roman"/>
          <w:b/>
          <w:sz w:val="24"/>
          <w:szCs w:val="24"/>
        </w:rPr>
        <w:t>McDonald v. Lakewood Country Club</w:t>
      </w:r>
      <w:r w:rsidR="008604F8" w:rsidRPr="009D317B">
        <w:rPr>
          <w:rFonts w:eastAsia="Times New Roman"/>
          <w:sz w:val="24"/>
          <w:szCs w:val="24"/>
        </w:rPr>
        <w:t>,</w:t>
      </w:r>
      <w:r w:rsidR="008604F8" w:rsidRPr="009D317B">
        <w:rPr>
          <w:rFonts w:eastAsia="Times New Roman"/>
          <w:b/>
          <w:sz w:val="24"/>
          <w:szCs w:val="24"/>
        </w:rPr>
        <w:t xml:space="preserve"> </w:t>
      </w:r>
      <w:r w:rsidR="008604F8" w:rsidRPr="009D317B">
        <w:rPr>
          <w:rFonts w:eastAsia="Times New Roman"/>
          <w:sz w:val="24"/>
          <w:szCs w:val="24"/>
        </w:rPr>
        <w:t xml:space="preserve">170 Colo. 355, 461 P.2d 437 (1969) (recognizing privilege of prosecutor to make defamatory statement in open court when pertinent to case being tried); </w:t>
      </w:r>
      <w:r w:rsidR="008604F8" w:rsidRPr="009D317B">
        <w:rPr>
          <w:rFonts w:eastAsia="Times New Roman"/>
          <w:b/>
          <w:sz w:val="24"/>
          <w:szCs w:val="24"/>
        </w:rPr>
        <w:t>Lininger v. Knight</w:t>
      </w:r>
      <w:r w:rsidR="008604F8" w:rsidRPr="009D317B">
        <w:rPr>
          <w:rFonts w:eastAsia="Times New Roman"/>
          <w:sz w:val="24"/>
          <w:szCs w:val="24"/>
        </w:rPr>
        <w:t xml:space="preserve">, 123 Colo. 213, 226 P.2d 809 (1951) (petition to county commissioners held privileged as relating to legislative and judicial proceedings); </w:t>
      </w:r>
      <w:r w:rsidR="008604F8" w:rsidRPr="009D317B">
        <w:rPr>
          <w:rFonts w:eastAsia="Times New Roman"/>
          <w:b/>
          <w:sz w:val="24"/>
          <w:szCs w:val="24"/>
        </w:rPr>
        <w:t>Glasson v. Bowen</w:t>
      </w:r>
      <w:r w:rsidR="008604F8" w:rsidRPr="009D317B">
        <w:rPr>
          <w:rFonts w:eastAsia="Times New Roman"/>
          <w:sz w:val="24"/>
          <w:szCs w:val="24"/>
        </w:rPr>
        <w:t xml:space="preserve">, 84 Colo. 57, 267 P. 1066 (1928) (affidavit incident to change of venue motion); </w:t>
      </w:r>
      <w:r w:rsidR="008C28B7" w:rsidRPr="004A57DD">
        <w:rPr>
          <w:b/>
          <w:bCs/>
          <w:sz w:val="24"/>
          <w:szCs w:val="24"/>
        </w:rPr>
        <w:t>Anderson v. Senthilnathan</w:t>
      </w:r>
      <w:r w:rsidR="008C28B7" w:rsidRPr="00177176">
        <w:rPr>
          <w:b/>
          <w:bCs/>
          <w:sz w:val="24"/>
          <w:szCs w:val="24"/>
        </w:rPr>
        <w:t>,</w:t>
      </w:r>
      <w:r w:rsidR="008C28B7" w:rsidRPr="00177176">
        <w:rPr>
          <w:sz w:val="24"/>
          <w:szCs w:val="24"/>
        </w:rPr>
        <w:t xml:space="preserve"> 2023 COA 88, </w:t>
      </w:r>
      <w:r w:rsidR="00BB0829" w:rsidRPr="00177176">
        <w:rPr>
          <w:sz w:val="24"/>
          <w:szCs w:val="24"/>
        </w:rPr>
        <w:t xml:space="preserve">¶¶ </w:t>
      </w:r>
      <w:r w:rsidR="008C28B7" w:rsidRPr="00177176">
        <w:rPr>
          <w:sz w:val="24"/>
          <w:szCs w:val="24"/>
        </w:rPr>
        <w:t>57-59</w:t>
      </w:r>
      <w:r w:rsidR="00177176">
        <w:rPr>
          <w:sz w:val="24"/>
          <w:szCs w:val="24"/>
        </w:rPr>
        <w:t>, 540 P.3d 1248</w:t>
      </w:r>
      <w:r w:rsidR="008C28B7" w:rsidRPr="00177176">
        <w:rPr>
          <w:sz w:val="24"/>
          <w:szCs w:val="24"/>
        </w:rPr>
        <w:t xml:space="preserve"> (</w:t>
      </w:r>
      <w:r w:rsidR="00BB0829" w:rsidRPr="00177176">
        <w:rPr>
          <w:sz w:val="24"/>
          <w:szCs w:val="24"/>
        </w:rPr>
        <w:t xml:space="preserve">absolute privilege applies to </w:t>
      </w:r>
      <w:r w:rsidR="008C28B7" w:rsidRPr="00177176">
        <w:rPr>
          <w:sz w:val="24"/>
          <w:szCs w:val="24"/>
        </w:rPr>
        <w:t xml:space="preserve">defendant’s statement during testimony before committee of the General Assembly </w:t>
      </w:r>
      <w:r w:rsidR="00BB0829" w:rsidRPr="00177176">
        <w:rPr>
          <w:sz w:val="24"/>
          <w:szCs w:val="24"/>
        </w:rPr>
        <w:t>but not</w:t>
      </w:r>
      <w:r w:rsidR="008C28B7" w:rsidRPr="00177176">
        <w:rPr>
          <w:sz w:val="24"/>
          <w:szCs w:val="24"/>
        </w:rPr>
        <w:t xml:space="preserve"> to </w:t>
      </w:r>
      <w:r w:rsidR="008604F8">
        <w:rPr>
          <w:sz w:val="24"/>
          <w:szCs w:val="24"/>
        </w:rPr>
        <w:t>a later</w:t>
      </w:r>
      <w:r w:rsidR="008C28B7" w:rsidRPr="00177176">
        <w:rPr>
          <w:sz w:val="24"/>
          <w:szCs w:val="24"/>
        </w:rPr>
        <w:t xml:space="preserve"> statement on same topic uttered outside of that legislative hearing)</w:t>
      </w:r>
      <w:r w:rsidR="00BB0829" w:rsidRPr="00177176">
        <w:rPr>
          <w:sz w:val="24"/>
          <w:szCs w:val="24"/>
        </w:rPr>
        <w:t xml:space="preserve">; </w:t>
      </w:r>
      <w:r w:rsidR="00057708" w:rsidRPr="001A4FA5">
        <w:rPr>
          <w:b/>
          <w:bCs/>
          <w:sz w:val="24"/>
          <w:szCs w:val="24"/>
        </w:rPr>
        <w:t>Gonzales v. Hushen</w:t>
      </w:r>
      <w:r w:rsidR="00057708">
        <w:rPr>
          <w:sz w:val="24"/>
          <w:szCs w:val="24"/>
        </w:rPr>
        <w:t xml:space="preserve">, 2023 COA 87, ¶ 52, </w:t>
      </w:r>
      <w:r w:rsidR="00057708" w:rsidRPr="00057708">
        <w:rPr>
          <w:sz w:val="24"/>
          <w:szCs w:val="24"/>
        </w:rPr>
        <w:t>540 P.3d 1268</w:t>
      </w:r>
      <w:r w:rsidR="00057708">
        <w:rPr>
          <w:sz w:val="24"/>
          <w:szCs w:val="24"/>
        </w:rPr>
        <w:t xml:space="preserve"> (absolute privilege does not apply to statements made in the course of public school district’s Title IX investigation because it is not a quasi-judicial proceeding) (</w:t>
      </w:r>
      <w:r w:rsidR="00057708" w:rsidRPr="001A4FA5">
        <w:rPr>
          <w:i/>
          <w:iCs/>
          <w:sz w:val="24"/>
          <w:szCs w:val="24"/>
        </w:rPr>
        <w:t>cert. granted</w:t>
      </w:r>
      <w:r w:rsidR="00057708">
        <w:rPr>
          <w:sz w:val="24"/>
          <w:szCs w:val="24"/>
        </w:rPr>
        <w:t xml:space="preserve"> June 5, 2024); </w:t>
      </w:r>
      <w:r w:rsidR="002F73DE" w:rsidRPr="00177176">
        <w:rPr>
          <w:b/>
          <w:bCs/>
          <w:sz w:val="24"/>
          <w:szCs w:val="24"/>
        </w:rPr>
        <w:t>Begley v. Ireson</w:t>
      </w:r>
      <w:r w:rsidR="002F73DE" w:rsidRPr="00177176">
        <w:rPr>
          <w:sz w:val="24"/>
          <w:szCs w:val="24"/>
        </w:rPr>
        <w:t xml:space="preserve">, 2020 COA 157, </w:t>
      </w:r>
      <w:r w:rsidR="00493A1A" w:rsidRPr="00177176">
        <w:rPr>
          <w:sz w:val="24"/>
          <w:szCs w:val="24"/>
        </w:rPr>
        <w:t xml:space="preserve">¶ 15, </w:t>
      </w:r>
      <w:r w:rsidR="002F73DE" w:rsidRPr="00177176">
        <w:rPr>
          <w:sz w:val="24"/>
          <w:szCs w:val="24"/>
        </w:rPr>
        <w:t>490 P.3d 963 (attorney’s statements to interested parties in anticipation</w:t>
      </w:r>
      <w:r w:rsidR="002F73DE" w:rsidRPr="009D317B">
        <w:rPr>
          <w:sz w:val="24"/>
          <w:szCs w:val="24"/>
        </w:rPr>
        <w:t xml:space="preserve"> of litigation are entitled to absolute privilege);</w:t>
      </w:r>
      <w:r w:rsidR="002F73DE" w:rsidRPr="009D317B">
        <w:rPr>
          <w:b/>
          <w:bCs/>
          <w:sz w:val="24"/>
          <w:szCs w:val="24"/>
        </w:rPr>
        <w:t xml:space="preserve"> </w:t>
      </w:r>
      <w:r w:rsidRPr="009D317B">
        <w:rPr>
          <w:rFonts w:eastAsia="Times New Roman"/>
          <w:b/>
          <w:sz w:val="24"/>
          <w:szCs w:val="24"/>
        </w:rPr>
        <w:t>Burke v. Greene</w:t>
      </w:r>
      <w:r w:rsidRPr="009D317B">
        <w:rPr>
          <w:rFonts w:eastAsia="Times New Roman"/>
          <w:sz w:val="24"/>
          <w:szCs w:val="24"/>
        </w:rPr>
        <w:t>, 963 P.2d 1119 (</w:t>
      </w:r>
      <w:r w:rsidR="00F60050" w:rsidRPr="009D317B">
        <w:rPr>
          <w:rFonts w:eastAsia="Times New Roman"/>
          <w:sz w:val="24"/>
          <w:szCs w:val="24"/>
        </w:rPr>
        <w:t>Colo. App.</w:t>
      </w:r>
      <w:r w:rsidRPr="009D317B">
        <w:rPr>
          <w:rFonts w:eastAsia="Times New Roman"/>
          <w:sz w:val="24"/>
          <w:szCs w:val="24"/>
        </w:rPr>
        <w:t xml:space="preserve"> 1998) (statements in reports to police are protected by a qualified but not an absolute privilege); </w:t>
      </w:r>
      <w:r w:rsidRPr="009D317B">
        <w:rPr>
          <w:rFonts w:eastAsia="Times New Roman"/>
          <w:b/>
          <w:sz w:val="24"/>
          <w:szCs w:val="24"/>
        </w:rPr>
        <w:t>Club Valencia Homeowners Ass’n v. Valencia Assocs.</w:t>
      </w:r>
      <w:r w:rsidRPr="009D317B">
        <w:rPr>
          <w:rFonts w:eastAsia="Times New Roman"/>
          <w:sz w:val="24"/>
          <w:szCs w:val="24"/>
        </w:rPr>
        <w:t>, 712 P.2d 1024 (</w:t>
      </w:r>
      <w:r w:rsidR="00F60050" w:rsidRPr="009D317B">
        <w:rPr>
          <w:rFonts w:eastAsia="Times New Roman"/>
          <w:sz w:val="24"/>
          <w:szCs w:val="24"/>
        </w:rPr>
        <w:t>Colo. App.</w:t>
      </w:r>
      <w:r w:rsidRPr="009D317B">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r w:rsidRPr="009D317B">
        <w:rPr>
          <w:rFonts w:eastAsia="Times New Roman"/>
          <w:b/>
          <w:sz w:val="24"/>
          <w:szCs w:val="24"/>
        </w:rPr>
        <w:t>Dep’t of Admin. v. State Personnel Bd.</w:t>
      </w:r>
      <w:r w:rsidRPr="009D317B">
        <w:rPr>
          <w:rFonts w:eastAsia="Times New Roman"/>
          <w:sz w:val="24"/>
          <w:szCs w:val="24"/>
        </w:rPr>
        <w:t>, 703 P.2d 595 (</w:t>
      </w:r>
      <w:r w:rsidR="00F60050" w:rsidRPr="009D317B">
        <w:rPr>
          <w:rFonts w:eastAsia="Times New Roman"/>
          <w:sz w:val="24"/>
          <w:szCs w:val="24"/>
        </w:rPr>
        <w:t>Colo. App.</w:t>
      </w:r>
      <w:r w:rsidR="001763B1" w:rsidRPr="009D317B">
        <w:rPr>
          <w:rFonts w:eastAsia="Times New Roman"/>
          <w:sz w:val="24"/>
          <w:szCs w:val="24"/>
        </w:rPr>
        <w:t xml:space="preserve"> </w:t>
      </w:r>
      <w:r w:rsidRPr="009D317B">
        <w:rPr>
          <w:rFonts w:eastAsia="Times New Roman"/>
          <w:sz w:val="24"/>
          <w:szCs w:val="24"/>
        </w:rPr>
        <w:t>1985) (rule that defamatory statements made in judicial or quasi-</w:t>
      </w:r>
      <w:r w:rsidRPr="009D317B">
        <w:rPr>
          <w:rFonts w:eastAsia="Times New Roman"/>
          <w:sz w:val="24"/>
          <w:szCs w:val="24"/>
        </w:rPr>
        <w:lastRenderedPageBreak/>
        <w:t xml:space="preserve">judicial proceedings are absolutely privileged, if relevant to the subject of the inquiry, also applies to hearings before administrative agencies); </w:t>
      </w:r>
      <w:r w:rsidRPr="009D317B">
        <w:rPr>
          <w:rFonts w:eastAsia="Times New Roman"/>
          <w:b/>
          <w:sz w:val="24"/>
          <w:szCs w:val="24"/>
        </w:rPr>
        <w:t>Dorr v. C.B. Johnson, Inc.</w:t>
      </w:r>
      <w:r w:rsidRPr="009D317B">
        <w:rPr>
          <w:rFonts w:eastAsia="Times New Roman"/>
          <w:sz w:val="24"/>
          <w:szCs w:val="24"/>
        </w:rPr>
        <w:t>, 660 P.2d 517 (</w:t>
      </w:r>
      <w:r w:rsidR="00F60050" w:rsidRPr="009D317B">
        <w:rPr>
          <w:rFonts w:eastAsia="Times New Roman"/>
          <w:sz w:val="24"/>
          <w:szCs w:val="24"/>
        </w:rPr>
        <w:t>Colo. App.</w:t>
      </w:r>
      <w:r w:rsidRPr="009D317B">
        <w:rPr>
          <w:rFonts w:eastAsia="Times New Roman"/>
          <w:sz w:val="24"/>
          <w:szCs w:val="24"/>
        </w:rPr>
        <w:t xml:space="preserve"> 1983) (statements concerning employee in </w:t>
      </w:r>
      <w:r w:rsidR="00473E69" w:rsidRPr="009D317B">
        <w:rPr>
          <w:rFonts w:eastAsia="Times New Roman"/>
          <w:sz w:val="24"/>
          <w:szCs w:val="24"/>
        </w:rPr>
        <w:t xml:space="preserve">required </w:t>
      </w:r>
      <w:r w:rsidRPr="009D317B">
        <w:rPr>
          <w:rFonts w:eastAsia="Times New Roman"/>
          <w:sz w:val="24"/>
          <w:szCs w:val="24"/>
        </w:rPr>
        <w:t xml:space="preserve">state agency </w:t>
      </w:r>
      <w:r w:rsidR="00473E69" w:rsidRPr="009D317B">
        <w:rPr>
          <w:rFonts w:eastAsia="Times New Roman"/>
          <w:sz w:val="24"/>
          <w:szCs w:val="24"/>
        </w:rPr>
        <w:t xml:space="preserve">report </w:t>
      </w:r>
      <w:r w:rsidRPr="009D317B">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8" w:name="a22_18"/>
      <w:bookmarkEnd w:id="18"/>
      <w:r w:rsidRPr="0099627C">
        <w:rPr>
          <w:rFonts w:eastAsia="Times New Roman"/>
          <w:b/>
          <w:sz w:val="24"/>
          <w:szCs w:val="24"/>
        </w:rPr>
        <w:lastRenderedPageBreak/>
        <w:t xml:space="preserve">22:18 </w:t>
      </w:r>
      <w:r w:rsidRPr="0099627C">
        <w:rPr>
          <w:rFonts w:eastAsia="Times New Roman"/>
          <w:b/>
          <w:sz w:val="24"/>
          <w:szCs w:val="24"/>
        </w:rPr>
        <w:tab/>
        <w:t>AFFIRMATIVE DEFENSE — QUALIFIED PRIVILEGE — WHEN LOST</w:t>
      </w:r>
    </w:p>
    <w:p w14:paraId="586AB2E8" w14:textId="3A6C114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685CCE0C"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14F61818"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(Because) (If) the defendant was privileged to publish the statement(s), then the defendant is not legally responsible to the plaintiff and your verdict must be for the defendant (unless the defendant abused the privilege. The existence of a privilege does not protect the defendant if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abused the privilege).</w:t>
      </w:r>
    </w:p>
    <w:p w14:paraId="20DFE767" w14:textId="1C2A1575"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affirmative defense of privilege is lost if the plaintiff proves the defendant abused the privilege. The defendant abused the privilege if you find that when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published the statement[s] in question:</w:t>
      </w:r>
    </w:p>
    <w:p w14:paraId="48BD1430" w14:textId="183773E4"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1.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knew the statement[s] to be false, or acted with reckless disregard for whether the statement[s] [was] [were] false; or</w:t>
      </w:r>
    </w:p>
    <w:p w14:paraId="18BC5101" w14:textId="378BB85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2.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acted primarily for purposes other than the protection of the interest for which the privilege was given; or</w:t>
      </w:r>
    </w:p>
    <w:p w14:paraId="0B7C457E" w14:textId="7CC692E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3.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knowingly published the statement[s] to [a person] [persons] to whom its publication was not otherwise privileged, unless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9627C">
        <w:rPr>
          <w:rFonts w:eastAsia="Times New Roman"/>
          <w:b/>
          <w:sz w:val="24"/>
          <w:szCs w:val="24"/>
        </w:rPr>
        <w:t xml:space="preserve"> reasonably believed that the publication was a proper means of communicating such matter to the person[s] to whom its publication was privileged; or</w:t>
      </w:r>
    </w:p>
    <w:p w14:paraId="3982BA1B" w14:textId="6C91A5F1"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4. </w:t>
      </w:r>
      <w:r w:rsidR="006A1D54">
        <w:rPr>
          <w:rFonts w:eastAsia="Times New Roman"/>
          <w:bCs/>
          <w:i/>
          <w:iCs/>
          <w:sz w:val="24"/>
          <w:szCs w:val="24"/>
        </w:rPr>
        <w:t>[I</w:t>
      </w:r>
      <w:r w:rsidR="006A1D54" w:rsidRPr="006A1D54">
        <w:rPr>
          <w:rFonts w:eastAsia="Times New Roman"/>
          <w:bCs/>
          <w:i/>
          <w:iCs/>
          <w:sz w:val="24"/>
          <w:szCs w:val="24"/>
        </w:rPr>
        <w:t>nsert applicable pronoun</w:t>
      </w:r>
      <w:r w:rsidR="006A1D54">
        <w:rPr>
          <w:rFonts w:eastAsia="Times New Roman"/>
          <w:bCs/>
          <w:i/>
          <w:iCs/>
          <w:sz w:val="24"/>
          <w:szCs w:val="24"/>
        </w:rPr>
        <w:t>]</w:t>
      </w:r>
      <w:r w:rsidRPr="0099627C">
        <w:rPr>
          <w:rFonts w:eastAsia="Times New Roman"/>
          <w:b/>
          <w:sz w:val="24"/>
          <w:szCs w:val="24"/>
        </w:rPr>
        <w:t xml:space="preserv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25CE5B9F"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be given only with Instruction 22:4 or 22:5 when the question of a qualified privilege has been properly put in issue. It should not be used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famatory </w:t>
      </w:r>
      <w:r w:rsidRPr="0099627C">
        <w:rPr>
          <w:rFonts w:eastAsia="Times New Roman"/>
          <w:sz w:val="24"/>
          <w:szCs w:val="24"/>
        </w:rPr>
        <w:lastRenderedPageBreak/>
        <w:t>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r w:rsidRPr="0099627C">
        <w:rPr>
          <w:rFonts w:eastAsia="Times New Roman"/>
          <w:b/>
          <w:sz w:val="24"/>
          <w:szCs w:val="24"/>
        </w:rPr>
        <w:t>Churchey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r w:rsidRPr="0099627C">
        <w:rPr>
          <w:rFonts w:eastAsia="Times New Roman"/>
          <w:b/>
          <w:sz w:val="24"/>
          <w:szCs w:val="24"/>
        </w:rPr>
        <w:t>Patane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sz w:val="24"/>
          <w:szCs w:val="24"/>
        </w:rPr>
        <w:lastRenderedPageBreak/>
        <w:t>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r w:rsidRPr="00293941">
        <w:rPr>
          <w:rFonts w:eastAsia="Times New Roman"/>
          <w:b/>
          <w:sz w:val="24"/>
          <w:szCs w:val="24"/>
        </w:rPr>
        <w:t>Churchey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in </w:t>
      </w:r>
      <w:r w:rsidRPr="00293941">
        <w:rPr>
          <w:rFonts w:eastAsia="Times New Roman"/>
          <w:sz w:val="24"/>
          <w:szCs w:val="24"/>
        </w:rPr>
        <w:lastRenderedPageBreak/>
        <w:t>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Distrib.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r w:rsidRPr="00293941">
        <w:rPr>
          <w:rFonts w:eastAsia="Times New Roman"/>
          <w:b/>
          <w:sz w:val="24"/>
          <w:szCs w:val="24"/>
        </w:rPr>
        <w:t>Patane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MacLarty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r w:rsidRPr="00293941">
        <w:rPr>
          <w:rFonts w:eastAsia="Times New Roman"/>
          <w:b/>
          <w:sz w:val="24"/>
          <w:szCs w:val="24"/>
        </w:rPr>
        <w:t>Schwankl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19" w:name="a22_19"/>
      <w:bookmarkEnd w:id="19"/>
      <w:r w:rsidRPr="00293941">
        <w:rPr>
          <w:rFonts w:eastAsia="Times New Roman"/>
          <w:b/>
          <w:sz w:val="24"/>
          <w:szCs w:val="24"/>
        </w:rPr>
        <w:lastRenderedPageBreak/>
        <w:t xml:space="preserve">22:19 </w:t>
      </w:r>
      <w:r w:rsidRPr="00293941">
        <w:rPr>
          <w:rFonts w:eastAsia="Times New Roman"/>
          <w:b/>
          <w:sz w:val="24"/>
          <w:szCs w:val="24"/>
        </w:rPr>
        <w:tab/>
        <w:t>AFFIRMATIVE DEFENSE — PRIVILEGE TO REPORT OFFICIAL OR PUBLIC MEETING PROCEEDINGS</w:t>
      </w:r>
    </w:p>
    <w:p w14:paraId="0FFBB0FC" w14:textId="20228C3A"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xml:space="preserve">, on </w:t>
      </w:r>
      <w:r w:rsidR="006A1D54" w:rsidRPr="006A1D54">
        <w:rPr>
          <w:rFonts w:eastAsia="Times New Roman"/>
          <w:bCs/>
          <w:i/>
          <w:iCs/>
          <w:sz w:val="24"/>
          <w:szCs w:val="24"/>
        </w:rPr>
        <w:t>(insert applicable pronoun)</w:t>
      </w:r>
      <w:r w:rsidRPr="00293941">
        <w:rPr>
          <w:rFonts w:eastAsia="Times New Roman"/>
          <w:b/>
          <w:sz w:val="24"/>
          <w:szCs w:val="24"/>
        </w:rPr>
        <w:t xml:space="preserve">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r w:rsidRPr="00293941">
        <w:rPr>
          <w:rFonts w:eastAsia="Times New Roman"/>
          <w:b/>
          <w:sz w:val="24"/>
          <w:szCs w:val="24"/>
        </w:rPr>
        <w:t>Tonnesson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place">
        <w:smartTag w:uri="urn:schemas-microsoft-com:office:smarttags" w:element="Stat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0" w:name="a22_20"/>
      <w:bookmarkEnd w:id="20"/>
      <w:r w:rsidRPr="00293941">
        <w:rPr>
          <w:rFonts w:eastAsia="Times New Roman"/>
          <w:b/>
          <w:sz w:val="24"/>
          <w:szCs w:val="24"/>
        </w:rPr>
        <w:lastRenderedPageBreak/>
        <w:t xml:space="preserve">22:20 </w:t>
      </w:r>
      <w:r w:rsidRPr="00293941">
        <w:rPr>
          <w:rFonts w:eastAsia="Times New Roman"/>
          <w:b/>
          <w:sz w:val="24"/>
          <w:szCs w:val="24"/>
        </w:rPr>
        <w:tab/>
        <w:t>AFFIRMATIVE DEFENSE — PRIVILEGE TO PROVIDER OF MEANS OF COMMUNICATION</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Hour" w:val="22"/>
          <w:attr w:name="Minute" w:val="19"/>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1" w:name="a22_21"/>
      <w:bookmarkEnd w:id="21"/>
      <w:smartTag w:uri="urn:schemas-microsoft-com:office:smarttags" w:element="time">
        <w:smartTagPr>
          <w:attr w:name="Hour" w:val="22"/>
          <w:attr w:name="Minute" w:val="21"/>
        </w:smartTagPr>
        <w:r w:rsidRPr="00EC29A6">
          <w:rPr>
            <w:rFonts w:eastAsia="Times New Roman"/>
            <w:b/>
            <w:sz w:val="24"/>
            <w:szCs w:val="24"/>
          </w:rPr>
          <w:lastRenderedPageBreak/>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2" w:name="a22_22"/>
      <w:bookmarkEnd w:id="22"/>
      <w:r w:rsidRPr="009C03DD">
        <w:rPr>
          <w:rFonts w:eastAsia="Times New Roman"/>
          <w:b/>
          <w:sz w:val="24"/>
          <w:szCs w:val="24"/>
        </w:rPr>
        <w:lastRenderedPageBreak/>
        <w:t xml:space="preserve">22:22 </w:t>
      </w:r>
      <w:r w:rsidRPr="009C03DD">
        <w:rPr>
          <w:rFonts w:eastAsia="Times New Roman"/>
          <w:b/>
          <w:sz w:val="24"/>
          <w:szCs w:val="24"/>
        </w:rPr>
        <w:tab/>
        <w:t>AFFIRMATIVE DEFENSE — CONSENT</w:t>
      </w:r>
    </w:p>
    <w:p w14:paraId="3C2F32F2" w14:textId="7457D0EB"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xml:space="preserve">, on </w:t>
      </w:r>
      <w:r w:rsidR="006A1D54" w:rsidRPr="006A1D54">
        <w:rPr>
          <w:rFonts w:eastAsia="Times New Roman"/>
          <w:bCs/>
          <w:i/>
          <w:iCs/>
          <w:sz w:val="24"/>
          <w:szCs w:val="24"/>
        </w:rPr>
        <w:t>(insert applicable pronoun)</w:t>
      </w:r>
      <w:r w:rsidRPr="009C03DD">
        <w:rPr>
          <w:rFonts w:eastAsia="Times New Roman"/>
          <w:b/>
          <w:sz w:val="24"/>
          <w:szCs w:val="24"/>
        </w:rPr>
        <w:t xml:space="preserve">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cmts.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“[c]onsent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r w:rsidR="00C245A7" w:rsidRPr="009C03DD">
        <w:rPr>
          <w:rFonts w:eastAsia="Times New Roman"/>
          <w:sz w:val="24"/>
          <w:szCs w:val="24"/>
        </w:rPr>
        <w:t>cmt.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cmt.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3" w:name="a22_23"/>
      <w:bookmarkEnd w:id="23"/>
      <w:r w:rsidRPr="009C03DD">
        <w:rPr>
          <w:rFonts w:eastAsia="Times New Roman"/>
          <w:b/>
          <w:sz w:val="24"/>
          <w:szCs w:val="24"/>
        </w:rPr>
        <w:lastRenderedPageBreak/>
        <w:t xml:space="preserve">22:23 </w:t>
      </w:r>
      <w:r w:rsidRPr="009C03DD">
        <w:rPr>
          <w:rFonts w:eastAsia="Times New Roman"/>
          <w:b/>
          <w:sz w:val="24"/>
          <w:szCs w:val="24"/>
        </w:rPr>
        <w:tab/>
        <w:t>AFFIRMATIVE DEFENSE — STATUTE OF LIMITATIONS</w:t>
      </w:r>
    </w:p>
    <w:p w14:paraId="52DCE22E" w14:textId="64F28F8F"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xml:space="preserve">, on </w:t>
      </w:r>
      <w:r w:rsidR="006A1D54" w:rsidRPr="006A1D54">
        <w:rPr>
          <w:rFonts w:eastAsia="Times New Roman"/>
          <w:bCs/>
          <w:i/>
          <w:iCs/>
          <w:sz w:val="24"/>
          <w:szCs w:val="24"/>
        </w:rPr>
        <w:t>(insert applicable pronoun)</w:t>
      </w:r>
      <w:r w:rsidRPr="009C03DD">
        <w:rPr>
          <w:rFonts w:eastAsia="Times New Roman"/>
          <w:b/>
          <w:sz w:val="24"/>
          <w:szCs w:val="24"/>
        </w:rPr>
        <w:t xml:space="preserve"> claim of (libel) (slander), if the affirmative defense of the expiration of the statute of limitations is proved.</w:t>
      </w:r>
    </w:p>
    <w:p w14:paraId="7EDDE4E9" w14:textId="03518720"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 xml:space="preserve">that </w:t>
      </w:r>
      <w:r w:rsidR="006A1D54" w:rsidRPr="006A1D54">
        <w:rPr>
          <w:rFonts w:eastAsia="Times New Roman"/>
          <w:bCs/>
          <w:i/>
          <w:iCs/>
          <w:sz w:val="24"/>
          <w:szCs w:val="24"/>
        </w:rPr>
        <w:t>(insert applicable pronoun)</w:t>
      </w:r>
      <w:r w:rsidRPr="009C03DD">
        <w:rPr>
          <w:rFonts w:eastAsia="Times New Roman"/>
          <w:b/>
          <w:sz w:val="24"/>
          <w:szCs w:val="24"/>
        </w:rPr>
        <w:t xml:space="preserve">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Cade v. Regensberger</w:t>
      </w:r>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place">
        <w:smartTag w:uri="urn:schemas-microsoft-com:office:smarttags" w:element="Stat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Pr="009C03DD">
        <w:rPr>
          <w:rFonts w:eastAsia="Times New Roman"/>
          <w:sz w:val="24"/>
          <w:szCs w:val="24"/>
        </w:rPr>
        <w:lastRenderedPageBreak/>
        <w:t>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4" w:name="a22_24"/>
      <w:bookmarkEnd w:id="24"/>
      <w:r w:rsidRPr="009D035C">
        <w:rPr>
          <w:rFonts w:eastAsia="Times New Roman"/>
          <w:b/>
          <w:sz w:val="24"/>
          <w:szCs w:val="24"/>
        </w:rPr>
        <w:lastRenderedPageBreak/>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69B985FA" w:rsidR="009D035C" w:rsidRPr="009D035C" w:rsidRDefault="009D035C" w:rsidP="009D035C">
      <w:pPr>
        <w:spacing w:after="240"/>
        <w:ind w:firstLine="720"/>
        <w:rPr>
          <w:rFonts w:eastAsia="Times New Roman"/>
          <w:sz w:val="24"/>
          <w:szCs w:val="24"/>
        </w:rPr>
      </w:pPr>
      <w:r w:rsidRPr="009D035C">
        <w:rPr>
          <w:rFonts w:eastAsia="Times New Roman"/>
          <w:sz w:val="24"/>
          <w:szCs w:val="24"/>
        </w:rPr>
        <w:t>1. When appropriate, this instruction should be given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d. Similarly, the same should be done if the action is a libel or slander per quod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5" w:name="a22_25"/>
      <w:bookmarkEnd w:id="25"/>
      <w:r w:rsidRPr="009D035C">
        <w:rPr>
          <w:rFonts w:eastAsia="Times New Roman"/>
          <w:b/>
          <w:sz w:val="24"/>
          <w:szCs w:val="24"/>
        </w:rPr>
        <w:lastRenderedPageBreak/>
        <w:t xml:space="preserve">22:25 </w:t>
      </w:r>
      <w:r w:rsidRPr="009D035C">
        <w:rPr>
          <w:rFonts w:eastAsia="Times New Roman"/>
          <w:b/>
          <w:sz w:val="24"/>
          <w:szCs w:val="24"/>
        </w:rPr>
        <w:tab/>
        <w:t>DAMAGES — RECOVERY OF</w:t>
      </w:r>
    </w:p>
    <w:p w14:paraId="5330D93A" w14:textId="310A9D0C"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w:t>
      </w:r>
      <w:r w:rsidR="006A1D54" w:rsidRPr="006A1D54">
        <w:rPr>
          <w:rFonts w:eastAsia="Times New Roman"/>
          <w:bCs/>
          <w:i/>
          <w:iCs/>
          <w:sz w:val="24"/>
          <w:szCs w:val="24"/>
        </w:rPr>
        <w:t>(insert applicable pronoun)</w:t>
      </w:r>
      <w:r w:rsidRPr="009D035C">
        <w:rPr>
          <w:rFonts w:eastAsia="Times New Roman"/>
          <w:b/>
          <w:sz w:val="24"/>
          <w:szCs w:val="24"/>
        </w:rPr>
        <w:t xml:space="preserve">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202E2239"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w:t>
      </w:r>
      <w:r w:rsidR="006A1D54" w:rsidRPr="006A1D54">
        <w:rPr>
          <w:rFonts w:eastAsia="Times New Roman"/>
          <w:bCs/>
          <w:i/>
          <w:iCs/>
          <w:sz w:val="24"/>
          <w:szCs w:val="24"/>
        </w:rPr>
        <w:t>(insert applicable pronoun)</w:t>
      </w:r>
      <w:r w:rsidRPr="009D035C">
        <w:rPr>
          <w:rFonts w:eastAsia="Times New Roman"/>
          <w:b/>
          <w:sz w:val="24"/>
          <w:szCs w:val="24"/>
        </w:rPr>
        <w:t xml:space="preserve">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4EED5C18"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(If you find in favor of the plaintiff, but do not find any actual damages, you shall award </w:t>
      </w:r>
      <w:r w:rsidR="006A1D54">
        <w:rPr>
          <w:rFonts w:eastAsia="Times New Roman"/>
          <w:bCs/>
          <w:i/>
          <w:iCs/>
          <w:sz w:val="24"/>
          <w:szCs w:val="24"/>
        </w:rPr>
        <w:t>[</w:t>
      </w:r>
      <w:r w:rsidR="006A1D54" w:rsidRPr="006A1D54">
        <w:rPr>
          <w:rFonts w:eastAsia="Times New Roman"/>
          <w:bCs/>
          <w:i/>
          <w:iCs/>
          <w:sz w:val="24"/>
          <w:szCs w:val="24"/>
        </w:rPr>
        <w:t>insert applicable pronoun</w:t>
      </w:r>
      <w:r w:rsidR="006A1D54">
        <w:rPr>
          <w:rFonts w:eastAsia="Times New Roman"/>
          <w:bCs/>
          <w:i/>
          <w:iCs/>
          <w:sz w:val="24"/>
          <w:szCs w:val="24"/>
        </w:rPr>
        <w:t>]</w:t>
      </w:r>
      <w:r w:rsidRPr="009D035C">
        <w:rPr>
          <w:rFonts w:eastAsia="Times New Roman"/>
          <w:b/>
          <w:sz w:val="24"/>
          <w:szCs w:val="24"/>
        </w:rPr>
        <w:t xml:space="preserve">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r w:rsidRPr="009D035C">
        <w:rPr>
          <w:rFonts w:eastAsia="Times New Roman"/>
          <w:b/>
          <w:sz w:val="24"/>
          <w:szCs w:val="24"/>
        </w:rPr>
        <w:t>Tonnesson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w:t>
      </w:r>
      <w:r w:rsidRPr="009D035C">
        <w:rPr>
          <w:rFonts w:eastAsia="Times New Roman"/>
          <w:sz w:val="24"/>
          <w:szCs w:val="24"/>
        </w:rPr>
        <w:lastRenderedPageBreak/>
        <w:t xml:space="preserve">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Republican Publ’g Co. v. Mosman</w:t>
      </w:r>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6" w:name="a22_26"/>
      <w:bookmarkEnd w:id="26"/>
      <w:r w:rsidRPr="00143A15">
        <w:rPr>
          <w:rFonts w:eastAsia="Times New Roman"/>
          <w:b/>
          <w:sz w:val="24"/>
          <w:szCs w:val="24"/>
        </w:rPr>
        <w:lastRenderedPageBreak/>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02F2E9A7" w:rsidR="00143A15" w:rsidRPr="00143A15" w:rsidRDefault="00143A15" w:rsidP="00143A15">
      <w:pPr>
        <w:spacing w:after="240"/>
        <w:ind w:firstLine="720"/>
        <w:rPr>
          <w:rFonts w:eastAsia="Times New Roman"/>
          <w:sz w:val="24"/>
          <w:szCs w:val="24"/>
        </w:rPr>
      </w:pPr>
      <w:r w:rsidRPr="00143A15">
        <w:rPr>
          <w:rFonts w:eastAsia="Times New Roman"/>
          <w:sz w:val="24"/>
          <w:szCs w:val="24"/>
        </w:rPr>
        <w:t>3. When appropriate, this instruction should be given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r w:rsidRPr="00143A15">
        <w:rPr>
          <w:rFonts w:eastAsia="Times New Roman"/>
          <w:b/>
          <w:sz w:val="24"/>
          <w:szCs w:val="24"/>
        </w:rPr>
        <w:t>Gomba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lastRenderedPageBreak/>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ws Printing Co. v. Fridborn</w:t>
      </w:r>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g Co. v. Mosman</w:t>
      </w:r>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place">
        <w:smartTag w:uri="urn:schemas-microsoft-com:office:smarttags" w:element="Stat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7" w:name="a22_27"/>
      <w:bookmarkEnd w:id="27"/>
      <w:r w:rsidRPr="00143A15">
        <w:rPr>
          <w:rFonts w:eastAsia="Times New Roman"/>
          <w:b/>
          <w:sz w:val="24"/>
          <w:szCs w:val="24"/>
        </w:rPr>
        <w:lastRenderedPageBreak/>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“[s]tat</w:t>
      </w:r>
      <w:smartTag w:uri="urn:schemas-microsoft-com:office:smarttags" w:element="PersonName">
        <w:r w:rsidRPr="00143A15">
          <w:rPr>
            <w:rFonts w:eastAsia="Times New Roman"/>
            <w:sz w:val="24"/>
            <w:szCs w:val="24"/>
          </w:rPr>
          <w:t>e</w:t>
        </w:r>
      </w:smartTag>
      <w:r w:rsidRPr="00143A15">
        <w:rPr>
          <w:rFonts w:eastAsia="Times New Roman"/>
          <w:sz w:val="24"/>
          <w:szCs w:val="24"/>
        </w:rPr>
        <w:t>s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Martin v. Weld Cty</w:t>
      </w:r>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A87784">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7ED94" w14:textId="77777777" w:rsidR="00251E64" w:rsidRDefault="00251E64" w:rsidP="0054263B">
      <w:r>
        <w:separator/>
      </w:r>
    </w:p>
    <w:p w14:paraId="6B620C73" w14:textId="77777777" w:rsidR="00251E64" w:rsidRDefault="00251E64"/>
  </w:endnote>
  <w:endnote w:type="continuationSeparator" w:id="0">
    <w:p w14:paraId="14521D5A" w14:textId="77777777" w:rsidR="00251E64" w:rsidRDefault="00251E64" w:rsidP="0054263B">
      <w:r>
        <w:continuationSeparator/>
      </w:r>
    </w:p>
    <w:p w14:paraId="2D3CB919" w14:textId="77777777" w:rsidR="00251E64" w:rsidRDefault="00251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2336DA50" w14:textId="77777777" w:rsidR="00CC76DA" w:rsidRDefault="00CC7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1E936" w14:textId="77777777" w:rsidR="00CC76DA" w:rsidRDefault="00CC76DA">
    <w:pPr>
      <w:pStyle w:val="Footer"/>
    </w:pPr>
  </w:p>
  <w:p w14:paraId="693C6E4B" w14:textId="77777777" w:rsidR="00CC76DA" w:rsidRDefault="00CC7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0DE86" w14:textId="77777777" w:rsidR="00251E64" w:rsidRDefault="00251E64" w:rsidP="0054263B">
      <w:r>
        <w:separator/>
      </w:r>
    </w:p>
    <w:p w14:paraId="33058695" w14:textId="77777777" w:rsidR="00251E64" w:rsidRDefault="00251E64"/>
  </w:footnote>
  <w:footnote w:type="continuationSeparator" w:id="0">
    <w:p w14:paraId="4CEE6AA3" w14:textId="77777777" w:rsidR="00251E64" w:rsidRDefault="00251E64" w:rsidP="0054263B">
      <w:r>
        <w:continuationSeparator/>
      </w:r>
    </w:p>
    <w:p w14:paraId="717DC48E" w14:textId="77777777" w:rsidR="00251E64" w:rsidRDefault="00251E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9840346">
    <w:abstractNumId w:val="0"/>
  </w:num>
  <w:num w:numId="2" w16cid:durableId="91875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706"/>
    <w:rsid w:val="00010F2B"/>
    <w:rsid w:val="00020CF1"/>
    <w:rsid w:val="00026B18"/>
    <w:rsid w:val="000279D9"/>
    <w:rsid w:val="00033343"/>
    <w:rsid w:val="00037111"/>
    <w:rsid w:val="00050E35"/>
    <w:rsid w:val="00057708"/>
    <w:rsid w:val="0006367C"/>
    <w:rsid w:val="00064454"/>
    <w:rsid w:val="00065AD3"/>
    <w:rsid w:val="00072EB5"/>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520C"/>
    <w:rsid w:val="001671A9"/>
    <w:rsid w:val="00171705"/>
    <w:rsid w:val="00172674"/>
    <w:rsid w:val="00174BB5"/>
    <w:rsid w:val="001763B1"/>
    <w:rsid w:val="00177176"/>
    <w:rsid w:val="0018388B"/>
    <w:rsid w:val="001873B2"/>
    <w:rsid w:val="001903CB"/>
    <w:rsid w:val="001904DD"/>
    <w:rsid w:val="001913B1"/>
    <w:rsid w:val="00191498"/>
    <w:rsid w:val="00191C86"/>
    <w:rsid w:val="00195972"/>
    <w:rsid w:val="00196153"/>
    <w:rsid w:val="001A2648"/>
    <w:rsid w:val="001A34EF"/>
    <w:rsid w:val="001A4F7C"/>
    <w:rsid w:val="001A6F18"/>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1E64"/>
    <w:rsid w:val="002547C3"/>
    <w:rsid w:val="002654B4"/>
    <w:rsid w:val="00267805"/>
    <w:rsid w:val="0027133A"/>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311D"/>
    <w:rsid w:val="002E562A"/>
    <w:rsid w:val="002E5708"/>
    <w:rsid w:val="002F0D97"/>
    <w:rsid w:val="002F0E75"/>
    <w:rsid w:val="002F48D6"/>
    <w:rsid w:val="002F73DE"/>
    <w:rsid w:val="00304398"/>
    <w:rsid w:val="00304B12"/>
    <w:rsid w:val="003071C9"/>
    <w:rsid w:val="00310300"/>
    <w:rsid w:val="00316D33"/>
    <w:rsid w:val="003201AD"/>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4C58"/>
    <w:rsid w:val="003855F1"/>
    <w:rsid w:val="00386DDF"/>
    <w:rsid w:val="003937B8"/>
    <w:rsid w:val="003A2F1C"/>
    <w:rsid w:val="003A5670"/>
    <w:rsid w:val="003A5A75"/>
    <w:rsid w:val="003B3349"/>
    <w:rsid w:val="003B78CF"/>
    <w:rsid w:val="003C52B2"/>
    <w:rsid w:val="003C67F5"/>
    <w:rsid w:val="003D027F"/>
    <w:rsid w:val="003D0B46"/>
    <w:rsid w:val="003D1B54"/>
    <w:rsid w:val="003D370E"/>
    <w:rsid w:val="003E472A"/>
    <w:rsid w:val="003E5523"/>
    <w:rsid w:val="003E5B38"/>
    <w:rsid w:val="003F1058"/>
    <w:rsid w:val="003F108C"/>
    <w:rsid w:val="003F201A"/>
    <w:rsid w:val="003F6E89"/>
    <w:rsid w:val="004250BA"/>
    <w:rsid w:val="00434371"/>
    <w:rsid w:val="00435937"/>
    <w:rsid w:val="004425AA"/>
    <w:rsid w:val="00445332"/>
    <w:rsid w:val="004526CD"/>
    <w:rsid w:val="004549E5"/>
    <w:rsid w:val="00456038"/>
    <w:rsid w:val="00456B2B"/>
    <w:rsid w:val="00461E00"/>
    <w:rsid w:val="0046398A"/>
    <w:rsid w:val="00467B80"/>
    <w:rsid w:val="0047120C"/>
    <w:rsid w:val="00471618"/>
    <w:rsid w:val="0047374D"/>
    <w:rsid w:val="00473B65"/>
    <w:rsid w:val="00473E69"/>
    <w:rsid w:val="00474B1B"/>
    <w:rsid w:val="0048541F"/>
    <w:rsid w:val="0049313F"/>
    <w:rsid w:val="00493A1A"/>
    <w:rsid w:val="004A1210"/>
    <w:rsid w:val="004A32E6"/>
    <w:rsid w:val="004A3351"/>
    <w:rsid w:val="004A3889"/>
    <w:rsid w:val="004A57DD"/>
    <w:rsid w:val="004B70A0"/>
    <w:rsid w:val="004B753E"/>
    <w:rsid w:val="004B766C"/>
    <w:rsid w:val="004C1386"/>
    <w:rsid w:val="004C4B57"/>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67C5"/>
    <w:rsid w:val="00527A18"/>
    <w:rsid w:val="00531F87"/>
    <w:rsid w:val="0053544D"/>
    <w:rsid w:val="00536688"/>
    <w:rsid w:val="0054263B"/>
    <w:rsid w:val="00547D97"/>
    <w:rsid w:val="00550AFD"/>
    <w:rsid w:val="005565EF"/>
    <w:rsid w:val="00557FCC"/>
    <w:rsid w:val="005648EF"/>
    <w:rsid w:val="00565EF9"/>
    <w:rsid w:val="00570A2B"/>
    <w:rsid w:val="0057771F"/>
    <w:rsid w:val="00582E77"/>
    <w:rsid w:val="00590F8E"/>
    <w:rsid w:val="00595D7F"/>
    <w:rsid w:val="00596086"/>
    <w:rsid w:val="00596715"/>
    <w:rsid w:val="005A22A6"/>
    <w:rsid w:val="005A7429"/>
    <w:rsid w:val="005B27FE"/>
    <w:rsid w:val="005B3A78"/>
    <w:rsid w:val="005C56C9"/>
    <w:rsid w:val="005C5CCB"/>
    <w:rsid w:val="005D150A"/>
    <w:rsid w:val="005D1AD3"/>
    <w:rsid w:val="005D3156"/>
    <w:rsid w:val="005D50A4"/>
    <w:rsid w:val="005D60DE"/>
    <w:rsid w:val="005D7267"/>
    <w:rsid w:val="005E712D"/>
    <w:rsid w:val="005F1017"/>
    <w:rsid w:val="005F19FD"/>
    <w:rsid w:val="005F5A94"/>
    <w:rsid w:val="00604F03"/>
    <w:rsid w:val="006053F6"/>
    <w:rsid w:val="0060574C"/>
    <w:rsid w:val="00606E1D"/>
    <w:rsid w:val="006272FE"/>
    <w:rsid w:val="00630EF0"/>
    <w:rsid w:val="00631BFF"/>
    <w:rsid w:val="00633FDB"/>
    <w:rsid w:val="00642649"/>
    <w:rsid w:val="00647CC5"/>
    <w:rsid w:val="006514A7"/>
    <w:rsid w:val="00651A64"/>
    <w:rsid w:val="0066100E"/>
    <w:rsid w:val="00661D05"/>
    <w:rsid w:val="00663EE1"/>
    <w:rsid w:val="00667772"/>
    <w:rsid w:val="00675252"/>
    <w:rsid w:val="00682B93"/>
    <w:rsid w:val="0068336D"/>
    <w:rsid w:val="00683FA1"/>
    <w:rsid w:val="00685E76"/>
    <w:rsid w:val="006867C0"/>
    <w:rsid w:val="00687304"/>
    <w:rsid w:val="00693355"/>
    <w:rsid w:val="00697DF2"/>
    <w:rsid w:val="006A001B"/>
    <w:rsid w:val="006A1D54"/>
    <w:rsid w:val="006A4829"/>
    <w:rsid w:val="006A55EB"/>
    <w:rsid w:val="006A5D79"/>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5B7B"/>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3131"/>
    <w:rsid w:val="007E4838"/>
    <w:rsid w:val="007F7129"/>
    <w:rsid w:val="00801691"/>
    <w:rsid w:val="00806282"/>
    <w:rsid w:val="00810A60"/>
    <w:rsid w:val="00813A6B"/>
    <w:rsid w:val="00813EB0"/>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04F8"/>
    <w:rsid w:val="008639AA"/>
    <w:rsid w:val="0086735A"/>
    <w:rsid w:val="008703EF"/>
    <w:rsid w:val="008749E8"/>
    <w:rsid w:val="00875064"/>
    <w:rsid w:val="008812A8"/>
    <w:rsid w:val="00881431"/>
    <w:rsid w:val="008859AF"/>
    <w:rsid w:val="00895065"/>
    <w:rsid w:val="0089708A"/>
    <w:rsid w:val="008A1099"/>
    <w:rsid w:val="008A1FBD"/>
    <w:rsid w:val="008A475A"/>
    <w:rsid w:val="008A6339"/>
    <w:rsid w:val="008A637B"/>
    <w:rsid w:val="008B1617"/>
    <w:rsid w:val="008C1739"/>
    <w:rsid w:val="008C1AEB"/>
    <w:rsid w:val="008C28B7"/>
    <w:rsid w:val="008C30BF"/>
    <w:rsid w:val="008D2D56"/>
    <w:rsid w:val="008D4A28"/>
    <w:rsid w:val="008D4C08"/>
    <w:rsid w:val="008D609F"/>
    <w:rsid w:val="008D6137"/>
    <w:rsid w:val="008D7ECC"/>
    <w:rsid w:val="008E15A0"/>
    <w:rsid w:val="008E33B4"/>
    <w:rsid w:val="008E41F1"/>
    <w:rsid w:val="008E51AF"/>
    <w:rsid w:val="008E709E"/>
    <w:rsid w:val="008E748B"/>
    <w:rsid w:val="008F19CE"/>
    <w:rsid w:val="008F2B37"/>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4748D"/>
    <w:rsid w:val="00950692"/>
    <w:rsid w:val="00951969"/>
    <w:rsid w:val="00952BBB"/>
    <w:rsid w:val="009533DA"/>
    <w:rsid w:val="0095709A"/>
    <w:rsid w:val="00957D59"/>
    <w:rsid w:val="009725D8"/>
    <w:rsid w:val="00972939"/>
    <w:rsid w:val="009732F7"/>
    <w:rsid w:val="00973884"/>
    <w:rsid w:val="00981CC6"/>
    <w:rsid w:val="009902F2"/>
    <w:rsid w:val="009931B9"/>
    <w:rsid w:val="0099627C"/>
    <w:rsid w:val="009A5AA6"/>
    <w:rsid w:val="009B2577"/>
    <w:rsid w:val="009B6746"/>
    <w:rsid w:val="009B74A8"/>
    <w:rsid w:val="009C03DD"/>
    <w:rsid w:val="009C0C3F"/>
    <w:rsid w:val="009D035C"/>
    <w:rsid w:val="009D2A3C"/>
    <w:rsid w:val="009D317B"/>
    <w:rsid w:val="009D32AD"/>
    <w:rsid w:val="009D3764"/>
    <w:rsid w:val="009E20C7"/>
    <w:rsid w:val="009E2885"/>
    <w:rsid w:val="009E3DA4"/>
    <w:rsid w:val="009E5868"/>
    <w:rsid w:val="009F03E7"/>
    <w:rsid w:val="009F581C"/>
    <w:rsid w:val="009F6587"/>
    <w:rsid w:val="00A005E6"/>
    <w:rsid w:val="00A01AC4"/>
    <w:rsid w:val="00A03366"/>
    <w:rsid w:val="00A06ED6"/>
    <w:rsid w:val="00A10F3D"/>
    <w:rsid w:val="00A110C7"/>
    <w:rsid w:val="00A11C38"/>
    <w:rsid w:val="00A121B5"/>
    <w:rsid w:val="00A1519C"/>
    <w:rsid w:val="00A241DB"/>
    <w:rsid w:val="00A254CE"/>
    <w:rsid w:val="00A30E87"/>
    <w:rsid w:val="00A36457"/>
    <w:rsid w:val="00A372FA"/>
    <w:rsid w:val="00A4773D"/>
    <w:rsid w:val="00A50F20"/>
    <w:rsid w:val="00A512A2"/>
    <w:rsid w:val="00A5363A"/>
    <w:rsid w:val="00A54915"/>
    <w:rsid w:val="00A6300B"/>
    <w:rsid w:val="00A632A0"/>
    <w:rsid w:val="00A677E8"/>
    <w:rsid w:val="00A73AE6"/>
    <w:rsid w:val="00A74358"/>
    <w:rsid w:val="00A743F3"/>
    <w:rsid w:val="00A76341"/>
    <w:rsid w:val="00A80C10"/>
    <w:rsid w:val="00A82D0A"/>
    <w:rsid w:val="00A85AAA"/>
    <w:rsid w:val="00A87784"/>
    <w:rsid w:val="00A9205E"/>
    <w:rsid w:val="00A92C18"/>
    <w:rsid w:val="00A97987"/>
    <w:rsid w:val="00AA159F"/>
    <w:rsid w:val="00AA397D"/>
    <w:rsid w:val="00AB0B5F"/>
    <w:rsid w:val="00AB2019"/>
    <w:rsid w:val="00AB53F1"/>
    <w:rsid w:val="00AB71A7"/>
    <w:rsid w:val="00AC16AE"/>
    <w:rsid w:val="00AC78F7"/>
    <w:rsid w:val="00AD4B56"/>
    <w:rsid w:val="00AF2E4E"/>
    <w:rsid w:val="00AF40E1"/>
    <w:rsid w:val="00AF7D1D"/>
    <w:rsid w:val="00AF7D47"/>
    <w:rsid w:val="00B0264D"/>
    <w:rsid w:val="00B03EC0"/>
    <w:rsid w:val="00B05F07"/>
    <w:rsid w:val="00B2227B"/>
    <w:rsid w:val="00B263A9"/>
    <w:rsid w:val="00B26677"/>
    <w:rsid w:val="00B27255"/>
    <w:rsid w:val="00B32E46"/>
    <w:rsid w:val="00B338E2"/>
    <w:rsid w:val="00B3446C"/>
    <w:rsid w:val="00B35185"/>
    <w:rsid w:val="00B37722"/>
    <w:rsid w:val="00B44C4E"/>
    <w:rsid w:val="00B528C9"/>
    <w:rsid w:val="00B567C1"/>
    <w:rsid w:val="00B579DF"/>
    <w:rsid w:val="00B6275E"/>
    <w:rsid w:val="00B67451"/>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0829"/>
    <w:rsid w:val="00BB1229"/>
    <w:rsid w:val="00BB2159"/>
    <w:rsid w:val="00BB344E"/>
    <w:rsid w:val="00BB436B"/>
    <w:rsid w:val="00BB6F37"/>
    <w:rsid w:val="00BC49BF"/>
    <w:rsid w:val="00BC60AE"/>
    <w:rsid w:val="00BC65EF"/>
    <w:rsid w:val="00BC789A"/>
    <w:rsid w:val="00BE2B09"/>
    <w:rsid w:val="00BE654D"/>
    <w:rsid w:val="00BE6634"/>
    <w:rsid w:val="00BF5DF3"/>
    <w:rsid w:val="00C039BC"/>
    <w:rsid w:val="00C11C12"/>
    <w:rsid w:val="00C12855"/>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B3564"/>
    <w:rsid w:val="00CC0502"/>
    <w:rsid w:val="00CC1AC8"/>
    <w:rsid w:val="00CC4BAC"/>
    <w:rsid w:val="00CC4C69"/>
    <w:rsid w:val="00CC6A95"/>
    <w:rsid w:val="00CC76DA"/>
    <w:rsid w:val="00CC7E17"/>
    <w:rsid w:val="00CD150F"/>
    <w:rsid w:val="00CD4A7D"/>
    <w:rsid w:val="00CE593D"/>
    <w:rsid w:val="00CF07F1"/>
    <w:rsid w:val="00CF6B24"/>
    <w:rsid w:val="00D00330"/>
    <w:rsid w:val="00D0050C"/>
    <w:rsid w:val="00D014AE"/>
    <w:rsid w:val="00D03A00"/>
    <w:rsid w:val="00D05926"/>
    <w:rsid w:val="00D06D8D"/>
    <w:rsid w:val="00D16901"/>
    <w:rsid w:val="00D23BD0"/>
    <w:rsid w:val="00D272F1"/>
    <w:rsid w:val="00D333AA"/>
    <w:rsid w:val="00D347CA"/>
    <w:rsid w:val="00D437AC"/>
    <w:rsid w:val="00D51E80"/>
    <w:rsid w:val="00D52C40"/>
    <w:rsid w:val="00D53848"/>
    <w:rsid w:val="00D53AC5"/>
    <w:rsid w:val="00D54276"/>
    <w:rsid w:val="00D5484F"/>
    <w:rsid w:val="00D6674A"/>
    <w:rsid w:val="00D66858"/>
    <w:rsid w:val="00D767EB"/>
    <w:rsid w:val="00D8125F"/>
    <w:rsid w:val="00D90E67"/>
    <w:rsid w:val="00D97E22"/>
    <w:rsid w:val="00DA1796"/>
    <w:rsid w:val="00DA2814"/>
    <w:rsid w:val="00DA304E"/>
    <w:rsid w:val="00DA5DE3"/>
    <w:rsid w:val="00DA6FC5"/>
    <w:rsid w:val="00DB2C90"/>
    <w:rsid w:val="00DB4344"/>
    <w:rsid w:val="00DC0393"/>
    <w:rsid w:val="00DC25D9"/>
    <w:rsid w:val="00DC63A9"/>
    <w:rsid w:val="00DC66A6"/>
    <w:rsid w:val="00DC7533"/>
    <w:rsid w:val="00DD511A"/>
    <w:rsid w:val="00DD7C8A"/>
    <w:rsid w:val="00DE2930"/>
    <w:rsid w:val="00DE380A"/>
    <w:rsid w:val="00DE6F87"/>
    <w:rsid w:val="00DF21B2"/>
    <w:rsid w:val="00DF2CB7"/>
    <w:rsid w:val="00DF3BF1"/>
    <w:rsid w:val="00DF7595"/>
    <w:rsid w:val="00E007F8"/>
    <w:rsid w:val="00E058BA"/>
    <w:rsid w:val="00E111AA"/>
    <w:rsid w:val="00E15830"/>
    <w:rsid w:val="00E172C8"/>
    <w:rsid w:val="00E21120"/>
    <w:rsid w:val="00E24E10"/>
    <w:rsid w:val="00E2724A"/>
    <w:rsid w:val="00E30D4B"/>
    <w:rsid w:val="00E372EA"/>
    <w:rsid w:val="00E46262"/>
    <w:rsid w:val="00E47230"/>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1E2D"/>
    <w:rsid w:val="00EF4043"/>
    <w:rsid w:val="00EF453F"/>
    <w:rsid w:val="00F022D4"/>
    <w:rsid w:val="00F062A4"/>
    <w:rsid w:val="00F11A71"/>
    <w:rsid w:val="00F25402"/>
    <w:rsid w:val="00F25E27"/>
    <w:rsid w:val="00F32AA4"/>
    <w:rsid w:val="00F32CBF"/>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time"/>
  <w:shapeDefaults>
    <o:shapedefaults v:ext="edit" spidmax="2050"/>
    <o:shapelayout v:ext="edit">
      <o:idmap v:ext="edit" data="2"/>
    </o:shapelayout>
  </w:shapeDefaults>
  <w:decimalSymbol w:val="."/>
  <w:listSeparator w:val=","/>
  <w14:docId w14:val="0BB1497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2F73D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0133-FD03-4DB1-9CCD-7A35ADF3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18821</Words>
  <Characters>107282</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22</dc:title>
  <dc:creator>Ellen Buckley</dc:creator>
  <cp:lastModifiedBy>beck, jeremy</cp:lastModifiedBy>
  <cp:revision>3</cp:revision>
  <dcterms:created xsi:type="dcterms:W3CDTF">2025-01-27T22:29:00Z</dcterms:created>
  <dcterms:modified xsi:type="dcterms:W3CDTF">2025-02-11T19:19:00Z</dcterms:modified>
</cp:coreProperties>
</file>