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3F49" w14:textId="2B283D42" w:rsidR="00083034" w:rsidRPr="00912A36" w:rsidRDefault="00612E07" w:rsidP="00612E07">
      <w:pPr>
        <w:spacing w:before="240" w:line="276" w:lineRule="auto"/>
        <w:rPr>
          <w:rFonts w:ascii="Garamond" w:hAnsi="Garamond"/>
          <w:b/>
          <w:bCs/>
          <w:sz w:val="24"/>
          <w:szCs w:val="24"/>
        </w:rPr>
      </w:pPr>
      <w:r w:rsidRPr="00EB4FF7">
        <w:rPr>
          <w:rFonts w:ascii="Garamond" w:hAnsi="Garamond"/>
          <w:b/>
          <w:bCs/>
          <w:sz w:val="24"/>
          <w:szCs w:val="24"/>
        </w:rPr>
        <w:t xml:space="preserve">Parties are encouraged to appear in-person for all hearings and court matters.  </w:t>
      </w:r>
      <w:r w:rsidRPr="00EB4FF7">
        <w:rPr>
          <w:rFonts w:ascii="Garamond" w:hAnsi="Garamond"/>
          <w:sz w:val="24"/>
          <w:szCs w:val="24"/>
        </w:rPr>
        <w:t>The Court has found in-person appearances to be best as parties can easily communicate with each other and the Court.  All courtrooms are routinely sanitized &amp; masks are available upon request.</w:t>
      </w:r>
    </w:p>
    <w:p w14:paraId="1513605B" w14:textId="77777777" w:rsidR="00912A36" w:rsidRDefault="00912A36" w:rsidP="00912A36">
      <w:pPr>
        <w:spacing w:before="240" w:line="240" w:lineRule="auto"/>
        <w:rPr>
          <w:rFonts w:ascii="Garamond" w:hAnsi="Garamond"/>
          <w:b/>
          <w:bCs/>
          <w:sz w:val="24"/>
          <w:szCs w:val="24"/>
        </w:rPr>
      </w:pPr>
      <w:r w:rsidRPr="00EB4FF7">
        <w:rPr>
          <w:rFonts w:ascii="Garamond" w:hAnsi="Garamond"/>
          <w:b/>
          <w:bCs/>
          <w:sz w:val="24"/>
          <w:szCs w:val="24"/>
        </w:rPr>
        <w:t xml:space="preserve">Virtual appearances are </w:t>
      </w:r>
      <w:r>
        <w:rPr>
          <w:rFonts w:ascii="Garamond" w:hAnsi="Garamond"/>
          <w:b/>
          <w:bCs/>
          <w:sz w:val="24"/>
          <w:szCs w:val="24"/>
        </w:rPr>
        <w:t xml:space="preserve">also </w:t>
      </w:r>
      <w:r w:rsidRPr="00EB4FF7">
        <w:rPr>
          <w:rFonts w:ascii="Garamond" w:hAnsi="Garamond"/>
          <w:b/>
          <w:bCs/>
          <w:sz w:val="24"/>
          <w:szCs w:val="24"/>
        </w:rPr>
        <w:t xml:space="preserve">available </w:t>
      </w:r>
      <w:r>
        <w:rPr>
          <w:rFonts w:ascii="Garamond" w:hAnsi="Garamond"/>
          <w:b/>
          <w:bCs/>
          <w:sz w:val="24"/>
          <w:szCs w:val="24"/>
        </w:rPr>
        <w:t>using</w:t>
      </w:r>
      <w:r w:rsidRPr="00EB4FF7"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Web Ex.  Please use the following Meeting IDs:</w:t>
      </w:r>
    </w:p>
    <w:p w14:paraId="23643AA8" w14:textId="7E2C6A3E" w:rsidR="00912A36" w:rsidRPr="0043558D" w:rsidRDefault="00912A36" w:rsidP="00912A36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C20F4C">
        <w:rPr>
          <w:rFonts w:ascii="Garamond" w:hAnsi="Garamond"/>
          <w:b/>
          <w:bCs/>
        </w:rPr>
        <w:t>MONTEZUMA COUNTY</w:t>
      </w:r>
      <w:r w:rsidRPr="0043558D">
        <w:rPr>
          <w:rFonts w:ascii="Garamond" w:hAnsi="Garamond"/>
        </w:rPr>
        <w:t xml:space="preserve"> DISTRICT COURT </w:t>
      </w:r>
      <w:r w:rsidR="00B3669D">
        <w:rPr>
          <w:rFonts w:ascii="Garamond" w:hAnsi="Garamond"/>
        </w:rPr>
        <w:t>CIVIL</w:t>
      </w:r>
      <w:r w:rsidRPr="0043558D">
        <w:rPr>
          <w:rFonts w:ascii="Garamond" w:hAnsi="Garamond"/>
        </w:rPr>
        <w:t xml:space="preserve"> CASES</w:t>
      </w:r>
      <w:r>
        <w:rPr>
          <w:rFonts w:ascii="Garamond" w:hAnsi="Garamond"/>
        </w:rPr>
        <w:t xml:space="preserve"> - </w:t>
      </w:r>
      <w:r w:rsidRPr="0043558D">
        <w:rPr>
          <w:rFonts w:ascii="Garamond" w:hAnsi="Garamond"/>
          <w:b/>
          <w:bCs/>
        </w:rPr>
        <w:t>Meeting ID 2592 401 1435</w:t>
      </w:r>
    </w:p>
    <w:p w14:paraId="63AA96E5" w14:textId="2278EFF2" w:rsidR="00912A36" w:rsidRDefault="00912A36" w:rsidP="00912A36">
      <w:pPr>
        <w:tabs>
          <w:tab w:val="left" w:pos="8010"/>
        </w:tabs>
        <w:spacing w:before="240" w:after="0" w:line="240" w:lineRule="auto"/>
        <w:jc w:val="center"/>
        <w:rPr>
          <w:rFonts w:ascii="Garamond" w:hAnsi="Garamond"/>
        </w:rPr>
      </w:pPr>
      <w:r w:rsidRPr="00C20F4C">
        <w:rPr>
          <w:rFonts w:ascii="Garamond" w:hAnsi="Garamond"/>
          <w:b/>
          <w:bCs/>
        </w:rPr>
        <w:t>DOLORES COUNTY</w:t>
      </w:r>
      <w:r w:rsidRPr="0043558D">
        <w:rPr>
          <w:rFonts w:ascii="Garamond" w:hAnsi="Garamond"/>
        </w:rPr>
        <w:t xml:space="preserve"> DISTRICT COURT </w:t>
      </w:r>
      <w:r w:rsidR="00B3669D">
        <w:rPr>
          <w:rFonts w:ascii="Garamond" w:hAnsi="Garamond"/>
        </w:rPr>
        <w:t>CIVIL</w:t>
      </w:r>
      <w:r w:rsidRPr="0043558D">
        <w:rPr>
          <w:rFonts w:ascii="Garamond" w:hAnsi="Garamond"/>
        </w:rPr>
        <w:t xml:space="preserve"> CASE</w:t>
      </w:r>
      <w:r>
        <w:rPr>
          <w:rFonts w:ascii="Garamond" w:hAnsi="Garamond"/>
        </w:rPr>
        <w:t xml:space="preserve">S - </w:t>
      </w:r>
      <w:r w:rsidRPr="0043558D">
        <w:rPr>
          <w:rFonts w:ascii="Garamond" w:hAnsi="Garamond"/>
          <w:b/>
          <w:bCs/>
        </w:rPr>
        <w:t>Meeting ID 2598 397 5243</w:t>
      </w:r>
    </w:p>
    <w:p w14:paraId="19C5BB56" w14:textId="301587B6" w:rsidR="00912A36" w:rsidRPr="00912A36" w:rsidRDefault="00912A36" w:rsidP="00912A36">
      <w:pPr>
        <w:tabs>
          <w:tab w:val="center" w:pos="4680"/>
          <w:tab w:val="left" w:pos="8010"/>
        </w:tabs>
        <w:spacing w:before="240"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ab/>
        <w:t>[</w:t>
      </w:r>
      <w:r w:rsidRPr="00912A36">
        <w:rPr>
          <w:rFonts w:ascii="Garamond" w:hAnsi="Garamond"/>
          <w:b/>
          <w:bCs/>
        </w:rPr>
        <w:t>NOTE</w:t>
      </w:r>
      <w:r>
        <w:rPr>
          <w:rFonts w:ascii="Garamond" w:hAnsi="Garamond"/>
          <w:b/>
          <w:bCs/>
        </w:rPr>
        <w:t xml:space="preserve"> - </w:t>
      </w:r>
      <w:r w:rsidRPr="00912A36">
        <w:rPr>
          <w:rFonts w:ascii="Garamond" w:hAnsi="Garamond"/>
          <w:b/>
          <w:bCs/>
        </w:rPr>
        <w:t>Dependency &amp; Neglect</w:t>
      </w:r>
      <w:r w:rsidR="001E39A6">
        <w:rPr>
          <w:rFonts w:ascii="Garamond" w:hAnsi="Garamond"/>
          <w:b/>
          <w:bCs/>
        </w:rPr>
        <w:t xml:space="preserve"> </w:t>
      </w:r>
      <w:r w:rsidRPr="00912A36">
        <w:rPr>
          <w:rFonts w:ascii="Garamond" w:hAnsi="Garamond"/>
          <w:b/>
          <w:bCs/>
        </w:rPr>
        <w:t>cases from both counties will use Meeting ID 2592 401 1435</w:t>
      </w:r>
      <w:r>
        <w:rPr>
          <w:rFonts w:ascii="Garamond" w:hAnsi="Garamond"/>
          <w:b/>
          <w:bCs/>
        </w:rPr>
        <w:t>]</w:t>
      </w:r>
    </w:p>
    <w:p w14:paraId="1B3E25B6" w14:textId="77777777" w:rsidR="00612E07" w:rsidRPr="00083034" w:rsidRDefault="00612E07" w:rsidP="00612E07">
      <w:pPr>
        <w:spacing w:line="276" w:lineRule="auto"/>
        <w:rPr>
          <w:rFonts w:ascii="Garamond" w:hAnsi="Garamond"/>
          <w:b/>
          <w:bCs/>
          <w:sz w:val="16"/>
          <w:szCs w:val="16"/>
        </w:rPr>
      </w:pPr>
    </w:p>
    <w:p w14:paraId="7373E706" w14:textId="74B3EE3E" w:rsidR="00612E07" w:rsidRDefault="00B43F2E" w:rsidP="00912A36">
      <w:pP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8C08E0">
        <w:rPr>
          <w:rFonts w:ascii="Garamond" w:hAnsi="Garamond"/>
          <w:b/>
          <w:bCs/>
          <w:sz w:val="24"/>
          <w:szCs w:val="24"/>
        </w:rPr>
        <w:t xml:space="preserve">A party </w:t>
      </w:r>
      <w:r w:rsidR="00277E42" w:rsidRPr="008C08E0">
        <w:rPr>
          <w:rFonts w:ascii="Garamond" w:hAnsi="Garamond"/>
          <w:b/>
          <w:bCs/>
          <w:sz w:val="24"/>
          <w:szCs w:val="24"/>
        </w:rPr>
        <w:t xml:space="preserve">may appear </w:t>
      </w:r>
      <w:r w:rsidR="003A6A3A" w:rsidRPr="008C08E0">
        <w:rPr>
          <w:rFonts w:ascii="Garamond" w:hAnsi="Garamond"/>
          <w:b/>
          <w:bCs/>
          <w:sz w:val="24"/>
          <w:szCs w:val="24"/>
        </w:rPr>
        <w:t xml:space="preserve">virtually </w:t>
      </w:r>
      <w:r w:rsidRPr="008C08E0">
        <w:rPr>
          <w:rFonts w:ascii="Garamond" w:hAnsi="Garamond"/>
          <w:b/>
          <w:bCs/>
          <w:sz w:val="24"/>
          <w:szCs w:val="24"/>
        </w:rPr>
        <w:t xml:space="preserve">in all civil cases after </w:t>
      </w:r>
      <w:r w:rsidR="00612E07">
        <w:rPr>
          <w:rFonts w:ascii="Garamond" w:hAnsi="Garamond"/>
          <w:b/>
          <w:bCs/>
          <w:sz w:val="24"/>
          <w:szCs w:val="24"/>
        </w:rPr>
        <w:t xml:space="preserve">receiving permission from the court. </w:t>
      </w:r>
      <w:r w:rsidR="00912A36" w:rsidRPr="00EB4FF7">
        <w:rPr>
          <w:rFonts w:ascii="Garamond" w:hAnsi="Garamond"/>
          <w:sz w:val="24"/>
          <w:szCs w:val="24"/>
        </w:rPr>
        <w:t>Audio or video recording is strictly prohibited.</w:t>
      </w:r>
      <w:r w:rsidR="00912A36">
        <w:rPr>
          <w:rFonts w:ascii="Garamond" w:hAnsi="Garamond"/>
          <w:sz w:val="24"/>
          <w:szCs w:val="24"/>
        </w:rPr>
        <w:t xml:space="preserve">  </w:t>
      </w:r>
      <w:r w:rsidR="00612E07" w:rsidRPr="00EB4FF7">
        <w:rPr>
          <w:rFonts w:ascii="Garamond" w:hAnsi="Garamond"/>
          <w:sz w:val="24"/>
          <w:szCs w:val="24"/>
        </w:rPr>
        <w:t>Virtual appearances may be allowed without prior Court permission when based on unforeseen</w:t>
      </w:r>
      <w:r w:rsidR="00612E07">
        <w:rPr>
          <w:rFonts w:ascii="Garamond" w:hAnsi="Garamond"/>
          <w:sz w:val="24"/>
          <w:szCs w:val="24"/>
        </w:rPr>
        <w:t xml:space="preserve"> </w:t>
      </w:r>
      <w:r w:rsidR="00612E07" w:rsidRPr="00EB4FF7">
        <w:rPr>
          <w:rFonts w:ascii="Garamond" w:hAnsi="Garamond"/>
          <w:sz w:val="24"/>
          <w:szCs w:val="24"/>
        </w:rPr>
        <w:t>circumstances such as inclement weather or illness.  Parties are encouraged to notify Court staff prior to hearing.</w:t>
      </w:r>
    </w:p>
    <w:p w14:paraId="35C7BE07" w14:textId="77777777" w:rsidR="00912A36" w:rsidRPr="00912A36" w:rsidRDefault="00912A36" w:rsidP="00912A36">
      <w:pPr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7CC5EB9C" w14:textId="73D62CB8" w:rsidR="00612E07" w:rsidRDefault="00612E07" w:rsidP="00612E07">
      <w:pPr>
        <w:spacing w:line="276" w:lineRule="auto"/>
        <w:rPr>
          <w:rFonts w:ascii="Garamond" w:hAnsi="Garamond"/>
          <w:sz w:val="24"/>
          <w:szCs w:val="24"/>
        </w:rPr>
      </w:pPr>
      <w:r w:rsidRPr="008C08E0">
        <w:rPr>
          <w:rFonts w:ascii="Garamond" w:hAnsi="Garamond"/>
          <w:b/>
          <w:bCs/>
          <w:sz w:val="24"/>
          <w:szCs w:val="24"/>
        </w:rPr>
        <w:t xml:space="preserve">Parties </w:t>
      </w:r>
      <w:r>
        <w:rPr>
          <w:rFonts w:ascii="Garamond" w:hAnsi="Garamond"/>
          <w:b/>
          <w:bCs/>
          <w:sz w:val="24"/>
          <w:szCs w:val="24"/>
        </w:rPr>
        <w:t xml:space="preserve">who regularly appear in Courtroom/Division 4 </w:t>
      </w:r>
      <w:r w:rsidRPr="008C08E0">
        <w:rPr>
          <w:rFonts w:ascii="Garamond" w:hAnsi="Garamond"/>
          <w:b/>
          <w:bCs/>
          <w:sz w:val="24"/>
          <w:szCs w:val="24"/>
        </w:rPr>
        <w:t>may seek standing orders to appear remotely for specific case types and hearings.</w:t>
      </w:r>
    </w:p>
    <w:p w14:paraId="7A7E71D2" w14:textId="77777777" w:rsidR="00912A36" w:rsidRPr="00912A36" w:rsidRDefault="00912A36" w:rsidP="00612E07">
      <w:pPr>
        <w:spacing w:line="276" w:lineRule="auto"/>
        <w:rPr>
          <w:rFonts w:ascii="Garamond" w:hAnsi="Garamond"/>
          <w:sz w:val="24"/>
          <w:szCs w:val="24"/>
        </w:rPr>
      </w:pPr>
    </w:p>
    <w:p w14:paraId="33568207" w14:textId="2DF4ADBE" w:rsidR="00277E42" w:rsidRPr="009C0518" w:rsidRDefault="00612E07" w:rsidP="00612E07">
      <w:pPr>
        <w:spacing w:line="276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The Court has discretion to require in-person appearances for any reason.  </w:t>
      </w:r>
      <w:r>
        <w:rPr>
          <w:rFonts w:ascii="Garamond" w:hAnsi="Garamond"/>
          <w:sz w:val="24"/>
          <w:szCs w:val="24"/>
        </w:rPr>
        <w:t>After receiving a</w:t>
      </w:r>
      <w:r w:rsidR="00B43F2E" w:rsidRPr="008C08E0">
        <w:rPr>
          <w:rFonts w:ascii="Garamond" w:hAnsi="Garamond"/>
          <w:sz w:val="24"/>
          <w:szCs w:val="24"/>
        </w:rPr>
        <w:t xml:space="preserve"> request for a virtual appearance, </w:t>
      </w:r>
      <w:bookmarkStart w:id="0" w:name="_Hlk124757970"/>
      <w:r w:rsidR="00B43F2E" w:rsidRPr="008C08E0">
        <w:rPr>
          <w:rFonts w:ascii="Garamond" w:hAnsi="Garamond"/>
          <w:sz w:val="24"/>
          <w:szCs w:val="24"/>
        </w:rPr>
        <w:t xml:space="preserve">the Court </w:t>
      </w:r>
      <w:r>
        <w:rPr>
          <w:rFonts w:ascii="Garamond" w:hAnsi="Garamond"/>
          <w:sz w:val="24"/>
          <w:szCs w:val="24"/>
        </w:rPr>
        <w:t>may choose to</w:t>
      </w:r>
      <w:r w:rsidR="00B43F2E" w:rsidRPr="008C08E0">
        <w:rPr>
          <w:rFonts w:ascii="Garamond" w:hAnsi="Garamond"/>
          <w:sz w:val="24"/>
          <w:szCs w:val="24"/>
        </w:rPr>
        <w:t xml:space="preserve"> require in-person proceedings if:</w:t>
      </w:r>
    </w:p>
    <w:p w14:paraId="07957EC2" w14:textId="7CB430F7" w:rsidR="00B43F2E" w:rsidRPr="008C08E0" w:rsidRDefault="00B43F2E" w:rsidP="00612E0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8C08E0">
        <w:rPr>
          <w:rFonts w:ascii="Garamond" w:hAnsi="Garamond"/>
          <w:sz w:val="24"/>
          <w:szCs w:val="24"/>
        </w:rPr>
        <w:t>The Court determines, on a hearing-by-hearing basis, that the in-person appearance of a party or witness would materially assist in the determination of the proceeding, or in the management or resolution of the case.</w:t>
      </w:r>
    </w:p>
    <w:p w14:paraId="1F1E1405" w14:textId="26C6CCD9" w:rsidR="009C0518" w:rsidRDefault="00B43F2E" w:rsidP="00612E0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8C08E0">
        <w:rPr>
          <w:rFonts w:ascii="Garamond" w:hAnsi="Garamond"/>
          <w:sz w:val="24"/>
          <w:szCs w:val="24"/>
        </w:rPr>
        <w:t>A party opposes the request and asserts reasons why remote testimony or appearances should not be allowed.</w:t>
      </w:r>
      <w:r w:rsidR="004A404F" w:rsidRPr="008C08E0">
        <w:rPr>
          <w:rFonts w:ascii="Garamond" w:hAnsi="Garamond"/>
          <w:sz w:val="24"/>
          <w:szCs w:val="24"/>
        </w:rPr>
        <w:t xml:space="preserve">  Parties </w:t>
      </w:r>
      <w:r w:rsidR="008C08E0" w:rsidRPr="008C08E0">
        <w:rPr>
          <w:rFonts w:ascii="Garamond" w:hAnsi="Garamond"/>
          <w:sz w:val="24"/>
          <w:szCs w:val="24"/>
        </w:rPr>
        <w:t>shall</w:t>
      </w:r>
      <w:r w:rsidR="004A404F" w:rsidRPr="008C08E0">
        <w:rPr>
          <w:rFonts w:ascii="Garamond" w:hAnsi="Garamond"/>
          <w:sz w:val="24"/>
          <w:szCs w:val="24"/>
        </w:rPr>
        <w:t xml:space="preserve"> file their opposition within seven days of the original request</w:t>
      </w:r>
      <w:r w:rsidR="001B2323" w:rsidRPr="008C08E0">
        <w:rPr>
          <w:rFonts w:ascii="Garamond" w:hAnsi="Garamond"/>
          <w:sz w:val="24"/>
          <w:szCs w:val="24"/>
        </w:rPr>
        <w:t xml:space="preserve"> or demonstrate good cause or unforeseen circumstances for </w:t>
      </w:r>
      <w:r w:rsidR="008C08E0" w:rsidRPr="008C08E0">
        <w:rPr>
          <w:rFonts w:ascii="Garamond" w:hAnsi="Garamond"/>
          <w:sz w:val="24"/>
          <w:szCs w:val="24"/>
        </w:rPr>
        <w:t>a</w:t>
      </w:r>
      <w:r w:rsidR="001B2323" w:rsidRPr="008C08E0">
        <w:rPr>
          <w:rFonts w:ascii="Garamond" w:hAnsi="Garamond"/>
          <w:sz w:val="24"/>
          <w:szCs w:val="24"/>
        </w:rPr>
        <w:t xml:space="preserve"> late filing.</w:t>
      </w:r>
    </w:p>
    <w:p w14:paraId="4C975570" w14:textId="7DF1DE60" w:rsidR="009C0518" w:rsidRPr="009C0518" w:rsidRDefault="009C0518" w:rsidP="00612E0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quality of technology or sound is preventing or inhibiting any of the following:</w:t>
      </w:r>
    </w:p>
    <w:p w14:paraId="029F2036" w14:textId="77777777" w:rsidR="009C0518" w:rsidRDefault="009C0518" w:rsidP="00612E07">
      <w:pPr>
        <w:pStyle w:val="ListParagraph"/>
        <w:numPr>
          <w:ilvl w:val="1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Court’s effective management or resolution of the matter.</w:t>
      </w:r>
    </w:p>
    <w:p w14:paraId="083E0706" w14:textId="77777777" w:rsidR="009C0518" w:rsidRDefault="009C0518" w:rsidP="00612E07">
      <w:pPr>
        <w:pStyle w:val="ListParagraph"/>
        <w:numPr>
          <w:ilvl w:val="1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Counsel’s ability to provide effective representation.</w:t>
      </w:r>
    </w:p>
    <w:p w14:paraId="32D6BD4E" w14:textId="77777777" w:rsidR="009C0518" w:rsidRDefault="009C0518" w:rsidP="00612E07">
      <w:pPr>
        <w:pStyle w:val="ListParagraph"/>
        <w:numPr>
          <w:ilvl w:val="1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Court’s ability to maintain an accurate record; or</w:t>
      </w:r>
    </w:p>
    <w:p w14:paraId="70223362" w14:textId="3C3EC7F6" w:rsidR="004B5E88" w:rsidRPr="00612E07" w:rsidRDefault="009C0518" w:rsidP="00612E07">
      <w:pPr>
        <w:pStyle w:val="ListParagraph"/>
        <w:numPr>
          <w:ilvl w:val="1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 interpreter’s ability to provide language services.</w:t>
      </w:r>
      <w:bookmarkEnd w:id="0"/>
    </w:p>
    <w:sectPr w:rsidR="004B5E88" w:rsidRPr="00612E07" w:rsidSect="00083034">
      <w:headerReference w:type="default" r:id="rId8"/>
      <w:footerReference w:type="default" r:id="rId9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55AA" w14:textId="77777777" w:rsidR="00212254" w:rsidRDefault="00212254" w:rsidP="00555295">
      <w:pPr>
        <w:spacing w:after="0" w:line="240" w:lineRule="auto"/>
      </w:pPr>
      <w:r>
        <w:separator/>
      </w:r>
    </w:p>
  </w:endnote>
  <w:endnote w:type="continuationSeparator" w:id="0">
    <w:p w14:paraId="4A3D4A39" w14:textId="77777777" w:rsidR="00212254" w:rsidRDefault="00212254" w:rsidP="0055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DD74" w14:textId="77777777" w:rsidR="00612E07" w:rsidRPr="0012378C" w:rsidRDefault="00612E07" w:rsidP="00612E07">
    <w:pPr>
      <w:spacing w:after="0" w:line="240" w:lineRule="auto"/>
      <w:rPr>
        <w:rFonts w:ascii="Garamond" w:hAnsi="Garamond"/>
        <w:b/>
        <w:bCs/>
        <w:sz w:val="20"/>
        <w:szCs w:val="20"/>
      </w:rPr>
    </w:pPr>
    <w:r w:rsidRPr="0012378C">
      <w:rPr>
        <w:rFonts w:ascii="Garamond" w:hAnsi="Garamond"/>
        <w:b/>
        <w:bCs/>
        <w:sz w:val="20"/>
        <w:szCs w:val="20"/>
      </w:rPr>
      <w:t>Hon. William Young Furse</w:t>
    </w:r>
  </w:p>
  <w:p w14:paraId="44FC68F5" w14:textId="77777777" w:rsidR="00612E07" w:rsidRPr="0012378C" w:rsidRDefault="00612E07" w:rsidP="00612E07">
    <w:pPr>
      <w:spacing w:after="0" w:line="240" w:lineRule="auto"/>
      <w:rPr>
        <w:rFonts w:ascii="Garamond" w:hAnsi="Garamond"/>
        <w:sz w:val="16"/>
        <w:szCs w:val="16"/>
      </w:rPr>
    </w:pPr>
    <w:r w:rsidRPr="0012378C">
      <w:rPr>
        <w:rFonts w:ascii="Garamond" w:hAnsi="Garamond"/>
        <w:sz w:val="16"/>
        <w:szCs w:val="16"/>
      </w:rPr>
      <w:t>District Court Judge – Division 4</w:t>
    </w:r>
  </w:p>
  <w:p w14:paraId="2253533A" w14:textId="77777777" w:rsidR="00612E07" w:rsidRPr="0012378C" w:rsidRDefault="00612E07" w:rsidP="00612E07">
    <w:pPr>
      <w:spacing w:after="0" w:line="240" w:lineRule="auto"/>
      <w:rPr>
        <w:rFonts w:ascii="Garamond" w:hAnsi="Garamond"/>
        <w:sz w:val="16"/>
        <w:szCs w:val="16"/>
      </w:rPr>
    </w:pPr>
    <w:r w:rsidRPr="0012378C">
      <w:rPr>
        <w:rFonts w:ascii="Garamond" w:hAnsi="Garamond"/>
        <w:sz w:val="16"/>
        <w:szCs w:val="16"/>
      </w:rPr>
      <w:t>State of Colorado - 22</w:t>
    </w:r>
    <w:r w:rsidRPr="0012378C">
      <w:rPr>
        <w:rFonts w:ascii="Garamond" w:hAnsi="Garamond"/>
        <w:sz w:val="16"/>
        <w:szCs w:val="16"/>
        <w:vertAlign w:val="superscript"/>
      </w:rPr>
      <w:t>nd</w:t>
    </w:r>
    <w:r w:rsidRPr="0012378C">
      <w:rPr>
        <w:rFonts w:ascii="Garamond" w:hAnsi="Garamond"/>
        <w:sz w:val="16"/>
        <w:szCs w:val="16"/>
      </w:rPr>
      <w:t xml:space="preserve"> Judicial District</w:t>
    </w:r>
  </w:p>
  <w:p w14:paraId="71AC91D6" w14:textId="77777777" w:rsidR="00612E07" w:rsidRDefault="00612E07" w:rsidP="00612E07">
    <w:pPr>
      <w:spacing w:after="0" w:line="240" w:lineRule="auto"/>
      <w:rPr>
        <w:rFonts w:ascii="Garamond" w:hAnsi="Garamond"/>
        <w:sz w:val="16"/>
        <w:szCs w:val="16"/>
      </w:rPr>
    </w:pPr>
    <w:r w:rsidRPr="0012378C">
      <w:rPr>
        <w:rFonts w:ascii="Garamond" w:hAnsi="Garamond"/>
        <w:sz w:val="16"/>
        <w:szCs w:val="16"/>
      </w:rPr>
      <w:t>Montezuma &amp; Dolores Counties</w:t>
    </w:r>
  </w:p>
  <w:p w14:paraId="0463C0AC" w14:textId="77777777" w:rsidR="00612E07" w:rsidRDefault="00612E07" w:rsidP="00612E07">
    <w:pPr>
      <w:spacing w:after="0" w:line="240" w:lineRule="auto"/>
      <w:rPr>
        <w:rFonts w:ascii="Garamond" w:hAnsi="Garamond"/>
        <w:sz w:val="16"/>
        <w:szCs w:val="16"/>
      </w:rPr>
    </w:pPr>
  </w:p>
  <w:p w14:paraId="01E338C4" w14:textId="77F793F7" w:rsidR="00612E07" w:rsidRPr="00B61D03" w:rsidRDefault="00612E07" w:rsidP="00612E07">
    <w:pPr>
      <w:spacing w:after="0" w:line="240" w:lineRule="auto"/>
      <w:rPr>
        <w:rFonts w:ascii="Garamond" w:hAnsi="Garamond"/>
        <w:i/>
        <w:iCs/>
        <w:sz w:val="16"/>
        <w:szCs w:val="16"/>
      </w:rPr>
    </w:pPr>
    <w:r w:rsidRPr="00B61D03">
      <w:rPr>
        <w:rFonts w:ascii="Garamond" w:hAnsi="Garamond"/>
        <w:i/>
        <w:iCs/>
        <w:sz w:val="16"/>
        <w:szCs w:val="16"/>
      </w:rPr>
      <w:t xml:space="preserve">Revised </w:t>
    </w:r>
    <w:r w:rsidR="00912A36">
      <w:rPr>
        <w:rFonts w:ascii="Garamond" w:hAnsi="Garamond"/>
        <w:i/>
        <w:iCs/>
        <w:sz w:val="16"/>
        <w:szCs w:val="16"/>
      </w:rPr>
      <w:t xml:space="preserve">February </w:t>
    </w:r>
    <w:r w:rsidRPr="00B61D03">
      <w:rPr>
        <w:rFonts w:ascii="Garamond" w:hAnsi="Garamond"/>
        <w:i/>
        <w:iCs/>
        <w:sz w:val="16"/>
        <w:szCs w:val="16"/>
      </w:rPr>
      <w:t>2023</w:t>
    </w:r>
  </w:p>
  <w:p w14:paraId="609C2929" w14:textId="77777777" w:rsidR="009C04BA" w:rsidRDefault="009C0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DC34" w14:textId="77777777" w:rsidR="00212254" w:rsidRDefault="00212254" w:rsidP="00555295">
      <w:pPr>
        <w:spacing w:after="0" w:line="240" w:lineRule="auto"/>
      </w:pPr>
      <w:r>
        <w:separator/>
      </w:r>
    </w:p>
  </w:footnote>
  <w:footnote w:type="continuationSeparator" w:id="0">
    <w:p w14:paraId="7C8F85CF" w14:textId="77777777" w:rsidR="00212254" w:rsidRDefault="00212254" w:rsidP="00555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BC7E" w14:textId="6440BDCB" w:rsidR="00612E07" w:rsidRPr="00AD3435" w:rsidRDefault="00612E07" w:rsidP="00612E07">
    <w:pPr>
      <w:spacing w:after="0" w:line="240" w:lineRule="auto"/>
      <w:jc w:val="center"/>
      <w:rPr>
        <w:rFonts w:ascii="Garamond" w:hAnsi="Garamond"/>
        <w:b/>
        <w:bCs/>
        <w:sz w:val="32"/>
        <w:szCs w:val="32"/>
      </w:rPr>
    </w:pPr>
    <w:r w:rsidRPr="00AD3435">
      <w:rPr>
        <w:rFonts w:ascii="Garamond" w:hAnsi="Garamond"/>
        <w:b/>
        <w:bCs/>
        <w:sz w:val="32"/>
        <w:szCs w:val="32"/>
      </w:rPr>
      <w:t xml:space="preserve">Virtual and In-Person Appearances for </w:t>
    </w:r>
    <w:r>
      <w:rPr>
        <w:rFonts w:ascii="Garamond" w:hAnsi="Garamond"/>
        <w:b/>
        <w:bCs/>
        <w:sz w:val="32"/>
        <w:szCs w:val="32"/>
      </w:rPr>
      <w:t>Civil</w:t>
    </w:r>
    <w:r w:rsidRPr="00AD3435">
      <w:rPr>
        <w:rFonts w:ascii="Garamond" w:hAnsi="Garamond"/>
        <w:b/>
        <w:bCs/>
        <w:sz w:val="32"/>
        <w:szCs w:val="32"/>
      </w:rPr>
      <w:t xml:space="preserve"> Matters</w:t>
    </w:r>
  </w:p>
  <w:p w14:paraId="6574ECA3" w14:textId="77777777" w:rsidR="00612E07" w:rsidRPr="00AD3435" w:rsidRDefault="00612E07" w:rsidP="00612E07">
    <w:pPr>
      <w:spacing w:after="0" w:line="240" w:lineRule="auto"/>
      <w:jc w:val="center"/>
      <w:rPr>
        <w:rFonts w:ascii="Garamond" w:hAnsi="Garamond"/>
        <w:sz w:val="32"/>
        <w:szCs w:val="32"/>
      </w:rPr>
    </w:pPr>
    <w:r w:rsidRPr="00AD3435">
      <w:rPr>
        <w:rFonts w:ascii="Garamond" w:hAnsi="Garamond"/>
        <w:sz w:val="32"/>
        <w:szCs w:val="32"/>
      </w:rPr>
      <w:t>22</w:t>
    </w:r>
    <w:r w:rsidRPr="00AD3435">
      <w:rPr>
        <w:rFonts w:ascii="Garamond" w:hAnsi="Garamond"/>
        <w:sz w:val="32"/>
        <w:szCs w:val="32"/>
        <w:vertAlign w:val="superscript"/>
      </w:rPr>
      <w:t>nd</w:t>
    </w:r>
    <w:r w:rsidRPr="00AD3435">
      <w:rPr>
        <w:rFonts w:ascii="Garamond" w:hAnsi="Garamond"/>
        <w:sz w:val="32"/>
        <w:szCs w:val="32"/>
      </w:rPr>
      <w:t xml:space="preserve"> Judicial District Court Order - Courtroom/Division 4</w:t>
    </w:r>
  </w:p>
  <w:p w14:paraId="30A54F01" w14:textId="77777777" w:rsidR="00555295" w:rsidRDefault="00555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E7F3A"/>
    <w:multiLevelType w:val="hybridMultilevel"/>
    <w:tmpl w:val="6CB2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82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EC"/>
    <w:rsid w:val="00083034"/>
    <w:rsid w:val="00155477"/>
    <w:rsid w:val="00173B9B"/>
    <w:rsid w:val="001B2323"/>
    <w:rsid w:val="001E39A6"/>
    <w:rsid w:val="00212254"/>
    <w:rsid w:val="002164F9"/>
    <w:rsid w:val="00277E42"/>
    <w:rsid w:val="00294490"/>
    <w:rsid w:val="002C76B4"/>
    <w:rsid w:val="002D289C"/>
    <w:rsid w:val="003966A0"/>
    <w:rsid w:val="003A6A3A"/>
    <w:rsid w:val="003B2DEA"/>
    <w:rsid w:val="003C6104"/>
    <w:rsid w:val="004A404F"/>
    <w:rsid w:val="004B5E88"/>
    <w:rsid w:val="004C6CBE"/>
    <w:rsid w:val="004F50C1"/>
    <w:rsid w:val="00555295"/>
    <w:rsid w:val="00612E07"/>
    <w:rsid w:val="00750B3F"/>
    <w:rsid w:val="00767EA6"/>
    <w:rsid w:val="007F6508"/>
    <w:rsid w:val="00811EFD"/>
    <w:rsid w:val="00856E90"/>
    <w:rsid w:val="008610EC"/>
    <w:rsid w:val="008C08E0"/>
    <w:rsid w:val="00912A36"/>
    <w:rsid w:val="00942DDA"/>
    <w:rsid w:val="009925F1"/>
    <w:rsid w:val="0099408F"/>
    <w:rsid w:val="009C04BA"/>
    <w:rsid w:val="009C0518"/>
    <w:rsid w:val="00AA50F9"/>
    <w:rsid w:val="00B12227"/>
    <w:rsid w:val="00B3669D"/>
    <w:rsid w:val="00B43F2E"/>
    <w:rsid w:val="00BE39F8"/>
    <w:rsid w:val="00DB6BBD"/>
    <w:rsid w:val="00E30FEC"/>
    <w:rsid w:val="00EC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398AB"/>
  <w15:chartTrackingRefBased/>
  <w15:docId w15:val="{2F97796A-D424-48A4-B088-0ECB4250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5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295"/>
  </w:style>
  <w:style w:type="paragraph" w:styleId="Footer">
    <w:name w:val="footer"/>
    <w:basedOn w:val="Normal"/>
    <w:link w:val="FooterChar"/>
    <w:uiPriority w:val="99"/>
    <w:unhideWhenUsed/>
    <w:rsid w:val="00555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A7C60-6B7F-4CD4-87FC-7E32005F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furse, william</dc:creator>
  <cp:keywords/>
  <dc:description/>
  <cp:lastModifiedBy>canzona, felicia</cp:lastModifiedBy>
  <cp:revision>2</cp:revision>
  <dcterms:created xsi:type="dcterms:W3CDTF">2023-02-23T23:15:00Z</dcterms:created>
  <dcterms:modified xsi:type="dcterms:W3CDTF">2023-02-23T23:15:00Z</dcterms:modified>
</cp:coreProperties>
</file>