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09A35" w14:textId="61FFF554" w:rsidR="00CA41CC" w:rsidRPr="00914128" w:rsidRDefault="0068336D" w:rsidP="00914128">
      <w:pPr>
        <w:pStyle w:val="Heading1"/>
      </w:pPr>
      <w:r>
        <w:t xml:space="preserve">CHAPTER </w:t>
      </w:r>
      <w:r w:rsidR="00A73FC9">
        <w:t>30</w:t>
      </w:r>
    </w:p>
    <w:p w14:paraId="0AC8C424" w14:textId="77777777" w:rsidR="00EC7C98" w:rsidRPr="00914128" w:rsidRDefault="00074E3E" w:rsidP="00914128">
      <w:pPr>
        <w:pStyle w:val="Heading1"/>
      </w:pPr>
      <w:r>
        <w:t>contracts</w:t>
      </w:r>
    </w:p>
    <w:p w14:paraId="5319474F" w14:textId="77777777" w:rsidR="00AE1C04" w:rsidRPr="0068336D" w:rsidRDefault="00000000" w:rsidP="00AE1C04">
      <w:pPr>
        <w:pStyle w:val="Heading1"/>
        <w:jc w:val="left"/>
        <w:rPr>
          <w:b w:val="0"/>
          <w:caps w:val="0"/>
        </w:rPr>
      </w:pPr>
      <w:hyperlink w:anchor="IntroNote" w:history="1">
        <w:r w:rsidR="00AE1C04" w:rsidRPr="006F590D">
          <w:rPr>
            <w:rStyle w:val="Hyperlink"/>
            <w:b w:val="0"/>
            <w:caps w:val="0"/>
          </w:rPr>
          <w:t>Introductory Note</w:t>
        </w:r>
      </w:hyperlink>
    </w:p>
    <w:p w14:paraId="0BD17E50" w14:textId="77777777" w:rsidR="0022134E" w:rsidRPr="009B6746" w:rsidRDefault="0022134E" w:rsidP="00F658E5">
      <w:pPr>
        <w:pStyle w:val="Heading1"/>
        <w:keepNext/>
        <w:jc w:val="left"/>
        <w:rPr>
          <w:b w:val="0"/>
        </w:rPr>
      </w:pPr>
      <w:r w:rsidRPr="009B6746">
        <w:rPr>
          <w:b w:val="0"/>
        </w:rPr>
        <w:t xml:space="preserve">A. </w:t>
      </w:r>
      <w:r w:rsidR="00A73FC9" w:rsidRPr="00A73FC9">
        <w:rPr>
          <w:b w:val="0"/>
        </w:rPr>
        <w:t>CONTRACT FORMATION</w:t>
      </w:r>
    </w:p>
    <w:p w14:paraId="7EE78A04" w14:textId="77777777" w:rsidR="00EC7C98" w:rsidRDefault="00000000" w:rsidP="00914128">
      <w:pPr>
        <w:pStyle w:val="ToC"/>
      </w:pPr>
      <w:hyperlink w:anchor="a30_01" w:history="1">
        <w:r w:rsidR="00770AB7" w:rsidRPr="00AE1C04">
          <w:rPr>
            <w:rStyle w:val="Hyperlink"/>
          </w:rPr>
          <w:t>30:1</w:t>
        </w:r>
      </w:hyperlink>
      <w:r w:rsidR="00770AB7" w:rsidRPr="00AE1C04">
        <w:tab/>
        <w:t>Contract Formation ― In Dispute</w:t>
      </w:r>
    </w:p>
    <w:p w14:paraId="13A6BC2F" w14:textId="77777777" w:rsidR="00AE1C04" w:rsidRDefault="00000000" w:rsidP="00914128">
      <w:pPr>
        <w:pStyle w:val="ToC"/>
      </w:pPr>
      <w:hyperlink w:anchor="a30_02" w:history="1">
        <w:r w:rsidR="00770AB7" w:rsidRPr="00AE1C04">
          <w:rPr>
            <w:rStyle w:val="Hyperlink"/>
          </w:rPr>
          <w:t>30:2</w:t>
        </w:r>
      </w:hyperlink>
      <w:r w:rsidR="00770AB7">
        <w:tab/>
      </w:r>
      <w:r w:rsidR="00770AB7" w:rsidRPr="00AE1C04">
        <w:t xml:space="preserve">Contract Formation ― Need Not Be </w:t>
      </w:r>
      <w:r w:rsidR="00770AB7">
        <w:t xml:space="preserve">in </w:t>
      </w:r>
      <w:r w:rsidR="00770AB7" w:rsidRPr="00AE1C04">
        <w:t>Writing</w:t>
      </w:r>
    </w:p>
    <w:p w14:paraId="7E8E0CF2" w14:textId="77777777" w:rsidR="00AE1C04" w:rsidRDefault="00000000" w:rsidP="00914128">
      <w:pPr>
        <w:pStyle w:val="ToC"/>
      </w:pPr>
      <w:hyperlink w:anchor="a30_03" w:history="1">
        <w:r w:rsidR="00770AB7" w:rsidRPr="00AE1C04">
          <w:rPr>
            <w:rStyle w:val="Hyperlink"/>
          </w:rPr>
          <w:t>30:3</w:t>
        </w:r>
      </w:hyperlink>
      <w:r w:rsidR="00770AB7" w:rsidRPr="00AE1C04">
        <w:t xml:space="preserve"> </w:t>
      </w:r>
      <w:r w:rsidR="00770AB7" w:rsidRPr="00AE1C04">
        <w:tab/>
        <w:t>Contract Formation ― Offer</w:t>
      </w:r>
    </w:p>
    <w:p w14:paraId="2A9390C2" w14:textId="77777777" w:rsidR="00AE1C04" w:rsidRDefault="00000000" w:rsidP="00914128">
      <w:pPr>
        <w:pStyle w:val="ToC"/>
      </w:pPr>
      <w:hyperlink w:anchor="a30_04" w:history="1">
        <w:r w:rsidR="00770AB7" w:rsidRPr="00AE1C04">
          <w:rPr>
            <w:rStyle w:val="Hyperlink"/>
          </w:rPr>
          <w:t>30:4</w:t>
        </w:r>
      </w:hyperlink>
      <w:r w:rsidR="00770AB7" w:rsidRPr="00AE1C04">
        <w:tab/>
        <w:t xml:space="preserve">Contract Formation ― Revocation </w:t>
      </w:r>
      <w:r w:rsidR="00770AB7">
        <w:t xml:space="preserve">of </w:t>
      </w:r>
      <w:r w:rsidR="00770AB7" w:rsidRPr="00AE1C04">
        <w:t>Offer</w:t>
      </w:r>
    </w:p>
    <w:p w14:paraId="7A252B3B" w14:textId="77777777" w:rsidR="00AE1C04" w:rsidRDefault="00000000" w:rsidP="00914128">
      <w:pPr>
        <w:pStyle w:val="ToC"/>
      </w:pPr>
      <w:hyperlink w:anchor="a30_05" w:history="1">
        <w:r w:rsidR="00770AB7" w:rsidRPr="00AE1C04">
          <w:rPr>
            <w:rStyle w:val="Hyperlink"/>
          </w:rPr>
          <w:t>30:5</w:t>
        </w:r>
      </w:hyperlink>
      <w:r w:rsidR="00770AB7" w:rsidRPr="00AE1C04">
        <w:tab/>
        <w:t>Contract Formation ― Counteroffer</w:t>
      </w:r>
    </w:p>
    <w:p w14:paraId="7EF85E95" w14:textId="77777777" w:rsidR="00AE1C04" w:rsidRDefault="00000000" w:rsidP="00914128">
      <w:pPr>
        <w:pStyle w:val="ToC"/>
      </w:pPr>
      <w:hyperlink w:anchor="a30_06" w:history="1">
        <w:r w:rsidR="00770AB7" w:rsidRPr="00AE1C04">
          <w:rPr>
            <w:rStyle w:val="Hyperlink"/>
          </w:rPr>
          <w:t>30:6</w:t>
        </w:r>
      </w:hyperlink>
      <w:r w:rsidR="00770AB7" w:rsidRPr="00AE1C04">
        <w:t xml:space="preserve"> </w:t>
      </w:r>
      <w:r w:rsidR="00770AB7" w:rsidRPr="00AE1C04">
        <w:tab/>
        <w:t>Contract Formation ― Acceptance</w:t>
      </w:r>
    </w:p>
    <w:p w14:paraId="1951668E" w14:textId="77777777" w:rsidR="00AE1C04" w:rsidRDefault="00000000" w:rsidP="00914128">
      <w:pPr>
        <w:pStyle w:val="ToC"/>
      </w:pPr>
      <w:hyperlink w:anchor="a30_07" w:history="1">
        <w:r w:rsidR="00770AB7" w:rsidRPr="00AE1C04">
          <w:rPr>
            <w:rStyle w:val="Hyperlink"/>
          </w:rPr>
          <w:t>30:7</w:t>
        </w:r>
      </w:hyperlink>
      <w:r w:rsidR="00770AB7" w:rsidRPr="00AE1C04">
        <w:t xml:space="preserve"> </w:t>
      </w:r>
      <w:r w:rsidR="00770AB7" w:rsidRPr="00AE1C04">
        <w:tab/>
        <w:t>Contract Formation ― Consideration</w:t>
      </w:r>
    </w:p>
    <w:p w14:paraId="62D802C4" w14:textId="77777777" w:rsidR="00AE1C04" w:rsidRDefault="00000000" w:rsidP="00914128">
      <w:pPr>
        <w:pStyle w:val="ToC"/>
      </w:pPr>
      <w:hyperlink w:anchor="a30_08" w:history="1">
        <w:r w:rsidR="00770AB7" w:rsidRPr="00AE1C04">
          <w:rPr>
            <w:rStyle w:val="Hyperlink"/>
          </w:rPr>
          <w:t>30:8</w:t>
        </w:r>
      </w:hyperlink>
      <w:r w:rsidR="00770AB7" w:rsidRPr="00AE1C04">
        <w:t xml:space="preserve"> </w:t>
      </w:r>
      <w:r w:rsidR="00770AB7" w:rsidRPr="00AE1C04">
        <w:tab/>
        <w:t>Contract Formation ― Modification</w:t>
      </w:r>
    </w:p>
    <w:p w14:paraId="13EF075A" w14:textId="77777777" w:rsidR="00AE1C04" w:rsidRDefault="00000000" w:rsidP="00914128">
      <w:pPr>
        <w:pStyle w:val="ToC"/>
      </w:pPr>
      <w:hyperlink w:anchor="a30_09" w:history="1">
        <w:r w:rsidR="00770AB7" w:rsidRPr="00AE1C04">
          <w:rPr>
            <w:rStyle w:val="Hyperlink"/>
          </w:rPr>
          <w:t>30:9</w:t>
        </w:r>
      </w:hyperlink>
      <w:r w:rsidR="00770AB7" w:rsidRPr="00AE1C04">
        <w:t xml:space="preserve"> </w:t>
      </w:r>
      <w:r w:rsidR="00770AB7" w:rsidRPr="00AE1C04">
        <w:tab/>
        <w:t>Contract Formation ― Third-Party Beneficiary</w:t>
      </w:r>
    </w:p>
    <w:p w14:paraId="53F9BB9F" w14:textId="77777777" w:rsidR="00A73FC9" w:rsidRDefault="00A73FC9" w:rsidP="00A73FC9">
      <w:pPr>
        <w:pStyle w:val="ToC"/>
      </w:pPr>
    </w:p>
    <w:p w14:paraId="2E9F97E2" w14:textId="77777777" w:rsidR="00A73FC9" w:rsidRPr="009B6746" w:rsidRDefault="00A73FC9" w:rsidP="00A73FC9">
      <w:pPr>
        <w:pStyle w:val="Heading1"/>
        <w:keepNext/>
        <w:jc w:val="left"/>
        <w:rPr>
          <w:b w:val="0"/>
        </w:rPr>
      </w:pPr>
      <w:r>
        <w:rPr>
          <w:b w:val="0"/>
        </w:rPr>
        <w:t>B</w:t>
      </w:r>
      <w:r w:rsidRPr="00973884">
        <w:rPr>
          <w:b w:val="0"/>
        </w:rPr>
        <w:t xml:space="preserve">. </w:t>
      </w:r>
      <w:r w:rsidRPr="00A73FC9">
        <w:rPr>
          <w:b w:val="0"/>
        </w:rPr>
        <w:t>CONTRACT PERFORMANCE</w:t>
      </w:r>
    </w:p>
    <w:p w14:paraId="3B9279C4" w14:textId="77777777" w:rsidR="00A73FC9" w:rsidRDefault="00000000" w:rsidP="00A73FC9">
      <w:pPr>
        <w:pStyle w:val="ToC"/>
      </w:pPr>
      <w:hyperlink w:anchor="a30_10" w:history="1">
        <w:r w:rsidR="00770AB7" w:rsidRPr="00AE1C04">
          <w:rPr>
            <w:rStyle w:val="Hyperlink"/>
          </w:rPr>
          <w:t>30:10</w:t>
        </w:r>
      </w:hyperlink>
      <w:r w:rsidR="00770AB7" w:rsidRPr="00AE1C04">
        <w:t xml:space="preserve"> </w:t>
      </w:r>
      <w:r w:rsidR="00770AB7" w:rsidRPr="00AE1C04">
        <w:tab/>
        <w:t xml:space="preserve">Contract Performance — Breach </w:t>
      </w:r>
      <w:r w:rsidR="00770AB7">
        <w:t xml:space="preserve">of </w:t>
      </w:r>
      <w:r w:rsidR="00770AB7" w:rsidRPr="00AE1C04">
        <w:t xml:space="preserve">Contract — Elements </w:t>
      </w:r>
      <w:r w:rsidR="00770AB7">
        <w:t xml:space="preserve">of </w:t>
      </w:r>
      <w:r w:rsidR="00770AB7" w:rsidRPr="00AE1C04">
        <w:t>Liability</w:t>
      </w:r>
    </w:p>
    <w:p w14:paraId="7D5624AC" w14:textId="77777777" w:rsidR="00AE1C04" w:rsidRDefault="00000000" w:rsidP="00A73FC9">
      <w:pPr>
        <w:pStyle w:val="ToC"/>
      </w:pPr>
      <w:hyperlink w:anchor="a30_11" w:history="1">
        <w:r w:rsidR="00770AB7" w:rsidRPr="00AE1C04">
          <w:rPr>
            <w:rStyle w:val="Hyperlink"/>
          </w:rPr>
          <w:t>30:11</w:t>
        </w:r>
      </w:hyperlink>
      <w:r w:rsidR="00770AB7" w:rsidRPr="00AE1C04">
        <w:tab/>
        <w:t xml:space="preserve">Contract Performance — Breach </w:t>
      </w:r>
      <w:r w:rsidR="00770AB7">
        <w:t xml:space="preserve">of </w:t>
      </w:r>
      <w:r w:rsidR="00770AB7" w:rsidRPr="00AE1C04">
        <w:t>Contract Defined</w:t>
      </w:r>
    </w:p>
    <w:p w14:paraId="6CC9DDD5" w14:textId="77777777" w:rsidR="00AE1C04" w:rsidRDefault="00000000" w:rsidP="00A73FC9">
      <w:pPr>
        <w:pStyle w:val="ToC"/>
      </w:pPr>
      <w:hyperlink w:anchor="a30_12" w:history="1">
        <w:r w:rsidR="00770AB7" w:rsidRPr="00AE1C04">
          <w:rPr>
            <w:rStyle w:val="Hyperlink"/>
          </w:rPr>
          <w:t>30:12</w:t>
        </w:r>
      </w:hyperlink>
      <w:r w:rsidR="00770AB7">
        <w:tab/>
      </w:r>
      <w:r w:rsidR="00770AB7" w:rsidRPr="00AE1C04">
        <w:t>Contract Performance — Substantial Performance</w:t>
      </w:r>
    </w:p>
    <w:p w14:paraId="17501E41" w14:textId="77777777" w:rsidR="00AE1C04" w:rsidRDefault="00000000" w:rsidP="00A73FC9">
      <w:pPr>
        <w:pStyle w:val="ToC"/>
      </w:pPr>
      <w:hyperlink w:anchor="a30_13" w:history="1">
        <w:r w:rsidR="00770AB7" w:rsidRPr="00AE1C04">
          <w:rPr>
            <w:rStyle w:val="Hyperlink"/>
          </w:rPr>
          <w:t>30:13</w:t>
        </w:r>
      </w:hyperlink>
      <w:r w:rsidR="00770AB7" w:rsidRPr="00AE1C04">
        <w:t xml:space="preserve"> </w:t>
      </w:r>
      <w:r w:rsidR="00770AB7" w:rsidRPr="00AE1C04">
        <w:tab/>
        <w:t>Contract Performance — Anticipatory Breach</w:t>
      </w:r>
    </w:p>
    <w:p w14:paraId="77A57069" w14:textId="77777777" w:rsidR="00AE1C04" w:rsidRDefault="00000000" w:rsidP="00A73FC9">
      <w:pPr>
        <w:pStyle w:val="ToC"/>
      </w:pPr>
      <w:hyperlink w:anchor="a30_14" w:history="1">
        <w:r w:rsidR="00770AB7" w:rsidRPr="00AE1C04">
          <w:rPr>
            <w:rStyle w:val="Hyperlink"/>
          </w:rPr>
          <w:t>30:14</w:t>
        </w:r>
      </w:hyperlink>
      <w:r w:rsidR="00770AB7" w:rsidRPr="00AE1C04">
        <w:tab/>
        <w:t xml:space="preserve">Contract Performance — Time </w:t>
      </w:r>
      <w:r w:rsidR="00770AB7">
        <w:t xml:space="preserve">of </w:t>
      </w:r>
      <w:r w:rsidR="00770AB7" w:rsidRPr="00AE1C04">
        <w:t>Performance</w:t>
      </w:r>
    </w:p>
    <w:p w14:paraId="20D67351" w14:textId="77777777" w:rsidR="00AE1C04" w:rsidRDefault="00000000" w:rsidP="00A73FC9">
      <w:pPr>
        <w:pStyle w:val="ToC"/>
      </w:pPr>
      <w:hyperlink w:anchor="a30_15" w:history="1">
        <w:r w:rsidR="00770AB7" w:rsidRPr="00AE1C04">
          <w:rPr>
            <w:rStyle w:val="Hyperlink"/>
          </w:rPr>
          <w:t>30:15</w:t>
        </w:r>
      </w:hyperlink>
      <w:r w:rsidR="00770AB7" w:rsidRPr="00AE1C04">
        <w:t xml:space="preserve"> </w:t>
      </w:r>
      <w:r w:rsidR="00770AB7" w:rsidRPr="00AE1C04">
        <w:tab/>
        <w:t>Contract Performance — Conditions Precedent</w:t>
      </w:r>
    </w:p>
    <w:p w14:paraId="5E12B7FA" w14:textId="77777777" w:rsidR="00AE1C04" w:rsidRDefault="00000000" w:rsidP="00A73FC9">
      <w:pPr>
        <w:pStyle w:val="ToC"/>
      </w:pPr>
      <w:hyperlink w:anchor="a30_16" w:history="1">
        <w:r w:rsidR="00770AB7" w:rsidRPr="00AE1C04">
          <w:rPr>
            <w:rStyle w:val="Hyperlink"/>
          </w:rPr>
          <w:t>30:16</w:t>
        </w:r>
      </w:hyperlink>
      <w:r w:rsidR="00770AB7" w:rsidRPr="00AE1C04">
        <w:tab/>
        <w:t xml:space="preserve">Contract Performance — Implied Duty </w:t>
      </w:r>
      <w:r w:rsidR="00770AB7">
        <w:t xml:space="preserve">of </w:t>
      </w:r>
      <w:r w:rsidR="00770AB7" w:rsidRPr="00AE1C04">
        <w:t xml:space="preserve">Good Faith </w:t>
      </w:r>
      <w:r w:rsidR="00770AB7">
        <w:t xml:space="preserve">and </w:t>
      </w:r>
      <w:r w:rsidR="00770AB7" w:rsidRPr="00AE1C04">
        <w:t>Fair Dealing — Non-Insurance Contract</w:t>
      </w:r>
    </w:p>
    <w:p w14:paraId="0F28CB96" w14:textId="77777777" w:rsidR="00AE1C04" w:rsidRDefault="00000000" w:rsidP="00A73FC9">
      <w:pPr>
        <w:pStyle w:val="ToC"/>
      </w:pPr>
      <w:hyperlink w:anchor="a30_17" w:history="1">
        <w:r w:rsidR="00770AB7" w:rsidRPr="00AE1C04">
          <w:rPr>
            <w:rStyle w:val="Hyperlink"/>
          </w:rPr>
          <w:t>30:17</w:t>
        </w:r>
      </w:hyperlink>
      <w:r w:rsidR="00770AB7" w:rsidRPr="00AE1C04">
        <w:tab/>
        <w:t>Contract Performance — Assignment</w:t>
      </w:r>
    </w:p>
    <w:p w14:paraId="2B170433" w14:textId="77777777" w:rsidR="00A73FC9" w:rsidRDefault="00A73FC9" w:rsidP="00A73FC9">
      <w:pPr>
        <w:pStyle w:val="ToC"/>
      </w:pPr>
    </w:p>
    <w:p w14:paraId="2D08CFAD" w14:textId="77777777" w:rsidR="00A73FC9" w:rsidRPr="009B6746" w:rsidRDefault="00A73FC9" w:rsidP="00A73FC9">
      <w:pPr>
        <w:pStyle w:val="Heading1"/>
        <w:keepNext/>
        <w:jc w:val="left"/>
        <w:rPr>
          <w:b w:val="0"/>
        </w:rPr>
      </w:pPr>
      <w:r>
        <w:rPr>
          <w:b w:val="0"/>
        </w:rPr>
        <w:t>C</w:t>
      </w:r>
      <w:r w:rsidRPr="00973884">
        <w:rPr>
          <w:b w:val="0"/>
        </w:rPr>
        <w:t xml:space="preserve">. </w:t>
      </w:r>
      <w:r w:rsidRPr="00A73FC9">
        <w:rPr>
          <w:b w:val="0"/>
        </w:rPr>
        <w:t>DEFENSES</w:t>
      </w:r>
    </w:p>
    <w:p w14:paraId="4613EDB3" w14:textId="77777777" w:rsidR="00A73FC9" w:rsidRDefault="00000000" w:rsidP="00A73FC9">
      <w:pPr>
        <w:pStyle w:val="ToC"/>
      </w:pPr>
      <w:hyperlink w:anchor="IntroNoteC" w:history="1">
        <w:r w:rsidR="003F4A7F" w:rsidRPr="006F590D">
          <w:rPr>
            <w:rStyle w:val="Hyperlink"/>
          </w:rPr>
          <w:t>Introductory Note</w:t>
        </w:r>
      </w:hyperlink>
    </w:p>
    <w:p w14:paraId="0592BB4E" w14:textId="77777777" w:rsidR="003F4A7F" w:rsidRDefault="00000000" w:rsidP="00A73FC9">
      <w:pPr>
        <w:pStyle w:val="ToC"/>
      </w:pPr>
      <w:hyperlink w:anchor="a30_18" w:history="1">
        <w:r w:rsidR="00770AB7" w:rsidRPr="003F4A7F">
          <w:rPr>
            <w:rStyle w:val="Hyperlink"/>
          </w:rPr>
          <w:t>30:18</w:t>
        </w:r>
      </w:hyperlink>
      <w:r w:rsidR="00770AB7">
        <w:tab/>
      </w:r>
      <w:r w:rsidR="00AB477F">
        <w:t xml:space="preserve">Defense — </w:t>
      </w:r>
      <w:r w:rsidR="00770AB7" w:rsidRPr="003F4A7F">
        <w:t xml:space="preserve">Fraud </w:t>
      </w:r>
      <w:r w:rsidR="00770AB7">
        <w:t>in the</w:t>
      </w:r>
      <w:r w:rsidR="00770AB7" w:rsidRPr="003F4A7F">
        <w:t xml:space="preserve"> Inducement</w:t>
      </w:r>
    </w:p>
    <w:p w14:paraId="6928598E" w14:textId="77777777" w:rsidR="003F4A7F" w:rsidRDefault="00000000" w:rsidP="00A73FC9">
      <w:pPr>
        <w:pStyle w:val="ToC"/>
      </w:pPr>
      <w:hyperlink w:anchor="a30_19" w:history="1">
        <w:r w:rsidR="00770AB7" w:rsidRPr="003F4A7F">
          <w:rPr>
            <w:rStyle w:val="Hyperlink"/>
          </w:rPr>
          <w:t>30:19</w:t>
        </w:r>
      </w:hyperlink>
      <w:r w:rsidR="00AB477F">
        <w:tab/>
        <w:t xml:space="preserve">Defense — </w:t>
      </w:r>
      <w:r w:rsidR="00770AB7" w:rsidRPr="003F4A7F">
        <w:t>Undue Influence</w:t>
      </w:r>
    </w:p>
    <w:p w14:paraId="4C007B98" w14:textId="77777777" w:rsidR="00AC646C" w:rsidRDefault="00000000" w:rsidP="00A73FC9">
      <w:pPr>
        <w:pStyle w:val="ToC"/>
      </w:pPr>
      <w:hyperlink w:anchor="a30_20" w:history="1">
        <w:r w:rsidR="00770AB7" w:rsidRPr="00AC646C">
          <w:rPr>
            <w:rStyle w:val="Hyperlink"/>
          </w:rPr>
          <w:t>30:20</w:t>
        </w:r>
      </w:hyperlink>
      <w:r w:rsidR="00AB477F">
        <w:t xml:space="preserve"> </w:t>
      </w:r>
      <w:r w:rsidR="00AB477F">
        <w:tab/>
        <w:t xml:space="preserve">Defense — </w:t>
      </w:r>
      <w:r w:rsidR="00770AB7" w:rsidRPr="00AC646C">
        <w:t>Duress</w:t>
      </w:r>
    </w:p>
    <w:p w14:paraId="49925C59" w14:textId="77777777" w:rsidR="00AC646C" w:rsidRDefault="00000000" w:rsidP="00A73FC9">
      <w:pPr>
        <w:pStyle w:val="ToC"/>
      </w:pPr>
      <w:hyperlink w:anchor="a30_21" w:history="1">
        <w:r w:rsidR="00770AB7" w:rsidRPr="00AC646C">
          <w:rPr>
            <w:rStyle w:val="Hyperlink"/>
          </w:rPr>
          <w:t>30:21</w:t>
        </w:r>
      </w:hyperlink>
      <w:r w:rsidR="00AB477F">
        <w:tab/>
        <w:t xml:space="preserve">Defense — </w:t>
      </w:r>
      <w:r w:rsidR="00770AB7" w:rsidRPr="00AC646C">
        <w:t>Minority</w:t>
      </w:r>
    </w:p>
    <w:p w14:paraId="0EED8BEA" w14:textId="77777777" w:rsidR="00AC646C" w:rsidRDefault="00000000" w:rsidP="00A73FC9">
      <w:pPr>
        <w:pStyle w:val="ToC"/>
      </w:pPr>
      <w:hyperlink w:anchor="a30_22" w:history="1">
        <w:r w:rsidR="00770AB7" w:rsidRPr="00AC646C">
          <w:rPr>
            <w:rStyle w:val="Hyperlink"/>
          </w:rPr>
          <w:t>30:22</w:t>
        </w:r>
      </w:hyperlink>
      <w:r w:rsidR="00AB477F">
        <w:tab/>
        <w:t xml:space="preserve">Defense — </w:t>
      </w:r>
      <w:r w:rsidR="00770AB7" w:rsidRPr="00AC646C">
        <w:t>Mental Incapacity</w:t>
      </w:r>
    </w:p>
    <w:p w14:paraId="4A1D51B8" w14:textId="77777777" w:rsidR="00AC646C" w:rsidRDefault="00000000" w:rsidP="00A73FC9">
      <w:pPr>
        <w:pStyle w:val="ToC"/>
      </w:pPr>
      <w:hyperlink w:anchor="a30_23" w:history="1">
        <w:r w:rsidR="00770AB7" w:rsidRPr="00AC646C">
          <w:rPr>
            <w:rStyle w:val="Hyperlink"/>
          </w:rPr>
          <w:t>30:23</w:t>
        </w:r>
      </w:hyperlink>
      <w:r w:rsidR="00AB477F">
        <w:tab/>
        <w:t xml:space="preserve">Defense — </w:t>
      </w:r>
      <w:r w:rsidR="00770AB7" w:rsidRPr="00AC646C">
        <w:t xml:space="preserve">Impossibility </w:t>
      </w:r>
      <w:r w:rsidR="00770AB7">
        <w:t xml:space="preserve">of </w:t>
      </w:r>
      <w:r w:rsidR="00770AB7" w:rsidRPr="00AC646C">
        <w:t>Performance</w:t>
      </w:r>
    </w:p>
    <w:p w14:paraId="61D4E525" w14:textId="77777777" w:rsidR="00AC646C" w:rsidRDefault="00000000" w:rsidP="00A73FC9">
      <w:pPr>
        <w:pStyle w:val="ToC"/>
      </w:pPr>
      <w:hyperlink w:anchor="a30_24" w:history="1">
        <w:r w:rsidR="00770AB7" w:rsidRPr="00AC646C">
          <w:rPr>
            <w:rStyle w:val="Hyperlink"/>
          </w:rPr>
          <w:t>30:24</w:t>
        </w:r>
      </w:hyperlink>
      <w:r w:rsidR="00AB477F">
        <w:tab/>
        <w:t xml:space="preserve">Defense — </w:t>
      </w:r>
      <w:r w:rsidR="00770AB7" w:rsidRPr="00AC646C">
        <w:t>Inducing</w:t>
      </w:r>
      <w:r w:rsidR="00770AB7">
        <w:t xml:space="preserve"> a </w:t>
      </w:r>
      <w:r w:rsidR="00770AB7" w:rsidRPr="00AC646C">
        <w:t xml:space="preserve">Breach </w:t>
      </w:r>
      <w:r w:rsidR="00770AB7">
        <w:t>by</w:t>
      </w:r>
      <w:r w:rsidR="00770AB7" w:rsidRPr="00AC646C">
        <w:t xml:space="preserve"> Words </w:t>
      </w:r>
      <w:r w:rsidR="00770AB7">
        <w:t>or</w:t>
      </w:r>
      <w:r w:rsidR="00770AB7" w:rsidRPr="00AC646C">
        <w:t xml:space="preserve"> Conduct</w:t>
      </w:r>
    </w:p>
    <w:p w14:paraId="3F67AC76" w14:textId="77777777" w:rsidR="00AC646C" w:rsidRDefault="00000000" w:rsidP="00A73FC9">
      <w:pPr>
        <w:pStyle w:val="ToC"/>
      </w:pPr>
      <w:hyperlink w:anchor="a30_25" w:history="1">
        <w:r w:rsidR="00770AB7" w:rsidRPr="00AC646C">
          <w:rPr>
            <w:rStyle w:val="Hyperlink"/>
          </w:rPr>
          <w:t>30:25</w:t>
        </w:r>
      </w:hyperlink>
      <w:r w:rsidR="00AB477F">
        <w:tab/>
        <w:t xml:space="preserve">Defense — </w:t>
      </w:r>
      <w:r w:rsidR="00770AB7" w:rsidRPr="00AC646C">
        <w:t>Waiver</w:t>
      </w:r>
    </w:p>
    <w:p w14:paraId="074FF38D" w14:textId="77777777" w:rsidR="00AC646C" w:rsidRDefault="00000000" w:rsidP="00A73FC9">
      <w:pPr>
        <w:pStyle w:val="ToC"/>
      </w:pPr>
      <w:hyperlink w:anchor="a30_26" w:history="1">
        <w:r w:rsidR="00770AB7" w:rsidRPr="00AC646C">
          <w:rPr>
            <w:rStyle w:val="Hyperlink"/>
          </w:rPr>
          <w:t>30:26</w:t>
        </w:r>
      </w:hyperlink>
      <w:r w:rsidR="00AB477F">
        <w:tab/>
        <w:t xml:space="preserve">Defense — </w:t>
      </w:r>
      <w:r w:rsidR="00770AB7" w:rsidRPr="00AC646C">
        <w:t xml:space="preserve">Statute </w:t>
      </w:r>
      <w:r w:rsidR="00770AB7">
        <w:t xml:space="preserve">of </w:t>
      </w:r>
      <w:r w:rsidR="00770AB7" w:rsidRPr="00AC646C">
        <w:t>Limitations</w:t>
      </w:r>
    </w:p>
    <w:p w14:paraId="213F230B" w14:textId="77777777" w:rsidR="00AC646C" w:rsidRDefault="00000000" w:rsidP="00A73FC9">
      <w:pPr>
        <w:pStyle w:val="ToC"/>
      </w:pPr>
      <w:hyperlink w:anchor="a30_27" w:history="1">
        <w:r w:rsidR="00770AB7" w:rsidRPr="00AC646C">
          <w:rPr>
            <w:rStyle w:val="Hyperlink"/>
          </w:rPr>
          <w:t>30:27</w:t>
        </w:r>
      </w:hyperlink>
      <w:r w:rsidR="00AB477F">
        <w:tab/>
        <w:t xml:space="preserve">Defense — </w:t>
      </w:r>
      <w:r w:rsidR="00770AB7" w:rsidRPr="00AC646C">
        <w:t xml:space="preserve">Cancellation </w:t>
      </w:r>
      <w:r w:rsidR="00770AB7">
        <w:t>by</w:t>
      </w:r>
      <w:r w:rsidR="00770AB7" w:rsidRPr="00AC646C">
        <w:t xml:space="preserve"> Agreement</w:t>
      </w:r>
    </w:p>
    <w:p w14:paraId="0E302707" w14:textId="77777777" w:rsidR="00AC646C" w:rsidRDefault="00000000" w:rsidP="00A73FC9">
      <w:pPr>
        <w:pStyle w:val="ToC"/>
      </w:pPr>
      <w:hyperlink w:anchor="a30_28" w:history="1">
        <w:r w:rsidR="00770AB7" w:rsidRPr="00AC646C">
          <w:rPr>
            <w:rStyle w:val="Hyperlink"/>
          </w:rPr>
          <w:t>30:28</w:t>
        </w:r>
      </w:hyperlink>
      <w:r w:rsidR="00AB477F">
        <w:tab/>
        <w:t xml:space="preserve">Defense — </w:t>
      </w:r>
      <w:r w:rsidR="00770AB7" w:rsidRPr="00AC646C">
        <w:t xml:space="preserve">Accord </w:t>
      </w:r>
      <w:r w:rsidR="00770AB7">
        <w:t xml:space="preserve">and </w:t>
      </w:r>
      <w:r w:rsidR="00770AB7" w:rsidRPr="00AC646C">
        <w:t>Satisfaction (Later Contract)</w:t>
      </w:r>
    </w:p>
    <w:p w14:paraId="6855FCB3" w14:textId="77777777" w:rsidR="00AC646C" w:rsidRDefault="00000000" w:rsidP="00A73FC9">
      <w:pPr>
        <w:pStyle w:val="ToC"/>
      </w:pPr>
      <w:hyperlink w:anchor="a30_29" w:history="1">
        <w:r w:rsidR="00770AB7" w:rsidRPr="00AC646C">
          <w:rPr>
            <w:rStyle w:val="Hyperlink"/>
          </w:rPr>
          <w:t>30:29</w:t>
        </w:r>
      </w:hyperlink>
      <w:r w:rsidR="00AB477F">
        <w:tab/>
        <w:t xml:space="preserve">Defense — </w:t>
      </w:r>
      <w:r w:rsidR="00770AB7" w:rsidRPr="00AC646C">
        <w:t>Novation</w:t>
      </w:r>
    </w:p>
    <w:p w14:paraId="45CC51F8" w14:textId="77777777" w:rsidR="00A73FC9" w:rsidRDefault="00A73FC9" w:rsidP="00A73FC9">
      <w:pPr>
        <w:pStyle w:val="ToC"/>
      </w:pPr>
    </w:p>
    <w:p w14:paraId="4A7162FF" w14:textId="77777777" w:rsidR="00A73FC9" w:rsidRPr="009B6746" w:rsidRDefault="00A73FC9" w:rsidP="00A73FC9">
      <w:pPr>
        <w:pStyle w:val="Heading1"/>
        <w:keepNext/>
        <w:jc w:val="left"/>
        <w:rPr>
          <w:b w:val="0"/>
        </w:rPr>
      </w:pPr>
      <w:r>
        <w:rPr>
          <w:b w:val="0"/>
        </w:rPr>
        <w:t>D</w:t>
      </w:r>
      <w:r w:rsidRPr="00973884">
        <w:rPr>
          <w:b w:val="0"/>
        </w:rPr>
        <w:t xml:space="preserve">. </w:t>
      </w:r>
      <w:r w:rsidRPr="00A73FC9">
        <w:rPr>
          <w:b w:val="0"/>
        </w:rPr>
        <w:t>CONTRACT INTERPRETATION</w:t>
      </w:r>
    </w:p>
    <w:p w14:paraId="7AEFAA8C" w14:textId="77777777" w:rsidR="00A73FC9" w:rsidRDefault="00000000" w:rsidP="00A73FC9">
      <w:pPr>
        <w:pStyle w:val="ToC"/>
      </w:pPr>
      <w:hyperlink w:anchor="IntroNoteD" w:history="1">
        <w:r w:rsidR="00AC646C" w:rsidRPr="006F590D">
          <w:rPr>
            <w:rStyle w:val="Hyperlink"/>
          </w:rPr>
          <w:t>Introductory Note</w:t>
        </w:r>
      </w:hyperlink>
    </w:p>
    <w:p w14:paraId="576EBBDD" w14:textId="77777777" w:rsidR="00AC646C" w:rsidRDefault="00000000" w:rsidP="00A73FC9">
      <w:pPr>
        <w:pStyle w:val="ToC"/>
      </w:pPr>
      <w:hyperlink w:anchor="a30_30" w:history="1">
        <w:r w:rsidR="00770AB7" w:rsidRPr="00AC646C">
          <w:rPr>
            <w:rStyle w:val="Hyperlink"/>
          </w:rPr>
          <w:t>30:30</w:t>
        </w:r>
      </w:hyperlink>
      <w:r w:rsidR="00770AB7" w:rsidRPr="00AC646C">
        <w:tab/>
        <w:t>Contract Interpretation — Disputed Term</w:t>
      </w:r>
    </w:p>
    <w:p w14:paraId="4E29E2A1" w14:textId="77777777" w:rsidR="00AC646C" w:rsidRDefault="00000000" w:rsidP="00A73FC9">
      <w:pPr>
        <w:pStyle w:val="ToC"/>
      </w:pPr>
      <w:hyperlink w:anchor="a30_31" w:history="1">
        <w:r w:rsidR="00770AB7" w:rsidRPr="00AC646C">
          <w:rPr>
            <w:rStyle w:val="Hyperlink"/>
          </w:rPr>
          <w:t>30:31</w:t>
        </w:r>
      </w:hyperlink>
      <w:r w:rsidR="00770AB7" w:rsidRPr="00AC646C">
        <w:tab/>
        <w:t>Contract Interpretation — Parties’ Intent</w:t>
      </w:r>
    </w:p>
    <w:p w14:paraId="37E8100F" w14:textId="77777777" w:rsidR="00AC646C" w:rsidRDefault="00000000" w:rsidP="00A73FC9">
      <w:pPr>
        <w:pStyle w:val="ToC"/>
      </w:pPr>
      <w:hyperlink w:anchor="a30_32" w:history="1">
        <w:r w:rsidR="00770AB7" w:rsidRPr="00AC646C">
          <w:rPr>
            <w:rStyle w:val="Hyperlink"/>
          </w:rPr>
          <w:t>30:32</w:t>
        </w:r>
      </w:hyperlink>
      <w:r w:rsidR="00770AB7" w:rsidRPr="00AC646C">
        <w:tab/>
        <w:t xml:space="preserve">Contract Interpretation — Contract </w:t>
      </w:r>
      <w:r w:rsidR="00C70560">
        <w:t xml:space="preserve">as </w:t>
      </w:r>
      <w:r w:rsidR="00770AB7">
        <w:t xml:space="preserve">a </w:t>
      </w:r>
      <w:r w:rsidR="00770AB7" w:rsidRPr="00AC646C">
        <w:t>Whole</w:t>
      </w:r>
    </w:p>
    <w:p w14:paraId="5CBCD38F" w14:textId="77777777" w:rsidR="00AC646C" w:rsidRDefault="00000000" w:rsidP="00A73FC9">
      <w:pPr>
        <w:pStyle w:val="ToC"/>
      </w:pPr>
      <w:hyperlink w:anchor="a30_33" w:history="1">
        <w:r w:rsidR="00770AB7" w:rsidRPr="00AC646C">
          <w:rPr>
            <w:rStyle w:val="Hyperlink"/>
          </w:rPr>
          <w:t>30:33</w:t>
        </w:r>
      </w:hyperlink>
      <w:r w:rsidR="00770AB7" w:rsidRPr="00AC646C">
        <w:tab/>
        <w:t>Contract Interpretation — Ordinary Meaning</w:t>
      </w:r>
    </w:p>
    <w:p w14:paraId="530CF30F" w14:textId="77777777" w:rsidR="00AC646C" w:rsidRDefault="00000000" w:rsidP="00A73FC9">
      <w:pPr>
        <w:pStyle w:val="ToC"/>
      </w:pPr>
      <w:hyperlink w:anchor="a30_34" w:history="1">
        <w:r w:rsidR="00770AB7" w:rsidRPr="00AC646C">
          <w:rPr>
            <w:rStyle w:val="Hyperlink"/>
          </w:rPr>
          <w:t>30:34</w:t>
        </w:r>
      </w:hyperlink>
      <w:r w:rsidR="00770AB7" w:rsidRPr="00AC646C">
        <w:tab/>
        <w:t xml:space="preserve">Contract Interpretation — Use </w:t>
      </w:r>
      <w:r w:rsidR="00770AB7">
        <w:t xml:space="preserve">of </w:t>
      </w:r>
      <w:r w:rsidR="00770AB7" w:rsidRPr="00AC646C">
        <w:t xml:space="preserve">Technical Words </w:t>
      </w:r>
      <w:r w:rsidR="00770AB7">
        <w:t xml:space="preserve">in a </w:t>
      </w:r>
      <w:r w:rsidR="00770AB7" w:rsidRPr="00AC646C">
        <w:t>Contract</w:t>
      </w:r>
    </w:p>
    <w:p w14:paraId="32D565AF" w14:textId="77777777" w:rsidR="00AC646C" w:rsidRDefault="00000000" w:rsidP="00A73FC9">
      <w:pPr>
        <w:pStyle w:val="ToC"/>
      </w:pPr>
      <w:hyperlink w:anchor="a30_35" w:history="1">
        <w:r w:rsidR="00770AB7" w:rsidRPr="00AC646C">
          <w:rPr>
            <w:rStyle w:val="Hyperlink"/>
          </w:rPr>
          <w:t>30:35</w:t>
        </w:r>
      </w:hyperlink>
      <w:r w:rsidR="00770AB7" w:rsidRPr="00AC646C">
        <w:tab/>
        <w:t>Contract Interpretation — Construction Against Drafter</w:t>
      </w:r>
    </w:p>
    <w:p w14:paraId="3FAABF3E" w14:textId="77777777" w:rsidR="00AC646C" w:rsidRDefault="00000000" w:rsidP="00A73FC9">
      <w:pPr>
        <w:pStyle w:val="ToC"/>
      </w:pPr>
      <w:hyperlink w:anchor="a30_36" w:history="1">
        <w:r w:rsidR="00770AB7" w:rsidRPr="00AC646C">
          <w:rPr>
            <w:rStyle w:val="Hyperlink"/>
          </w:rPr>
          <w:t>30:36</w:t>
        </w:r>
      </w:hyperlink>
      <w:r w:rsidR="00770AB7" w:rsidRPr="00AC646C">
        <w:tab/>
        <w:t xml:space="preserve">Contract Interpretation — Specific </w:t>
      </w:r>
      <w:r w:rsidR="00770AB7">
        <w:t xml:space="preserve">and </w:t>
      </w:r>
      <w:r w:rsidR="00770AB7" w:rsidRPr="00AC646C">
        <w:t>General Clauses</w:t>
      </w:r>
    </w:p>
    <w:p w14:paraId="1477911B" w14:textId="77777777" w:rsidR="00A73FC9" w:rsidRDefault="00A73FC9" w:rsidP="00A73FC9">
      <w:pPr>
        <w:pStyle w:val="ToC"/>
      </w:pPr>
    </w:p>
    <w:p w14:paraId="4A067BA5" w14:textId="77777777" w:rsidR="00A73FC9" w:rsidRPr="009B6746" w:rsidRDefault="00A73FC9" w:rsidP="00A73FC9">
      <w:pPr>
        <w:pStyle w:val="Heading1"/>
        <w:keepNext/>
        <w:jc w:val="left"/>
        <w:rPr>
          <w:b w:val="0"/>
        </w:rPr>
      </w:pPr>
      <w:r>
        <w:rPr>
          <w:b w:val="0"/>
        </w:rPr>
        <w:t>E</w:t>
      </w:r>
      <w:r w:rsidRPr="00973884">
        <w:rPr>
          <w:b w:val="0"/>
        </w:rPr>
        <w:t xml:space="preserve">. </w:t>
      </w:r>
      <w:r w:rsidRPr="00A73FC9">
        <w:rPr>
          <w:b w:val="0"/>
        </w:rPr>
        <w:t>DAMAGES</w:t>
      </w:r>
    </w:p>
    <w:p w14:paraId="75C243AD" w14:textId="77777777" w:rsidR="00A73FC9" w:rsidRDefault="00000000" w:rsidP="00A73FC9">
      <w:pPr>
        <w:pStyle w:val="ToC"/>
      </w:pPr>
      <w:hyperlink w:anchor="IntroNoteE" w:history="1">
        <w:r w:rsidR="00AC646C" w:rsidRPr="006F590D">
          <w:rPr>
            <w:rStyle w:val="Hyperlink"/>
          </w:rPr>
          <w:t>Introductory Note</w:t>
        </w:r>
      </w:hyperlink>
    </w:p>
    <w:p w14:paraId="38AB42C7" w14:textId="77777777" w:rsidR="00AC646C" w:rsidRDefault="00000000" w:rsidP="00A73FC9">
      <w:pPr>
        <w:pStyle w:val="ToC"/>
      </w:pPr>
      <w:hyperlink w:anchor="a30_37" w:history="1">
        <w:r w:rsidR="00770AB7" w:rsidRPr="00AC646C">
          <w:rPr>
            <w:rStyle w:val="Hyperlink"/>
          </w:rPr>
          <w:t>30:37</w:t>
        </w:r>
      </w:hyperlink>
      <w:r w:rsidR="00AB477F">
        <w:tab/>
        <w:t xml:space="preserve">Damages — </w:t>
      </w:r>
      <w:r w:rsidR="00770AB7" w:rsidRPr="00AC646C">
        <w:t>Introduction</w:t>
      </w:r>
    </w:p>
    <w:p w14:paraId="1D2D9ABF" w14:textId="77777777" w:rsidR="00AC646C" w:rsidRDefault="00000000" w:rsidP="00A73FC9">
      <w:pPr>
        <w:pStyle w:val="ToC"/>
      </w:pPr>
      <w:hyperlink w:anchor="a30_38" w:history="1">
        <w:r w:rsidR="00770AB7" w:rsidRPr="00AC646C">
          <w:rPr>
            <w:rStyle w:val="Hyperlink"/>
          </w:rPr>
          <w:t>30:38</w:t>
        </w:r>
      </w:hyperlink>
      <w:r w:rsidR="00AB477F">
        <w:tab/>
        <w:t xml:space="preserve">Damages — </w:t>
      </w:r>
      <w:r w:rsidR="00770AB7" w:rsidRPr="00AC646C">
        <w:t>General</w:t>
      </w:r>
    </w:p>
    <w:p w14:paraId="79964BAE" w14:textId="77777777" w:rsidR="00AC646C" w:rsidRDefault="00000000" w:rsidP="00A73FC9">
      <w:pPr>
        <w:pStyle w:val="ToC"/>
      </w:pPr>
      <w:hyperlink w:anchor="a30_39" w:history="1">
        <w:r w:rsidR="00770AB7" w:rsidRPr="00AC646C">
          <w:rPr>
            <w:rStyle w:val="Hyperlink"/>
          </w:rPr>
          <w:t>30:39</w:t>
        </w:r>
      </w:hyperlink>
      <w:r w:rsidR="00AB477F">
        <w:tab/>
        <w:t xml:space="preserve">Damages — </w:t>
      </w:r>
      <w:r w:rsidR="00770AB7" w:rsidRPr="00AC646C">
        <w:t>Special</w:t>
      </w:r>
    </w:p>
    <w:p w14:paraId="15E23831" w14:textId="77777777" w:rsidR="00AC646C" w:rsidRDefault="00000000" w:rsidP="00A73FC9">
      <w:pPr>
        <w:pStyle w:val="ToC"/>
      </w:pPr>
      <w:hyperlink w:anchor="a30_40" w:history="1">
        <w:r w:rsidR="00770AB7" w:rsidRPr="00AC646C">
          <w:rPr>
            <w:rStyle w:val="Hyperlink"/>
          </w:rPr>
          <w:t>30:40</w:t>
        </w:r>
      </w:hyperlink>
      <w:r w:rsidR="00AB477F">
        <w:tab/>
        <w:t xml:space="preserve">Damages — </w:t>
      </w:r>
      <w:r w:rsidR="00770AB7" w:rsidRPr="00AC646C">
        <w:t>Liquidated</w:t>
      </w:r>
    </w:p>
    <w:p w14:paraId="22926B85" w14:textId="77777777" w:rsidR="00AC646C" w:rsidRDefault="00000000" w:rsidP="00A73FC9">
      <w:pPr>
        <w:pStyle w:val="ToC"/>
      </w:pPr>
      <w:hyperlink w:anchor="a30_41" w:history="1">
        <w:r w:rsidR="00770AB7" w:rsidRPr="00AC646C">
          <w:rPr>
            <w:rStyle w:val="Hyperlink"/>
          </w:rPr>
          <w:t>30:41</w:t>
        </w:r>
      </w:hyperlink>
      <w:r w:rsidR="00AB477F">
        <w:tab/>
        <w:t xml:space="preserve">Damages — </w:t>
      </w:r>
      <w:r w:rsidR="00770AB7" w:rsidRPr="00AC646C">
        <w:t>Nominal</w:t>
      </w:r>
    </w:p>
    <w:p w14:paraId="66339E3D" w14:textId="77777777" w:rsidR="00AC646C" w:rsidRDefault="00000000" w:rsidP="00A73FC9">
      <w:pPr>
        <w:pStyle w:val="ToC"/>
      </w:pPr>
      <w:hyperlink w:anchor="a30_42" w:history="1">
        <w:r w:rsidR="00770AB7" w:rsidRPr="00AC646C">
          <w:rPr>
            <w:rStyle w:val="Hyperlink"/>
          </w:rPr>
          <w:t>30:42</w:t>
        </w:r>
      </w:hyperlink>
      <w:r w:rsidR="00AB477F">
        <w:tab/>
        <w:t xml:space="preserve">Damages — </w:t>
      </w:r>
      <w:r w:rsidR="00770AB7" w:rsidRPr="00AC646C">
        <w:t xml:space="preserve">Purchaser’s </w:t>
      </w:r>
      <w:r w:rsidR="00C70560">
        <w:t>for</w:t>
      </w:r>
      <w:r w:rsidR="00770AB7" w:rsidRPr="00AC646C">
        <w:t xml:space="preserve"> Breach </w:t>
      </w:r>
      <w:r w:rsidR="00770AB7">
        <w:t xml:space="preserve">of </w:t>
      </w:r>
      <w:r w:rsidR="00770AB7" w:rsidRPr="00AC646C">
        <w:t>Land Purchase Contract</w:t>
      </w:r>
    </w:p>
    <w:p w14:paraId="654A6A97" w14:textId="77777777" w:rsidR="00AC646C" w:rsidRDefault="00000000" w:rsidP="00A73FC9">
      <w:pPr>
        <w:pStyle w:val="ToC"/>
      </w:pPr>
      <w:hyperlink w:anchor="a30_43" w:history="1">
        <w:r w:rsidR="00770AB7" w:rsidRPr="00AC646C">
          <w:rPr>
            <w:rStyle w:val="Hyperlink"/>
          </w:rPr>
          <w:t>30:43</w:t>
        </w:r>
      </w:hyperlink>
      <w:r w:rsidR="00AB477F">
        <w:t xml:space="preserve"> </w:t>
      </w:r>
      <w:r w:rsidR="00AB477F">
        <w:tab/>
        <w:t xml:space="preserve">Damages — </w:t>
      </w:r>
      <w:r w:rsidR="00770AB7" w:rsidRPr="00AC646C">
        <w:t xml:space="preserve">Seller’s </w:t>
      </w:r>
      <w:r w:rsidR="00C70560">
        <w:t>for</w:t>
      </w:r>
      <w:r w:rsidR="00770AB7" w:rsidRPr="00AC646C">
        <w:t xml:space="preserve"> Breach </w:t>
      </w:r>
      <w:r w:rsidR="00770AB7">
        <w:t xml:space="preserve">of </w:t>
      </w:r>
      <w:r w:rsidR="00770AB7" w:rsidRPr="00AC646C">
        <w:t>Land Purchase Contract</w:t>
      </w:r>
    </w:p>
    <w:p w14:paraId="72E81A4A" w14:textId="77777777" w:rsidR="00AC646C" w:rsidRDefault="00000000" w:rsidP="00A73FC9">
      <w:pPr>
        <w:pStyle w:val="ToC"/>
      </w:pPr>
      <w:hyperlink w:anchor="a30_44" w:history="1">
        <w:r w:rsidR="00770AB7" w:rsidRPr="00AC646C">
          <w:rPr>
            <w:rStyle w:val="Hyperlink"/>
          </w:rPr>
          <w:t>30:44</w:t>
        </w:r>
      </w:hyperlink>
      <w:r w:rsidR="00AB477F">
        <w:t xml:space="preserve"> </w:t>
      </w:r>
      <w:r w:rsidR="00AB477F">
        <w:tab/>
        <w:t xml:space="preserve">Damages — </w:t>
      </w:r>
      <w:r w:rsidR="00770AB7" w:rsidRPr="00AC646C">
        <w:t xml:space="preserve">Employer’s </w:t>
      </w:r>
      <w:r w:rsidR="00C70560">
        <w:t>for</w:t>
      </w:r>
      <w:r w:rsidR="00770AB7" w:rsidRPr="00AC646C">
        <w:t xml:space="preserve"> Employee’s Breach </w:t>
      </w:r>
      <w:r w:rsidR="00770AB7">
        <w:t xml:space="preserve">of </w:t>
      </w:r>
      <w:r w:rsidR="00770AB7" w:rsidRPr="00AC646C">
        <w:t>Personal Service Contract</w:t>
      </w:r>
    </w:p>
    <w:p w14:paraId="4D457740" w14:textId="77777777" w:rsidR="00AC646C" w:rsidRDefault="00000000" w:rsidP="00A73FC9">
      <w:pPr>
        <w:pStyle w:val="ToC"/>
      </w:pPr>
      <w:hyperlink w:anchor="a30_45" w:history="1">
        <w:r w:rsidR="00770AB7" w:rsidRPr="00AC646C">
          <w:rPr>
            <w:rStyle w:val="Hyperlink"/>
          </w:rPr>
          <w:t>30:45</w:t>
        </w:r>
      </w:hyperlink>
      <w:r w:rsidR="00AB477F">
        <w:t xml:space="preserve"> </w:t>
      </w:r>
      <w:r w:rsidR="00AB477F">
        <w:tab/>
        <w:t xml:space="preserve">Damages — </w:t>
      </w:r>
      <w:r w:rsidR="00770AB7" w:rsidRPr="00AC646C">
        <w:t xml:space="preserve">Builder’s </w:t>
      </w:r>
      <w:r w:rsidR="00C70560">
        <w:t>for</w:t>
      </w:r>
      <w:r w:rsidR="00770AB7" w:rsidRPr="00AC646C">
        <w:t xml:space="preserve"> Breach </w:t>
      </w:r>
      <w:r w:rsidR="00770AB7">
        <w:t xml:space="preserve">of </w:t>
      </w:r>
      <w:r w:rsidR="00770AB7" w:rsidRPr="00AC646C">
        <w:t xml:space="preserve">Construction Contract </w:t>
      </w:r>
      <w:r w:rsidR="00770AB7">
        <w:t>by</w:t>
      </w:r>
      <w:r w:rsidR="00770AB7" w:rsidRPr="00AC646C">
        <w:t xml:space="preserve"> Owner Prior </w:t>
      </w:r>
      <w:r w:rsidR="00C70560">
        <w:t xml:space="preserve">to </w:t>
      </w:r>
      <w:r w:rsidR="00770AB7" w:rsidRPr="00AC646C">
        <w:t>Completion</w:t>
      </w:r>
    </w:p>
    <w:p w14:paraId="7CFCC184" w14:textId="77777777" w:rsidR="00AC646C" w:rsidRDefault="00000000" w:rsidP="00A73FC9">
      <w:pPr>
        <w:pStyle w:val="ToC"/>
      </w:pPr>
      <w:hyperlink w:anchor="a30_46" w:history="1">
        <w:r w:rsidR="00770AB7" w:rsidRPr="00AC646C">
          <w:rPr>
            <w:rStyle w:val="Hyperlink"/>
          </w:rPr>
          <w:t>30:46</w:t>
        </w:r>
      </w:hyperlink>
      <w:r w:rsidR="00AB477F">
        <w:tab/>
        <w:t xml:space="preserve">Damages — </w:t>
      </w:r>
      <w:r w:rsidR="00770AB7" w:rsidRPr="00AC646C">
        <w:t xml:space="preserve">Builder’s </w:t>
      </w:r>
      <w:r w:rsidR="00C70560">
        <w:t>for</w:t>
      </w:r>
      <w:r w:rsidR="00770AB7" w:rsidRPr="00AC646C">
        <w:t xml:space="preserve"> Substantial Though Not Complete Performance </w:t>
      </w:r>
      <w:r w:rsidR="00770AB7">
        <w:t xml:space="preserve">of </w:t>
      </w:r>
      <w:r w:rsidR="00770AB7" w:rsidRPr="00AC646C">
        <w:t>Construction Contract</w:t>
      </w:r>
    </w:p>
    <w:p w14:paraId="0798DB0B" w14:textId="6FB56603" w:rsidR="00AC646C" w:rsidRDefault="00000000" w:rsidP="00A73FC9">
      <w:pPr>
        <w:pStyle w:val="ToC"/>
      </w:pPr>
      <w:hyperlink w:anchor="a30_47" w:history="1">
        <w:r w:rsidR="00770AB7" w:rsidRPr="00AC646C">
          <w:rPr>
            <w:rStyle w:val="Hyperlink"/>
          </w:rPr>
          <w:t>30:47</w:t>
        </w:r>
      </w:hyperlink>
      <w:r w:rsidR="00AB477F">
        <w:tab/>
        <w:t xml:space="preserve">Definition — </w:t>
      </w:r>
      <w:r w:rsidR="00770AB7" w:rsidRPr="00AC646C">
        <w:t>Contract Price Agreed Upon</w:t>
      </w:r>
    </w:p>
    <w:p w14:paraId="0E17F2AA" w14:textId="28A878ED" w:rsidR="00AC646C" w:rsidRDefault="00000000" w:rsidP="00A73FC9">
      <w:pPr>
        <w:pStyle w:val="ToC"/>
      </w:pPr>
      <w:hyperlink w:anchor="a30_48" w:history="1">
        <w:r w:rsidR="00770AB7" w:rsidRPr="00AC646C">
          <w:rPr>
            <w:rStyle w:val="Hyperlink"/>
          </w:rPr>
          <w:t>30:48</w:t>
        </w:r>
      </w:hyperlink>
      <w:r w:rsidR="00AB477F">
        <w:tab/>
        <w:t xml:space="preserve">Damages — </w:t>
      </w:r>
      <w:r w:rsidR="00770AB7" w:rsidRPr="00AC646C">
        <w:t xml:space="preserve">Builder’s </w:t>
      </w:r>
      <w:r w:rsidR="00C70560">
        <w:t>for</w:t>
      </w:r>
      <w:r w:rsidR="00AB477F">
        <w:t xml:space="preserve"> Owner’s Partial Breach — </w:t>
      </w:r>
      <w:r w:rsidR="00770AB7" w:rsidRPr="00AC646C">
        <w:t xml:space="preserve">Failure </w:t>
      </w:r>
      <w:r w:rsidR="00C70560">
        <w:t xml:space="preserve">to </w:t>
      </w:r>
      <w:r w:rsidR="00770AB7" w:rsidRPr="00AC646C">
        <w:t>Make Installment Payment</w:t>
      </w:r>
    </w:p>
    <w:p w14:paraId="47C52A0A" w14:textId="7DED6FAD" w:rsidR="00AC646C" w:rsidRDefault="00000000" w:rsidP="00A73FC9">
      <w:pPr>
        <w:pStyle w:val="ToC"/>
      </w:pPr>
      <w:hyperlink w:anchor="a30_49" w:history="1">
        <w:r w:rsidR="00770AB7" w:rsidRPr="00AC646C">
          <w:rPr>
            <w:rStyle w:val="Hyperlink"/>
          </w:rPr>
          <w:t>30:49</w:t>
        </w:r>
      </w:hyperlink>
      <w:r w:rsidR="00AB477F">
        <w:tab/>
        <w:t xml:space="preserve">Damages — </w:t>
      </w:r>
      <w:r w:rsidR="00770AB7" w:rsidRPr="00AC646C">
        <w:t xml:space="preserve">Owner’s </w:t>
      </w:r>
      <w:r w:rsidR="00C70560">
        <w:t>for</w:t>
      </w:r>
      <w:r w:rsidR="00770AB7" w:rsidRPr="00AC646C">
        <w:t xml:space="preserve"> Breach </w:t>
      </w:r>
      <w:r w:rsidR="00770AB7">
        <w:t xml:space="preserve">of </w:t>
      </w:r>
      <w:r w:rsidR="00770AB7" w:rsidRPr="00AC646C">
        <w:t xml:space="preserve">Construction Contract </w:t>
      </w:r>
      <w:r w:rsidR="00770AB7">
        <w:t>by</w:t>
      </w:r>
      <w:r w:rsidR="00770AB7" w:rsidRPr="00AC646C">
        <w:t xml:space="preserve"> Builder</w:t>
      </w:r>
    </w:p>
    <w:p w14:paraId="71EAAA01" w14:textId="39BA702A" w:rsidR="00AC646C" w:rsidRDefault="00000000" w:rsidP="00A73FC9">
      <w:pPr>
        <w:pStyle w:val="ToC"/>
      </w:pPr>
      <w:hyperlink w:anchor="a30_50" w:history="1">
        <w:r w:rsidR="00770AB7" w:rsidRPr="00AC646C">
          <w:rPr>
            <w:rStyle w:val="Hyperlink"/>
          </w:rPr>
          <w:t>30:50</w:t>
        </w:r>
      </w:hyperlink>
      <w:r w:rsidR="00AB477F">
        <w:tab/>
        <w:t xml:space="preserve">Damages — </w:t>
      </w:r>
      <w:r w:rsidR="00770AB7" w:rsidRPr="00AC646C">
        <w:t xml:space="preserve">Owner’s </w:t>
      </w:r>
      <w:r w:rsidR="00C70560">
        <w:t>for</w:t>
      </w:r>
      <w:r w:rsidR="00770AB7" w:rsidRPr="00AC646C">
        <w:t xml:space="preserve"> Delay </w:t>
      </w:r>
      <w:r w:rsidR="00770AB7">
        <w:t xml:space="preserve">in </w:t>
      </w:r>
      <w:r w:rsidR="00770AB7" w:rsidRPr="00AC646C">
        <w:t xml:space="preserve">Completion </w:t>
      </w:r>
      <w:r w:rsidR="00770AB7">
        <w:t xml:space="preserve">of </w:t>
      </w:r>
      <w:r w:rsidR="00770AB7" w:rsidRPr="00AC646C">
        <w:t>Construction Contract</w:t>
      </w:r>
    </w:p>
    <w:p w14:paraId="5288E98A" w14:textId="4F392167" w:rsidR="00AC646C" w:rsidRDefault="00000000" w:rsidP="00A73FC9">
      <w:pPr>
        <w:pStyle w:val="ToC"/>
      </w:pPr>
      <w:hyperlink w:anchor="a30_51" w:history="1">
        <w:r w:rsidR="00770AB7" w:rsidRPr="00AC646C">
          <w:rPr>
            <w:rStyle w:val="Hyperlink"/>
          </w:rPr>
          <w:t>30:51</w:t>
        </w:r>
      </w:hyperlink>
      <w:r w:rsidR="00AB477F">
        <w:tab/>
        <w:t xml:space="preserve">Damages — </w:t>
      </w:r>
      <w:r w:rsidR="00770AB7" w:rsidRPr="00AC646C">
        <w:t xml:space="preserve">Broker’s </w:t>
      </w:r>
      <w:r w:rsidR="00C70560">
        <w:t>for</w:t>
      </w:r>
      <w:r w:rsidR="00770AB7" w:rsidRPr="00AC646C">
        <w:t xml:space="preserve"> Breach </w:t>
      </w:r>
      <w:r w:rsidR="00770AB7">
        <w:t xml:space="preserve">of </w:t>
      </w:r>
      <w:r w:rsidR="00770AB7" w:rsidRPr="00AC646C">
        <w:t>Real Estate Commission Contract</w:t>
      </w:r>
    </w:p>
    <w:p w14:paraId="697432AA" w14:textId="2330F979" w:rsidR="00AC646C" w:rsidRDefault="00000000" w:rsidP="00A73FC9">
      <w:pPr>
        <w:pStyle w:val="ToC"/>
      </w:pPr>
      <w:hyperlink w:anchor="a30_52" w:history="1">
        <w:r w:rsidR="00770AB7" w:rsidRPr="00AC646C">
          <w:rPr>
            <w:rStyle w:val="Hyperlink"/>
          </w:rPr>
          <w:t>30:52</w:t>
        </w:r>
      </w:hyperlink>
      <w:r w:rsidR="00AB477F">
        <w:tab/>
        <w:t xml:space="preserve">Damages — </w:t>
      </w:r>
      <w:r w:rsidR="00770AB7" w:rsidRPr="00AC646C">
        <w:t xml:space="preserve">Owner’s </w:t>
      </w:r>
      <w:r w:rsidR="00C70560">
        <w:t>for</w:t>
      </w:r>
      <w:r w:rsidR="00770AB7" w:rsidRPr="00AC646C">
        <w:t xml:space="preserve"> Wrongful Deprivation </w:t>
      </w:r>
      <w:r w:rsidR="00770AB7">
        <w:t xml:space="preserve">of </w:t>
      </w:r>
      <w:r w:rsidR="00770AB7" w:rsidRPr="00AC646C">
        <w:t xml:space="preserve">Use </w:t>
      </w:r>
      <w:r w:rsidR="00770AB7">
        <w:t xml:space="preserve">of a </w:t>
      </w:r>
      <w:r w:rsidR="00770AB7" w:rsidRPr="00AC646C">
        <w:t>Chattel</w:t>
      </w:r>
    </w:p>
    <w:p w14:paraId="29C8944D" w14:textId="77777777" w:rsidR="00AC646C" w:rsidRDefault="00000000" w:rsidP="00A73FC9">
      <w:pPr>
        <w:pStyle w:val="ToC"/>
      </w:pPr>
      <w:hyperlink w:anchor="a30_53" w:history="1">
        <w:r w:rsidR="00770AB7" w:rsidRPr="00AC646C">
          <w:rPr>
            <w:rStyle w:val="Hyperlink"/>
          </w:rPr>
          <w:t>30:53</w:t>
        </w:r>
      </w:hyperlink>
      <w:r w:rsidR="00AB477F">
        <w:tab/>
        <w:t xml:space="preserve">Damages — </w:t>
      </w:r>
      <w:r w:rsidR="00770AB7" w:rsidRPr="00AC646C">
        <w:t xml:space="preserve">Owner’s </w:t>
      </w:r>
      <w:r w:rsidR="00C70560">
        <w:t>for</w:t>
      </w:r>
      <w:r w:rsidR="00770AB7" w:rsidRPr="00AC646C">
        <w:t xml:space="preserve"> Breach </w:t>
      </w:r>
      <w:r w:rsidR="00770AB7">
        <w:t xml:space="preserve">of a </w:t>
      </w:r>
      <w:r w:rsidR="00770AB7" w:rsidRPr="00AC646C">
        <w:t>Covenant Against Encumbrances</w:t>
      </w:r>
    </w:p>
    <w:p w14:paraId="5CBEA8BE" w14:textId="479181BA" w:rsidR="007A6434" w:rsidRDefault="00000000" w:rsidP="00A73FC9">
      <w:pPr>
        <w:pStyle w:val="ToC"/>
      </w:pPr>
      <w:hyperlink w:anchor="a30_54new" w:history="1">
        <w:r w:rsidR="007A6434" w:rsidRPr="00381B91">
          <w:rPr>
            <w:rStyle w:val="Hyperlink"/>
          </w:rPr>
          <w:t>30:54</w:t>
        </w:r>
      </w:hyperlink>
      <w:r w:rsidR="007A6434">
        <w:tab/>
        <w:t>Damages — Landlord for Tenant’s Breach of Commercial Lease</w:t>
      </w:r>
    </w:p>
    <w:p w14:paraId="0EEE2112" w14:textId="77777777" w:rsidR="002B5FCF" w:rsidRDefault="002B5FCF" w:rsidP="002B5FCF">
      <w:pPr>
        <w:pStyle w:val="ToC"/>
      </w:pPr>
    </w:p>
    <w:p w14:paraId="607773DF" w14:textId="77777777" w:rsidR="002B5FCF" w:rsidRPr="009B6746" w:rsidRDefault="00A73FC9" w:rsidP="002B5FCF">
      <w:pPr>
        <w:pStyle w:val="Heading1"/>
        <w:keepNext/>
        <w:jc w:val="left"/>
        <w:rPr>
          <w:b w:val="0"/>
        </w:rPr>
      </w:pPr>
      <w:r>
        <w:rPr>
          <w:b w:val="0"/>
        </w:rPr>
        <w:t>F</w:t>
      </w:r>
      <w:r w:rsidR="002B5FCF" w:rsidRPr="00973884">
        <w:rPr>
          <w:b w:val="0"/>
        </w:rPr>
        <w:t xml:space="preserve">. </w:t>
      </w:r>
      <w:r w:rsidRPr="00A73FC9">
        <w:rPr>
          <w:b w:val="0"/>
        </w:rPr>
        <w:t>PARTICULAR CONTRACTS</w:t>
      </w:r>
    </w:p>
    <w:p w14:paraId="61A52506" w14:textId="4CD528DB" w:rsidR="002B5FCF" w:rsidRDefault="00000000" w:rsidP="002B5FCF">
      <w:pPr>
        <w:pStyle w:val="ToC"/>
      </w:pPr>
      <w:hyperlink w:anchor="a30_54" w:history="1">
        <w:r w:rsidR="00770AB7" w:rsidRPr="00AC646C">
          <w:rPr>
            <w:rStyle w:val="Hyperlink"/>
          </w:rPr>
          <w:t>30:5</w:t>
        </w:r>
        <w:r w:rsidR="007A6434">
          <w:rPr>
            <w:rStyle w:val="Hyperlink"/>
          </w:rPr>
          <w:t>5</w:t>
        </w:r>
      </w:hyperlink>
      <w:r w:rsidR="00AB477F">
        <w:t xml:space="preserve"> </w:t>
      </w:r>
      <w:r w:rsidR="00AB477F">
        <w:tab/>
        <w:t xml:space="preserve">Claim — </w:t>
      </w:r>
      <w:r w:rsidR="00770AB7" w:rsidRPr="00AC646C">
        <w:t xml:space="preserve">Building Contractor’s Breach </w:t>
      </w:r>
      <w:r w:rsidR="00770AB7">
        <w:t xml:space="preserve">of </w:t>
      </w:r>
      <w:r w:rsidR="00AB477F">
        <w:t xml:space="preserve">Implied Warranty — </w:t>
      </w:r>
      <w:r w:rsidR="00770AB7" w:rsidRPr="00AC646C">
        <w:t xml:space="preserve">Elements </w:t>
      </w:r>
      <w:r w:rsidR="00770AB7">
        <w:t xml:space="preserve">of </w:t>
      </w:r>
      <w:r w:rsidR="00770AB7" w:rsidRPr="00AC646C">
        <w:t>Liability</w:t>
      </w:r>
    </w:p>
    <w:p w14:paraId="178A506B" w14:textId="71B3EA0C" w:rsidR="00AC646C" w:rsidRDefault="00000000" w:rsidP="002B5FCF">
      <w:pPr>
        <w:pStyle w:val="ToC"/>
      </w:pPr>
      <w:hyperlink w:anchor="a30_55" w:history="1">
        <w:r w:rsidR="00770AB7" w:rsidRPr="00AC646C">
          <w:rPr>
            <w:rStyle w:val="Hyperlink"/>
          </w:rPr>
          <w:t>30:5</w:t>
        </w:r>
        <w:r w:rsidR="007A6434">
          <w:rPr>
            <w:rStyle w:val="Hyperlink"/>
          </w:rPr>
          <w:t>6</w:t>
        </w:r>
      </w:hyperlink>
      <w:r w:rsidR="00AB477F">
        <w:tab/>
        <w:t xml:space="preserve">Definition — </w:t>
      </w:r>
      <w:r w:rsidR="00770AB7" w:rsidRPr="00AC646C">
        <w:t>Building Contractor’s Implied Warranties</w:t>
      </w:r>
    </w:p>
    <w:p w14:paraId="303BC84D" w14:textId="06BF92FE" w:rsidR="00AC646C" w:rsidRDefault="00000000" w:rsidP="002B5FCF">
      <w:pPr>
        <w:pStyle w:val="ToC"/>
      </w:pPr>
      <w:hyperlink w:anchor="a30_56" w:history="1">
        <w:r w:rsidR="00770AB7" w:rsidRPr="00AC646C">
          <w:rPr>
            <w:rStyle w:val="Hyperlink"/>
          </w:rPr>
          <w:t>30:5</w:t>
        </w:r>
        <w:r w:rsidR="007A6434">
          <w:rPr>
            <w:rStyle w:val="Hyperlink"/>
          </w:rPr>
          <w:t>7</w:t>
        </w:r>
      </w:hyperlink>
      <w:r w:rsidR="00AB477F">
        <w:tab/>
        <w:t xml:space="preserve">Claim — Real Estate Commission — </w:t>
      </w:r>
      <w:r w:rsidR="00770AB7" w:rsidRPr="00AC646C">
        <w:t xml:space="preserve">Elements </w:t>
      </w:r>
      <w:r w:rsidR="00770AB7">
        <w:t xml:space="preserve">of </w:t>
      </w:r>
      <w:r w:rsidR="00770AB7" w:rsidRPr="00AC646C">
        <w:t>Liability</w:t>
      </w:r>
    </w:p>
    <w:p w14:paraId="5FA9C6C3" w14:textId="77777777" w:rsidR="00F821F8" w:rsidRDefault="00F821F8" w:rsidP="002B5FCF">
      <w:pPr>
        <w:pStyle w:val="ToC"/>
      </w:pPr>
    </w:p>
    <w:p w14:paraId="2DC1A145" w14:textId="77777777" w:rsidR="00F821F8" w:rsidRPr="00F821F8" w:rsidRDefault="00F821F8" w:rsidP="00F821F8">
      <w:pPr>
        <w:spacing w:after="240"/>
        <w:rPr>
          <w:rFonts w:eastAsia="Times New Roman"/>
          <w:bCs/>
          <w:sz w:val="24"/>
          <w:szCs w:val="24"/>
        </w:rPr>
      </w:pPr>
      <w:r w:rsidRPr="00F821F8">
        <w:rPr>
          <w:rFonts w:eastAsia="Times New Roman"/>
          <w:bCs/>
          <w:sz w:val="24"/>
          <w:szCs w:val="24"/>
        </w:rPr>
        <w:t>G. CLAIMS BASED ON IMPLIED AGREEMENTS</w:t>
      </w:r>
    </w:p>
    <w:p w14:paraId="7FBE3A6A" w14:textId="5C128B3A" w:rsidR="00F821F8" w:rsidRPr="00F821F8" w:rsidRDefault="00000000" w:rsidP="00F821F8">
      <w:pPr>
        <w:pStyle w:val="ToC"/>
        <w:rPr>
          <w:bCs/>
        </w:rPr>
      </w:pPr>
      <w:hyperlink w:anchor="a30_58" w:history="1">
        <w:r w:rsidR="00F821F8" w:rsidRPr="00381B91">
          <w:rPr>
            <w:rStyle w:val="Hyperlink"/>
            <w:bCs/>
            <w:szCs w:val="24"/>
          </w:rPr>
          <w:t>30:58</w:t>
        </w:r>
      </w:hyperlink>
      <w:r w:rsidR="00F821F8" w:rsidRPr="00F821F8">
        <w:rPr>
          <w:bCs/>
          <w:szCs w:val="24"/>
        </w:rPr>
        <w:tab/>
      </w:r>
      <w:r w:rsidR="00F821F8">
        <w:rPr>
          <w:bCs/>
          <w:szCs w:val="24"/>
        </w:rPr>
        <w:t>Goods and Services Rendered (Quantum Meruit/Quantum Valebat)</w:t>
      </w:r>
    </w:p>
    <w:p w14:paraId="00800AFE" w14:textId="77777777" w:rsidR="00352111" w:rsidRPr="00352111" w:rsidRDefault="00352111">
      <w:pPr>
        <w:rPr>
          <w:rFonts w:eastAsia="Times New Roman"/>
          <w:sz w:val="24"/>
          <w:szCs w:val="24"/>
        </w:rPr>
      </w:pPr>
      <w:r w:rsidRPr="00352111">
        <w:rPr>
          <w:rFonts w:eastAsia="Times New Roman"/>
          <w:sz w:val="24"/>
          <w:szCs w:val="24"/>
        </w:rPr>
        <w:br w:type="page"/>
      </w:r>
    </w:p>
    <w:p w14:paraId="4B325DA8" w14:textId="77777777" w:rsidR="00A73FC9" w:rsidRPr="0054263B" w:rsidRDefault="00A73FC9" w:rsidP="00A73FC9">
      <w:pPr>
        <w:keepNext/>
        <w:spacing w:after="240"/>
        <w:jc w:val="center"/>
        <w:rPr>
          <w:rFonts w:eastAsia="Times New Roman"/>
          <w:b/>
          <w:sz w:val="24"/>
          <w:szCs w:val="24"/>
        </w:rPr>
      </w:pPr>
      <w:bookmarkStart w:id="0" w:name="IntroNote"/>
      <w:bookmarkEnd w:id="0"/>
      <w:r w:rsidRPr="00A73FC9">
        <w:rPr>
          <w:rFonts w:eastAsia="Times New Roman"/>
          <w:b/>
          <w:sz w:val="24"/>
          <w:szCs w:val="24"/>
        </w:rPr>
        <w:lastRenderedPageBreak/>
        <w:t>Introductory Note</w:t>
      </w:r>
    </w:p>
    <w:p w14:paraId="663FD663" w14:textId="77777777" w:rsidR="00A73FC9" w:rsidRPr="00A73FC9" w:rsidRDefault="00A73FC9" w:rsidP="00A73FC9">
      <w:pPr>
        <w:spacing w:after="240"/>
        <w:ind w:firstLine="720"/>
        <w:rPr>
          <w:rFonts w:eastAsia="Times New Roman"/>
          <w:sz w:val="24"/>
          <w:szCs w:val="24"/>
        </w:rPr>
      </w:pPr>
      <w:r w:rsidRPr="00A73FC9">
        <w:rPr>
          <w:rFonts w:eastAsia="Times New Roman"/>
          <w:sz w:val="24"/>
          <w:szCs w:val="24"/>
        </w:rPr>
        <w:t>1. The instructions in this chapter have been drafted for use in contract cases generally. They have not been drafted to incorporate provisions of the Uniform Commercial Code, C.R.S., title 4, such as cases in which the plaintiff is seeking contract-like damages (as opposed to tort-like damages) for injuries or damage to persons or property allegedly caused by a breach of warranty.</w:t>
      </w:r>
    </w:p>
    <w:p w14:paraId="3A108FE6" w14:textId="77777777" w:rsidR="00A73FC9" w:rsidRPr="00A73FC9" w:rsidRDefault="00A73FC9" w:rsidP="00A73FC9">
      <w:pPr>
        <w:spacing w:after="240"/>
        <w:ind w:firstLine="720"/>
        <w:rPr>
          <w:rFonts w:eastAsia="Times New Roman"/>
          <w:sz w:val="24"/>
          <w:szCs w:val="24"/>
        </w:rPr>
      </w:pPr>
      <w:r w:rsidRPr="00A73FC9">
        <w:rPr>
          <w:rFonts w:eastAsia="Times New Roman"/>
          <w:sz w:val="24"/>
          <w:szCs w:val="24"/>
        </w:rPr>
        <w:t xml:space="preserve">2. In cases involving contracts for the sale of goods, however, several instructions in this chapter may be applicable, subject to their being appropriately modified to conform with the U.C.C. </w:t>
      </w:r>
      <w:r w:rsidRPr="00A73FC9">
        <w:rPr>
          <w:rFonts w:eastAsia="Times New Roman"/>
          <w:i/>
          <w:sz w:val="24"/>
          <w:szCs w:val="24"/>
        </w:rPr>
        <w:t>See</w:t>
      </w:r>
      <w:r w:rsidRPr="00A73FC9">
        <w:rPr>
          <w:rFonts w:eastAsia="Times New Roman"/>
          <w:sz w:val="24"/>
          <w:szCs w:val="24"/>
        </w:rPr>
        <w:t xml:space="preserve"> § 4-1-103, C.R.S. See also instructions in Part B of Chapter 14 which may be adapted for use in cases involving claims for contract damages (as opposed to tort damages) for breach of warranty of a contract for sale of goods.</w:t>
      </w:r>
    </w:p>
    <w:p w14:paraId="286D2EAB" w14:textId="77777777" w:rsidR="00A73FC9" w:rsidRDefault="00A73FC9">
      <w:pPr>
        <w:rPr>
          <w:rFonts w:eastAsia="Times New Roman"/>
          <w:sz w:val="24"/>
          <w:szCs w:val="24"/>
        </w:rPr>
      </w:pPr>
      <w:r>
        <w:rPr>
          <w:rFonts w:eastAsia="Times New Roman"/>
          <w:sz w:val="24"/>
          <w:szCs w:val="24"/>
        </w:rPr>
        <w:br w:type="page"/>
      </w:r>
    </w:p>
    <w:p w14:paraId="7FA40DDD" w14:textId="77777777" w:rsidR="009E3DA4" w:rsidRDefault="008F3AE7" w:rsidP="009E3DA4">
      <w:pPr>
        <w:spacing w:after="240"/>
        <w:jc w:val="center"/>
        <w:rPr>
          <w:rFonts w:eastAsia="Times New Roman"/>
          <w:b/>
          <w:sz w:val="24"/>
          <w:szCs w:val="24"/>
        </w:rPr>
      </w:pPr>
      <w:r w:rsidRPr="008F3AE7">
        <w:rPr>
          <w:rFonts w:eastAsia="Times New Roman"/>
          <w:b/>
          <w:sz w:val="24"/>
          <w:szCs w:val="24"/>
        </w:rPr>
        <w:lastRenderedPageBreak/>
        <w:t>A. CONTRACT FORMATION</w:t>
      </w:r>
    </w:p>
    <w:p w14:paraId="53B4DCE2" w14:textId="77777777" w:rsidR="009E3DA4" w:rsidRPr="009E3DA4" w:rsidRDefault="008F3AE7" w:rsidP="00CC0502">
      <w:pPr>
        <w:spacing w:after="240"/>
        <w:ind w:left="720" w:hanging="720"/>
        <w:rPr>
          <w:rFonts w:eastAsia="Times New Roman"/>
          <w:b/>
          <w:sz w:val="24"/>
          <w:szCs w:val="24"/>
        </w:rPr>
      </w:pPr>
      <w:bookmarkStart w:id="1" w:name="a30_01"/>
      <w:bookmarkEnd w:id="1"/>
      <w:r w:rsidRPr="008F3AE7">
        <w:rPr>
          <w:rFonts w:eastAsia="Times New Roman"/>
          <w:b/>
          <w:sz w:val="24"/>
          <w:szCs w:val="24"/>
        </w:rPr>
        <w:t xml:space="preserve">30:1 </w:t>
      </w:r>
      <w:r w:rsidRPr="008F3AE7">
        <w:rPr>
          <w:rFonts w:eastAsia="Times New Roman"/>
          <w:b/>
          <w:sz w:val="24"/>
          <w:szCs w:val="24"/>
        </w:rPr>
        <w:tab/>
        <w:t>CONTRACT FORMATION ― IN DISPUTE</w:t>
      </w:r>
    </w:p>
    <w:p w14:paraId="5C8A9ED8" w14:textId="77777777" w:rsidR="008F3AE7" w:rsidRPr="008F3AE7" w:rsidRDefault="008F3AE7" w:rsidP="008F3AE7">
      <w:pPr>
        <w:spacing w:after="240"/>
        <w:ind w:firstLine="720"/>
        <w:rPr>
          <w:rFonts w:eastAsia="Times New Roman"/>
          <w:b/>
          <w:sz w:val="24"/>
          <w:szCs w:val="24"/>
        </w:rPr>
      </w:pPr>
      <w:r w:rsidRPr="008F3AE7">
        <w:rPr>
          <w:rFonts w:eastAsia="Times New Roman"/>
          <w:b/>
          <w:sz w:val="24"/>
          <w:szCs w:val="24"/>
        </w:rPr>
        <w:t>A contract is an agreement between two or more persons or entities. A contract consists of an offer and an acceptance of that offer, and must be supported by consideration. If any one of these three elements is missing, there is no contract.</w:t>
      </w:r>
    </w:p>
    <w:p w14:paraId="4CFCAF04" w14:textId="72F02B95" w:rsidR="00832DB4" w:rsidRDefault="00832DB4" w:rsidP="0054263B">
      <w:pPr>
        <w:jc w:val="center"/>
        <w:rPr>
          <w:rFonts w:eastAsia="Times New Roman"/>
          <w:sz w:val="24"/>
          <w:szCs w:val="24"/>
        </w:rPr>
      </w:pPr>
    </w:p>
    <w:p w14:paraId="14D31189"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0546986"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1. See Notes on Use to Instruction 30:10.</w:t>
      </w:r>
    </w:p>
    <w:p w14:paraId="4160E85C"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 xml:space="preserve">2. The question of whether or not an alleged contract is sufficiently definite in its terms to be judicially enforceable is normally a question to be determined by the court. </w:t>
      </w:r>
      <w:r w:rsidRPr="008F3AE7">
        <w:rPr>
          <w:rFonts w:eastAsia="Times New Roman"/>
          <w:i/>
          <w:sz w:val="24"/>
          <w:szCs w:val="24"/>
        </w:rPr>
        <w:t>See</w:t>
      </w:r>
      <w:r w:rsidRPr="008F3AE7">
        <w:rPr>
          <w:rFonts w:eastAsia="Times New Roman"/>
          <w:sz w:val="24"/>
          <w:szCs w:val="24"/>
        </w:rPr>
        <w:t xml:space="preserve"> </w:t>
      </w:r>
      <w:r w:rsidRPr="008F3AE7">
        <w:rPr>
          <w:rFonts w:eastAsia="Times New Roman"/>
          <w:b/>
          <w:sz w:val="24"/>
          <w:szCs w:val="24"/>
        </w:rPr>
        <w:t>Stice v. Peterson</w:t>
      </w:r>
      <w:r w:rsidRPr="008F3AE7">
        <w:rPr>
          <w:rFonts w:eastAsia="Times New Roman"/>
          <w:sz w:val="24"/>
          <w:szCs w:val="24"/>
        </w:rPr>
        <w:t>, 144 Colo. 219, 355 P.2d 948 (1960). For the test to be applied in cases involving contracts for the sale of goods, see section 4-2-204(3), C.R.S.</w:t>
      </w:r>
    </w:p>
    <w:p w14:paraId="3DBEF17B"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3. For the requisite manifestation of assent in contracts for the sale of goods, see section 4-1-201(3), C.R.S.</w:t>
      </w:r>
    </w:p>
    <w:p w14:paraId="6142DEAA"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4. For the requirement of consideration, see Source and Authority to Instruction 30:7.</w:t>
      </w:r>
    </w:p>
    <w:p w14:paraId="5D64F793"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57A97C0"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 xml:space="preserve">1. This instruction is supported by </w:t>
      </w:r>
      <w:r w:rsidRPr="008F3AE7">
        <w:rPr>
          <w:rFonts w:eastAsia="Times New Roman"/>
          <w:b/>
          <w:sz w:val="24"/>
          <w:szCs w:val="24"/>
        </w:rPr>
        <w:t>Denver Truck Exchange v. Perryman</w:t>
      </w:r>
      <w:r w:rsidRPr="008F3AE7">
        <w:rPr>
          <w:rFonts w:eastAsia="Times New Roman"/>
          <w:sz w:val="24"/>
          <w:szCs w:val="24"/>
        </w:rPr>
        <w:t xml:space="preserve">, 134 Colo. 586, 307 P.2d 805 (1957) (For an enforceable contract to exist there must be mutual assent to an exchange between competent parties, legal consideration, and sufficient certainty with respect to the subject matter and essential terms of the agreement.). </w:t>
      </w:r>
      <w:r w:rsidRPr="008F3AE7">
        <w:rPr>
          <w:rFonts w:eastAsia="Times New Roman"/>
          <w:i/>
          <w:sz w:val="24"/>
          <w:szCs w:val="24"/>
        </w:rPr>
        <w:t>See also</w:t>
      </w:r>
      <w:r w:rsidRPr="008F3AE7">
        <w:rPr>
          <w:rFonts w:eastAsia="Times New Roman"/>
          <w:sz w:val="24"/>
          <w:szCs w:val="24"/>
        </w:rPr>
        <w:t xml:space="preserve"> </w:t>
      </w:r>
      <w:r w:rsidRPr="008F3AE7">
        <w:rPr>
          <w:rFonts w:eastAsia="Times New Roman"/>
          <w:b/>
          <w:sz w:val="24"/>
          <w:szCs w:val="24"/>
        </w:rPr>
        <w:t>Indus. Prods. Int’l, Inc. v. Emo Trans, Inc.</w:t>
      </w:r>
      <w:r w:rsidRPr="008F3AE7">
        <w:rPr>
          <w:rFonts w:eastAsia="Times New Roman"/>
          <w:sz w:val="24"/>
          <w:szCs w:val="24"/>
        </w:rPr>
        <w:t xml:space="preserve">, 962 P.2d 983 (Colo. App. 1997). </w:t>
      </w:r>
    </w:p>
    <w:p w14:paraId="79AC0EBB" w14:textId="24C58018" w:rsidR="004B3F74" w:rsidRDefault="008F3AE7" w:rsidP="008F3AE7">
      <w:pPr>
        <w:spacing w:after="240"/>
        <w:ind w:firstLine="720"/>
        <w:rPr>
          <w:rFonts w:eastAsia="Times New Roman"/>
          <w:sz w:val="24"/>
          <w:szCs w:val="24"/>
        </w:rPr>
      </w:pPr>
      <w:r w:rsidRPr="008F3AE7">
        <w:rPr>
          <w:rFonts w:eastAsia="Times New Roman"/>
          <w:sz w:val="24"/>
          <w:szCs w:val="24"/>
        </w:rPr>
        <w:t xml:space="preserve">2. </w:t>
      </w:r>
      <w:r w:rsidR="004B3F74">
        <w:rPr>
          <w:rFonts w:eastAsia="Times New Roman"/>
          <w:sz w:val="24"/>
          <w:szCs w:val="24"/>
        </w:rPr>
        <w:t xml:space="preserve">A party seeking to enforce a contract generally must show that the parties agreed to definite material terms. </w:t>
      </w:r>
      <w:r w:rsidR="003E47F0" w:rsidRPr="00E075AD">
        <w:rPr>
          <w:rFonts w:eastAsia="Times New Roman"/>
          <w:b/>
          <w:bCs/>
          <w:sz w:val="24"/>
          <w:szCs w:val="24"/>
        </w:rPr>
        <w:t>Doe v. Univ</w:t>
      </w:r>
      <w:r w:rsidR="003E47F0">
        <w:rPr>
          <w:rFonts w:eastAsia="Times New Roman"/>
          <w:b/>
          <w:bCs/>
          <w:sz w:val="24"/>
          <w:szCs w:val="24"/>
        </w:rPr>
        <w:t>.</w:t>
      </w:r>
      <w:r w:rsidR="003E47F0" w:rsidRPr="00E075AD">
        <w:rPr>
          <w:rFonts w:eastAsia="Times New Roman"/>
          <w:b/>
          <w:bCs/>
          <w:sz w:val="24"/>
          <w:szCs w:val="24"/>
        </w:rPr>
        <w:t xml:space="preserve"> of Denver</w:t>
      </w:r>
      <w:r w:rsidR="003E47F0">
        <w:rPr>
          <w:rFonts w:eastAsia="Times New Roman"/>
          <w:sz w:val="24"/>
          <w:szCs w:val="24"/>
        </w:rPr>
        <w:t>, 2022 COA 57, ¶ 45</w:t>
      </w:r>
      <w:r w:rsidR="00275682">
        <w:rPr>
          <w:rFonts w:eastAsia="Times New Roman"/>
          <w:sz w:val="24"/>
          <w:szCs w:val="24"/>
        </w:rPr>
        <w:t>, 516 P.3d 946, 955</w:t>
      </w:r>
      <w:r w:rsidR="003E47F0">
        <w:rPr>
          <w:rFonts w:eastAsia="Times New Roman"/>
          <w:sz w:val="24"/>
          <w:szCs w:val="24"/>
        </w:rPr>
        <w:t xml:space="preserve"> (“[T]he contractual term providing for a ‘thorough, impartial and fair’ investigation . . . is sufficiently definite and certain to be enforced under Colorado contract law.”); </w:t>
      </w:r>
      <w:r w:rsidR="004B3F74" w:rsidRPr="009D7322">
        <w:rPr>
          <w:rFonts w:eastAsia="Times New Roman"/>
          <w:b/>
          <w:bCs/>
          <w:sz w:val="24"/>
          <w:szCs w:val="24"/>
        </w:rPr>
        <w:t>Tuscany Custom Homes, LLC v. Westover</w:t>
      </w:r>
      <w:r w:rsidR="004B3F74">
        <w:rPr>
          <w:rFonts w:eastAsia="Times New Roman"/>
          <w:sz w:val="24"/>
          <w:szCs w:val="24"/>
        </w:rPr>
        <w:t>, 2020 COA 178, ¶ 56, 490 P.3d 1039, 1049 (</w:t>
      </w:r>
      <w:r w:rsidR="00011100">
        <w:rPr>
          <w:rFonts w:eastAsia="Times New Roman"/>
          <w:sz w:val="24"/>
          <w:szCs w:val="24"/>
        </w:rPr>
        <w:t>plaintiffs</w:t>
      </w:r>
      <w:r w:rsidR="004B3F74">
        <w:rPr>
          <w:rFonts w:eastAsia="Times New Roman"/>
          <w:sz w:val="24"/>
          <w:szCs w:val="24"/>
        </w:rPr>
        <w:t xml:space="preserve"> did not </w:t>
      </w:r>
      <w:r w:rsidR="00011100">
        <w:rPr>
          <w:rFonts w:eastAsia="Times New Roman"/>
          <w:sz w:val="24"/>
          <w:szCs w:val="24"/>
        </w:rPr>
        <w:t>“</w:t>
      </w:r>
      <w:r w:rsidR="004B3F74">
        <w:rPr>
          <w:rFonts w:eastAsia="Times New Roman"/>
          <w:sz w:val="24"/>
          <w:szCs w:val="24"/>
        </w:rPr>
        <w:t>carry their burden to present sufficient admissible evidence of an enforceable settlement agreement”).</w:t>
      </w:r>
      <w:r w:rsidR="004B3F74" w:rsidRPr="008F3AE7">
        <w:rPr>
          <w:rFonts w:eastAsia="Times New Roman"/>
          <w:sz w:val="24"/>
          <w:szCs w:val="24"/>
        </w:rPr>
        <w:t xml:space="preserve"> </w:t>
      </w:r>
    </w:p>
    <w:p w14:paraId="4B1C4FF4" w14:textId="5C6B503E" w:rsidR="008F3AE7" w:rsidRPr="008F3AE7" w:rsidRDefault="004B3F74" w:rsidP="008F3AE7">
      <w:pPr>
        <w:spacing w:after="240"/>
        <w:ind w:firstLine="720"/>
        <w:rPr>
          <w:rFonts w:eastAsia="Times New Roman"/>
          <w:sz w:val="24"/>
          <w:szCs w:val="24"/>
        </w:rPr>
      </w:pPr>
      <w:r>
        <w:rPr>
          <w:rFonts w:eastAsia="Times New Roman"/>
          <w:sz w:val="24"/>
          <w:szCs w:val="24"/>
        </w:rPr>
        <w:t xml:space="preserve">3. </w:t>
      </w:r>
      <w:r w:rsidR="008F3AE7" w:rsidRPr="008F3AE7">
        <w:rPr>
          <w:rFonts w:eastAsia="Times New Roman"/>
          <w:sz w:val="24"/>
          <w:szCs w:val="24"/>
        </w:rPr>
        <w:t xml:space="preserve">“The general rule is that when parties to a contract ascribe different meanings to a material term of a contract, the parties have not manifested mutual assent, no meeting of the minds has occurred, and there is no valid contract. However, an exception to the general rule is observed when the meaning that either party gives to the document’s language was the only reasonable meaning under the circumstances. In such cases, both parties are bound to the reasonable meaning of the contract’s terms.” </w:t>
      </w:r>
      <w:r w:rsidR="008F3AE7" w:rsidRPr="008F3AE7">
        <w:rPr>
          <w:rFonts w:eastAsia="Times New Roman"/>
          <w:b/>
          <w:sz w:val="24"/>
          <w:szCs w:val="24"/>
        </w:rPr>
        <w:t>Sunshine v. M. R. Mansfield Realty, Inc.</w:t>
      </w:r>
      <w:r w:rsidR="008F3AE7" w:rsidRPr="008F3AE7">
        <w:rPr>
          <w:rFonts w:eastAsia="Times New Roman"/>
          <w:sz w:val="24"/>
          <w:szCs w:val="24"/>
        </w:rPr>
        <w:t xml:space="preserve">, 195 Colo. 95, 98, 575 P.2d 847, 849 (1978) (citation omitted). Moreover, when the parties to a bargain, sufficiently defined to be a contract, have not agreed to an essential term, the court may supply a term that is reasonable under the circumstances. </w:t>
      </w:r>
      <w:r w:rsidR="008F3AE7" w:rsidRPr="008F3AE7">
        <w:rPr>
          <w:rFonts w:eastAsia="Times New Roman"/>
          <w:b/>
          <w:sz w:val="24"/>
          <w:szCs w:val="24"/>
        </w:rPr>
        <w:t>Costello v. Cook</w:t>
      </w:r>
      <w:r w:rsidR="008F3AE7" w:rsidRPr="008F3AE7">
        <w:rPr>
          <w:rFonts w:eastAsia="Times New Roman"/>
          <w:sz w:val="24"/>
          <w:szCs w:val="24"/>
        </w:rPr>
        <w:t>,</w:t>
      </w:r>
      <w:r w:rsidR="008F3AE7" w:rsidRPr="008F3AE7">
        <w:rPr>
          <w:rFonts w:eastAsia="Times New Roman"/>
          <w:b/>
          <w:sz w:val="24"/>
          <w:szCs w:val="24"/>
        </w:rPr>
        <w:t xml:space="preserve"> </w:t>
      </w:r>
      <w:r w:rsidR="008F3AE7" w:rsidRPr="008F3AE7">
        <w:rPr>
          <w:rFonts w:eastAsia="Times New Roman"/>
          <w:sz w:val="24"/>
          <w:szCs w:val="24"/>
        </w:rPr>
        <w:t xml:space="preserve">852 P.2d 1330 (Colo. App. 1993). Also, a contract will not fail for indefiniteness if missing terms can be </w:t>
      </w:r>
      <w:r w:rsidR="008F3AE7" w:rsidRPr="008F3AE7">
        <w:rPr>
          <w:rFonts w:eastAsia="Times New Roman"/>
          <w:sz w:val="24"/>
          <w:szCs w:val="24"/>
        </w:rPr>
        <w:lastRenderedPageBreak/>
        <w:t xml:space="preserve">supplied by law, presumption, or custom. </w:t>
      </w:r>
      <w:r w:rsidR="008F3AE7" w:rsidRPr="008F3AE7">
        <w:rPr>
          <w:rFonts w:eastAsia="Times New Roman"/>
          <w:b/>
          <w:sz w:val="24"/>
          <w:szCs w:val="24"/>
        </w:rPr>
        <w:t>Winston Fin. Group, Inc. v. Fults Mgmt. Inc.</w:t>
      </w:r>
      <w:r w:rsidR="008F3AE7" w:rsidRPr="008F3AE7">
        <w:rPr>
          <w:rFonts w:eastAsia="Times New Roman"/>
          <w:sz w:val="24"/>
          <w:szCs w:val="24"/>
        </w:rPr>
        <w:t>, 872 P.2d 1356 (Colo. App. 1994). And, a contract is not fatally vague or indefinite simply because the parties disagree</w:t>
      </w:r>
      <w:r w:rsidR="00275682" w:rsidRPr="008F3AE7">
        <w:rPr>
          <w:rFonts w:eastAsia="Times New Roman"/>
          <w:sz w:val="24"/>
          <w:szCs w:val="24"/>
        </w:rPr>
        <w:t xml:space="preserve"> </w:t>
      </w:r>
      <w:r w:rsidR="008F3AE7" w:rsidRPr="008F3AE7">
        <w:rPr>
          <w:rFonts w:eastAsia="Times New Roman"/>
          <w:sz w:val="24"/>
          <w:szCs w:val="24"/>
        </w:rPr>
        <w:t xml:space="preserve">as to its meaning. </w:t>
      </w:r>
      <w:r w:rsidR="008F3AE7" w:rsidRPr="008F3AE7">
        <w:rPr>
          <w:rFonts w:eastAsia="Times New Roman"/>
          <w:b/>
          <w:sz w:val="24"/>
          <w:szCs w:val="24"/>
        </w:rPr>
        <w:t>Hauser v. Rose Health Care Sys.</w:t>
      </w:r>
      <w:r w:rsidR="008F3AE7" w:rsidRPr="008F3AE7">
        <w:rPr>
          <w:rFonts w:eastAsia="Times New Roman"/>
          <w:sz w:val="24"/>
          <w:szCs w:val="24"/>
        </w:rPr>
        <w:t xml:space="preserve">, 857 P.2d 524 (Colo. App. 1993); </w:t>
      </w:r>
      <w:r w:rsidR="008F3AE7" w:rsidRPr="008F3AE7">
        <w:rPr>
          <w:rFonts w:eastAsia="Times New Roman"/>
          <w:i/>
          <w:sz w:val="24"/>
          <w:szCs w:val="24"/>
        </w:rPr>
        <w:t>see</w:t>
      </w:r>
      <w:r w:rsidR="008F3AE7" w:rsidRPr="008F3AE7">
        <w:rPr>
          <w:rFonts w:eastAsia="Times New Roman"/>
          <w:sz w:val="24"/>
          <w:szCs w:val="24"/>
        </w:rPr>
        <w:t xml:space="preserve"> </w:t>
      </w:r>
      <w:r w:rsidR="008F3AE7" w:rsidRPr="008F3AE7">
        <w:rPr>
          <w:rFonts w:eastAsia="Times New Roman"/>
          <w:b/>
          <w:sz w:val="24"/>
          <w:szCs w:val="24"/>
        </w:rPr>
        <w:t>In re May</w:t>
      </w:r>
      <w:r w:rsidR="008F3AE7" w:rsidRPr="008F3AE7">
        <w:rPr>
          <w:rFonts w:eastAsia="Times New Roman"/>
          <w:sz w:val="24"/>
          <w:szCs w:val="24"/>
        </w:rPr>
        <w:t>, 756 P.2d 362, 369 (Colo. 1988) (“The fact that the parties have different opinions about the interpretation of the contract does not of itself create an ambiguity.”)</w:t>
      </w:r>
      <w:r w:rsidR="00FA664D">
        <w:rPr>
          <w:rFonts w:eastAsia="Times New Roman"/>
          <w:sz w:val="24"/>
          <w:szCs w:val="24"/>
        </w:rPr>
        <w:t xml:space="preserve">; </w:t>
      </w:r>
      <w:r w:rsidR="00FA664D" w:rsidRPr="00703911">
        <w:rPr>
          <w:rFonts w:eastAsia="Times New Roman"/>
          <w:b/>
          <w:bCs/>
          <w:sz w:val="24"/>
          <w:szCs w:val="24"/>
        </w:rPr>
        <w:t>802 E</w:t>
      </w:r>
      <w:r w:rsidR="00390234">
        <w:rPr>
          <w:rFonts w:eastAsia="Times New Roman"/>
          <w:b/>
          <w:bCs/>
          <w:sz w:val="24"/>
          <w:szCs w:val="24"/>
        </w:rPr>
        <w:t>.</w:t>
      </w:r>
      <w:r w:rsidR="00FA664D" w:rsidRPr="00703911">
        <w:rPr>
          <w:rFonts w:eastAsia="Times New Roman"/>
          <w:b/>
          <w:bCs/>
          <w:sz w:val="24"/>
          <w:szCs w:val="24"/>
        </w:rPr>
        <w:t xml:space="preserve"> Cooper, LLC v. Z-GKids, LLC</w:t>
      </w:r>
      <w:r w:rsidR="00FA664D" w:rsidRPr="00086139">
        <w:rPr>
          <w:rFonts w:eastAsia="Times New Roman"/>
          <w:sz w:val="24"/>
          <w:szCs w:val="24"/>
        </w:rPr>
        <w:t>, 2023 COA</w:t>
      </w:r>
      <w:r w:rsidR="00FA664D">
        <w:rPr>
          <w:rFonts w:eastAsia="Times New Roman"/>
          <w:sz w:val="24"/>
          <w:szCs w:val="24"/>
        </w:rPr>
        <w:t xml:space="preserve"> 48</w:t>
      </w:r>
      <w:r w:rsidR="00703911">
        <w:rPr>
          <w:rFonts w:eastAsia="Times New Roman"/>
          <w:sz w:val="24"/>
          <w:szCs w:val="24"/>
        </w:rPr>
        <w:t>,</w:t>
      </w:r>
      <w:r w:rsidR="00FA664D">
        <w:rPr>
          <w:rFonts w:eastAsia="Times New Roman"/>
          <w:sz w:val="24"/>
          <w:szCs w:val="24"/>
        </w:rPr>
        <w:t xml:space="preserve"> ¶</w:t>
      </w:r>
      <w:r w:rsidR="00703911">
        <w:rPr>
          <w:rFonts w:eastAsia="Times New Roman"/>
          <w:sz w:val="24"/>
          <w:szCs w:val="24"/>
        </w:rPr>
        <w:t xml:space="preserve"> </w:t>
      </w:r>
      <w:r w:rsidR="00FA664D">
        <w:rPr>
          <w:rFonts w:eastAsia="Times New Roman"/>
          <w:sz w:val="24"/>
          <w:szCs w:val="24"/>
        </w:rPr>
        <w:t>2</w:t>
      </w:r>
      <w:r w:rsidR="00703911">
        <w:rPr>
          <w:rFonts w:eastAsia="Times New Roman"/>
          <w:sz w:val="24"/>
          <w:szCs w:val="24"/>
        </w:rPr>
        <w:t xml:space="preserve">3 </w:t>
      </w:r>
      <w:r w:rsidR="00FA664D">
        <w:rPr>
          <w:rFonts w:eastAsia="Times New Roman"/>
          <w:sz w:val="24"/>
          <w:szCs w:val="24"/>
        </w:rPr>
        <w:t>(“Disagreement between the parties regarding the interpretation of the document does not itself create an ambiguity in the document</w:t>
      </w:r>
      <w:r w:rsidR="00703911">
        <w:rPr>
          <w:rFonts w:eastAsia="Times New Roman"/>
          <w:sz w:val="24"/>
          <w:szCs w:val="24"/>
        </w:rPr>
        <w:t>.</w:t>
      </w:r>
      <w:r w:rsidR="00FA664D">
        <w:rPr>
          <w:rFonts w:eastAsia="Times New Roman"/>
          <w:sz w:val="24"/>
          <w:szCs w:val="24"/>
        </w:rPr>
        <w:t>”)</w:t>
      </w:r>
      <w:r w:rsidR="008F3AE7" w:rsidRPr="008F3AE7">
        <w:rPr>
          <w:rFonts w:eastAsia="Times New Roman"/>
          <w:sz w:val="24"/>
          <w:szCs w:val="24"/>
        </w:rPr>
        <w:t xml:space="preserve">. However, where a mistake is made by one party on the basic nature of a material contract provision, a resulting unconscionable contract may be avoided. </w:t>
      </w:r>
      <w:r w:rsidR="008F3AE7" w:rsidRPr="008F3AE7">
        <w:rPr>
          <w:rFonts w:eastAsia="Times New Roman"/>
          <w:b/>
          <w:sz w:val="24"/>
          <w:szCs w:val="24"/>
        </w:rPr>
        <w:t>Sumerel v. Goodyear Tire &amp; Rubber Co.</w:t>
      </w:r>
      <w:r w:rsidR="008F3AE7" w:rsidRPr="008F3AE7">
        <w:rPr>
          <w:rFonts w:eastAsia="Times New Roman"/>
          <w:sz w:val="24"/>
          <w:szCs w:val="24"/>
        </w:rPr>
        <w:t xml:space="preserve">, 232 P.3d 128 (Colo. App. 2009) (where one party knew arithmetical calculation of damages was erroneous, risk of mistake did not rest with other party, and the agreement made based on that calculation was unconscionable, agreement was unenforceable (citing </w:t>
      </w:r>
      <w:r w:rsidR="008F3AE7" w:rsidRPr="008F3AE7">
        <w:rPr>
          <w:rFonts w:eastAsia="Times New Roman"/>
          <w:smallCaps/>
          <w:sz w:val="24"/>
          <w:szCs w:val="24"/>
        </w:rPr>
        <w:t>Restatement (Second) of Contracts</w:t>
      </w:r>
      <w:r w:rsidR="008F3AE7" w:rsidRPr="008F3AE7">
        <w:rPr>
          <w:rFonts w:eastAsia="Times New Roman"/>
          <w:sz w:val="24"/>
          <w:szCs w:val="24"/>
        </w:rPr>
        <w:t xml:space="preserve"> §§ 153-54 (1981)).</w:t>
      </w:r>
    </w:p>
    <w:p w14:paraId="18342E1E" w14:textId="723476D1" w:rsidR="008F3AE7" w:rsidRPr="008F3AE7" w:rsidRDefault="004B3F74" w:rsidP="008F3AE7">
      <w:pPr>
        <w:spacing w:after="240"/>
        <w:ind w:firstLine="720"/>
        <w:rPr>
          <w:rFonts w:eastAsia="Times New Roman"/>
          <w:b/>
          <w:sz w:val="24"/>
          <w:szCs w:val="24"/>
        </w:rPr>
      </w:pPr>
      <w:r>
        <w:rPr>
          <w:rFonts w:eastAsia="Times New Roman"/>
          <w:sz w:val="24"/>
          <w:szCs w:val="24"/>
        </w:rPr>
        <w:t>4</w:t>
      </w:r>
      <w:r w:rsidR="008F3AE7" w:rsidRPr="008F3AE7">
        <w:rPr>
          <w:rFonts w:eastAsia="Times New Roman"/>
          <w:sz w:val="24"/>
          <w:szCs w:val="24"/>
        </w:rPr>
        <w:t xml:space="preserve">. Generally, there can be no binding contract if further negotiations are required to come to an agreement as to important and essential terms of the contract. </w:t>
      </w:r>
      <w:r w:rsidR="008F3AE7" w:rsidRPr="008F3AE7">
        <w:rPr>
          <w:rFonts w:eastAsia="Times New Roman"/>
          <w:b/>
          <w:sz w:val="24"/>
          <w:szCs w:val="24"/>
        </w:rPr>
        <w:t>Sumerel</w:t>
      </w:r>
      <w:r w:rsidR="008F3AE7" w:rsidRPr="008F3AE7">
        <w:rPr>
          <w:rFonts w:eastAsia="Times New Roman"/>
          <w:sz w:val="24"/>
          <w:szCs w:val="24"/>
        </w:rPr>
        <w:t xml:space="preserve">, 232 P.3d at 136-37 (discussion to resolve dispute did not include offer sufficiently definite to be capable of acceptance); </w:t>
      </w:r>
      <w:r w:rsidR="008F3AE7" w:rsidRPr="008F3AE7">
        <w:rPr>
          <w:rFonts w:eastAsia="Times New Roman"/>
          <w:b/>
          <w:sz w:val="24"/>
          <w:szCs w:val="24"/>
        </w:rPr>
        <w:t>DiFrancesco v. Particle Interconnect Corp.</w:t>
      </w:r>
      <w:r w:rsidR="008F3AE7" w:rsidRPr="008F3AE7">
        <w:rPr>
          <w:rFonts w:eastAsia="Times New Roman"/>
          <w:sz w:val="24"/>
          <w:szCs w:val="24"/>
        </w:rPr>
        <w:t>, 39 P.3d 1243, 1248 (Colo. App. 2001) (“Agreements to agree in the future are generally unenforceable because the court cannot force parties to come to an agreement.”).</w:t>
      </w:r>
    </w:p>
    <w:p w14:paraId="24D9ECA6" w14:textId="61BF3359" w:rsidR="008F3AE7" w:rsidRDefault="004B3F74" w:rsidP="008F3AE7">
      <w:pPr>
        <w:spacing w:after="240"/>
        <w:ind w:firstLine="720"/>
        <w:rPr>
          <w:rFonts w:eastAsia="Times New Roman"/>
          <w:sz w:val="24"/>
          <w:szCs w:val="24"/>
        </w:rPr>
      </w:pPr>
      <w:r>
        <w:rPr>
          <w:rFonts w:eastAsia="Times New Roman"/>
          <w:sz w:val="24"/>
          <w:szCs w:val="24"/>
        </w:rPr>
        <w:t>5</w:t>
      </w:r>
      <w:r w:rsidR="008F3AE7" w:rsidRPr="008F3AE7">
        <w:rPr>
          <w:rFonts w:eastAsia="Times New Roman"/>
          <w:sz w:val="24"/>
          <w:szCs w:val="24"/>
        </w:rPr>
        <w:t xml:space="preserve">. Where extrinsic evidence shows that parties did not intend the contract to be a binding agreement, and where they have previously agreed that their written promises would not bind them, such contract is a mere sham and lacks any legal effect. </w:t>
      </w:r>
      <w:r w:rsidR="008F3AE7" w:rsidRPr="008F3AE7">
        <w:rPr>
          <w:rFonts w:eastAsia="Times New Roman"/>
          <w:b/>
          <w:sz w:val="24"/>
          <w:szCs w:val="24"/>
        </w:rPr>
        <w:t>Landmark Towers Ass’n, Inc. v. UMB Bank, N.A</w:t>
      </w:r>
      <w:r w:rsidR="008F3AE7" w:rsidRPr="008F3AE7">
        <w:rPr>
          <w:rFonts w:eastAsia="Times New Roman"/>
          <w:sz w:val="24"/>
          <w:szCs w:val="24"/>
        </w:rPr>
        <w:t>, 2016 COA 61, ¶ 63</w:t>
      </w:r>
      <w:r w:rsidR="00676566">
        <w:rPr>
          <w:rFonts w:eastAsia="Times New Roman"/>
          <w:sz w:val="24"/>
          <w:szCs w:val="24"/>
        </w:rPr>
        <w:t>, 436 P.3d 1126</w:t>
      </w:r>
      <w:r w:rsidR="008F3AE7" w:rsidRPr="008F3AE7">
        <w:rPr>
          <w:rFonts w:eastAsia="Times New Roman"/>
          <w:sz w:val="24"/>
          <w:szCs w:val="24"/>
        </w:rPr>
        <w:t xml:space="preserve"> (organizers options to purchase property to make them eligible voters were void and unenforceable sham agreements)</w:t>
      </w:r>
      <w:r w:rsidR="00A575BC">
        <w:rPr>
          <w:rFonts w:eastAsia="Times New Roman"/>
          <w:sz w:val="24"/>
          <w:szCs w:val="24"/>
        </w:rPr>
        <w:t xml:space="preserve">, </w:t>
      </w:r>
      <w:r w:rsidR="00A575BC" w:rsidRPr="00A575BC">
        <w:rPr>
          <w:rFonts w:eastAsia="Times New Roman"/>
          <w:i/>
          <w:sz w:val="24"/>
          <w:szCs w:val="24"/>
        </w:rPr>
        <w:t>rev’d on other grounds</w:t>
      </w:r>
      <w:r w:rsidR="00A575BC">
        <w:rPr>
          <w:rFonts w:eastAsia="Times New Roman"/>
          <w:sz w:val="24"/>
          <w:szCs w:val="24"/>
        </w:rPr>
        <w:t>, 2017 CO 107, 408 P.3d 836</w:t>
      </w:r>
      <w:r w:rsidR="008F3AE7" w:rsidRPr="008F3AE7">
        <w:rPr>
          <w:rFonts w:eastAsia="Times New Roman"/>
          <w:sz w:val="24"/>
          <w:szCs w:val="24"/>
        </w:rPr>
        <w:t>.</w:t>
      </w:r>
    </w:p>
    <w:p w14:paraId="5758552D" w14:textId="77777777" w:rsidR="00EF5096" w:rsidRDefault="00EF5096">
      <w:pPr>
        <w:rPr>
          <w:rFonts w:eastAsia="Times New Roman"/>
          <w:sz w:val="24"/>
          <w:szCs w:val="24"/>
        </w:rPr>
      </w:pPr>
      <w:r>
        <w:rPr>
          <w:rFonts w:eastAsia="Times New Roman"/>
          <w:sz w:val="24"/>
          <w:szCs w:val="24"/>
        </w:rPr>
        <w:br w:type="page"/>
      </w:r>
    </w:p>
    <w:p w14:paraId="72C87404" w14:textId="77777777" w:rsidR="00EF5096" w:rsidRPr="009E3DA4" w:rsidRDefault="00AE1C04" w:rsidP="00EF5096">
      <w:pPr>
        <w:spacing w:after="240"/>
        <w:ind w:left="720" w:hanging="720"/>
        <w:rPr>
          <w:rFonts w:eastAsia="Times New Roman"/>
          <w:b/>
          <w:sz w:val="24"/>
          <w:szCs w:val="24"/>
        </w:rPr>
      </w:pPr>
      <w:bookmarkStart w:id="2" w:name="a30_02"/>
      <w:bookmarkEnd w:id="2"/>
      <w:r>
        <w:rPr>
          <w:rFonts w:eastAsia="Times New Roman"/>
          <w:b/>
          <w:sz w:val="24"/>
          <w:szCs w:val="24"/>
        </w:rPr>
        <w:lastRenderedPageBreak/>
        <w:t>30:2</w:t>
      </w:r>
      <w:r>
        <w:rPr>
          <w:rFonts w:eastAsia="Times New Roman"/>
          <w:b/>
          <w:sz w:val="24"/>
          <w:szCs w:val="24"/>
        </w:rPr>
        <w:tab/>
      </w:r>
      <w:r w:rsidR="00EF5096" w:rsidRPr="00EF5096">
        <w:rPr>
          <w:rFonts w:eastAsia="Times New Roman"/>
          <w:b/>
          <w:caps/>
          <w:sz w:val="24"/>
          <w:szCs w:val="24"/>
        </w:rPr>
        <w:t>Contract Formation ― Need Not Be in Writing</w:t>
      </w:r>
    </w:p>
    <w:p w14:paraId="0F17A109" w14:textId="1ACCA3C4" w:rsidR="00EF5096" w:rsidRPr="00EF5096" w:rsidRDefault="00EF5096" w:rsidP="00EF5096">
      <w:pPr>
        <w:spacing w:after="240"/>
        <w:ind w:firstLine="720"/>
        <w:rPr>
          <w:rFonts w:eastAsia="Times New Roman"/>
          <w:b/>
          <w:sz w:val="24"/>
          <w:szCs w:val="24"/>
        </w:rPr>
      </w:pPr>
      <w:r w:rsidRPr="00EF5096">
        <w:rPr>
          <w:rFonts w:eastAsia="Times New Roman"/>
          <w:b/>
          <w:sz w:val="24"/>
          <w:szCs w:val="24"/>
        </w:rPr>
        <w:t>A contract does not have to be in writing. If written, it does not have to be signed by either party or dated. A contract may be partly oral and partly in writing</w:t>
      </w:r>
      <w:r w:rsidR="00474A7E">
        <w:rPr>
          <w:rFonts w:eastAsia="Times New Roman"/>
          <w:b/>
          <w:sz w:val="24"/>
          <w:szCs w:val="24"/>
        </w:rPr>
        <w:t>.</w:t>
      </w:r>
      <w:r w:rsidRPr="00EF5096">
        <w:rPr>
          <w:rFonts w:eastAsia="Times New Roman"/>
          <w:b/>
          <w:sz w:val="24"/>
          <w:szCs w:val="24"/>
        </w:rPr>
        <w:t xml:space="preserve"> </w:t>
      </w:r>
    </w:p>
    <w:p w14:paraId="1889992F" w14:textId="77777777" w:rsidR="00EF5096" w:rsidRDefault="00EF5096" w:rsidP="00EF5096">
      <w:pPr>
        <w:jc w:val="center"/>
        <w:rPr>
          <w:rFonts w:eastAsia="Times New Roman"/>
          <w:sz w:val="24"/>
          <w:szCs w:val="24"/>
        </w:rPr>
      </w:pPr>
    </w:p>
    <w:p w14:paraId="71C65B6A" w14:textId="77777777" w:rsidR="00EF5096" w:rsidRPr="0054263B" w:rsidRDefault="00EF5096" w:rsidP="00EF5096">
      <w:pPr>
        <w:keepNext/>
        <w:spacing w:after="240"/>
        <w:jc w:val="center"/>
        <w:rPr>
          <w:rFonts w:eastAsia="Times New Roman"/>
          <w:b/>
          <w:sz w:val="24"/>
          <w:szCs w:val="24"/>
        </w:rPr>
      </w:pPr>
      <w:r w:rsidRPr="0054263B">
        <w:rPr>
          <w:rFonts w:eastAsia="Times New Roman"/>
          <w:b/>
          <w:sz w:val="24"/>
          <w:szCs w:val="24"/>
        </w:rPr>
        <w:t>Notes on Use</w:t>
      </w:r>
    </w:p>
    <w:p w14:paraId="61ADEC50" w14:textId="77777777" w:rsidR="00EF5096" w:rsidRPr="00EF5096" w:rsidRDefault="00EF5096" w:rsidP="00EF5096">
      <w:pPr>
        <w:spacing w:after="240"/>
        <w:ind w:firstLine="720"/>
        <w:rPr>
          <w:rFonts w:eastAsia="Times New Roman"/>
          <w:sz w:val="24"/>
          <w:szCs w:val="24"/>
        </w:rPr>
      </w:pPr>
      <w:r w:rsidRPr="00EF5096">
        <w:rPr>
          <w:rFonts w:eastAsia="Times New Roman"/>
          <w:sz w:val="24"/>
          <w:szCs w:val="24"/>
        </w:rPr>
        <w:t>1. This instruction may be used where the agreement does not fall within special rules requiring a written contract, including the statute of frauds.</w:t>
      </w:r>
    </w:p>
    <w:p w14:paraId="684FAE2C" w14:textId="77777777" w:rsidR="00EF5096" w:rsidRPr="00EF5096" w:rsidRDefault="00EF5096" w:rsidP="00EF5096">
      <w:pPr>
        <w:spacing w:after="240"/>
        <w:ind w:firstLine="720"/>
        <w:rPr>
          <w:rFonts w:eastAsia="Times New Roman"/>
          <w:sz w:val="24"/>
          <w:szCs w:val="24"/>
        </w:rPr>
      </w:pPr>
      <w:r w:rsidRPr="00EF5096">
        <w:rPr>
          <w:rFonts w:eastAsia="Times New Roman"/>
          <w:sz w:val="24"/>
          <w:szCs w:val="24"/>
        </w:rPr>
        <w:t>2. If the contract requires signatures or dating, this Instruction should not be given or should be appropriately modified.</w:t>
      </w:r>
    </w:p>
    <w:p w14:paraId="53D9CA84" w14:textId="77777777" w:rsidR="00EF5096" w:rsidRPr="0054263B" w:rsidRDefault="00EF5096" w:rsidP="00EF5096">
      <w:pPr>
        <w:keepNext/>
        <w:spacing w:after="240"/>
        <w:jc w:val="center"/>
        <w:rPr>
          <w:rFonts w:eastAsia="Times New Roman"/>
          <w:b/>
          <w:sz w:val="24"/>
          <w:szCs w:val="24"/>
        </w:rPr>
      </w:pPr>
      <w:r>
        <w:rPr>
          <w:rFonts w:eastAsia="Times New Roman"/>
          <w:b/>
          <w:sz w:val="24"/>
          <w:szCs w:val="24"/>
        </w:rPr>
        <w:t>Source and Authority</w:t>
      </w:r>
    </w:p>
    <w:p w14:paraId="653AFF72" w14:textId="4EF23CD3" w:rsidR="00EF5096" w:rsidRDefault="004B3F74" w:rsidP="00EF5096">
      <w:pPr>
        <w:spacing w:after="240"/>
        <w:ind w:firstLine="720"/>
        <w:rPr>
          <w:rFonts w:eastAsia="Times New Roman"/>
          <w:sz w:val="24"/>
          <w:szCs w:val="24"/>
        </w:rPr>
      </w:pPr>
      <w:r>
        <w:rPr>
          <w:rFonts w:eastAsia="Times New Roman"/>
          <w:sz w:val="24"/>
          <w:szCs w:val="24"/>
        </w:rPr>
        <w:t xml:space="preserve">1. </w:t>
      </w:r>
      <w:r w:rsidR="00EF5096" w:rsidRPr="00EF5096">
        <w:rPr>
          <w:rFonts w:eastAsia="Times New Roman"/>
          <w:sz w:val="24"/>
          <w:szCs w:val="24"/>
        </w:rPr>
        <w:t xml:space="preserve">This instruction is supported by </w:t>
      </w:r>
      <w:r w:rsidRPr="0074358E">
        <w:rPr>
          <w:rFonts w:eastAsia="Times New Roman"/>
          <w:b/>
          <w:sz w:val="24"/>
          <w:szCs w:val="24"/>
        </w:rPr>
        <w:t>Yaekle v. Andrews</w:t>
      </w:r>
      <w:r w:rsidRPr="00CB0006">
        <w:rPr>
          <w:rFonts w:eastAsia="Times New Roman"/>
          <w:bCs/>
          <w:sz w:val="24"/>
          <w:szCs w:val="24"/>
        </w:rPr>
        <w:t>, 195 P.3d 1101, 1107 (Colo</w:t>
      </w:r>
      <w:r>
        <w:rPr>
          <w:rFonts w:eastAsia="Times New Roman"/>
          <w:bCs/>
          <w:sz w:val="24"/>
          <w:szCs w:val="24"/>
        </w:rPr>
        <w:t>.</w:t>
      </w:r>
      <w:r w:rsidRPr="00CB0006">
        <w:rPr>
          <w:rFonts w:eastAsia="Times New Roman"/>
          <w:bCs/>
          <w:sz w:val="24"/>
          <w:szCs w:val="24"/>
        </w:rPr>
        <w:t xml:space="preserve"> 2008) (“common law contract principles . . . allow for the formation of contracts without signatures of the parties bound by them”);</w:t>
      </w:r>
      <w:r w:rsidRPr="00EF5096">
        <w:rPr>
          <w:rFonts w:eastAsia="Times New Roman"/>
          <w:sz w:val="24"/>
          <w:szCs w:val="24"/>
        </w:rPr>
        <w:t xml:space="preserve"> </w:t>
      </w:r>
      <w:r w:rsidR="00EF5096" w:rsidRPr="00EF5096">
        <w:rPr>
          <w:rFonts w:eastAsia="Times New Roman"/>
          <w:b/>
          <w:sz w:val="24"/>
          <w:szCs w:val="24"/>
        </w:rPr>
        <w:t>E-21 Engineering v. Steve Stock &amp; Associates, Inc.</w:t>
      </w:r>
      <w:r w:rsidR="00EF5096" w:rsidRPr="00EF5096">
        <w:rPr>
          <w:rFonts w:eastAsia="Times New Roman"/>
          <w:sz w:val="24"/>
          <w:szCs w:val="24"/>
        </w:rPr>
        <w:t xml:space="preserve">, 252 P.3d 36 (Colo. App. 2010) (contracts may be formed without signatures of the parties bound by them). </w:t>
      </w:r>
      <w:r w:rsidR="00EF5096" w:rsidRPr="00EF5096">
        <w:rPr>
          <w:rFonts w:eastAsia="Times New Roman"/>
          <w:i/>
          <w:sz w:val="24"/>
          <w:szCs w:val="24"/>
        </w:rPr>
        <w:t>See also</w:t>
      </w:r>
      <w:r w:rsidR="00EF5096" w:rsidRPr="00EF5096">
        <w:rPr>
          <w:rFonts w:eastAsia="Times New Roman"/>
          <w:sz w:val="24"/>
          <w:szCs w:val="24"/>
        </w:rPr>
        <w:t xml:space="preserve"> </w:t>
      </w:r>
      <w:r w:rsidR="00EF5096" w:rsidRPr="00EF5096">
        <w:rPr>
          <w:rFonts w:eastAsia="Times New Roman"/>
          <w:b/>
          <w:sz w:val="24"/>
          <w:szCs w:val="24"/>
        </w:rPr>
        <w:t>Lee v. Great Empire Broad., Inc.</w:t>
      </w:r>
      <w:r w:rsidR="00EF5096" w:rsidRPr="00EF5096">
        <w:rPr>
          <w:rFonts w:eastAsia="Times New Roman"/>
          <w:sz w:val="24"/>
          <w:szCs w:val="24"/>
        </w:rPr>
        <w:t xml:space="preserve">, 794 P.2d 1032 (Colo. App. 1989) (employment agreement); </w:t>
      </w:r>
      <w:r w:rsidR="00EF5096" w:rsidRPr="00EF5096">
        <w:rPr>
          <w:rFonts w:eastAsia="Times New Roman"/>
          <w:smallCaps/>
          <w:sz w:val="24"/>
          <w:szCs w:val="24"/>
        </w:rPr>
        <w:t>Restatement (Second) of Contracts</w:t>
      </w:r>
      <w:r w:rsidR="00EF5096" w:rsidRPr="00EF5096">
        <w:rPr>
          <w:rFonts w:eastAsia="Times New Roman"/>
          <w:sz w:val="24"/>
          <w:szCs w:val="24"/>
        </w:rPr>
        <w:t xml:space="preserve"> § 4 (1981) (“A promise may be stated in words either oral or written, or may be inferred wholly or partly from conduct.”).</w:t>
      </w:r>
    </w:p>
    <w:p w14:paraId="2AFBE69F" w14:textId="77777777" w:rsidR="004B3F74" w:rsidRDefault="004B3F74" w:rsidP="004B3F74">
      <w:pPr>
        <w:spacing w:after="240"/>
        <w:ind w:firstLine="720"/>
        <w:rPr>
          <w:rFonts w:eastAsia="Times New Roman"/>
          <w:sz w:val="24"/>
          <w:szCs w:val="24"/>
        </w:rPr>
      </w:pPr>
      <w:r>
        <w:rPr>
          <w:rFonts w:eastAsia="Times New Roman"/>
          <w:sz w:val="24"/>
          <w:szCs w:val="24"/>
        </w:rPr>
        <w:t xml:space="preserve">2. Agreements between spouses falling within the Colorado Marital Agreements Act (CMAA) and Uniform Premarital and Marital Agreements Act must be in writing. </w:t>
      </w:r>
      <w:r w:rsidRPr="00CB0006">
        <w:rPr>
          <w:rFonts w:eastAsia="Times New Roman"/>
          <w:b/>
          <w:bCs/>
          <w:sz w:val="24"/>
          <w:szCs w:val="24"/>
        </w:rPr>
        <w:t>In re Marriage of Zander</w:t>
      </w:r>
      <w:r>
        <w:rPr>
          <w:rFonts w:eastAsia="Times New Roman"/>
          <w:sz w:val="24"/>
          <w:szCs w:val="24"/>
        </w:rPr>
        <w:t>, 2021 CO 12, ¶ 20, 480 P.3d 676, 681 (because the agreement “was neither in writing nor signed by both parties, it did not fulfill the requisite legal formalities under the CMAA” and was not enforceable).</w:t>
      </w:r>
    </w:p>
    <w:p w14:paraId="46A7B5F2" w14:textId="1F9FF855" w:rsidR="004B3F74" w:rsidRDefault="004B3F74" w:rsidP="004B3F74">
      <w:pPr>
        <w:spacing w:after="240"/>
        <w:ind w:firstLine="720"/>
        <w:rPr>
          <w:rFonts w:eastAsia="Times New Roman"/>
          <w:sz w:val="24"/>
          <w:szCs w:val="24"/>
        </w:rPr>
      </w:pPr>
      <w:r>
        <w:rPr>
          <w:rFonts w:eastAsia="Times New Roman"/>
          <w:sz w:val="24"/>
          <w:szCs w:val="24"/>
        </w:rPr>
        <w:t xml:space="preserve">3. The HealthCare Availability Act requires arbitration agreements to be in writing and signed by the parties. </w:t>
      </w:r>
      <w:r w:rsidRPr="00CB0006">
        <w:rPr>
          <w:rFonts w:eastAsia="Times New Roman"/>
          <w:b/>
          <w:bCs/>
          <w:sz w:val="24"/>
          <w:szCs w:val="24"/>
        </w:rPr>
        <w:t>Johnson v. Rowan, Inc</w:t>
      </w:r>
      <w:r w:rsidRPr="003B308A">
        <w:rPr>
          <w:rFonts w:eastAsia="Times New Roman"/>
          <w:b/>
          <w:sz w:val="24"/>
          <w:szCs w:val="24"/>
        </w:rPr>
        <w:t>.</w:t>
      </w:r>
      <w:r>
        <w:rPr>
          <w:rFonts w:eastAsia="Times New Roman"/>
          <w:sz w:val="24"/>
          <w:szCs w:val="24"/>
        </w:rPr>
        <w:t xml:space="preserve">, 2021 COA 7, ¶ 51, 488 P.3d 1174, 1183 (“The formation of a contract </w:t>
      </w:r>
      <w:r w:rsidR="00011100">
        <w:rPr>
          <w:rFonts w:eastAsia="Times New Roman"/>
          <w:sz w:val="24"/>
          <w:szCs w:val="24"/>
        </w:rPr>
        <w:t xml:space="preserve">. . . </w:t>
      </w:r>
      <w:r>
        <w:rPr>
          <w:rFonts w:eastAsia="Times New Roman"/>
          <w:sz w:val="24"/>
          <w:szCs w:val="24"/>
        </w:rPr>
        <w:t>under common law principles is not determinative, however, because the Act imposes more stringent requirements for contract formation than does the common law of contracts.”).</w:t>
      </w:r>
    </w:p>
    <w:p w14:paraId="23669BEC" w14:textId="77777777" w:rsidR="005D1F16" w:rsidRDefault="005D1F16">
      <w:pPr>
        <w:rPr>
          <w:rFonts w:eastAsia="Times New Roman"/>
          <w:sz w:val="24"/>
          <w:szCs w:val="24"/>
        </w:rPr>
      </w:pPr>
      <w:r>
        <w:rPr>
          <w:rFonts w:eastAsia="Times New Roman"/>
          <w:sz w:val="24"/>
          <w:szCs w:val="24"/>
        </w:rPr>
        <w:br w:type="page"/>
      </w:r>
    </w:p>
    <w:p w14:paraId="3278689A" w14:textId="77777777" w:rsidR="005D1F16" w:rsidRPr="009E3DA4" w:rsidRDefault="005D1F16" w:rsidP="005D1F16">
      <w:pPr>
        <w:spacing w:after="240"/>
        <w:ind w:left="720" w:hanging="720"/>
        <w:rPr>
          <w:rFonts w:eastAsia="Times New Roman"/>
          <w:b/>
          <w:sz w:val="24"/>
          <w:szCs w:val="24"/>
        </w:rPr>
      </w:pPr>
      <w:bookmarkStart w:id="3" w:name="a30_03"/>
      <w:bookmarkEnd w:id="3"/>
      <w:r w:rsidRPr="005D1F16">
        <w:rPr>
          <w:rFonts w:eastAsia="Times New Roman"/>
          <w:b/>
          <w:sz w:val="24"/>
          <w:szCs w:val="24"/>
        </w:rPr>
        <w:lastRenderedPageBreak/>
        <w:t xml:space="preserve">30:3 </w:t>
      </w:r>
      <w:r w:rsidRPr="005D1F16">
        <w:rPr>
          <w:rFonts w:eastAsia="Times New Roman"/>
          <w:b/>
          <w:sz w:val="24"/>
          <w:szCs w:val="24"/>
        </w:rPr>
        <w:tab/>
        <w:t>CONTRACT FORMATION ― OFFER</w:t>
      </w:r>
    </w:p>
    <w:p w14:paraId="5051BACE" w14:textId="77777777" w:rsidR="005D1F16" w:rsidRPr="005D1F16" w:rsidRDefault="005D1F16" w:rsidP="005D1F16">
      <w:pPr>
        <w:spacing w:after="240"/>
        <w:ind w:firstLine="720"/>
        <w:rPr>
          <w:rFonts w:eastAsia="Times New Roman"/>
          <w:b/>
          <w:sz w:val="24"/>
          <w:szCs w:val="24"/>
        </w:rPr>
      </w:pPr>
      <w:r w:rsidRPr="005D1F16">
        <w:rPr>
          <w:rFonts w:eastAsia="Times New Roman"/>
          <w:b/>
          <w:sz w:val="24"/>
          <w:szCs w:val="24"/>
        </w:rPr>
        <w:t>An offer is a proposal to enter into a contract on the terms stated in the offer.</w:t>
      </w:r>
    </w:p>
    <w:p w14:paraId="6A784906" w14:textId="77777777" w:rsidR="005D1F16" w:rsidRDefault="005D1F16" w:rsidP="005D1F16">
      <w:pPr>
        <w:jc w:val="center"/>
        <w:rPr>
          <w:rFonts w:eastAsia="Times New Roman"/>
          <w:sz w:val="24"/>
          <w:szCs w:val="24"/>
        </w:rPr>
      </w:pPr>
    </w:p>
    <w:p w14:paraId="2396635E" w14:textId="77777777" w:rsidR="005D1F16" w:rsidRPr="0054263B" w:rsidRDefault="005D1F16" w:rsidP="005D1F16">
      <w:pPr>
        <w:keepNext/>
        <w:spacing w:after="240"/>
        <w:jc w:val="center"/>
        <w:rPr>
          <w:rFonts w:eastAsia="Times New Roman"/>
          <w:b/>
          <w:sz w:val="24"/>
          <w:szCs w:val="24"/>
        </w:rPr>
      </w:pPr>
      <w:r w:rsidRPr="0054263B">
        <w:rPr>
          <w:rFonts w:eastAsia="Times New Roman"/>
          <w:b/>
          <w:sz w:val="24"/>
          <w:szCs w:val="24"/>
        </w:rPr>
        <w:t>Notes on Use</w:t>
      </w:r>
    </w:p>
    <w:p w14:paraId="5B6ECE1C" w14:textId="099BA954" w:rsidR="005D1F16" w:rsidRPr="005D1F16" w:rsidRDefault="005D1F16" w:rsidP="005D1F16">
      <w:pPr>
        <w:spacing w:after="240"/>
        <w:ind w:firstLine="720"/>
        <w:rPr>
          <w:rFonts w:eastAsia="Times New Roman"/>
          <w:sz w:val="24"/>
          <w:szCs w:val="24"/>
        </w:rPr>
      </w:pPr>
      <w:r w:rsidRPr="005D1F16">
        <w:rPr>
          <w:rFonts w:eastAsia="Times New Roman"/>
          <w:sz w:val="24"/>
          <w:szCs w:val="24"/>
        </w:rPr>
        <w:t>1. When given, this instruction must be given with Instruction 30:6 (acceptance).</w:t>
      </w:r>
    </w:p>
    <w:p w14:paraId="44E5F485"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2. For possible modifications required in cases involving the sale of goods, see sections 4-2-204 to 2-206, C.R.S. </w:t>
      </w:r>
      <w:r w:rsidRPr="005D1F16">
        <w:rPr>
          <w:rFonts w:eastAsia="Times New Roman"/>
          <w:i/>
          <w:sz w:val="24"/>
          <w:szCs w:val="24"/>
        </w:rPr>
        <w:t>See, e.g.</w:t>
      </w:r>
      <w:r w:rsidRPr="005D1F16">
        <w:rPr>
          <w:rFonts w:eastAsia="Times New Roman"/>
          <w:sz w:val="24"/>
          <w:szCs w:val="24"/>
        </w:rPr>
        <w:t>,</w:t>
      </w:r>
      <w:r w:rsidRPr="005D1F16">
        <w:rPr>
          <w:rFonts w:eastAsia="Times New Roman"/>
          <w:i/>
          <w:sz w:val="24"/>
          <w:szCs w:val="24"/>
        </w:rPr>
        <w:t xml:space="preserve"> </w:t>
      </w:r>
      <w:r w:rsidRPr="005D1F16">
        <w:rPr>
          <w:rFonts w:eastAsia="Times New Roman"/>
          <w:b/>
          <w:sz w:val="24"/>
          <w:szCs w:val="24"/>
        </w:rPr>
        <w:t>Scoular Co. v. Denney</w:t>
      </w:r>
      <w:r w:rsidRPr="005D1F16">
        <w:rPr>
          <w:rFonts w:eastAsia="Times New Roman"/>
          <w:sz w:val="24"/>
          <w:szCs w:val="24"/>
        </w:rPr>
        <w:t>,</w:t>
      </w:r>
      <w:r w:rsidRPr="005D1F16">
        <w:rPr>
          <w:rFonts w:eastAsia="Times New Roman"/>
          <w:b/>
          <w:sz w:val="24"/>
          <w:szCs w:val="24"/>
        </w:rPr>
        <w:t xml:space="preserve"> </w:t>
      </w:r>
      <w:r w:rsidRPr="005D1F16">
        <w:rPr>
          <w:rFonts w:eastAsia="Times New Roman"/>
          <w:sz w:val="24"/>
          <w:szCs w:val="24"/>
        </w:rPr>
        <w:t>151 P.3d 615 (Colo. App. 2006) (interpreting section 4-2-205, C.R.S.).</w:t>
      </w:r>
    </w:p>
    <w:p w14:paraId="44E25ED1" w14:textId="77777777" w:rsidR="005D1F16" w:rsidRPr="0054263B" w:rsidRDefault="005D1F16" w:rsidP="005D1F16">
      <w:pPr>
        <w:keepNext/>
        <w:spacing w:after="240"/>
        <w:jc w:val="center"/>
        <w:rPr>
          <w:rFonts w:eastAsia="Times New Roman"/>
          <w:b/>
          <w:sz w:val="24"/>
          <w:szCs w:val="24"/>
        </w:rPr>
      </w:pPr>
      <w:r>
        <w:rPr>
          <w:rFonts w:eastAsia="Times New Roman"/>
          <w:b/>
          <w:sz w:val="24"/>
          <w:szCs w:val="24"/>
        </w:rPr>
        <w:t>Source and Authority</w:t>
      </w:r>
    </w:p>
    <w:p w14:paraId="3B5C6339"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1. This instruction is supported by </w:t>
      </w:r>
      <w:r w:rsidRPr="005D1F16">
        <w:rPr>
          <w:rFonts w:eastAsia="Times New Roman"/>
          <w:b/>
          <w:sz w:val="24"/>
          <w:szCs w:val="24"/>
        </w:rPr>
        <w:t>Nash v. School Board No. 3</w:t>
      </w:r>
      <w:r w:rsidRPr="005D1F16">
        <w:rPr>
          <w:rFonts w:eastAsia="Times New Roman"/>
          <w:sz w:val="24"/>
          <w:szCs w:val="24"/>
        </w:rPr>
        <w:t xml:space="preserve">, 49 Colo. 555, 113 P. 1003 (1911) (by implication); and </w:t>
      </w:r>
      <w:r w:rsidRPr="005D1F16">
        <w:rPr>
          <w:rFonts w:eastAsia="Times New Roman"/>
          <w:b/>
          <w:sz w:val="24"/>
          <w:szCs w:val="24"/>
        </w:rPr>
        <w:t>Robert E. Lee Silver Mining Co. v. Omaha &amp; Grant Smelting &amp; Refining Co.</w:t>
      </w:r>
      <w:r w:rsidRPr="005D1F16">
        <w:rPr>
          <w:rFonts w:eastAsia="Times New Roman"/>
          <w:sz w:val="24"/>
          <w:szCs w:val="24"/>
        </w:rPr>
        <w:t xml:space="preserve">, 16 Colo. 118, 26 P. 326 (1891) (same). </w:t>
      </w:r>
      <w:r w:rsidRPr="005D1F16">
        <w:rPr>
          <w:rFonts w:eastAsia="Times New Roman"/>
          <w:i/>
          <w:sz w:val="24"/>
          <w:szCs w:val="24"/>
        </w:rPr>
        <w:t>See also</w:t>
      </w:r>
      <w:r w:rsidRPr="005D1F16">
        <w:rPr>
          <w:rFonts w:eastAsia="Times New Roman"/>
          <w:sz w:val="24"/>
          <w:szCs w:val="24"/>
        </w:rPr>
        <w:t xml:space="preserve"> </w:t>
      </w:r>
      <w:r w:rsidRPr="005D1F16">
        <w:rPr>
          <w:rFonts w:eastAsia="Times New Roman"/>
          <w:b/>
          <w:sz w:val="24"/>
          <w:szCs w:val="24"/>
        </w:rPr>
        <w:t>Industrial Prods. Int’l, Inc. v. Emo Trans, Inc.</w:t>
      </w:r>
      <w:r w:rsidRPr="005D1F16">
        <w:rPr>
          <w:rFonts w:eastAsia="Times New Roman"/>
          <w:sz w:val="24"/>
          <w:szCs w:val="24"/>
        </w:rPr>
        <w:t>, 962 P.2d 983 (Colo. App. 1997) (offer is manifestation by one party of willingness to enter into bargain).</w:t>
      </w:r>
    </w:p>
    <w:p w14:paraId="62575FBE"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2. In the absence of an express or implied limitation, an offer must be accepted within a reasonable time, and a reasonable time “is that which is reasonable to the offeror rather than to the offeree.” </w:t>
      </w:r>
      <w:r w:rsidRPr="005D1F16">
        <w:rPr>
          <w:rFonts w:eastAsia="Times New Roman"/>
          <w:b/>
          <w:sz w:val="24"/>
          <w:szCs w:val="24"/>
        </w:rPr>
        <w:t>Central Inv. Corp. v. Container Advert. Co.</w:t>
      </w:r>
      <w:r w:rsidRPr="005D1F16">
        <w:rPr>
          <w:rFonts w:eastAsia="Times New Roman"/>
          <w:sz w:val="24"/>
          <w:szCs w:val="24"/>
        </w:rPr>
        <w:t>, 28 Colo. App. 184, 187, 471 P.2d 647, 648 (1970).</w:t>
      </w:r>
    </w:p>
    <w:p w14:paraId="4D00D44A"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3. To be effective an offer must be communicated. </w:t>
      </w:r>
      <w:r w:rsidRPr="005D1F16">
        <w:rPr>
          <w:rFonts w:eastAsia="Times New Roman"/>
          <w:b/>
          <w:sz w:val="24"/>
          <w:szCs w:val="24"/>
        </w:rPr>
        <w:t>Kuta v. Joint Dist. No. 50(J)</w:t>
      </w:r>
      <w:r w:rsidRPr="005D1F16">
        <w:rPr>
          <w:rFonts w:eastAsia="Times New Roman"/>
          <w:sz w:val="24"/>
          <w:szCs w:val="24"/>
        </w:rPr>
        <w:t>, 799 P.2d 379 (Colo. 1990).</w:t>
      </w:r>
    </w:p>
    <w:p w14:paraId="33DCF3AD" w14:textId="6099E41E" w:rsidR="005D1F16" w:rsidRPr="005D1F16" w:rsidRDefault="003333C4" w:rsidP="005D1F16">
      <w:pPr>
        <w:spacing w:after="240"/>
        <w:ind w:firstLine="720"/>
        <w:rPr>
          <w:rFonts w:eastAsia="Times New Roman"/>
          <w:sz w:val="24"/>
          <w:szCs w:val="24"/>
        </w:rPr>
      </w:pPr>
      <w:r>
        <w:rPr>
          <w:rFonts w:eastAsia="Times New Roman"/>
          <w:sz w:val="24"/>
          <w:szCs w:val="24"/>
        </w:rPr>
        <w:t xml:space="preserve">4. </w:t>
      </w:r>
      <w:r w:rsidR="005D1F16" w:rsidRPr="005D1F16">
        <w:rPr>
          <w:rFonts w:eastAsia="Times New Roman"/>
          <w:sz w:val="24"/>
          <w:szCs w:val="24"/>
        </w:rPr>
        <w:t xml:space="preserve">Generally, the delivery of an insurance application by an insurer to a prospective customer does not constitute an offer of insurance; instead it is an invitation for an offer of insurance. </w:t>
      </w:r>
      <w:r w:rsidR="005D1F16" w:rsidRPr="005D1F16">
        <w:rPr>
          <w:rFonts w:eastAsia="Times New Roman"/>
          <w:b/>
          <w:sz w:val="24"/>
          <w:szCs w:val="24"/>
        </w:rPr>
        <w:t>Griffin v. State Farm Fire &amp; Cas. Co.</w:t>
      </w:r>
      <w:r w:rsidR="005D1F16" w:rsidRPr="005D1F16">
        <w:rPr>
          <w:rFonts w:eastAsia="Times New Roman"/>
          <w:sz w:val="24"/>
          <w:szCs w:val="24"/>
        </w:rPr>
        <w:t>, 104 P.3d 283 (Colo. App. 2004).</w:t>
      </w:r>
    </w:p>
    <w:p w14:paraId="3E7CF0B1" w14:textId="5D73CFE6"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5. There is no offer capable of acceptance where the circumstances show the parties intended to negotiate further on some provisions. </w:t>
      </w:r>
      <w:r w:rsidRPr="005D1F16">
        <w:rPr>
          <w:rFonts w:eastAsia="Times New Roman"/>
          <w:b/>
          <w:sz w:val="24"/>
          <w:szCs w:val="24"/>
        </w:rPr>
        <w:t>Sumerel v. Goodyear Tire &amp; Rubber Co.</w:t>
      </w:r>
      <w:r w:rsidRPr="005D1F16">
        <w:rPr>
          <w:rFonts w:eastAsia="Times New Roman"/>
          <w:sz w:val="24"/>
          <w:szCs w:val="24"/>
        </w:rPr>
        <w:t>, 232 P.3d 128 (Colo. App. 2009).</w:t>
      </w:r>
    </w:p>
    <w:p w14:paraId="5A2A7CA8" w14:textId="77777777" w:rsidR="003E773D" w:rsidRDefault="003E773D">
      <w:pPr>
        <w:rPr>
          <w:rFonts w:eastAsia="Times New Roman"/>
          <w:sz w:val="24"/>
          <w:szCs w:val="24"/>
        </w:rPr>
      </w:pPr>
      <w:r>
        <w:rPr>
          <w:rFonts w:eastAsia="Times New Roman"/>
          <w:sz w:val="24"/>
          <w:szCs w:val="24"/>
        </w:rPr>
        <w:br w:type="page"/>
      </w:r>
    </w:p>
    <w:p w14:paraId="2AFD2860" w14:textId="77777777" w:rsidR="003E773D" w:rsidRPr="009E3DA4" w:rsidRDefault="003E773D" w:rsidP="003E773D">
      <w:pPr>
        <w:spacing w:after="240"/>
        <w:ind w:left="720" w:hanging="720"/>
        <w:rPr>
          <w:rFonts w:eastAsia="Times New Roman"/>
          <w:b/>
          <w:sz w:val="24"/>
          <w:szCs w:val="24"/>
        </w:rPr>
      </w:pPr>
      <w:bookmarkStart w:id="4" w:name="a30_04"/>
      <w:bookmarkEnd w:id="4"/>
      <w:r w:rsidRPr="003E773D">
        <w:rPr>
          <w:rFonts w:eastAsia="Times New Roman"/>
          <w:b/>
          <w:sz w:val="24"/>
          <w:szCs w:val="24"/>
        </w:rPr>
        <w:lastRenderedPageBreak/>
        <w:t>30:4</w:t>
      </w:r>
      <w:r w:rsidRPr="003E773D">
        <w:rPr>
          <w:rFonts w:eastAsia="Times New Roman"/>
          <w:b/>
          <w:sz w:val="24"/>
          <w:szCs w:val="24"/>
        </w:rPr>
        <w:tab/>
      </w:r>
      <w:r w:rsidRPr="003E773D">
        <w:rPr>
          <w:rFonts w:eastAsia="Times New Roman"/>
          <w:b/>
          <w:caps/>
          <w:sz w:val="24"/>
          <w:szCs w:val="24"/>
        </w:rPr>
        <w:t>Contract Formation ― Revocation of Offer</w:t>
      </w:r>
    </w:p>
    <w:p w14:paraId="4D02C191" w14:textId="77777777" w:rsidR="003E773D" w:rsidRPr="003E773D" w:rsidRDefault="003E773D" w:rsidP="003E773D">
      <w:pPr>
        <w:spacing w:after="240"/>
        <w:ind w:firstLine="720"/>
        <w:rPr>
          <w:rFonts w:eastAsia="Times New Roman"/>
          <w:b/>
          <w:sz w:val="24"/>
          <w:szCs w:val="24"/>
        </w:rPr>
      </w:pPr>
      <w:r w:rsidRPr="003E773D">
        <w:rPr>
          <w:rFonts w:eastAsia="Times New Roman"/>
          <w:b/>
          <w:sz w:val="24"/>
          <w:szCs w:val="24"/>
        </w:rPr>
        <w:t>(Plaintiff) (Defendant) claims the offer was revoked before it was accepted.</w:t>
      </w:r>
    </w:p>
    <w:p w14:paraId="7DC8B795" w14:textId="77777777" w:rsidR="003E773D" w:rsidRPr="003E773D" w:rsidRDefault="003E773D" w:rsidP="003E773D">
      <w:pPr>
        <w:spacing w:after="240"/>
        <w:ind w:firstLine="720"/>
        <w:rPr>
          <w:rFonts w:eastAsia="Times New Roman"/>
          <w:b/>
          <w:sz w:val="24"/>
          <w:szCs w:val="24"/>
        </w:rPr>
      </w:pPr>
      <w:r w:rsidRPr="003E773D">
        <w:rPr>
          <w:rFonts w:eastAsia="Times New Roman"/>
          <w:b/>
          <w:sz w:val="24"/>
          <w:szCs w:val="24"/>
        </w:rPr>
        <w:t>To revoke an offer is to withdraw it. Unless otherwise specified by the terms of the offer, an offer may be revoked before it is accepted. To be effective, a revocation must be communicated before the offer is accepted.</w:t>
      </w:r>
    </w:p>
    <w:p w14:paraId="1837BC27" w14:textId="77777777" w:rsidR="003E773D" w:rsidRDefault="003E773D" w:rsidP="003E773D">
      <w:pPr>
        <w:jc w:val="center"/>
        <w:rPr>
          <w:rFonts w:eastAsia="Times New Roman"/>
          <w:sz w:val="24"/>
          <w:szCs w:val="24"/>
        </w:rPr>
      </w:pPr>
    </w:p>
    <w:p w14:paraId="2D39E2BC" w14:textId="77777777" w:rsidR="003E773D" w:rsidRPr="0054263B" w:rsidRDefault="003E773D" w:rsidP="003E773D">
      <w:pPr>
        <w:keepNext/>
        <w:spacing w:after="240"/>
        <w:jc w:val="center"/>
        <w:rPr>
          <w:rFonts w:eastAsia="Times New Roman"/>
          <w:b/>
          <w:sz w:val="24"/>
          <w:szCs w:val="24"/>
        </w:rPr>
      </w:pPr>
      <w:r w:rsidRPr="0054263B">
        <w:rPr>
          <w:rFonts w:eastAsia="Times New Roman"/>
          <w:b/>
          <w:sz w:val="24"/>
          <w:szCs w:val="24"/>
        </w:rPr>
        <w:t>Notes on Use</w:t>
      </w:r>
    </w:p>
    <w:p w14:paraId="20BC137A" w14:textId="77777777" w:rsidR="003E773D" w:rsidRPr="003E773D" w:rsidRDefault="003E773D" w:rsidP="003E773D">
      <w:pPr>
        <w:spacing w:after="240"/>
        <w:ind w:firstLine="720"/>
        <w:rPr>
          <w:rFonts w:eastAsia="Times New Roman"/>
          <w:bCs/>
          <w:sz w:val="24"/>
          <w:szCs w:val="24"/>
        </w:rPr>
      </w:pPr>
      <w:r w:rsidRPr="003E773D">
        <w:rPr>
          <w:rFonts w:eastAsia="Times New Roman"/>
          <w:bCs/>
          <w:sz w:val="24"/>
          <w:szCs w:val="24"/>
        </w:rPr>
        <w:t>None.</w:t>
      </w:r>
    </w:p>
    <w:p w14:paraId="6A43E63E" w14:textId="77777777" w:rsidR="003E773D" w:rsidRPr="0054263B" w:rsidRDefault="003E773D" w:rsidP="003E773D">
      <w:pPr>
        <w:keepNext/>
        <w:spacing w:after="240"/>
        <w:jc w:val="center"/>
        <w:rPr>
          <w:rFonts w:eastAsia="Times New Roman"/>
          <w:b/>
          <w:sz w:val="24"/>
          <w:szCs w:val="24"/>
        </w:rPr>
      </w:pPr>
      <w:r>
        <w:rPr>
          <w:rFonts w:eastAsia="Times New Roman"/>
          <w:b/>
          <w:sz w:val="24"/>
          <w:szCs w:val="24"/>
        </w:rPr>
        <w:t>Source and Authority</w:t>
      </w:r>
    </w:p>
    <w:p w14:paraId="49E4B7D5" w14:textId="77777777" w:rsidR="003E773D" w:rsidRPr="003E773D" w:rsidRDefault="003E773D" w:rsidP="003E773D">
      <w:pPr>
        <w:spacing w:after="240"/>
        <w:ind w:firstLine="720"/>
        <w:rPr>
          <w:rFonts w:eastAsia="Times New Roman"/>
          <w:b/>
          <w:bCs/>
          <w:sz w:val="24"/>
          <w:szCs w:val="24"/>
        </w:rPr>
      </w:pPr>
      <w:r w:rsidRPr="003E773D">
        <w:rPr>
          <w:rFonts w:eastAsia="Times New Roman"/>
          <w:bCs/>
          <w:sz w:val="24"/>
          <w:szCs w:val="24"/>
        </w:rPr>
        <w:t>1.</w:t>
      </w:r>
      <w:r w:rsidRPr="003E773D">
        <w:rPr>
          <w:rFonts w:eastAsia="Times New Roman"/>
          <w:b/>
          <w:bCs/>
          <w:sz w:val="24"/>
          <w:szCs w:val="24"/>
        </w:rPr>
        <w:t xml:space="preserve"> </w:t>
      </w:r>
      <w:r w:rsidRPr="003E773D">
        <w:rPr>
          <w:rFonts w:eastAsia="Times New Roman"/>
          <w:bCs/>
          <w:sz w:val="24"/>
          <w:szCs w:val="24"/>
        </w:rPr>
        <w:t xml:space="preserve">This instruction is supported by </w:t>
      </w:r>
      <w:r w:rsidRPr="003E773D">
        <w:rPr>
          <w:rFonts w:eastAsia="Times New Roman"/>
          <w:b/>
          <w:sz w:val="24"/>
          <w:szCs w:val="24"/>
        </w:rPr>
        <w:t>Stortroen v. Beneficial Finance Co.</w:t>
      </w:r>
      <w:r w:rsidRPr="003E773D">
        <w:rPr>
          <w:rFonts w:eastAsia="Times New Roman"/>
          <w:sz w:val="24"/>
          <w:szCs w:val="24"/>
        </w:rPr>
        <w:t xml:space="preserve">, 736 P.2d 391 (Colo. 1987); </w:t>
      </w:r>
      <w:r w:rsidRPr="003E773D">
        <w:rPr>
          <w:rFonts w:eastAsia="Times New Roman"/>
          <w:b/>
          <w:sz w:val="24"/>
          <w:szCs w:val="24"/>
        </w:rPr>
        <w:t>Carlsen v. Hay</w:t>
      </w:r>
      <w:r w:rsidRPr="003E773D">
        <w:rPr>
          <w:rFonts w:eastAsia="Times New Roman"/>
          <w:sz w:val="24"/>
          <w:szCs w:val="24"/>
        </w:rPr>
        <w:t xml:space="preserve">, 69 Colo. 485, 195 P. 103 (1921); </w:t>
      </w:r>
      <w:r w:rsidRPr="003E773D">
        <w:rPr>
          <w:rFonts w:eastAsia="Times New Roman"/>
          <w:b/>
          <w:bCs/>
          <w:sz w:val="24"/>
          <w:szCs w:val="24"/>
        </w:rPr>
        <w:t>East-Larimer County Water District v. Centric Corp.</w:t>
      </w:r>
      <w:r w:rsidRPr="003E773D">
        <w:rPr>
          <w:rFonts w:eastAsia="Times New Roman"/>
          <w:bCs/>
          <w:sz w:val="24"/>
          <w:szCs w:val="24"/>
        </w:rPr>
        <w:t>, 693 P.2d 1019 (Colo. App. 1984)</w:t>
      </w:r>
      <w:r w:rsidRPr="003E773D">
        <w:rPr>
          <w:rFonts w:eastAsia="Times New Roman"/>
          <w:sz w:val="24"/>
          <w:szCs w:val="24"/>
        </w:rPr>
        <w:t>;</w:t>
      </w:r>
      <w:r w:rsidRPr="003E773D">
        <w:rPr>
          <w:rFonts w:eastAsia="Times New Roman"/>
          <w:b/>
          <w:sz w:val="24"/>
          <w:szCs w:val="24"/>
        </w:rPr>
        <w:t xml:space="preserve"> Sigrist v. Century 21 Corp.</w:t>
      </w:r>
      <w:r w:rsidRPr="003E773D">
        <w:rPr>
          <w:rFonts w:eastAsia="Times New Roman"/>
          <w:sz w:val="24"/>
          <w:szCs w:val="24"/>
        </w:rPr>
        <w:t xml:space="preserve">, 519 P.2d 362 (Colo. App. 1973) (not published pursuant to C.A.R. 35(f)); </w:t>
      </w:r>
      <w:r w:rsidRPr="003E773D">
        <w:rPr>
          <w:rFonts w:eastAsia="Times New Roman"/>
          <w:b/>
          <w:bCs/>
          <w:sz w:val="24"/>
          <w:szCs w:val="24"/>
        </w:rPr>
        <w:t>Smith v. Russell</w:t>
      </w:r>
      <w:r w:rsidRPr="003E773D">
        <w:rPr>
          <w:rFonts w:eastAsia="Times New Roman"/>
          <w:sz w:val="24"/>
          <w:szCs w:val="24"/>
        </w:rPr>
        <w:t>, 20 Colo. App. 554,</w:t>
      </w:r>
      <w:r w:rsidRPr="003E773D">
        <w:rPr>
          <w:rFonts w:eastAsia="Times New Roman"/>
          <w:b/>
          <w:sz w:val="24"/>
          <w:szCs w:val="24"/>
        </w:rPr>
        <w:t xml:space="preserve"> </w:t>
      </w:r>
      <w:r w:rsidRPr="003E773D">
        <w:rPr>
          <w:rFonts w:eastAsia="Times New Roman"/>
          <w:sz w:val="24"/>
          <w:szCs w:val="24"/>
        </w:rPr>
        <w:t xml:space="preserve">80 P. 474 (1905); and 1 </w:t>
      </w:r>
      <w:r w:rsidRPr="00A22F5A">
        <w:rPr>
          <w:rFonts w:eastAsia="Times New Roman"/>
          <w:smallCaps/>
          <w:sz w:val="24"/>
          <w:szCs w:val="24"/>
        </w:rPr>
        <w:t>Richard A. Lord, Williston on Contracts</w:t>
      </w:r>
      <w:r w:rsidRPr="003E773D">
        <w:rPr>
          <w:rFonts w:eastAsia="Times New Roman"/>
          <w:sz w:val="24"/>
          <w:szCs w:val="24"/>
        </w:rPr>
        <w:t xml:space="preserve"> § 5:9 (4</w:t>
      </w:r>
      <w:r w:rsidRPr="00D30894">
        <w:rPr>
          <w:rFonts w:eastAsia="Times New Roman"/>
          <w:sz w:val="24"/>
          <w:szCs w:val="24"/>
        </w:rPr>
        <w:t>th</w:t>
      </w:r>
      <w:r w:rsidRPr="003E773D">
        <w:rPr>
          <w:rFonts w:eastAsia="Times New Roman"/>
          <w:sz w:val="24"/>
          <w:szCs w:val="24"/>
        </w:rPr>
        <w:t xml:space="preserve"> ed. 1999).</w:t>
      </w:r>
    </w:p>
    <w:p w14:paraId="666D4204" w14:textId="1F23638E" w:rsidR="005D1F16" w:rsidRDefault="003E773D" w:rsidP="005D1F16">
      <w:pPr>
        <w:spacing w:after="240"/>
        <w:ind w:firstLine="720"/>
        <w:rPr>
          <w:rFonts w:eastAsia="Times New Roman"/>
          <w:sz w:val="24"/>
          <w:szCs w:val="24"/>
        </w:rPr>
      </w:pPr>
      <w:r w:rsidRPr="003E773D">
        <w:rPr>
          <w:rFonts w:eastAsia="Times New Roman"/>
          <w:sz w:val="24"/>
          <w:szCs w:val="24"/>
        </w:rPr>
        <w:t xml:space="preserve">2. Unless otherwise specified by its terms, an offer may be accepted within a reasonable time unless the offer has been revoked by the offeror or rejected by the offeree. </w:t>
      </w:r>
      <w:r w:rsidRPr="003E773D">
        <w:rPr>
          <w:rFonts w:eastAsia="Times New Roman"/>
          <w:b/>
          <w:iCs/>
          <w:sz w:val="24"/>
          <w:szCs w:val="24"/>
        </w:rPr>
        <w:t xml:space="preserve">Minneapolis &amp; St. Louis Ry. </w:t>
      </w:r>
      <w:r w:rsidR="00275682" w:rsidRPr="003E773D">
        <w:rPr>
          <w:rFonts w:eastAsia="Times New Roman"/>
          <w:b/>
          <w:iCs/>
          <w:sz w:val="24"/>
          <w:szCs w:val="24"/>
        </w:rPr>
        <w:t>V</w:t>
      </w:r>
      <w:r w:rsidRPr="003E773D">
        <w:rPr>
          <w:rFonts w:eastAsia="Times New Roman"/>
          <w:b/>
          <w:iCs/>
          <w:sz w:val="24"/>
          <w:szCs w:val="24"/>
        </w:rPr>
        <w:t>. Columbus Rolling-Mill Co.</w:t>
      </w:r>
      <w:r w:rsidRPr="003E773D">
        <w:rPr>
          <w:rFonts w:eastAsia="Times New Roman"/>
          <w:iCs/>
          <w:sz w:val="24"/>
          <w:szCs w:val="24"/>
        </w:rPr>
        <w:t>,</w:t>
      </w:r>
      <w:r w:rsidRPr="003E773D">
        <w:rPr>
          <w:rFonts w:eastAsia="Times New Roman"/>
          <w:sz w:val="24"/>
          <w:szCs w:val="24"/>
        </w:rPr>
        <w:t xml:space="preserve"> 119 U.S. 149 (1886); </w:t>
      </w:r>
      <w:r w:rsidRPr="003E773D">
        <w:rPr>
          <w:rFonts w:eastAsia="Times New Roman"/>
          <w:i/>
          <w:sz w:val="24"/>
          <w:szCs w:val="24"/>
        </w:rPr>
        <w:t>s</w:t>
      </w:r>
      <w:r w:rsidRPr="003E773D">
        <w:rPr>
          <w:rFonts w:eastAsia="Times New Roman"/>
          <w:i/>
          <w:iCs/>
          <w:sz w:val="24"/>
          <w:szCs w:val="24"/>
        </w:rPr>
        <w:t xml:space="preserve">ee also </w:t>
      </w:r>
      <w:r w:rsidRPr="003E773D">
        <w:rPr>
          <w:rFonts w:eastAsia="Times New Roman"/>
          <w:b/>
          <w:iCs/>
          <w:sz w:val="24"/>
          <w:szCs w:val="24"/>
        </w:rPr>
        <w:t>Townsend v. Daniel, Mann, Johnson &amp; Mendenhall</w:t>
      </w:r>
      <w:r w:rsidRPr="003E773D">
        <w:rPr>
          <w:rFonts w:eastAsia="Times New Roman"/>
          <w:iCs/>
          <w:sz w:val="24"/>
          <w:szCs w:val="24"/>
        </w:rPr>
        <w:t>,</w:t>
      </w:r>
      <w:r w:rsidRPr="003E773D">
        <w:rPr>
          <w:rFonts w:eastAsia="Times New Roman"/>
          <w:sz w:val="24"/>
          <w:szCs w:val="24"/>
        </w:rPr>
        <w:t xml:space="preserve"> 196 F.3d 1140, 1145 (10</w:t>
      </w:r>
      <w:r w:rsidRPr="00D30894">
        <w:rPr>
          <w:rFonts w:eastAsia="Times New Roman"/>
          <w:sz w:val="24"/>
          <w:szCs w:val="24"/>
        </w:rPr>
        <w:t>th</w:t>
      </w:r>
      <w:r w:rsidRPr="003E773D">
        <w:rPr>
          <w:rFonts w:eastAsia="Times New Roman"/>
          <w:sz w:val="24"/>
          <w:szCs w:val="24"/>
        </w:rPr>
        <w:t xml:space="preserve"> Cir. 1999) (“Once the offer was rejected, it must be renewed again in its entirety before it can be accepted.”); </w:t>
      </w:r>
      <w:r w:rsidRPr="003E773D">
        <w:rPr>
          <w:rFonts w:eastAsia="Times New Roman"/>
          <w:b/>
          <w:sz w:val="24"/>
          <w:szCs w:val="24"/>
        </w:rPr>
        <w:t>Scoular Co. v. Denney</w:t>
      </w:r>
      <w:r w:rsidRPr="003E773D">
        <w:rPr>
          <w:rFonts w:eastAsia="Times New Roman"/>
          <w:sz w:val="24"/>
          <w:szCs w:val="24"/>
        </w:rPr>
        <w:t xml:space="preserve">, 151 P.3d 615 (Colo. App. 2006); </w:t>
      </w:r>
      <w:r w:rsidRPr="003E773D">
        <w:rPr>
          <w:rFonts w:eastAsia="Times New Roman"/>
          <w:b/>
          <w:iCs/>
          <w:sz w:val="24"/>
          <w:szCs w:val="24"/>
        </w:rPr>
        <w:t>Sigrist</w:t>
      </w:r>
      <w:r w:rsidRPr="003E773D">
        <w:rPr>
          <w:rFonts w:eastAsia="Times New Roman"/>
          <w:iCs/>
          <w:sz w:val="24"/>
          <w:szCs w:val="24"/>
        </w:rPr>
        <w:t>,</w:t>
      </w:r>
      <w:r w:rsidRPr="003E773D">
        <w:rPr>
          <w:rFonts w:eastAsia="Times New Roman"/>
          <w:sz w:val="24"/>
          <w:szCs w:val="24"/>
        </w:rPr>
        <w:t xml:space="preserve"> 519 P.2d at 363 (“Offers to enter into either bilateral or unilateral contracts may not be revoked after acceptance.”); </w:t>
      </w:r>
      <w:r w:rsidRPr="003E773D">
        <w:rPr>
          <w:rFonts w:eastAsia="Times New Roman"/>
          <w:b/>
          <w:iCs/>
          <w:sz w:val="24"/>
          <w:szCs w:val="24"/>
        </w:rPr>
        <w:t>Central Inv. Corp. v. Container Adver. Co.</w:t>
      </w:r>
      <w:r w:rsidRPr="003E773D">
        <w:rPr>
          <w:rFonts w:eastAsia="Times New Roman"/>
          <w:sz w:val="24"/>
          <w:szCs w:val="24"/>
        </w:rPr>
        <w:t>, 28 Colo. App. 184, 187, 471 P.2d 647, 648 (1970) (“The test for an offer’s duration in the absence of an express or implied limitation is a ‘reasonable time.’”).</w:t>
      </w:r>
    </w:p>
    <w:p w14:paraId="088A72EA" w14:textId="77777777" w:rsidR="00A22F5A" w:rsidRDefault="00A22F5A">
      <w:pPr>
        <w:rPr>
          <w:rFonts w:eastAsia="Times New Roman"/>
          <w:bCs/>
          <w:sz w:val="24"/>
          <w:szCs w:val="24"/>
        </w:rPr>
      </w:pPr>
      <w:r>
        <w:rPr>
          <w:rFonts w:eastAsia="Times New Roman"/>
          <w:bCs/>
          <w:sz w:val="24"/>
          <w:szCs w:val="24"/>
        </w:rPr>
        <w:br w:type="page"/>
      </w:r>
    </w:p>
    <w:p w14:paraId="42673E38" w14:textId="77777777" w:rsidR="00A22F5A" w:rsidRPr="009E3DA4" w:rsidRDefault="00C018F8" w:rsidP="00A22F5A">
      <w:pPr>
        <w:spacing w:after="240"/>
        <w:ind w:left="720" w:hanging="720"/>
        <w:rPr>
          <w:rFonts w:eastAsia="Times New Roman"/>
          <w:b/>
          <w:sz w:val="24"/>
          <w:szCs w:val="24"/>
        </w:rPr>
      </w:pPr>
      <w:bookmarkStart w:id="5" w:name="a30_05"/>
      <w:bookmarkEnd w:id="5"/>
      <w:r w:rsidRPr="00C018F8">
        <w:rPr>
          <w:rFonts w:eastAsia="Times New Roman"/>
          <w:b/>
          <w:sz w:val="24"/>
          <w:szCs w:val="24"/>
        </w:rPr>
        <w:lastRenderedPageBreak/>
        <w:t>30:5</w:t>
      </w:r>
      <w:r w:rsidRPr="00C018F8">
        <w:rPr>
          <w:rFonts w:eastAsia="Times New Roman"/>
          <w:b/>
          <w:sz w:val="24"/>
          <w:szCs w:val="24"/>
        </w:rPr>
        <w:tab/>
        <w:t>CONTRACT FORMATION ― COUNTEROFFER</w:t>
      </w:r>
    </w:p>
    <w:p w14:paraId="0DCAC190" w14:textId="77777777" w:rsidR="00C018F8" w:rsidRPr="00C018F8" w:rsidRDefault="00C018F8" w:rsidP="00A22F5A">
      <w:pPr>
        <w:spacing w:after="240"/>
        <w:ind w:firstLine="720"/>
        <w:rPr>
          <w:rFonts w:eastAsia="Times New Roman"/>
          <w:sz w:val="24"/>
          <w:szCs w:val="24"/>
        </w:rPr>
      </w:pPr>
      <w:r w:rsidRPr="00C018F8">
        <w:rPr>
          <w:rFonts w:eastAsia="Times New Roman"/>
          <w:b/>
          <w:sz w:val="24"/>
          <w:szCs w:val="24"/>
        </w:rPr>
        <w:t>If the person to whom an offer is made changes the offer in any way, that is a counteroffer. Unless that counteroffer is accepted, no contract is made.</w:t>
      </w:r>
    </w:p>
    <w:p w14:paraId="36707546" w14:textId="77777777" w:rsidR="00A22F5A" w:rsidRDefault="00A22F5A" w:rsidP="00A22F5A">
      <w:pPr>
        <w:jc w:val="center"/>
        <w:rPr>
          <w:rFonts w:eastAsia="Times New Roman"/>
          <w:sz w:val="24"/>
          <w:szCs w:val="24"/>
        </w:rPr>
      </w:pPr>
    </w:p>
    <w:p w14:paraId="134FCE9B" w14:textId="77777777" w:rsidR="00A22F5A" w:rsidRPr="0054263B" w:rsidRDefault="00A22F5A" w:rsidP="00A22F5A">
      <w:pPr>
        <w:keepNext/>
        <w:spacing w:after="240"/>
        <w:jc w:val="center"/>
        <w:rPr>
          <w:rFonts w:eastAsia="Times New Roman"/>
          <w:b/>
          <w:sz w:val="24"/>
          <w:szCs w:val="24"/>
        </w:rPr>
      </w:pPr>
      <w:r w:rsidRPr="0054263B">
        <w:rPr>
          <w:rFonts w:eastAsia="Times New Roman"/>
          <w:b/>
          <w:sz w:val="24"/>
          <w:szCs w:val="24"/>
        </w:rPr>
        <w:t>Notes on Use</w:t>
      </w:r>
    </w:p>
    <w:p w14:paraId="77B5D16B"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1. Changes or additions to an offer may be a counteroffer that may be accepted to form a contract. This instruction may be appropriately modified for cases involving issues of acceptance of counteroffers.</w:t>
      </w:r>
    </w:p>
    <w:p w14:paraId="152FF028"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 xml:space="preserve">2. Cases involving offers and counteroffers in real estate transactions and with real estate agents may require more detailed factual findings and this instruction may need to be appropriately modified. </w:t>
      </w:r>
      <w:r w:rsidRPr="00C018F8">
        <w:rPr>
          <w:rFonts w:eastAsia="Times New Roman"/>
          <w:bCs/>
          <w:i/>
          <w:sz w:val="24"/>
          <w:szCs w:val="24"/>
        </w:rPr>
        <w:t>See</w:t>
      </w:r>
      <w:r w:rsidRPr="00C018F8">
        <w:rPr>
          <w:rFonts w:eastAsia="Times New Roman"/>
          <w:bCs/>
          <w:sz w:val="24"/>
          <w:szCs w:val="24"/>
        </w:rPr>
        <w:t xml:space="preserve"> </w:t>
      </w:r>
      <w:r w:rsidRPr="00C018F8">
        <w:rPr>
          <w:rFonts w:eastAsia="Times New Roman"/>
          <w:b/>
          <w:bCs/>
          <w:sz w:val="24"/>
          <w:szCs w:val="24"/>
        </w:rPr>
        <w:t>Stortroen v. Beneficial Fin. Co.</w:t>
      </w:r>
      <w:r w:rsidRPr="00C018F8">
        <w:rPr>
          <w:rFonts w:eastAsia="Times New Roman"/>
          <w:bCs/>
          <w:sz w:val="24"/>
          <w:szCs w:val="24"/>
        </w:rPr>
        <w:t>, 736 P.2d 391 (Colo. 1987).</w:t>
      </w:r>
    </w:p>
    <w:p w14:paraId="6B1CF2CA" w14:textId="77777777" w:rsidR="00A22F5A" w:rsidRPr="0054263B" w:rsidRDefault="00A22F5A" w:rsidP="00A22F5A">
      <w:pPr>
        <w:keepNext/>
        <w:spacing w:after="240"/>
        <w:jc w:val="center"/>
        <w:rPr>
          <w:rFonts w:eastAsia="Times New Roman"/>
          <w:b/>
          <w:sz w:val="24"/>
          <w:szCs w:val="24"/>
        </w:rPr>
      </w:pPr>
      <w:r>
        <w:rPr>
          <w:rFonts w:eastAsia="Times New Roman"/>
          <w:b/>
          <w:sz w:val="24"/>
          <w:szCs w:val="24"/>
        </w:rPr>
        <w:t>Source and Authority</w:t>
      </w:r>
    </w:p>
    <w:p w14:paraId="509B1B6E"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1.</w:t>
      </w:r>
      <w:r w:rsidRPr="00C018F8">
        <w:rPr>
          <w:rFonts w:eastAsia="Times New Roman"/>
          <w:b/>
          <w:bCs/>
          <w:sz w:val="24"/>
          <w:szCs w:val="24"/>
        </w:rPr>
        <w:t xml:space="preserve"> </w:t>
      </w:r>
      <w:r w:rsidRPr="00C018F8">
        <w:rPr>
          <w:rFonts w:eastAsia="Times New Roman"/>
          <w:bCs/>
          <w:sz w:val="24"/>
          <w:szCs w:val="24"/>
        </w:rPr>
        <w:t xml:space="preserve">This instruction is supported by </w:t>
      </w:r>
      <w:r w:rsidRPr="00C018F8">
        <w:rPr>
          <w:rFonts w:eastAsia="Times New Roman"/>
          <w:b/>
          <w:bCs/>
          <w:sz w:val="24"/>
          <w:szCs w:val="24"/>
        </w:rPr>
        <w:t>Baldwin v. Peters, Writer &amp; Christensen</w:t>
      </w:r>
      <w:r w:rsidRPr="00C018F8">
        <w:rPr>
          <w:rFonts w:eastAsia="Times New Roman"/>
          <w:bCs/>
          <w:sz w:val="24"/>
          <w:szCs w:val="24"/>
        </w:rPr>
        <w:t xml:space="preserve">, 141 Colo. 529, 349 P.2d 146 (1960); Van </w:t>
      </w:r>
      <w:r w:rsidRPr="00C018F8">
        <w:rPr>
          <w:rFonts w:eastAsia="Times New Roman"/>
          <w:b/>
          <w:bCs/>
          <w:sz w:val="24"/>
          <w:szCs w:val="24"/>
        </w:rPr>
        <w:t>Hall v. Gehrke</w:t>
      </w:r>
      <w:r w:rsidRPr="00C018F8">
        <w:rPr>
          <w:rFonts w:eastAsia="Times New Roman"/>
          <w:bCs/>
          <w:sz w:val="24"/>
          <w:szCs w:val="24"/>
        </w:rPr>
        <w:t xml:space="preserve">, 117 Colo. 223, 185 P.2d 1016 (1947); and </w:t>
      </w:r>
      <w:r w:rsidRPr="00C018F8">
        <w:rPr>
          <w:rFonts w:eastAsia="Times New Roman"/>
          <w:b/>
          <w:bCs/>
          <w:sz w:val="24"/>
          <w:szCs w:val="24"/>
        </w:rPr>
        <w:t>Yorty v. Mortgage Finance, Inc.</w:t>
      </w:r>
      <w:r w:rsidRPr="00C018F8">
        <w:rPr>
          <w:rFonts w:eastAsia="Times New Roman"/>
          <w:bCs/>
          <w:sz w:val="24"/>
          <w:szCs w:val="24"/>
        </w:rPr>
        <w:t>, 29 Colo. App. 398, 485 P.2d 915 (1971).</w:t>
      </w:r>
    </w:p>
    <w:p w14:paraId="6978221A" w14:textId="77777777" w:rsidR="00C018F8" w:rsidRDefault="00C018F8" w:rsidP="00C018F8">
      <w:pPr>
        <w:spacing w:after="240"/>
        <w:ind w:firstLine="720"/>
        <w:rPr>
          <w:rFonts w:eastAsia="Times New Roman"/>
          <w:bCs/>
          <w:sz w:val="24"/>
          <w:szCs w:val="24"/>
        </w:rPr>
      </w:pPr>
      <w:r w:rsidRPr="00C018F8">
        <w:rPr>
          <w:rFonts w:eastAsia="Times New Roman"/>
          <w:bCs/>
          <w:sz w:val="24"/>
          <w:szCs w:val="24"/>
        </w:rPr>
        <w:t xml:space="preserve">2. Contract principles of offer, acceptance, and counteroffer do not control offers of settlement and counteroffers under section 13-17-202, C.R.S. </w:t>
      </w:r>
      <w:r w:rsidRPr="00C018F8">
        <w:rPr>
          <w:rFonts w:eastAsia="Times New Roman"/>
          <w:b/>
          <w:bCs/>
          <w:sz w:val="24"/>
          <w:szCs w:val="24"/>
        </w:rPr>
        <w:t>Centric-Jones Co. v. Hufnagel</w:t>
      </w:r>
      <w:r w:rsidRPr="00C018F8">
        <w:rPr>
          <w:rFonts w:eastAsia="Times New Roman"/>
          <w:bCs/>
          <w:sz w:val="24"/>
          <w:szCs w:val="24"/>
        </w:rPr>
        <w:t>, 848 P.2d 942 (Colo. 1993).</w:t>
      </w:r>
    </w:p>
    <w:p w14:paraId="40C122CD" w14:textId="77777777" w:rsidR="00C018F8" w:rsidRDefault="00C018F8">
      <w:pPr>
        <w:rPr>
          <w:rFonts w:eastAsia="Times New Roman"/>
          <w:bCs/>
          <w:sz w:val="24"/>
          <w:szCs w:val="24"/>
        </w:rPr>
      </w:pPr>
      <w:r>
        <w:rPr>
          <w:rFonts w:eastAsia="Times New Roman"/>
          <w:bCs/>
          <w:sz w:val="24"/>
          <w:szCs w:val="24"/>
        </w:rPr>
        <w:br w:type="page"/>
      </w:r>
    </w:p>
    <w:p w14:paraId="4C60E6C4" w14:textId="77777777" w:rsidR="00C018F8" w:rsidRPr="009E3DA4" w:rsidRDefault="00C018F8" w:rsidP="00C018F8">
      <w:pPr>
        <w:spacing w:after="240"/>
        <w:ind w:left="720" w:hanging="720"/>
        <w:rPr>
          <w:rFonts w:eastAsia="Times New Roman"/>
          <w:b/>
          <w:sz w:val="24"/>
          <w:szCs w:val="24"/>
        </w:rPr>
      </w:pPr>
      <w:bookmarkStart w:id="6" w:name="a30_06"/>
      <w:bookmarkEnd w:id="6"/>
      <w:r w:rsidRPr="00C018F8">
        <w:rPr>
          <w:rFonts w:eastAsia="Times New Roman"/>
          <w:b/>
          <w:sz w:val="24"/>
          <w:szCs w:val="24"/>
        </w:rPr>
        <w:lastRenderedPageBreak/>
        <w:t xml:space="preserve">30:6 </w:t>
      </w:r>
      <w:r w:rsidRPr="00C018F8">
        <w:rPr>
          <w:rFonts w:eastAsia="Times New Roman"/>
          <w:b/>
          <w:sz w:val="24"/>
          <w:szCs w:val="24"/>
        </w:rPr>
        <w:tab/>
        <w:t>CONTRACT FORMATION ― ACCEPTANCE</w:t>
      </w:r>
    </w:p>
    <w:p w14:paraId="3C81D44E" w14:textId="77777777" w:rsidR="00C018F8" w:rsidRPr="00C018F8" w:rsidRDefault="00C018F8" w:rsidP="00C018F8">
      <w:pPr>
        <w:spacing w:after="240"/>
        <w:ind w:firstLine="720"/>
        <w:rPr>
          <w:rFonts w:eastAsia="Times New Roman"/>
          <w:b/>
          <w:sz w:val="24"/>
          <w:szCs w:val="24"/>
        </w:rPr>
      </w:pPr>
      <w:r w:rsidRPr="00C018F8">
        <w:rPr>
          <w:rFonts w:eastAsia="Times New Roman"/>
          <w:b/>
          <w:sz w:val="24"/>
          <w:szCs w:val="24"/>
        </w:rPr>
        <w:t xml:space="preserve">A contract is formed when the offer is accepted without (changes) (additions). An acceptance is an expression, by words or conduct, by the person to whom the offer was made, of agreement to the same terms stated in the offer. </w:t>
      </w:r>
    </w:p>
    <w:p w14:paraId="5BBA8BC7" w14:textId="77777777" w:rsidR="00C018F8" w:rsidRDefault="00C018F8" w:rsidP="00C018F8">
      <w:pPr>
        <w:jc w:val="center"/>
        <w:rPr>
          <w:rFonts w:eastAsia="Times New Roman"/>
          <w:sz w:val="24"/>
          <w:szCs w:val="24"/>
        </w:rPr>
      </w:pPr>
    </w:p>
    <w:p w14:paraId="1E912A29" w14:textId="77777777" w:rsidR="00C018F8" w:rsidRPr="0054263B" w:rsidRDefault="00C018F8" w:rsidP="00C018F8">
      <w:pPr>
        <w:keepNext/>
        <w:spacing w:after="240"/>
        <w:jc w:val="center"/>
        <w:rPr>
          <w:rFonts w:eastAsia="Times New Roman"/>
          <w:b/>
          <w:sz w:val="24"/>
          <w:szCs w:val="24"/>
        </w:rPr>
      </w:pPr>
      <w:r w:rsidRPr="0054263B">
        <w:rPr>
          <w:rFonts w:eastAsia="Times New Roman"/>
          <w:b/>
          <w:sz w:val="24"/>
          <w:szCs w:val="24"/>
        </w:rPr>
        <w:t>Notes on Use</w:t>
      </w:r>
    </w:p>
    <w:p w14:paraId="420B2AB4"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1. Omit any parenthesized clause that is not applicable to the evidence in the case.</w:t>
      </w:r>
    </w:p>
    <w:p w14:paraId="417223FE"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2. When Instruction 30:3 (offer) is given, this instruction must also be given.</w:t>
      </w:r>
    </w:p>
    <w:p w14:paraId="52DB90A1"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 xml:space="preserve">3. For modifications required in cases involving the sale of goods, see sections 4-2-206 and 4-2-207, C.R.S. </w:t>
      </w:r>
      <w:r w:rsidRPr="00C018F8">
        <w:rPr>
          <w:rFonts w:eastAsia="Times New Roman"/>
          <w:bCs/>
          <w:i/>
          <w:sz w:val="24"/>
          <w:szCs w:val="24"/>
        </w:rPr>
        <w:t>See, e.g.</w:t>
      </w:r>
      <w:r w:rsidRPr="00C018F8">
        <w:rPr>
          <w:rFonts w:eastAsia="Times New Roman"/>
          <w:bCs/>
          <w:sz w:val="24"/>
          <w:szCs w:val="24"/>
        </w:rPr>
        <w:t>,</w:t>
      </w:r>
      <w:r w:rsidRPr="00C018F8">
        <w:rPr>
          <w:rFonts w:eastAsia="Times New Roman"/>
          <w:bCs/>
          <w:i/>
          <w:sz w:val="24"/>
          <w:szCs w:val="24"/>
        </w:rPr>
        <w:t xml:space="preserve"> </w:t>
      </w:r>
      <w:r w:rsidRPr="00C018F8">
        <w:rPr>
          <w:rFonts w:eastAsia="Times New Roman"/>
          <w:b/>
          <w:bCs/>
          <w:sz w:val="24"/>
          <w:szCs w:val="24"/>
        </w:rPr>
        <w:t>Scoular Co. v. Denney</w:t>
      </w:r>
      <w:r w:rsidRPr="00C018F8">
        <w:rPr>
          <w:rFonts w:eastAsia="Times New Roman"/>
          <w:bCs/>
          <w:sz w:val="24"/>
          <w:szCs w:val="24"/>
        </w:rPr>
        <w:t>,</w:t>
      </w:r>
      <w:r w:rsidRPr="00C018F8">
        <w:rPr>
          <w:rFonts w:eastAsia="Times New Roman"/>
          <w:b/>
          <w:bCs/>
          <w:sz w:val="24"/>
          <w:szCs w:val="24"/>
        </w:rPr>
        <w:t xml:space="preserve"> </w:t>
      </w:r>
      <w:r w:rsidRPr="00C018F8">
        <w:rPr>
          <w:rFonts w:eastAsia="Times New Roman"/>
          <w:bCs/>
          <w:sz w:val="24"/>
          <w:szCs w:val="24"/>
        </w:rPr>
        <w:t>151 P.3d 615 (Colo. App. 2006) (interpreting statute).</w:t>
      </w:r>
    </w:p>
    <w:p w14:paraId="4C4843A9" w14:textId="77777777" w:rsidR="00C018F8" w:rsidRPr="0054263B" w:rsidRDefault="00C018F8" w:rsidP="00C018F8">
      <w:pPr>
        <w:keepNext/>
        <w:spacing w:after="240"/>
        <w:jc w:val="center"/>
        <w:rPr>
          <w:rFonts w:eastAsia="Times New Roman"/>
          <w:b/>
          <w:sz w:val="24"/>
          <w:szCs w:val="24"/>
        </w:rPr>
      </w:pPr>
      <w:r>
        <w:rPr>
          <w:rFonts w:eastAsia="Times New Roman"/>
          <w:b/>
          <w:sz w:val="24"/>
          <w:szCs w:val="24"/>
        </w:rPr>
        <w:t>Source and Authority</w:t>
      </w:r>
    </w:p>
    <w:p w14:paraId="0B5875B3"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 xml:space="preserve">This instruction is supported by </w:t>
      </w:r>
      <w:r w:rsidRPr="00C018F8">
        <w:rPr>
          <w:rFonts w:eastAsia="Times New Roman"/>
          <w:b/>
          <w:bCs/>
          <w:sz w:val="24"/>
          <w:szCs w:val="24"/>
        </w:rPr>
        <w:t>Nucla Sanitation District v. Rippy</w:t>
      </w:r>
      <w:r w:rsidRPr="00C018F8">
        <w:rPr>
          <w:rFonts w:eastAsia="Times New Roman"/>
          <w:bCs/>
          <w:sz w:val="24"/>
          <w:szCs w:val="24"/>
        </w:rPr>
        <w:t xml:space="preserve">, 140 Colo. 444, 449, 344 P.2d 976, 979 (1959) (“the acceptance must be in the identical terms of the offer, without any modification whatever”). </w:t>
      </w:r>
      <w:r w:rsidRPr="00C018F8">
        <w:rPr>
          <w:rFonts w:eastAsia="Times New Roman"/>
          <w:bCs/>
          <w:i/>
          <w:sz w:val="24"/>
          <w:szCs w:val="24"/>
        </w:rPr>
        <w:t xml:space="preserve">See also </w:t>
      </w:r>
      <w:r w:rsidRPr="00C018F8">
        <w:rPr>
          <w:rFonts w:eastAsia="Times New Roman"/>
          <w:b/>
          <w:bCs/>
          <w:sz w:val="24"/>
          <w:szCs w:val="24"/>
        </w:rPr>
        <w:t>Baldwin v. Peters, Writer &amp; Christensen</w:t>
      </w:r>
      <w:r w:rsidRPr="00C018F8">
        <w:rPr>
          <w:rFonts w:eastAsia="Times New Roman"/>
          <w:bCs/>
          <w:sz w:val="24"/>
          <w:szCs w:val="24"/>
        </w:rPr>
        <w:t xml:space="preserve">, 141 Colo. 529, 349 P.2d 146 (1960); </w:t>
      </w:r>
      <w:r w:rsidRPr="00C018F8">
        <w:rPr>
          <w:rFonts w:eastAsia="Times New Roman"/>
          <w:b/>
          <w:bCs/>
          <w:sz w:val="24"/>
          <w:szCs w:val="24"/>
        </w:rPr>
        <w:t>Superior Distrib. Corp. v. Points</w:t>
      </w:r>
      <w:r w:rsidRPr="00C018F8">
        <w:rPr>
          <w:rFonts w:eastAsia="Times New Roman"/>
          <w:bCs/>
          <w:sz w:val="24"/>
          <w:szCs w:val="24"/>
        </w:rPr>
        <w:t xml:space="preserve">, 141 Colo. 113, 347 P.2d 140 (1959); </w:t>
      </w:r>
      <w:r w:rsidRPr="00C018F8">
        <w:rPr>
          <w:rFonts w:eastAsia="Times New Roman"/>
          <w:b/>
          <w:bCs/>
          <w:sz w:val="24"/>
          <w:szCs w:val="24"/>
        </w:rPr>
        <w:t>Van Hall v. Gehrke</w:t>
      </w:r>
      <w:r w:rsidRPr="00C018F8">
        <w:rPr>
          <w:rFonts w:eastAsia="Times New Roman"/>
          <w:bCs/>
          <w:sz w:val="24"/>
          <w:szCs w:val="24"/>
        </w:rPr>
        <w:t>,</w:t>
      </w:r>
      <w:r w:rsidRPr="00C018F8">
        <w:rPr>
          <w:rFonts w:eastAsia="Times New Roman"/>
          <w:b/>
          <w:bCs/>
          <w:sz w:val="24"/>
          <w:szCs w:val="24"/>
        </w:rPr>
        <w:t xml:space="preserve"> </w:t>
      </w:r>
      <w:r w:rsidRPr="00C018F8">
        <w:rPr>
          <w:rFonts w:eastAsia="Times New Roman"/>
          <w:bCs/>
          <w:sz w:val="24"/>
          <w:szCs w:val="24"/>
        </w:rPr>
        <w:t xml:space="preserve">117 Colo. 223, 185 P.2d 1016 (1947); </w:t>
      </w:r>
      <w:r w:rsidRPr="00C018F8">
        <w:rPr>
          <w:rFonts w:eastAsia="Times New Roman"/>
          <w:b/>
          <w:bCs/>
          <w:sz w:val="24"/>
          <w:szCs w:val="24"/>
        </w:rPr>
        <w:t>Salomon v. Webster</w:t>
      </w:r>
      <w:r w:rsidRPr="00C018F8">
        <w:rPr>
          <w:rFonts w:eastAsia="Times New Roman"/>
          <w:bCs/>
          <w:sz w:val="24"/>
          <w:szCs w:val="24"/>
        </w:rPr>
        <w:t xml:space="preserve">, 4 Colo. 353 (1878); </w:t>
      </w:r>
      <w:r w:rsidRPr="00C018F8">
        <w:rPr>
          <w:rFonts w:eastAsia="Times New Roman"/>
          <w:b/>
          <w:bCs/>
          <w:sz w:val="24"/>
          <w:szCs w:val="24"/>
        </w:rPr>
        <w:t>Yorty v. Mortgage Fin., Inc.</w:t>
      </w:r>
      <w:r w:rsidRPr="00C018F8">
        <w:rPr>
          <w:rFonts w:eastAsia="Times New Roman"/>
          <w:bCs/>
          <w:sz w:val="24"/>
          <w:szCs w:val="24"/>
        </w:rPr>
        <w:t>, 29 Colo. App. 398, 485 P.2d 915 (1971).</w:t>
      </w:r>
    </w:p>
    <w:p w14:paraId="5BA81C8E" w14:textId="77777777" w:rsidR="00C018F8" w:rsidRDefault="00C018F8">
      <w:pPr>
        <w:rPr>
          <w:rFonts w:eastAsia="Times New Roman"/>
          <w:bCs/>
          <w:sz w:val="24"/>
          <w:szCs w:val="24"/>
        </w:rPr>
      </w:pPr>
      <w:r>
        <w:rPr>
          <w:rFonts w:eastAsia="Times New Roman"/>
          <w:bCs/>
          <w:sz w:val="24"/>
          <w:szCs w:val="24"/>
        </w:rPr>
        <w:br w:type="page"/>
      </w:r>
    </w:p>
    <w:p w14:paraId="5B5C6D31" w14:textId="77777777" w:rsidR="00C018F8" w:rsidRPr="009E3DA4" w:rsidRDefault="00317364" w:rsidP="00C018F8">
      <w:pPr>
        <w:spacing w:after="240"/>
        <w:ind w:left="720" w:hanging="720"/>
        <w:rPr>
          <w:rFonts w:eastAsia="Times New Roman"/>
          <w:b/>
          <w:sz w:val="24"/>
          <w:szCs w:val="24"/>
        </w:rPr>
      </w:pPr>
      <w:bookmarkStart w:id="7" w:name="a30_07"/>
      <w:bookmarkEnd w:id="7"/>
      <w:r w:rsidRPr="00317364">
        <w:rPr>
          <w:rFonts w:eastAsia="Times New Roman"/>
          <w:b/>
          <w:sz w:val="24"/>
          <w:szCs w:val="24"/>
        </w:rPr>
        <w:lastRenderedPageBreak/>
        <w:t xml:space="preserve">30:7 </w:t>
      </w:r>
      <w:r w:rsidRPr="00317364">
        <w:rPr>
          <w:rFonts w:eastAsia="Times New Roman"/>
          <w:b/>
          <w:sz w:val="24"/>
          <w:szCs w:val="24"/>
        </w:rPr>
        <w:tab/>
        <w:t>CONTRACT FORMATION ― CONSIDERATION</w:t>
      </w:r>
    </w:p>
    <w:p w14:paraId="03D5E970" w14:textId="77777777" w:rsidR="00317364" w:rsidRPr="00317364" w:rsidRDefault="00317364" w:rsidP="00317364">
      <w:pPr>
        <w:spacing w:after="240"/>
        <w:ind w:firstLine="720"/>
        <w:rPr>
          <w:rFonts w:eastAsia="Times New Roman"/>
          <w:b/>
          <w:sz w:val="24"/>
          <w:szCs w:val="24"/>
        </w:rPr>
      </w:pPr>
      <w:r w:rsidRPr="00317364">
        <w:rPr>
          <w:rFonts w:eastAsia="Times New Roman"/>
          <w:b/>
          <w:sz w:val="24"/>
          <w:szCs w:val="24"/>
        </w:rPr>
        <w:t xml:space="preserve">“Consideration” is a benefit received or something given up as agreed upon between the parties. (If you find </w:t>
      </w:r>
      <w:r w:rsidRPr="00317364">
        <w:rPr>
          <w:rFonts w:eastAsia="Times New Roman"/>
          <w:i/>
          <w:sz w:val="24"/>
          <w:szCs w:val="24"/>
        </w:rPr>
        <w:t>[insert the claimed consideration]</w:t>
      </w:r>
      <w:r w:rsidRPr="00317364">
        <w:rPr>
          <w:rFonts w:eastAsia="Times New Roman"/>
          <w:sz w:val="24"/>
          <w:szCs w:val="24"/>
        </w:rPr>
        <w:t>,</w:t>
      </w:r>
      <w:r w:rsidRPr="00317364">
        <w:rPr>
          <w:rFonts w:eastAsia="Times New Roman"/>
          <w:b/>
          <w:sz w:val="24"/>
          <w:szCs w:val="24"/>
        </w:rPr>
        <w:t xml:space="preserve"> then you must find that there was consideration.)</w:t>
      </w:r>
    </w:p>
    <w:p w14:paraId="40693219" w14:textId="77777777" w:rsidR="00C018F8" w:rsidRDefault="00C018F8" w:rsidP="00C018F8">
      <w:pPr>
        <w:jc w:val="center"/>
        <w:rPr>
          <w:rFonts w:eastAsia="Times New Roman"/>
          <w:sz w:val="24"/>
          <w:szCs w:val="24"/>
        </w:rPr>
      </w:pPr>
    </w:p>
    <w:p w14:paraId="1EB3BCB4" w14:textId="77777777" w:rsidR="00C018F8" w:rsidRPr="0054263B" w:rsidRDefault="00C018F8" w:rsidP="00C018F8">
      <w:pPr>
        <w:keepNext/>
        <w:spacing w:after="240"/>
        <w:jc w:val="center"/>
        <w:rPr>
          <w:rFonts w:eastAsia="Times New Roman"/>
          <w:b/>
          <w:sz w:val="24"/>
          <w:szCs w:val="24"/>
        </w:rPr>
      </w:pPr>
      <w:r w:rsidRPr="0054263B">
        <w:rPr>
          <w:rFonts w:eastAsia="Times New Roman"/>
          <w:b/>
          <w:sz w:val="24"/>
          <w:szCs w:val="24"/>
        </w:rPr>
        <w:t>Notes on Use</w:t>
      </w:r>
    </w:p>
    <w:p w14:paraId="705B1423"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This instruction should be used when Instruction 30:1 (in dispute) is given.</w:t>
      </w:r>
    </w:p>
    <w:p w14:paraId="71207F3E" w14:textId="77777777" w:rsidR="00C018F8" w:rsidRPr="0054263B" w:rsidRDefault="00C018F8" w:rsidP="00C018F8">
      <w:pPr>
        <w:keepNext/>
        <w:spacing w:after="240"/>
        <w:jc w:val="center"/>
        <w:rPr>
          <w:rFonts w:eastAsia="Times New Roman"/>
          <w:b/>
          <w:sz w:val="24"/>
          <w:szCs w:val="24"/>
        </w:rPr>
      </w:pPr>
      <w:r>
        <w:rPr>
          <w:rFonts w:eastAsia="Times New Roman"/>
          <w:b/>
          <w:sz w:val="24"/>
          <w:szCs w:val="24"/>
        </w:rPr>
        <w:t>Source and Authority</w:t>
      </w:r>
    </w:p>
    <w:p w14:paraId="06BE6989" w14:textId="578A57AA"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1. This instruction is supported by </w:t>
      </w:r>
      <w:r w:rsidRPr="00317364">
        <w:rPr>
          <w:rFonts w:eastAsia="Times New Roman"/>
          <w:b/>
          <w:bCs/>
          <w:sz w:val="24"/>
          <w:szCs w:val="24"/>
        </w:rPr>
        <w:t>Troutman v. Webster</w:t>
      </w:r>
      <w:r w:rsidRPr="00317364">
        <w:rPr>
          <w:rFonts w:eastAsia="Times New Roman"/>
          <w:bCs/>
          <w:sz w:val="24"/>
          <w:szCs w:val="24"/>
        </w:rPr>
        <w:t xml:space="preserve">, 82 Colo. 93, 96, 257 P. 262, 263-64 (1927) (“[I]t is a consideration if the promisee, in return for a promise, does anything legal which he is not bound to do, or refrains from doing anything which he has a right to do, even though there is no actual loss or detriment to him or actual benefit to the promisor.”). The court also quoted 1 </w:t>
      </w:r>
      <w:r w:rsidRPr="00317364">
        <w:rPr>
          <w:rFonts w:eastAsia="Times New Roman"/>
          <w:bCs/>
          <w:smallCaps/>
          <w:sz w:val="24"/>
          <w:szCs w:val="24"/>
        </w:rPr>
        <w:t>Williston, Contracts</w:t>
      </w:r>
      <w:r w:rsidRPr="00317364">
        <w:rPr>
          <w:rFonts w:eastAsia="Times New Roman"/>
          <w:bCs/>
          <w:sz w:val="24"/>
          <w:szCs w:val="24"/>
        </w:rPr>
        <w:t xml:space="preserve"> § 102a (1924), to the effect that “[d]etriment . . . means legal detriment as distinguished from detriment in fact.” </w:t>
      </w:r>
      <w:r w:rsidRPr="00317364">
        <w:rPr>
          <w:rFonts w:eastAsia="Times New Roman"/>
          <w:b/>
          <w:bCs/>
          <w:sz w:val="24"/>
          <w:szCs w:val="24"/>
        </w:rPr>
        <w:t>Troutman</w:t>
      </w:r>
      <w:r w:rsidRPr="00317364">
        <w:rPr>
          <w:rFonts w:eastAsia="Times New Roman"/>
          <w:bCs/>
          <w:sz w:val="24"/>
          <w:szCs w:val="24"/>
        </w:rPr>
        <w:t xml:space="preserve">, 82 Colo. at 96, 257 P. at 264; </w:t>
      </w:r>
      <w:r w:rsidRPr="00317364">
        <w:rPr>
          <w:rFonts w:eastAsia="Times New Roman"/>
          <w:bCs/>
          <w:i/>
          <w:sz w:val="24"/>
          <w:szCs w:val="24"/>
        </w:rPr>
        <w:t>see also</w:t>
      </w:r>
      <w:r w:rsidRPr="00317364">
        <w:rPr>
          <w:rFonts w:eastAsia="Times New Roman"/>
          <w:bCs/>
          <w:sz w:val="24"/>
          <w:szCs w:val="24"/>
        </w:rPr>
        <w:t xml:space="preserve"> </w:t>
      </w:r>
      <w:r w:rsidRPr="00317364">
        <w:rPr>
          <w:rFonts w:eastAsia="Times New Roman"/>
          <w:b/>
          <w:bCs/>
          <w:sz w:val="24"/>
          <w:szCs w:val="24"/>
        </w:rPr>
        <w:t>Ireland v. Jacobs</w:t>
      </w:r>
      <w:r w:rsidRPr="00317364">
        <w:rPr>
          <w:rFonts w:eastAsia="Times New Roman"/>
          <w:bCs/>
          <w:sz w:val="24"/>
          <w:szCs w:val="24"/>
        </w:rPr>
        <w:t xml:space="preserve">, 114 Colo. 168, 163 P.2d 203 (1945) (An agreement not supported by consideration is invalid and void.); </w:t>
      </w:r>
      <w:r w:rsidRPr="00317364">
        <w:rPr>
          <w:rFonts w:eastAsia="Times New Roman"/>
          <w:b/>
          <w:bCs/>
          <w:sz w:val="24"/>
          <w:szCs w:val="24"/>
        </w:rPr>
        <w:t>Cooper v. Cooper</w:t>
      </w:r>
      <w:r w:rsidRPr="00317364">
        <w:rPr>
          <w:rFonts w:eastAsia="Times New Roman"/>
          <w:bCs/>
          <w:sz w:val="24"/>
          <w:szCs w:val="24"/>
        </w:rPr>
        <w:t xml:space="preserve">, 112 Colo. 140, 146 P.2d 986 (1944) (recognizing the legal detriment rule). </w:t>
      </w:r>
    </w:p>
    <w:p w14:paraId="51E3518F" w14:textId="60C2FCDD"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2. This instruction was cited with approval in </w:t>
      </w:r>
      <w:r w:rsidRPr="00317364">
        <w:rPr>
          <w:rFonts w:eastAsia="Times New Roman"/>
          <w:b/>
          <w:bCs/>
          <w:sz w:val="24"/>
          <w:szCs w:val="24"/>
        </w:rPr>
        <w:t>Compass Bank v. Kone</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1</w:t>
      </w:r>
      <w:r w:rsidR="003333C4">
        <w:rPr>
          <w:rFonts w:eastAsia="Times New Roman"/>
          <w:bCs/>
          <w:sz w:val="24"/>
          <w:szCs w:val="24"/>
        </w:rPr>
        <w:t>34 P.3d 500 (Colo. App. 2006).</w:t>
      </w:r>
    </w:p>
    <w:p w14:paraId="18BCBBE9"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3. While the Colorado courts’ definition of consideration has varied somewhat, in the majority of cases the “benefit-detriment” test has been used to determine if consideration existed. </w:t>
      </w:r>
      <w:r w:rsidRPr="00317364">
        <w:rPr>
          <w:rFonts w:eastAsia="Times New Roman"/>
          <w:bCs/>
          <w:i/>
          <w:sz w:val="24"/>
          <w:szCs w:val="24"/>
        </w:rPr>
        <w:t>See, e.g</w:t>
      </w:r>
      <w:r w:rsidRPr="00317364">
        <w:rPr>
          <w:rFonts w:eastAsia="Times New Roman"/>
          <w:bCs/>
          <w:sz w:val="24"/>
          <w:szCs w:val="24"/>
        </w:rPr>
        <w:t xml:space="preserve">., </w:t>
      </w:r>
      <w:r w:rsidRPr="00317364">
        <w:rPr>
          <w:rFonts w:eastAsia="Times New Roman"/>
          <w:b/>
          <w:bCs/>
          <w:sz w:val="24"/>
          <w:szCs w:val="24"/>
        </w:rPr>
        <w:t>Gertner v. Limon Nat’l Bank</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82 Colo. 13, 257 P. 247 (1927); </w:t>
      </w:r>
      <w:r w:rsidRPr="00317364">
        <w:rPr>
          <w:rFonts w:eastAsia="Times New Roman"/>
          <w:b/>
          <w:bCs/>
          <w:sz w:val="24"/>
          <w:szCs w:val="24"/>
        </w:rPr>
        <w:t>Luby v. Jefferson County Bank</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28 Colo. App. 441, 476 P.2d 292 (1970); </w:t>
      </w:r>
      <w:r w:rsidRPr="00317364">
        <w:rPr>
          <w:rFonts w:eastAsia="Times New Roman"/>
          <w:b/>
          <w:bCs/>
          <w:sz w:val="24"/>
          <w:szCs w:val="24"/>
        </w:rPr>
        <w:t>Fearnley v. De Mainville</w:t>
      </w:r>
      <w:r w:rsidRPr="00317364">
        <w:rPr>
          <w:rFonts w:eastAsia="Times New Roman"/>
          <w:bCs/>
          <w:sz w:val="24"/>
          <w:szCs w:val="24"/>
        </w:rPr>
        <w:t>, 5 Colo. App. 441, 39 P. 73 (1895).</w:t>
      </w:r>
    </w:p>
    <w:p w14:paraId="1B818EC5"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4. Another general definition of consideration appears in </w:t>
      </w:r>
      <w:r w:rsidRPr="00317364">
        <w:rPr>
          <w:rFonts w:eastAsia="Times New Roman"/>
          <w:b/>
          <w:bCs/>
          <w:sz w:val="24"/>
          <w:szCs w:val="24"/>
        </w:rPr>
        <w:t>Grimes v. Barndollar</w:t>
      </w:r>
      <w:r w:rsidRPr="00317364">
        <w:rPr>
          <w:rFonts w:eastAsia="Times New Roman"/>
          <w:bCs/>
          <w:sz w:val="24"/>
          <w:szCs w:val="24"/>
        </w:rPr>
        <w:t>, 58 Colo. 421, 148 P. 256 (1914), in which the court stated that any damage, suspension of a right, or possibility of loss to the one to whom the promise is made is a sufficient consideration to support the promise.</w:t>
      </w:r>
    </w:p>
    <w:p w14:paraId="544EED16"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5. Generally, a court will not look at the adequacy of the consideration, </w:t>
      </w:r>
      <w:r w:rsidRPr="00317364">
        <w:rPr>
          <w:rFonts w:eastAsia="Times New Roman"/>
          <w:b/>
          <w:bCs/>
          <w:sz w:val="24"/>
          <w:szCs w:val="24"/>
        </w:rPr>
        <w:t>Meyer v. Nelson</w:t>
      </w:r>
      <w:r w:rsidRPr="00317364">
        <w:rPr>
          <w:rFonts w:eastAsia="Times New Roman"/>
          <w:bCs/>
          <w:sz w:val="24"/>
          <w:szCs w:val="24"/>
        </w:rPr>
        <w:t xml:space="preserve">, 69 Colo. 56, 168 P. 1175 (1917), and, as a general rule, a statement of consideration is conclusive proof of that fact unless evidence to the contrary is introduced. </w:t>
      </w:r>
      <w:r w:rsidRPr="00317364">
        <w:rPr>
          <w:rFonts w:eastAsia="Times New Roman"/>
          <w:b/>
          <w:bCs/>
          <w:sz w:val="24"/>
          <w:szCs w:val="24"/>
        </w:rPr>
        <w:t>Burch v. Burch</w:t>
      </w:r>
      <w:r w:rsidRPr="00317364">
        <w:rPr>
          <w:rFonts w:eastAsia="Times New Roman"/>
          <w:bCs/>
          <w:sz w:val="24"/>
          <w:szCs w:val="24"/>
        </w:rPr>
        <w:t>, 145 Colo. 125, 358 P.2d 1011 (1960).</w:t>
      </w:r>
    </w:p>
    <w:p w14:paraId="72EA56CE" w14:textId="41F01A2C"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6. In several cases, courts have identified specific facts that may constitute sufficient consideration. For example, a seal in itself no longer imparts a valuable consideration. </w:t>
      </w:r>
      <w:r w:rsidRPr="00317364">
        <w:rPr>
          <w:rFonts w:eastAsia="Times New Roman"/>
          <w:b/>
          <w:bCs/>
          <w:sz w:val="24"/>
          <w:szCs w:val="24"/>
        </w:rPr>
        <w:t>Winter v. Goebner</w:t>
      </w:r>
      <w:r w:rsidRPr="00317364">
        <w:rPr>
          <w:rFonts w:eastAsia="Times New Roman"/>
          <w:bCs/>
          <w:sz w:val="24"/>
          <w:szCs w:val="24"/>
        </w:rPr>
        <w:t xml:space="preserve">, 2 Colo. App. 259, 30 P. 51 (1892), </w:t>
      </w:r>
      <w:r w:rsidRPr="00317364">
        <w:rPr>
          <w:rFonts w:eastAsia="Times New Roman"/>
          <w:bCs/>
          <w:i/>
          <w:sz w:val="24"/>
          <w:szCs w:val="24"/>
        </w:rPr>
        <w:t>aff’d</w:t>
      </w:r>
      <w:r w:rsidRPr="00317364">
        <w:rPr>
          <w:rFonts w:eastAsia="Times New Roman"/>
          <w:bCs/>
          <w:sz w:val="24"/>
          <w:szCs w:val="24"/>
        </w:rPr>
        <w:t xml:space="preserve">, 21 Colo. 279, 40 P. 570 (1895). Surrender of payment of a doubtful or a disputed claim is good consideration. </w:t>
      </w:r>
      <w:r w:rsidRPr="00317364">
        <w:rPr>
          <w:rFonts w:eastAsia="Times New Roman"/>
          <w:b/>
          <w:bCs/>
          <w:sz w:val="24"/>
          <w:szCs w:val="24"/>
        </w:rPr>
        <w:t>Harvey v. Denver</w:t>
      </w:r>
      <w:r w:rsidRPr="00317364">
        <w:rPr>
          <w:rFonts w:eastAsia="Times New Roman"/>
          <w:bCs/>
          <w:sz w:val="24"/>
          <w:szCs w:val="24"/>
        </w:rPr>
        <w:t xml:space="preserve"> </w:t>
      </w:r>
      <w:r w:rsidRPr="00317364">
        <w:rPr>
          <w:rFonts w:eastAsia="Times New Roman"/>
          <w:b/>
          <w:bCs/>
          <w:sz w:val="24"/>
          <w:szCs w:val="24"/>
        </w:rPr>
        <w:t>&amp; Rio Grande R.R.</w:t>
      </w:r>
      <w:r w:rsidRPr="00317364">
        <w:rPr>
          <w:rFonts w:eastAsia="Times New Roman"/>
          <w:bCs/>
          <w:sz w:val="24"/>
          <w:szCs w:val="24"/>
        </w:rPr>
        <w:t xml:space="preserve">, 44 Colo. 258, 99 P. 31 (1908); </w:t>
      </w:r>
      <w:r w:rsidRPr="00317364">
        <w:rPr>
          <w:rFonts w:eastAsia="Times New Roman"/>
          <w:b/>
          <w:bCs/>
          <w:sz w:val="24"/>
          <w:szCs w:val="24"/>
        </w:rPr>
        <w:t>Russell v. Daniels</w:t>
      </w:r>
      <w:r w:rsidRPr="00317364">
        <w:rPr>
          <w:rFonts w:eastAsia="Times New Roman"/>
          <w:bCs/>
          <w:sz w:val="24"/>
          <w:szCs w:val="24"/>
        </w:rPr>
        <w:t xml:space="preserve">, 5 Colo. App. 224, 37 P. 726 (1894). A promise for a promise is valid consideration, </w:t>
      </w:r>
      <w:r w:rsidRPr="00317364">
        <w:rPr>
          <w:rFonts w:eastAsia="Times New Roman"/>
          <w:b/>
          <w:bCs/>
          <w:sz w:val="24"/>
          <w:szCs w:val="24"/>
        </w:rPr>
        <w:t>Denver Indus. Corp. v. Kesselring</w:t>
      </w:r>
      <w:r w:rsidRPr="00317364">
        <w:rPr>
          <w:rFonts w:eastAsia="Times New Roman"/>
          <w:bCs/>
          <w:sz w:val="24"/>
          <w:szCs w:val="24"/>
        </w:rPr>
        <w:t xml:space="preserve">, 90 </w:t>
      </w:r>
      <w:r w:rsidRPr="00317364">
        <w:rPr>
          <w:rFonts w:eastAsia="Times New Roman"/>
          <w:bCs/>
          <w:sz w:val="24"/>
          <w:szCs w:val="24"/>
        </w:rPr>
        <w:lastRenderedPageBreak/>
        <w:t xml:space="preserve">Colo. 295, 8 P.2d 767 (1932), as is the forbearance of a right, </w:t>
      </w:r>
      <w:r w:rsidRPr="00317364">
        <w:rPr>
          <w:rFonts w:eastAsia="Times New Roman"/>
          <w:b/>
          <w:bCs/>
          <w:sz w:val="24"/>
          <w:szCs w:val="24"/>
        </w:rPr>
        <w:t>Leonard v. Hallett</w:t>
      </w:r>
      <w:r w:rsidRPr="00317364">
        <w:rPr>
          <w:rFonts w:eastAsia="Times New Roman"/>
          <w:bCs/>
          <w:sz w:val="24"/>
          <w:szCs w:val="24"/>
        </w:rPr>
        <w:t xml:space="preserve">, 57 Colo. 274, 141 P. 481 (1914). A preexisting liability is good consideration for a new promise, as is a benefit to a third party. </w:t>
      </w:r>
      <w:r w:rsidRPr="00317364">
        <w:rPr>
          <w:rFonts w:eastAsia="Times New Roman"/>
          <w:b/>
          <w:bCs/>
          <w:sz w:val="24"/>
          <w:szCs w:val="24"/>
        </w:rPr>
        <w:t>W. T. Rawleigh Co. v. Dickneite</w:t>
      </w:r>
      <w:r w:rsidRPr="00317364">
        <w:rPr>
          <w:rFonts w:eastAsia="Times New Roman"/>
          <w:bCs/>
          <w:sz w:val="24"/>
          <w:szCs w:val="24"/>
        </w:rPr>
        <w:t xml:space="preserve">, 99 Colo. 276, 61 P.2d 1028 (1936). Where an employment contract is terminable at the will of the employee, the employer’s promise to pay additional compensation is supported by consideration. </w:t>
      </w:r>
      <w:r w:rsidRPr="00317364">
        <w:rPr>
          <w:rFonts w:eastAsia="Times New Roman"/>
          <w:b/>
          <w:bCs/>
          <w:sz w:val="24"/>
          <w:szCs w:val="24"/>
        </w:rPr>
        <w:t>Olsen v. Bondurant &amp; Co.</w:t>
      </w:r>
      <w:r w:rsidRPr="00317364">
        <w:rPr>
          <w:rFonts w:eastAsia="Times New Roman"/>
          <w:bCs/>
          <w:sz w:val="24"/>
          <w:szCs w:val="24"/>
        </w:rPr>
        <w:t xml:space="preserve">, 759 P.2d 861 (Colo. App. 1988) (promise to another promisee, supported by consideration, to pay employees additional compensation as third-party beneficiaries, also provides consideration for that promise). Continued employment, without more, is not consideration for a later noncompete agreement. The continuation of an at-will employment arrangement by the employer is sufficient consideration for a noncompetition agreement presented to the employee after his or her initial hire. </w:t>
      </w:r>
      <w:r w:rsidRPr="00317364">
        <w:rPr>
          <w:rFonts w:eastAsia="Times New Roman"/>
          <w:b/>
          <w:bCs/>
          <w:sz w:val="24"/>
          <w:szCs w:val="24"/>
        </w:rPr>
        <w:t>Lucht’s Concrete Pumping, Inc. v. Horner</w:t>
      </w:r>
      <w:r w:rsidRPr="00317364">
        <w:rPr>
          <w:rFonts w:eastAsia="Times New Roman"/>
          <w:bCs/>
          <w:sz w:val="24"/>
          <w:szCs w:val="24"/>
        </w:rPr>
        <w:t>, 255 P.3d 1058 (Colo. 2011). And consideration is not insufficient merely beca</w:t>
      </w:r>
      <w:r w:rsidR="003333C4">
        <w:rPr>
          <w:rFonts w:eastAsia="Times New Roman"/>
          <w:bCs/>
          <w:sz w:val="24"/>
          <w:szCs w:val="24"/>
        </w:rPr>
        <w:t xml:space="preserve">use it comes from a third party. </w:t>
      </w:r>
      <w:r w:rsidRPr="00317364">
        <w:rPr>
          <w:rFonts w:eastAsia="Times New Roman"/>
          <w:b/>
          <w:bCs/>
          <w:sz w:val="24"/>
          <w:szCs w:val="24"/>
        </w:rPr>
        <w:t>Int’l Paper Co. v. Cohen</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126 P.3d 222 (Colo. App. 2005).</w:t>
      </w:r>
    </w:p>
    <w:p w14:paraId="231119AB"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7. At least one case has held that natural affection being the reason to agree to pay a loved one is sufficient consideration. </w:t>
      </w:r>
      <w:r w:rsidRPr="00317364">
        <w:rPr>
          <w:rFonts w:eastAsia="Times New Roman"/>
          <w:b/>
          <w:bCs/>
          <w:sz w:val="24"/>
          <w:szCs w:val="24"/>
        </w:rPr>
        <w:t>Dawley v. Dawley’s Estate</w:t>
      </w:r>
      <w:r w:rsidRPr="00317364">
        <w:rPr>
          <w:rFonts w:eastAsia="Times New Roman"/>
          <w:bCs/>
          <w:sz w:val="24"/>
          <w:szCs w:val="24"/>
        </w:rPr>
        <w:t xml:space="preserve">, 60 Colo. 73, 152 P. 1171 (1915). </w:t>
      </w:r>
      <w:r w:rsidRPr="00317364">
        <w:rPr>
          <w:rFonts w:eastAsia="Times New Roman"/>
          <w:bCs/>
          <w:i/>
          <w:sz w:val="24"/>
          <w:szCs w:val="24"/>
        </w:rPr>
        <w:t>But see</w:t>
      </w:r>
      <w:r w:rsidRPr="00317364">
        <w:rPr>
          <w:rFonts w:eastAsia="Times New Roman"/>
          <w:bCs/>
          <w:sz w:val="24"/>
          <w:szCs w:val="24"/>
        </w:rPr>
        <w:t xml:space="preserve"> </w:t>
      </w:r>
      <w:r w:rsidRPr="00317364">
        <w:rPr>
          <w:rFonts w:eastAsia="Times New Roman"/>
          <w:b/>
          <w:bCs/>
          <w:sz w:val="24"/>
          <w:szCs w:val="24"/>
        </w:rPr>
        <w:t>Rasmussen v. State Nat’l Bank</w:t>
      </w:r>
      <w:r w:rsidRPr="00317364">
        <w:rPr>
          <w:rFonts w:eastAsia="Times New Roman"/>
          <w:bCs/>
          <w:sz w:val="24"/>
          <w:szCs w:val="24"/>
        </w:rPr>
        <w:t>, 11 Colo. 301, 18 P. 28 (1888) (moral obligation alone is not sufficient consideration).</w:t>
      </w:r>
    </w:p>
    <w:p w14:paraId="62128046"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8. In general, past consideration is not always sufficient. </w:t>
      </w:r>
      <w:r w:rsidRPr="00317364">
        <w:rPr>
          <w:rFonts w:eastAsia="Times New Roman"/>
          <w:bCs/>
          <w:i/>
          <w:sz w:val="24"/>
          <w:szCs w:val="24"/>
        </w:rPr>
        <w:t>Compare</w:t>
      </w:r>
      <w:r w:rsidRPr="00317364">
        <w:rPr>
          <w:rFonts w:eastAsia="Times New Roman"/>
          <w:bCs/>
          <w:sz w:val="24"/>
          <w:szCs w:val="24"/>
        </w:rPr>
        <w:t xml:space="preserve"> </w:t>
      </w:r>
      <w:r w:rsidRPr="00317364">
        <w:rPr>
          <w:rFonts w:eastAsia="Times New Roman"/>
          <w:b/>
          <w:bCs/>
          <w:sz w:val="24"/>
          <w:szCs w:val="24"/>
        </w:rPr>
        <w:t>Plains Iron Works Co. v. Haggott</w:t>
      </w:r>
      <w:r w:rsidRPr="00317364">
        <w:rPr>
          <w:rFonts w:eastAsia="Times New Roman"/>
          <w:bCs/>
          <w:sz w:val="24"/>
          <w:szCs w:val="24"/>
        </w:rPr>
        <w:t xml:space="preserve">, 68 Colo. 121, 188 P. 735 (1920) (agreement was </w:t>
      </w:r>
      <w:r w:rsidRPr="00317364">
        <w:rPr>
          <w:rFonts w:eastAsia="Times New Roman"/>
          <w:bCs/>
          <w:i/>
          <w:sz w:val="24"/>
          <w:szCs w:val="24"/>
        </w:rPr>
        <w:t>nudum pactum</w:t>
      </w:r>
      <w:r w:rsidRPr="00317364">
        <w:rPr>
          <w:rFonts w:eastAsia="Times New Roman"/>
          <w:bCs/>
          <w:sz w:val="24"/>
          <w:szCs w:val="24"/>
        </w:rPr>
        <w:t xml:space="preserve"> because the consideration was past), </w:t>
      </w:r>
      <w:r w:rsidRPr="00317364">
        <w:rPr>
          <w:rFonts w:eastAsia="Times New Roman"/>
          <w:bCs/>
          <w:i/>
          <w:sz w:val="24"/>
          <w:szCs w:val="24"/>
        </w:rPr>
        <w:t>with</w:t>
      </w:r>
      <w:r w:rsidRPr="00317364">
        <w:rPr>
          <w:rFonts w:eastAsia="Times New Roman"/>
          <w:bCs/>
          <w:sz w:val="24"/>
          <w:szCs w:val="24"/>
        </w:rPr>
        <w:t xml:space="preserve"> </w:t>
      </w:r>
      <w:r w:rsidRPr="00317364">
        <w:rPr>
          <w:rFonts w:eastAsia="Times New Roman"/>
          <w:b/>
          <w:bCs/>
          <w:sz w:val="24"/>
          <w:szCs w:val="24"/>
        </w:rPr>
        <w:t>Sargent v. Crandall</w:t>
      </w:r>
      <w:r w:rsidRPr="00317364">
        <w:rPr>
          <w:rFonts w:eastAsia="Times New Roman"/>
          <w:bCs/>
          <w:sz w:val="24"/>
          <w:szCs w:val="24"/>
        </w:rPr>
        <w:t>, 143 Colo. 199, 352 P.2d 676 (1960) (past consideration may be sufficient consideration if the prior conduct that constitutes the past consideration was rendered at the promisor’s request).</w:t>
      </w:r>
    </w:p>
    <w:p w14:paraId="7ACFDE62"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9. If one party to an executory contract has no legally enforceable obligations or an unlimited right to determine the nature and extent of those obligations, the contract lacks mutuality of consideration and may, therefore, be unenforceable. </w:t>
      </w:r>
      <w:r w:rsidRPr="00317364">
        <w:rPr>
          <w:rFonts w:eastAsia="Times New Roman"/>
          <w:bCs/>
          <w:i/>
          <w:sz w:val="24"/>
          <w:szCs w:val="24"/>
        </w:rPr>
        <w:t>See</w:t>
      </w:r>
      <w:r w:rsidRPr="00317364">
        <w:rPr>
          <w:rFonts w:eastAsia="Times New Roman"/>
          <w:bCs/>
          <w:sz w:val="24"/>
          <w:szCs w:val="24"/>
        </w:rPr>
        <w:t xml:space="preserve"> </w:t>
      </w:r>
      <w:r w:rsidRPr="00317364">
        <w:rPr>
          <w:rFonts w:eastAsia="Times New Roman"/>
          <w:b/>
          <w:bCs/>
          <w:sz w:val="24"/>
          <w:szCs w:val="24"/>
        </w:rPr>
        <w:t>Hauser v. Rose Health Care Sys.</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857 P.2d 524 (Colo. App. 1993) (recognizing the rule, but concluding that where contract had been performed by one party and the claim was for compensation due for performance, lack of mutuality was immaterial). However, every contractual obligation need not be mutual as long as each party to the contract has provided consideration. </w:t>
      </w:r>
      <w:r w:rsidRPr="00317364">
        <w:rPr>
          <w:rFonts w:eastAsia="Times New Roman"/>
          <w:b/>
          <w:bCs/>
          <w:sz w:val="24"/>
          <w:szCs w:val="24"/>
        </w:rPr>
        <w:t>Rains v. Found. Health Sys. Life &amp; Health</w:t>
      </w:r>
      <w:r w:rsidRPr="00317364">
        <w:rPr>
          <w:rFonts w:eastAsia="Times New Roman"/>
          <w:bCs/>
          <w:sz w:val="24"/>
          <w:szCs w:val="24"/>
        </w:rPr>
        <w:t>, 23 P.3d 1249 (Colo. App. 2001) (arbitration provision not unenforceable simply because it did not require both parties to contract to arbitrate).</w:t>
      </w:r>
    </w:p>
    <w:p w14:paraId="13935775"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10. For certain offers, involving the sale of goods, that may be irrevocable though not supported by consideration, see section 4-2-205, C.R.S.</w:t>
      </w:r>
    </w:p>
    <w:p w14:paraId="168ECEBE" w14:textId="14648C28"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11. When the basis for claiming the enforceability of a promise is the doctrine of promissory estoppel,</w:t>
      </w:r>
      <w:r w:rsidRPr="00317364">
        <w:rPr>
          <w:rFonts w:eastAsia="Times New Roman"/>
          <w:bCs/>
          <w:i/>
          <w:sz w:val="24"/>
          <w:szCs w:val="24"/>
        </w:rPr>
        <w:t xml:space="preserve"> </w:t>
      </w:r>
      <w:r w:rsidRPr="00317364">
        <w:rPr>
          <w:rFonts w:eastAsia="Times New Roman"/>
          <w:bCs/>
          <w:sz w:val="24"/>
          <w:szCs w:val="24"/>
        </w:rPr>
        <w:t xml:space="preserve">see </w:t>
      </w:r>
      <w:r w:rsidRPr="00317364">
        <w:rPr>
          <w:rFonts w:eastAsia="Times New Roman"/>
          <w:b/>
          <w:bCs/>
          <w:sz w:val="24"/>
          <w:szCs w:val="24"/>
        </w:rPr>
        <w:t>Cherokee Metropolitan District v. Simpson</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148 P.3d 142 (Colo. 2006); </w:t>
      </w:r>
      <w:r w:rsidRPr="00317364">
        <w:rPr>
          <w:rFonts w:eastAsia="Times New Roman"/>
          <w:b/>
          <w:bCs/>
          <w:sz w:val="24"/>
          <w:szCs w:val="24"/>
        </w:rPr>
        <w:t>Nelson v. Elway</w:t>
      </w:r>
      <w:r w:rsidRPr="00317364">
        <w:rPr>
          <w:rFonts w:eastAsia="Times New Roman"/>
          <w:bCs/>
          <w:sz w:val="24"/>
          <w:szCs w:val="24"/>
        </w:rPr>
        <w:t xml:space="preserve">, 908 P.2d 102 (Colo. 1995); </w:t>
      </w:r>
      <w:r w:rsidRPr="00317364">
        <w:rPr>
          <w:rFonts w:eastAsia="Times New Roman"/>
          <w:b/>
          <w:bCs/>
          <w:sz w:val="24"/>
          <w:szCs w:val="24"/>
        </w:rPr>
        <w:t>Kiely v. St. Germain</w:t>
      </w:r>
      <w:r w:rsidRPr="00317364">
        <w:rPr>
          <w:rFonts w:eastAsia="Times New Roman"/>
          <w:bCs/>
          <w:sz w:val="24"/>
          <w:szCs w:val="24"/>
        </w:rPr>
        <w:t xml:space="preserve">, 670 P.2d 764 (Colo. 1983) (enforceability under the doctrine of a promise not made in compliance with the statute of frauds); </w:t>
      </w:r>
      <w:r w:rsidRPr="00317364">
        <w:rPr>
          <w:rFonts w:eastAsia="Times New Roman"/>
          <w:b/>
          <w:bCs/>
          <w:sz w:val="24"/>
          <w:szCs w:val="24"/>
        </w:rPr>
        <w:t>Vigoda v. Denver Urban Renewal Authority</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646 P.2d 900 (Colo. 1982); </w:t>
      </w:r>
      <w:r w:rsidRPr="00317364">
        <w:rPr>
          <w:rFonts w:eastAsia="Times New Roman"/>
          <w:b/>
          <w:bCs/>
          <w:sz w:val="24"/>
          <w:szCs w:val="24"/>
        </w:rPr>
        <w:t>G &amp; A Land, LLC v. City of Brighton</w:t>
      </w:r>
      <w:r w:rsidRPr="00317364">
        <w:rPr>
          <w:rFonts w:eastAsia="Times New Roman"/>
          <w:bCs/>
          <w:sz w:val="24"/>
          <w:szCs w:val="24"/>
        </w:rPr>
        <w:t xml:space="preserve">, 233 P.3d 701 (Colo. App. 2010) (city’s actions related to possible future condemnation of landowner’s property did not constitute a promise for purposes of promissory estoppel); </w:t>
      </w:r>
      <w:r w:rsidRPr="00317364">
        <w:rPr>
          <w:rFonts w:eastAsia="Times New Roman"/>
          <w:b/>
          <w:bCs/>
          <w:sz w:val="24"/>
          <w:szCs w:val="24"/>
        </w:rPr>
        <w:t>Marquardt v. Perry</w:t>
      </w:r>
      <w:r w:rsidRPr="00317364">
        <w:rPr>
          <w:rFonts w:eastAsia="Times New Roman"/>
          <w:bCs/>
          <w:sz w:val="24"/>
          <w:szCs w:val="24"/>
        </w:rPr>
        <w:t xml:space="preserve">, 200 P.3d 1126 (Colo. App. 2008) (defense verdict on contract claim does not preclude judgment for liability on related promissory estoppel </w:t>
      </w:r>
      <w:r w:rsidRPr="00317364">
        <w:rPr>
          <w:rFonts w:eastAsia="Times New Roman"/>
          <w:bCs/>
          <w:sz w:val="24"/>
          <w:szCs w:val="24"/>
        </w:rPr>
        <w:lastRenderedPageBreak/>
        <w:t xml:space="preserve">claim); </w:t>
      </w:r>
      <w:r w:rsidRPr="00317364">
        <w:rPr>
          <w:rFonts w:eastAsia="Times New Roman"/>
          <w:b/>
          <w:bCs/>
          <w:sz w:val="24"/>
          <w:szCs w:val="24"/>
        </w:rPr>
        <w:t>Lutfi v. Brighton Community Hospital Ass’n</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40 P.3d 51 (Colo. App. 2001); </w:t>
      </w:r>
      <w:r w:rsidRPr="00317364">
        <w:rPr>
          <w:rFonts w:eastAsia="Times New Roman"/>
          <w:b/>
          <w:bCs/>
          <w:sz w:val="24"/>
          <w:szCs w:val="24"/>
        </w:rPr>
        <w:t>Floyd v. Coors Brewing Co.</w:t>
      </w:r>
      <w:r w:rsidRPr="00317364">
        <w:rPr>
          <w:rFonts w:eastAsia="Times New Roman"/>
          <w:bCs/>
          <w:sz w:val="24"/>
          <w:szCs w:val="24"/>
        </w:rPr>
        <w:t xml:space="preserve">, 952 P.2d 797 (Colo. App. 1997), </w:t>
      </w:r>
      <w:r w:rsidRPr="00317364">
        <w:rPr>
          <w:rFonts w:eastAsia="Times New Roman"/>
          <w:bCs/>
          <w:i/>
          <w:sz w:val="24"/>
          <w:szCs w:val="24"/>
        </w:rPr>
        <w:t>rev’d on other grounds</w:t>
      </w:r>
      <w:r w:rsidRPr="00317364">
        <w:rPr>
          <w:rFonts w:eastAsia="Times New Roman"/>
          <w:bCs/>
          <w:sz w:val="24"/>
          <w:szCs w:val="24"/>
        </w:rPr>
        <w:t xml:space="preserve">, 978 P.2d 663 (Colo. 1999); </w:t>
      </w:r>
      <w:r w:rsidRPr="00317364">
        <w:rPr>
          <w:rFonts w:eastAsia="Times New Roman"/>
          <w:b/>
          <w:bCs/>
          <w:sz w:val="24"/>
          <w:szCs w:val="24"/>
        </w:rPr>
        <w:t>Zick v. Krob</w:t>
      </w:r>
      <w:r w:rsidRPr="00317364">
        <w:rPr>
          <w:rFonts w:eastAsia="Times New Roman"/>
          <w:bCs/>
          <w:sz w:val="24"/>
          <w:szCs w:val="24"/>
        </w:rPr>
        <w:t>, 872 P.2d 1290 (Colo. App. 1993)</w:t>
      </w:r>
      <w:r w:rsidR="00E82266">
        <w:rPr>
          <w:rFonts w:eastAsia="Times New Roman"/>
          <w:bCs/>
          <w:sz w:val="24"/>
          <w:szCs w:val="24"/>
        </w:rPr>
        <w:t xml:space="preserve">; </w:t>
      </w:r>
      <w:r w:rsidRPr="00317364">
        <w:rPr>
          <w:rFonts w:eastAsia="Times New Roman"/>
          <w:b/>
          <w:bCs/>
          <w:sz w:val="24"/>
          <w:szCs w:val="24"/>
        </w:rPr>
        <w:t>Chidester v. Eastern Gas &amp; Fuel Associates</w:t>
      </w:r>
      <w:r w:rsidRPr="00317364">
        <w:rPr>
          <w:rFonts w:eastAsia="Times New Roman"/>
          <w:bCs/>
          <w:sz w:val="24"/>
          <w:szCs w:val="24"/>
        </w:rPr>
        <w:t xml:space="preserve">, 859 P.2d 222 (Colo. App. 1992); </w:t>
      </w:r>
      <w:r w:rsidRPr="00317364">
        <w:rPr>
          <w:rFonts w:eastAsia="Times New Roman"/>
          <w:b/>
          <w:bCs/>
          <w:sz w:val="24"/>
          <w:szCs w:val="24"/>
        </w:rPr>
        <w:t>Mead Associates, Inc. v. Scottsbluff Sash &amp; Door Co.</w:t>
      </w:r>
      <w:r w:rsidRPr="00317364">
        <w:rPr>
          <w:rFonts w:eastAsia="Times New Roman"/>
          <w:bCs/>
          <w:sz w:val="24"/>
          <w:szCs w:val="24"/>
        </w:rPr>
        <w:t xml:space="preserve">, 856 P.2d 40 (Colo. App. 1993); </w:t>
      </w:r>
      <w:r w:rsidRPr="00317364">
        <w:rPr>
          <w:rFonts w:eastAsia="Times New Roman"/>
          <w:b/>
          <w:bCs/>
          <w:sz w:val="24"/>
          <w:szCs w:val="24"/>
        </w:rPr>
        <w:t>L &amp; M Enterprises, Inc. v. City of Golden</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852 P.2d 1337 (Colo. App. 1993); </w:t>
      </w:r>
      <w:r w:rsidRPr="00317364">
        <w:rPr>
          <w:rFonts w:eastAsia="Times New Roman"/>
          <w:b/>
          <w:bCs/>
          <w:sz w:val="24"/>
          <w:szCs w:val="24"/>
        </w:rPr>
        <w:t>Frontier Exploration, Inc. v. American National Fire Insurance Co.</w:t>
      </w:r>
      <w:r w:rsidRPr="00317364">
        <w:rPr>
          <w:rFonts w:eastAsia="Times New Roman"/>
          <w:bCs/>
          <w:sz w:val="24"/>
          <w:szCs w:val="24"/>
        </w:rPr>
        <w:t>, 849 P.2d 887 (Colo. App. 1992)</w:t>
      </w:r>
      <w:r w:rsidR="00891731">
        <w:rPr>
          <w:rFonts w:eastAsia="Times New Roman"/>
          <w:bCs/>
          <w:sz w:val="24"/>
          <w:szCs w:val="24"/>
        </w:rPr>
        <w:t>;</w:t>
      </w:r>
      <w:r w:rsidRPr="00317364">
        <w:rPr>
          <w:rFonts w:eastAsia="Times New Roman"/>
          <w:bCs/>
          <w:sz w:val="24"/>
          <w:szCs w:val="24"/>
        </w:rPr>
        <w:t xml:space="preserve"> </w:t>
      </w:r>
      <w:r w:rsidRPr="00317364">
        <w:rPr>
          <w:rFonts w:eastAsia="Times New Roman"/>
          <w:b/>
          <w:bCs/>
          <w:sz w:val="24"/>
          <w:szCs w:val="24"/>
        </w:rPr>
        <w:t>Nicol v. Nelson</w:t>
      </w:r>
      <w:r w:rsidRPr="00317364">
        <w:rPr>
          <w:rFonts w:eastAsia="Times New Roman"/>
          <w:bCs/>
          <w:sz w:val="24"/>
          <w:szCs w:val="24"/>
        </w:rPr>
        <w:t xml:space="preserve">, 776 P.2d 1144 (Colo. App. 1989) (claim based on promissory estoppel need only be proved by a preponderance of the evidence, in accord with section 13-25-127(1), C.R.S., not by clear and convincing evidence); and </w:t>
      </w:r>
      <w:r w:rsidRPr="00317364">
        <w:rPr>
          <w:rFonts w:eastAsia="Times New Roman"/>
          <w:b/>
          <w:bCs/>
          <w:sz w:val="24"/>
          <w:szCs w:val="24"/>
        </w:rPr>
        <w:t>State Department of Highways v. Woolley</w:t>
      </w:r>
      <w:r w:rsidRPr="00317364">
        <w:rPr>
          <w:rFonts w:eastAsia="Times New Roman"/>
          <w:bCs/>
          <w:sz w:val="24"/>
          <w:szCs w:val="24"/>
        </w:rPr>
        <w:t xml:space="preserve">, 696 P.2d 828 (Colo. App. 1984) (applying the doctrine to estop landowner from revoking a right of entry). </w:t>
      </w:r>
      <w:r w:rsidRPr="00317364">
        <w:rPr>
          <w:rFonts w:eastAsia="Times New Roman"/>
          <w:bCs/>
          <w:i/>
          <w:sz w:val="24"/>
          <w:szCs w:val="24"/>
        </w:rPr>
        <w:t>See also</w:t>
      </w:r>
      <w:r w:rsidRPr="00317364">
        <w:rPr>
          <w:rFonts w:eastAsia="Times New Roman"/>
          <w:bCs/>
          <w:sz w:val="24"/>
          <w:szCs w:val="24"/>
        </w:rPr>
        <w:t xml:space="preserve"> </w:t>
      </w:r>
      <w:r w:rsidRPr="00317364">
        <w:rPr>
          <w:rFonts w:eastAsia="Times New Roman"/>
          <w:b/>
          <w:bCs/>
          <w:sz w:val="24"/>
          <w:szCs w:val="24"/>
        </w:rPr>
        <w:t>Univex Int’l, Inc. v. Orix Credit All., Inc.</w:t>
      </w:r>
      <w:r w:rsidRPr="00317364">
        <w:rPr>
          <w:rFonts w:eastAsia="Times New Roman"/>
          <w:bCs/>
          <w:sz w:val="24"/>
          <w:szCs w:val="24"/>
        </w:rPr>
        <w:t xml:space="preserve">, 914 P.2d 1355 (Colo. 1996) (section 38-10-124(3), C.R.S., precludes assertion of promissory estoppel claim to enforce unsigned credit agreement); </w:t>
      </w:r>
      <w:r w:rsidRPr="00317364">
        <w:rPr>
          <w:rFonts w:eastAsia="Times New Roman"/>
          <w:b/>
          <w:bCs/>
          <w:sz w:val="24"/>
          <w:szCs w:val="24"/>
        </w:rPr>
        <w:t>Vu, Inc. v. Pacific Ocean Marketplace, Inc.</w:t>
      </w:r>
      <w:r w:rsidRPr="00317364">
        <w:rPr>
          <w:rFonts w:eastAsia="Times New Roman"/>
          <w:bCs/>
          <w:sz w:val="24"/>
          <w:szCs w:val="24"/>
        </w:rPr>
        <w:t xml:space="preserve">, 36 P.3d 165 (Colo. App. 2001) (promissory estoppel claim failed where contract was clear, unambiguous and enforceable as written); </w:t>
      </w:r>
      <w:r w:rsidRPr="00317364">
        <w:rPr>
          <w:rFonts w:eastAsia="Times New Roman"/>
          <w:b/>
          <w:bCs/>
          <w:sz w:val="24"/>
          <w:szCs w:val="24"/>
        </w:rPr>
        <w:t>Pickell v. Arizona Components Co.</w:t>
      </w:r>
      <w:r w:rsidRPr="00317364">
        <w:rPr>
          <w:rFonts w:eastAsia="Times New Roman"/>
          <w:bCs/>
          <w:sz w:val="24"/>
          <w:szCs w:val="24"/>
        </w:rPr>
        <w:t xml:space="preserve">, 902 P.2d 392 (Colo. App. 1994) (promissory estoppel is not available if there is an enforceable contract between the parties), </w:t>
      </w:r>
      <w:r w:rsidRPr="00317364">
        <w:rPr>
          <w:rFonts w:eastAsia="Times New Roman"/>
          <w:bCs/>
          <w:i/>
          <w:sz w:val="24"/>
          <w:szCs w:val="24"/>
        </w:rPr>
        <w:t>rev’d on other grounds</w:t>
      </w:r>
      <w:r w:rsidRPr="00317364">
        <w:rPr>
          <w:rFonts w:eastAsia="Times New Roman"/>
          <w:bCs/>
          <w:sz w:val="24"/>
          <w:szCs w:val="24"/>
        </w:rPr>
        <w:t xml:space="preserve">, 931 P.2d 1184 (Colo. 1997); </w:t>
      </w:r>
      <w:r w:rsidRPr="00317364">
        <w:rPr>
          <w:rFonts w:eastAsia="Times New Roman"/>
          <w:b/>
          <w:bCs/>
          <w:sz w:val="24"/>
          <w:szCs w:val="24"/>
        </w:rPr>
        <w:t xml:space="preserve">Cronk v. Intermountain Rural Elec. </w:t>
      </w:r>
      <w:r w:rsidRPr="00F40886">
        <w:rPr>
          <w:rFonts w:eastAsia="Times New Roman"/>
          <w:b/>
          <w:bCs/>
          <w:sz w:val="24"/>
          <w:szCs w:val="24"/>
          <w:lang w:val="fr-FR"/>
        </w:rPr>
        <w:t>Ass’n</w:t>
      </w:r>
      <w:r w:rsidRPr="00F40886">
        <w:rPr>
          <w:rFonts w:eastAsia="Times New Roman"/>
          <w:bCs/>
          <w:sz w:val="24"/>
          <w:szCs w:val="24"/>
          <w:lang w:val="fr-FR"/>
        </w:rPr>
        <w:t>,</w:t>
      </w:r>
      <w:r w:rsidRPr="00F40886">
        <w:rPr>
          <w:rFonts w:eastAsia="Times New Roman"/>
          <w:b/>
          <w:bCs/>
          <w:sz w:val="24"/>
          <w:szCs w:val="24"/>
          <w:lang w:val="fr-FR"/>
        </w:rPr>
        <w:t xml:space="preserve"> </w:t>
      </w:r>
      <w:r w:rsidRPr="00F40886">
        <w:rPr>
          <w:rFonts w:eastAsia="Times New Roman"/>
          <w:bCs/>
          <w:sz w:val="24"/>
          <w:szCs w:val="24"/>
          <w:lang w:val="fr-FR"/>
        </w:rPr>
        <w:t xml:space="preserve">765 P.2d 619 (Colo. App. 1988); </w:t>
      </w:r>
      <w:r w:rsidRPr="00F40886">
        <w:rPr>
          <w:rFonts w:eastAsia="Times New Roman"/>
          <w:b/>
          <w:bCs/>
          <w:sz w:val="24"/>
          <w:szCs w:val="24"/>
          <w:lang w:val="fr-FR"/>
        </w:rPr>
        <w:t xml:space="preserve">Galie v. RAM Assocs. Mgmt. </w:t>
      </w:r>
      <w:r w:rsidRPr="00317364">
        <w:rPr>
          <w:rFonts w:eastAsia="Times New Roman"/>
          <w:b/>
          <w:bCs/>
          <w:sz w:val="24"/>
          <w:szCs w:val="24"/>
        </w:rPr>
        <w:t>Servs., Inc.</w:t>
      </w:r>
      <w:r w:rsidRPr="00317364">
        <w:rPr>
          <w:rFonts w:eastAsia="Times New Roman"/>
          <w:bCs/>
          <w:sz w:val="24"/>
          <w:szCs w:val="24"/>
        </w:rPr>
        <w:t xml:space="preserve">, 757 P.2d 176 (Colo. App. 1988); </w:t>
      </w:r>
      <w:r w:rsidRPr="00317364">
        <w:rPr>
          <w:rFonts w:eastAsia="Times New Roman"/>
          <w:b/>
          <w:bCs/>
          <w:sz w:val="24"/>
          <w:szCs w:val="24"/>
        </w:rPr>
        <w:t>Mead Assocs., Inc. v. Antonsen</w:t>
      </w:r>
      <w:r w:rsidRPr="00317364">
        <w:rPr>
          <w:rFonts w:eastAsia="Times New Roman"/>
          <w:bCs/>
          <w:sz w:val="24"/>
          <w:szCs w:val="24"/>
        </w:rPr>
        <w:t xml:space="preserve">, 677 P.2d 434 (Colo. App. 1984); </w:t>
      </w:r>
      <w:r w:rsidRPr="00317364">
        <w:rPr>
          <w:rFonts w:eastAsia="Times New Roman"/>
          <w:b/>
          <w:bCs/>
          <w:sz w:val="24"/>
          <w:szCs w:val="24"/>
        </w:rPr>
        <w:t>Haselden-Langley Constructors, Inc. v. D.E. Farr &amp; Assocs., Inc.</w:t>
      </w:r>
      <w:r w:rsidRPr="00317364">
        <w:rPr>
          <w:rFonts w:eastAsia="Times New Roman"/>
          <w:bCs/>
          <w:sz w:val="24"/>
          <w:szCs w:val="24"/>
        </w:rPr>
        <w:t>, 676 P.2d 709 (Colo. App. 1983).</w:t>
      </w:r>
    </w:p>
    <w:p w14:paraId="7F9DFB14" w14:textId="77E1233F"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12. Promissory estoppel may be asserted against a public entity. </w:t>
      </w:r>
      <w:r w:rsidRPr="00317364">
        <w:rPr>
          <w:rFonts w:eastAsia="Times New Roman"/>
          <w:b/>
          <w:bCs/>
          <w:sz w:val="24"/>
          <w:szCs w:val="24"/>
        </w:rPr>
        <w:t xml:space="preserve">Dep’t of Transp. </w:t>
      </w:r>
      <w:r w:rsidR="00275682" w:rsidRPr="00317364">
        <w:rPr>
          <w:rFonts w:eastAsia="Times New Roman"/>
          <w:b/>
          <w:bCs/>
          <w:sz w:val="24"/>
          <w:szCs w:val="24"/>
        </w:rPr>
        <w:t>V</w:t>
      </w:r>
      <w:r w:rsidRPr="00317364">
        <w:rPr>
          <w:rFonts w:eastAsia="Times New Roman"/>
          <w:b/>
          <w:bCs/>
          <w:sz w:val="24"/>
          <w:szCs w:val="24"/>
        </w:rPr>
        <w:t>. First Place, LLC</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148 P.3d 261 (Colo. App. 2006). A claim based on promissory estoppel lies in contract rather than tort and, therefore, is not barred by the Governmental Immunity Act. </w:t>
      </w:r>
      <w:r w:rsidRPr="00317364">
        <w:rPr>
          <w:rFonts w:eastAsia="Times New Roman"/>
          <w:b/>
          <w:bCs/>
          <w:sz w:val="24"/>
          <w:szCs w:val="24"/>
        </w:rPr>
        <w:t xml:space="preserve">Bd. </w:t>
      </w:r>
      <w:r w:rsidR="00275682" w:rsidRPr="00317364">
        <w:rPr>
          <w:rFonts w:eastAsia="Times New Roman"/>
          <w:b/>
          <w:bCs/>
          <w:sz w:val="24"/>
          <w:szCs w:val="24"/>
        </w:rPr>
        <w:t>O</w:t>
      </w:r>
      <w:r w:rsidRPr="00317364">
        <w:rPr>
          <w:rFonts w:eastAsia="Times New Roman"/>
          <w:b/>
          <w:bCs/>
          <w:sz w:val="24"/>
          <w:szCs w:val="24"/>
        </w:rPr>
        <w:t>f Cty. Comm’rs v. DeLozier</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917 P.2d 714 (Colo. 1996). However, the doctrine of estoppel is not applied as freely against a municipal corporation as it is against an individual. </w:t>
      </w:r>
      <w:r w:rsidRPr="00317364">
        <w:rPr>
          <w:rFonts w:eastAsia="Times New Roman"/>
          <w:b/>
          <w:bCs/>
          <w:sz w:val="24"/>
          <w:szCs w:val="24"/>
        </w:rPr>
        <w:t>Cherry Creek Aviation, Inc. v. City of Steamboat Springs</w:t>
      </w:r>
      <w:r w:rsidRPr="00317364">
        <w:rPr>
          <w:rFonts w:eastAsia="Times New Roman"/>
          <w:bCs/>
          <w:sz w:val="24"/>
          <w:szCs w:val="24"/>
        </w:rPr>
        <w:t>, 958 P.2d 515 (Colo. App. 1998).</w:t>
      </w:r>
    </w:p>
    <w:p w14:paraId="6AB626F9" w14:textId="77777777" w:rsidR="00317364" w:rsidRDefault="00317364">
      <w:pPr>
        <w:rPr>
          <w:rFonts w:eastAsia="Times New Roman"/>
          <w:bCs/>
          <w:sz w:val="24"/>
          <w:szCs w:val="24"/>
        </w:rPr>
      </w:pPr>
      <w:r>
        <w:rPr>
          <w:rFonts w:eastAsia="Times New Roman"/>
          <w:bCs/>
          <w:sz w:val="24"/>
          <w:szCs w:val="24"/>
        </w:rPr>
        <w:br w:type="page"/>
      </w:r>
    </w:p>
    <w:p w14:paraId="69021045" w14:textId="77777777" w:rsidR="00317364" w:rsidRPr="009E3DA4" w:rsidRDefault="00317364" w:rsidP="00317364">
      <w:pPr>
        <w:spacing w:after="240"/>
        <w:ind w:left="720" w:hanging="720"/>
        <w:rPr>
          <w:rFonts w:eastAsia="Times New Roman"/>
          <w:b/>
          <w:sz w:val="24"/>
          <w:szCs w:val="24"/>
        </w:rPr>
      </w:pPr>
      <w:bookmarkStart w:id="8" w:name="a30_08"/>
      <w:bookmarkEnd w:id="8"/>
      <w:r w:rsidRPr="00317364">
        <w:rPr>
          <w:rFonts w:eastAsia="Times New Roman"/>
          <w:b/>
          <w:sz w:val="24"/>
          <w:szCs w:val="24"/>
        </w:rPr>
        <w:lastRenderedPageBreak/>
        <w:t xml:space="preserve">30:8 </w:t>
      </w:r>
      <w:r w:rsidRPr="00317364">
        <w:rPr>
          <w:rFonts w:eastAsia="Times New Roman"/>
          <w:b/>
          <w:sz w:val="24"/>
          <w:szCs w:val="24"/>
        </w:rPr>
        <w:tab/>
        <w:t>CONTRACT FORMATION ― MODIFICATION</w:t>
      </w:r>
    </w:p>
    <w:p w14:paraId="0F3723E6" w14:textId="77777777" w:rsidR="00317364" w:rsidRPr="00317364" w:rsidRDefault="00317364" w:rsidP="00317364">
      <w:pPr>
        <w:spacing w:after="240"/>
        <w:ind w:firstLine="720"/>
        <w:rPr>
          <w:rFonts w:eastAsia="Times New Roman"/>
          <w:b/>
          <w:sz w:val="24"/>
          <w:szCs w:val="24"/>
        </w:rPr>
      </w:pPr>
      <w:r w:rsidRPr="00317364">
        <w:rPr>
          <w:rFonts w:eastAsia="Times New Roman"/>
          <w:b/>
          <w:sz w:val="24"/>
          <w:szCs w:val="24"/>
        </w:rPr>
        <w:t>After parties enter into a contract, they may agree (orally) (or) (in writing) to change it. There must be an offer to change the contract, acceptance of that offer, and consideration for the change.</w:t>
      </w:r>
    </w:p>
    <w:p w14:paraId="5168F98F" w14:textId="77777777" w:rsidR="00317364" w:rsidRDefault="00317364" w:rsidP="00317364">
      <w:pPr>
        <w:jc w:val="center"/>
        <w:rPr>
          <w:rFonts w:eastAsia="Times New Roman"/>
          <w:sz w:val="24"/>
          <w:szCs w:val="24"/>
        </w:rPr>
      </w:pPr>
    </w:p>
    <w:p w14:paraId="433AB5F8" w14:textId="77777777" w:rsidR="00317364" w:rsidRPr="0054263B" w:rsidRDefault="00317364" w:rsidP="00317364">
      <w:pPr>
        <w:keepNext/>
        <w:spacing w:after="240"/>
        <w:jc w:val="center"/>
        <w:rPr>
          <w:rFonts w:eastAsia="Times New Roman"/>
          <w:b/>
          <w:sz w:val="24"/>
          <w:szCs w:val="24"/>
        </w:rPr>
      </w:pPr>
      <w:r w:rsidRPr="0054263B">
        <w:rPr>
          <w:rFonts w:eastAsia="Times New Roman"/>
          <w:b/>
          <w:sz w:val="24"/>
          <w:szCs w:val="24"/>
        </w:rPr>
        <w:t>Notes on Use</w:t>
      </w:r>
    </w:p>
    <w:p w14:paraId="3E63CED3"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1. Use whichever parenthesized words are appropriate to the evidence in the case.</w:t>
      </w:r>
    </w:p>
    <w:p w14:paraId="1602456E"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2. Other instructions closely related to the subject matter of this instruction that may also be applicable or be more appropriate in certain cases are Instructions 30:25 (waiver), 30:27 (rescission or cancellation by agreement), and 30:28 (accord and satisfaction).</w:t>
      </w:r>
    </w:p>
    <w:p w14:paraId="702E3917"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3. This instruction should be modified when appropriate to the evidence in the case to instruct that a written contract may be modified by later oral agreement even if the contract expressly provides that all modifications must be in writing.</w:t>
      </w:r>
    </w:p>
    <w:p w14:paraId="38512709"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4. For cases involving the sale of goods, see section 4-2-209, C.R.S.</w:t>
      </w:r>
    </w:p>
    <w:p w14:paraId="1C534B87" w14:textId="77777777" w:rsidR="00317364" w:rsidRPr="0054263B" w:rsidRDefault="00317364" w:rsidP="00317364">
      <w:pPr>
        <w:keepNext/>
        <w:spacing w:after="240"/>
        <w:jc w:val="center"/>
        <w:rPr>
          <w:rFonts w:eastAsia="Times New Roman"/>
          <w:b/>
          <w:sz w:val="24"/>
          <w:szCs w:val="24"/>
        </w:rPr>
      </w:pPr>
      <w:r>
        <w:rPr>
          <w:rFonts w:eastAsia="Times New Roman"/>
          <w:b/>
          <w:sz w:val="24"/>
          <w:szCs w:val="24"/>
        </w:rPr>
        <w:t>Source and Authority</w:t>
      </w:r>
    </w:p>
    <w:p w14:paraId="428549EB"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1. This instruction is supported by </w:t>
      </w:r>
      <w:r w:rsidRPr="00317364">
        <w:rPr>
          <w:rFonts w:eastAsia="Times New Roman"/>
          <w:b/>
          <w:bCs/>
          <w:sz w:val="24"/>
          <w:szCs w:val="24"/>
        </w:rPr>
        <w:t>Dawe v. Hoskins</w:t>
      </w:r>
      <w:r w:rsidRPr="00317364">
        <w:rPr>
          <w:rFonts w:eastAsia="Times New Roman"/>
          <w:bCs/>
          <w:sz w:val="24"/>
          <w:szCs w:val="24"/>
        </w:rPr>
        <w:t xml:space="preserve">, 77 Colo. 501, 238 P. 50 (1925) (necessity of all parties to assent); and </w:t>
      </w:r>
      <w:r w:rsidRPr="00317364">
        <w:rPr>
          <w:rFonts w:eastAsia="Times New Roman"/>
          <w:b/>
          <w:bCs/>
          <w:sz w:val="24"/>
          <w:szCs w:val="24"/>
        </w:rPr>
        <w:t>Arkansas Valley Bank v. Esser</w:t>
      </w:r>
      <w:r w:rsidRPr="00317364">
        <w:rPr>
          <w:rFonts w:eastAsia="Times New Roman"/>
          <w:bCs/>
          <w:sz w:val="24"/>
          <w:szCs w:val="24"/>
        </w:rPr>
        <w:t xml:space="preserve">, 75 Colo. 110, 224 P. 227 (1924) (parties to a written contract may orally alter it at will). </w:t>
      </w:r>
      <w:r w:rsidRPr="00317364">
        <w:rPr>
          <w:rFonts w:eastAsia="Times New Roman"/>
          <w:bCs/>
          <w:i/>
          <w:sz w:val="24"/>
          <w:szCs w:val="24"/>
        </w:rPr>
        <w:t xml:space="preserve">See also </w:t>
      </w:r>
      <w:r w:rsidRPr="00317364">
        <w:rPr>
          <w:rFonts w:eastAsia="Times New Roman"/>
          <w:b/>
          <w:bCs/>
          <w:sz w:val="24"/>
          <w:szCs w:val="24"/>
        </w:rPr>
        <w:t>H. &amp; W. Paving Co. v. Asphalt Paving Co.</w:t>
      </w:r>
      <w:r w:rsidRPr="00317364">
        <w:rPr>
          <w:rFonts w:eastAsia="Times New Roman"/>
          <w:bCs/>
          <w:sz w:val="24"/>
          <w:szCs w:val="24"/>
        </w:rPr>
        <w:t xml:space="preserve">, 147 Colo. 506, 364 P.2d 185 (1961) (amendment must be supported by mutual consideration); </w:t>
      </w:r>
      <w:r w:rsidRPr="00317364">
        <w:rPr>
          <w:rFonts w:eastAsia="Times New Roman"/>
          <w:b/>
          <w:bCs/>
          <w:sz w:val="24"/>
          <w:szCs w:val="24"/>
        </w:rPr>
        <w:t>W. Air Lines v. Hollenbeck</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124 Colo. 130, 235 P.2d 792 (1951) (mutual assent required for an effective amendment or abrogation of an existing contract); 2 </w:t>
      </w:r>
      <w:r w:rsidRPr="00427199">
        <w:rPr>
          <w:rFonts w:eastAsia="Times New Roman"/>
          <w:bCs/>
          <w:smallCaps/>
          <w:sz w:val="24"/>
          <w:szCs w:val="24"/>
        </w:rPr>
        <w:t>Joseph M. Perillo, Corbin on Contracts</w:t>
      </w:r>
      <w:r w:rsidRPr="00317364">
        <w:rPr>
          <w:rFonts w:eastAsia="Times New Roman"/>
          <w:bCs/>
          <w:sz w:val="24"/>
          <w:szCs w:val="24"/>
        </w:rPr>
        <w:t xml:space="preserve"> § 7.14 (rev. ed. 1995).</w:t>
      </w:r>
    </w:p>
    <w:p w14:paraId="0E7187FA" w14:textId="77777777" w:rsidR="00317364" w:rsidRDefault="00317364" w:rsidP="00317364">
      <w:pPr>
        <w:spacing w:after="240"/>
        <w:ind w:firstLine="720"/>
        <w:rPr>
          <w:rFonts w:eastAsia="Times New Roman"/>
          <w:bCs/>
          <w:sz w:val="24"/>
          <w:szCs w:val="24"/>
        </w:rPr>
      </w:pPr>
      <w:r w:rsidRPr="00317364">
        <w:rPr>
          <w:rFonts w:eastAsia="Times New Roman"/>
          <w:bCs/>
          <w:sz w:val="24"/>
          <w:szCs w:val="24"/>
        </w:rPr>
        <w:t xml:space="preserve">2. “Despite a provision requiring that all modifications of a written contract . . . be in writing, [a] contract may be modified by oral agreement between the parties.” </w:t>
      </w:r>
      <w:r w:rsidRPr="00317364">
        <w:rPr>
          <w:rFonts w:eastAsia="Times New Roman"/>
          <w:b/>
          <w:bCs/>
          <w:sz w:val="24"/>
          <w:szCs w:val="24"/>
        </w:rPr>
        <w:t>Colorado Inv. Servs., Inc. v. Hager</w:t>
      </w:r>
      <w:r w:rsidRPr="00317364">
        <w:rPr>
          <w:rFonts w:eastAsia="Times New Roman"/>
          <w:bCs/>
          <w:sz w:val="24"/>
          <w:szCs w:val="24"/>
        </w:rPr>
        <w:t xml:space="preserve">, 685 P.2d 1371, 1376-77 (Colo. App. 1984); </w:t>
      </w:r>
      <w:r w:rsidRPr="00317364">
        <w:rPr>
          <w:rFonts w:eastAsia="Times New Roman"/>
          <w:bCs/>
          <w:i/>
          <w:sz w:val="24"/>
          <w:szCs w:val="24"/>
        </w:rPr>
        <w:t xml:space="preserve">see </w:t>
      </w:r>
      <w:r w:rsidRPr="00317364">
        <w:rPr>
          <w:rFonts w:eastAsia="Times New Roman"/>
          <w:b/>
          <w:bCs/>
          <w:sz w:val="24"/>
          <w:szCs w:val="24"/>
        </w:rPr>
        <w:t>Agritrack, Inc. v. DeJohn Housemoving, Inc.</w:t>
      </w:r>
      <w:r w:rsidRPr="00317364">
        <w:rPr>
          <w:rFonts w:eastAsia="Times New Roman"/>
          <w:bCs/>
          <w:sz w:val="24"/>
          <w:szCs w:val="24"/>
        </w:rPr>
        <w:t xml:space="preserve">, 25 P.3d 1187 (Colo. 2001) (written contract may be modified by later oral agreement even if contract specifically provides that all modifications of contract must be in writing); </w:t>
      </w:r>
      <w:r w:rsidRPr="00317364">
        <w:rPr>
          <w:rFonts w:eastAsia="Times New Roman"/>
          <w:b/>
          <w:bCs/>
          <w:sz w:val="24"/>
          <w:szCs w:val="24"/>
        </w:rPr>
        <w:t>James H. Moore &amp; Assocs. Realty, Inc. v. Arrowhead at Vail</w:t>
      </w:r>
      <w:r w:rsidRPr="00317364">
        <w:rPr>
          <w:rFonts w:eastAsia="Times New Roman"/>
          <w:bCs/>
          <w:sz w:val="24"/>
          <w:szCs w:val="24"/>
        </w:rPr>
        <w:t xml:space="preserve">, 892 P.2d 367 (Colo. App. 1994) (same). Further, a written contract may be modified by a later oral agreement even if the contract is subject to the statute of frauds, as long as the oral modification does not relate to a material condition of the contract. </w:t>
      </w:r>
      <w:r w:rsidRPr="00317364">
        <w:rPr>
          <w:rFonts w:eastAsia="Times New Roman"/>
          <w:b/>
          <w:bCs/>
          <w:sz w:val="24"/>
          <w:szCs w:val="24"/>
        </w:rPr>
        <w:t>Burnford v. Blanning</w:t>
      </w:r>
      <w:r w:rsidRPr="00317364">
        <w:rPr>
          <w:rFonts w:eastAsia="Times New Roman"/>
          <w:bCs/>
          <w:sz w:val="24"/>
          <w:szCs w:val="24"/>
        </w:rPr>
        <w:t xml:space="preserve">, 189 Colo. 292, 540 P.2d 337 (1975); </w:t>
      </w:r>
      <w:r w:rsidRPr="00317364">
        <w:rPr>
          <w:rFonts w:eastAsia="Times New Roman"/>
          <w:b/>
          <w:bCs/>
          <w:sz w:val="24"/>
          <w:szCs w:val="24"/>
        </w:rPr>
        <w:t>James H. Moore</w:t>
      </w:r>
      <w:r w:rsidRPr="00317364">
        <w:rPr>
          <w:rFonts w:eastAsia="Times New Roman"/>
          <w:bCs/>
          <w:sz w:val="24"/>
          <w:szCs w:val="24"/>
        </w:rPr>
        <w:t>, 892 P.2d at 372.</w:t>
      </w:r>
    </w:p>
    <w:p w14:paraId="2624BF55" w14:textId="5CFAF1CE" w:rsidR="001A5FFB" w:rsidRPr="00317364" w:rsidRDefault="001A5FFB" w:rsidP="00317364">
      <w:pPr>
        <w:spacing w:after="240"/>
        <w:ind w:firstLine="720"/>
        <w:rPr>
          <w:rFonts w:eastAsia="Times New Roman"/>
          <w:bCs/>
          <w:sz w:val="24"/>
          <w:szCs w:val="24"/>
        </w:rPr>
      </w:pPr>
      <w:r>
        <w:rPr>
          <w:rFonts w:eastAsia="Times New Roman"/>
          <w:bCs/>
          <w:sz w:val="24"/>
          <w:szCs w:val="24"/>
        </w:rPr>
        <w:t>3. The court</w:t>
      </w:r>
      <w:r w:rsidRPr="005E1577">
        <w:rPr>
          <w:rFonts w:eastAsia="Times New Roman"/>
          <w:bCs/>
          <w:szCs w:val="24"/>
        </w:rPr>
        <w:t xml:space="preserve"> </w:t>
      </w:r>
      <w:r w:rsidRPr="001A5FFB">
        <w:rPr>
          <w:rFonts w:eastAsia="Times New Roman"/>
          <w:bCs/>
          <w:sz w:val="24"/>
          <w:szCs w:val="24"/>
        </w:rPr>
        <w:t xml:space="preserve">is not a party to an agreement, and the parties may not enlist the court as their agent to write or modify terms. </w:t>
      </w:r>
      <w:r w:rsidRPr="001A5FFB">
        <w:rPr>
          <w:rFonts w:eastAsia="Times New Roman"/>
          <w:b/>
          <w:bCs/>
          <w:sz w:val="24"/>
          <w:szCs w:val="24"/>
        </w:rPr>
        <w:t>23 LTD v. Herman</w:t>
      </w:r>
      <w:r w:rsidRPr="001A5FFB">
        <w:rPr>
          <w:rFonts w:eastAsia="Times New Roman"/>
          <w:bCs/>
          <w:sz w:val="24"/>
          <w:szCs w:val="24"/>
        </w:rPr>
        <w:t>, 2019 COA 113, ¶ 33</w:t>
      </w:r>
      <w:r>
        <w:rPr>
          <w:rFonts w:eastAsia="Times New Roman"/>
          <w:bCs/>
          <w:sz w:val="24"/>
          <w:szCs w:val="24"/>
        </w:rPr>
        <w:t>,</w:t>
      </w:r>
      <w:r w:rsidRPr="001A5FFB">
        <w:rPr>
          <w:rFonts w:eastAsia="Times New Roman"/>
          <w:bCs/>
          <w:sz w:val="24"/>
          <w:szCs w:val="24"/>
        </w:rPr>
        <w:t xml:space="preserve"> 457 P.3d 754</w:t>
      </w:r>
      <w:r>
        <w:rPr>
          <w:rFonts w:eastAsia="Times New Roman"/>
          <w:bCs/>
          <w:sz w:val="24"/>
          <w:szCs w:val="24"/>
        </w:rPr>
        <w:t>, 759</w:t>
      </w:r>
      <w:r w:rsidRPr="001A5FFB">
        <w:rPr>
          <w:rFonts w:eastAsia="Times New Roman"/>
          <w:bCs/>
          <w:sz w:val="24"/>
          <w:szCs w:val="24"/>
        </w:rPr>
        <w:t xml:space="preserve"> (“</w:t>
      </w:r>
      <w:r>
        <w:rPr>
          <w:rFonts w:eastAsia="Times New Roman"/>
          <w:bCs/>
          <w:sz w:val="24"/>
          <w:szCs w:val="24"/>
        </w:rPr>
        <w:t>[</w:t>
      </w:r>
      <w:r w:rsidRPr="001A5FFB">
        <w:rPr>
          <w:rFonts w:eastAsia="Times New Roman"/>
          <w:bCs/>
          <w:sz w:val="24"/>
          <w:szCs w:val="24"/>
        </w:rPr>
        <w:t>P</w:t>
      </w:r>
      <w:r>
        <w:rPr>
          <w:rFonts w:eastAsia="Times New Roman"/>
          <w:bCs/>
          <w:sz w:val="24"/>
          <w:szCs w:val="24"/>
        </w:rPr>
        <w:t>]</w:t>
      </w:r>
      <w:r w:rsidRPr="001A5FFB">
        <w:rPr>
          <w:rFonts w:eastAsia="Times New Roman"/>
          <w:bCs/>
          <w:sz w:val="24"/>
          <w:szCs w:val="24"/>
        </w:rPr>
        <w:t>arties to an employment or noncompete agreement cannot contractually obligate a court to blue pencil noncompete provisions that it determines are unreasonable.”)</w:t>
      </w:r>
      <w:r>
        <w:rPr>
          <w:rFonts w:eastAsia="Times New Roman"/>
          <w:bCs/>
          <w:sz w:val="24"/>
          <w:szCs w:val="24"/>
        </w:rPr>
        <w:t>.</w:t>
      </w:r>
    </w:p>
    <w:p w14:paraId="347A3FDD" w14:textId="77777777" w:rsidR="00427199" w:rsidRDefault="00427199">
      <w:pPr>
        <w:rPr>
          <w:rFonts w:eastAsia="Times New Roman"/>
          <w:bCs/>
          <w:sz w:val="24"/>
          <w:szCs w:val="24"/>
        </w:rPr>
      </w:pPr>
      <w:r>
        <w:rPr>
          <w:rFonts w:eastAsia="Times New Roman"/>
          <w:bCs/>
          <w:sz w:val="24"/>
          <w:szCs w:val="24"/>
        </w:rPr>
        <w:br w:type="page"/>
      </w:r>
    </w:p>
    <w:p w14:paraId="50F0C40C" w14:textId="77777777" w:rsidR="00427199" w:rsidRPr="009E3DA4" w:rsidRDefault="00427199" w:rsidP="00427199">
      <w:pPr>
        <w:spacing w:after="240"/>
        <w:ind w:left="720" w:hanging="720"/>
        <w:rPr>
          <w:rFonts w:eastAsia="Times New Roman"/>
          <w:b/>
          <w:sz w:val="24"/>
          <w:szCs w:val="24"/>
        </w:rPr>
      </w:pPr>
      <w:bookmarkStart w:id="9" w:name="a30_09"/>
      <w:bookmarkEnd w:id="9"/>
      <w:r w:rsidRPr="00427199">
        <w:rPr>
          <w:rFonts w:eastAsia="Times New Roman"/>
          <w:b/>
          <w:sz w:val="24"/>
          <w:szCs w:val="24"/>
        </w:rPr>
        <w:lastRenderedPageBreak/>
        <w:t xml:space="preserve">30:9 </w:t>
      </w:r>
      <w:r w:rsidRPr="00427199">
        <w:rPr>
          <w:rFonts w:eastAsia="Times New Roman"/>
          <w:b/>
          <w:sz w:val="24"/>
          <w:szCs w:val="24"/>
        </w:rPr>
        <w:tab/>
        <w:t>CONTRACT FORMATION ― THIRD-PARTY BENEFICIARY</w:t>
      </w:r>
    </w:p>
    <w:p w14:paraId="3F9DD421" w14:textId="36DA18D8"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(Plaintiff) (Defendant) may enforce a contract if </w:t>
      </w:r>
      <w:r w:rsidR="00390234" w:rsidRPr="00086139">
        <w:rPr>
          <w:rFonts w:eastAsia="Times New Roman"/>
          <w:i/>
          <w:iCs/>
          <w:sz w:val="24"/>
          <w:szCs w:val="24"/>
        </w:rPr>
        <w:t>(insert applicable pronoun</w:t>
      </w:r>
      <w:r w:rsidR="00390234">
        <w:rPr>
          <w:rFonts w:eastAsia="Times New Roman"/>
          <w:i/>
          <w:iCs/>
          <w:sz w:val="24"/>
          <w:szCs w:val="24"/>
        </w:rPr>
        <w:t>)</w:t>
      </w:r>
      <w:r w:rsidRPr="00427199">
        <w:rPr>
          <w:rFonts w:eastAsia="Times New Roman"/>
          <w:b/>
          <w:bCs/>
          <w:sz w:val="24"/>
          <w:szCs w:val="24"/>
        </w:rPr>
        <w:t xml:space="preserve"> is a beneficiary of the contract between </w:t>
      </w:r>
      <w:r w:rsidRPr="00427199">
        <w:rPr>
          <w:rFonts w:eastAsia="Times New Roman"/>
          <w:bCs/>
          <w:i/>
          <w:sz w:val="24"/>
          <w:szCs w:val="24"/>
        </w:rPr>
        <w:t>(n</w:t>
      </w:r>
      <w:r w:rsidRPr="00427199">
        <w:rPr>
          <w:rFonts w:eastAsia="Times New Roman"/>
          <w:bCs/>
          <w:i/>
          <w:iCs/>
          <w:sz w:val="24"/>
          <w:szCs w:val="24"/>
        </w:rPr>
        <w:t>ame)</w:t>
      </w:r>
      <w:r w:rsidRPr="00427199">
        <w:rPr>
          <w:rFonts w:eastAsia="Times New Roman"/>
          <w:b/>
          <w:bCs/>
          <w:sz w:val="24"/>
          <w:szCs w:val="24"/>
        </w:rPr>
        <w:t xml:space="preserve"> and </w:t>
      </w:r>
      <w:r w:rsidRPr="00427199">
        <w:rPr>
          <w:rFonts w:eastAsia="Times New Roman"/>
          <w:bCs/>
          <w:i/>
          <w:sz w:val="24"/>
          <w:szCs w:val="24"/>
        </w:rPr>
        <w:t>(n</w:t>
      </w:r>
      <w:r w:rsidRPr="00427199">
        <w:rPr>
          <w:rFonts w:eastAsia="Times New Roman"/>
          <w:bCs/>
          <w:i/>
          <w:iCs/>
          <w:sz w:val="24"/>
          <w:szCs w:val="24"/>
        </w:rPr>
        <w:t>ame)</w:t>
      </w:r>
      <w:r w:rsidRPr="00427199">
        <w:rPr>
          <w:rFonts w:eastAsia="Times New Roman"/>
          <w:b/>
          <w:bCs/>
          <w:sz w:val="24"/>
          <w:szCs w:val="24"/>
        </w:rPr>
        <w:t>, even if (plaintiff) (defendant) was not named in the contract. (Plaintiff) (Defendant) is a beneficiary of the contract when the parties to the contract intend that the (plaintiff) (defendant) directly benefit from the contract.</w:t>
      </w:r>
    </w:p>
    <w:p w14:paraId="24DFD2AD" w14:textId="77777777" w:rsidR="00427199" w:rsidRDefault="00427199" w:rsidP="00427199">
      <w:pPr>
        <w:jc w:val="center"/>
        <w:rPr>
          <w:rFonts w:eastAsia="Times New Roman"/>
          <w:sz w:val="24"/>
          <w:szCs w:val="24"/>
        </w:rPr>
      </w:pPr>
    </w:p>
    <w:p w14:paraId="39A204C6" w14:textId="77777777" w:rsidR="00427199" w:rsidRPr="0054263B" w:rsidRDefault="00427199" w:rsidP="00427199">
      <w:pPr>
        <w:keepNext/>
        <w:spacing w:after="240"/>
        <w:jc w:val="center"/>
        <w:rPr>
          <w:rFonts w:eastAsia="Times New Roman"/>
          <w:b/>
          <w:sz w:val="24"/>
          <w:szCs w:val="24"/>
        </w:rPr>
      </w:pPr>
      <w:r w:rsidRPr="0054263B">
        <w:rPr>
          <w:rFonts w:eastAsia="Times New Roman"/>
          <w:b/>
          <w:sz w:val="24"/>
          <w:szCs w:val="24"/>
        </w:rPr>
        <w:t>Notes on Use</w:t>
      </w:r>
    </w:p>
    <w:p w14:paraId="179DF62D"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None.</w:t>
      </w:r>
    </w:p>
    <w:p w14:paraId="21F9D273" w14:textId="77777777" w:rsidR="00427199" w:rsidRPr="0054263B" w:rsidRDefault="00427199" w:rsidP="00427199">
      <w:pPr>
        <w:keepNext/>
        <w:spacing w:after="240"/>
        <w:jc w:val="center"/>
        <w:rPr>
          <w:rFonts w:eastAsia="Times New Roman"/>
          <w:b/>
          <w:sz w:val="24"/>
          <w:szCs w:val="24"/>
        </w:rPr>
      </w:pPr>
      <w:r>
        <w:rPr>
          <w:rFonts w:eastAsia="Times New Roman"/>
          <w:b/>
          <w:sz w:val="24"/>
          <w:szCs w:val="24"/>
        </w:rPr>
        <w:t>Source and Authority</w:t>
      </w:r>
    </w:p>
    <w:p w14:paraId="080B3ECD"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1. This instruction is supported by </w:t>
      </w:r>
      <w:r w:rsidRPr="00427199">
        <w:rPr>
          <w:rFonts w:eastAsia="Times New Roman"/>
          <w:b/>
          <w:bCs/>
          <w:sz w:val="24"/>
          <w:szCs w:val="24"/>
        </w:rPr>
        <w:t>Jefferson County School Dist. No. R-1 v. Shorey</w:t>
      </w:r>
      <w:r w:rsidRPr="00427199">
        <w:rPr>
          <w:rFonts w:eastAsia="Times New Roman"/>
          <w:bCs/>
          <w:sz w:val="24"/>
          <w:szCs w:val="24"/>
        </w:rPr>
        <w:t xml:space="preserve">, 826 P.2d 830 (Colo. 1992); </w:t>
      </w:r>
      <w:r w:rsidRPr="00427199">
        <w:rPr>
          <w:rFonts w:eastAsia="Times New Roman"/>
          <w:b/>
          <w:bCs/>
          <w:sz w:val="24"/>
          <w:szCs w:val="24"/>
        </w:rPr>
        <w:t>Chandler-McPhail v. Duffey</w:t>
      </w:r>
      <w:r w:rsidRPr="00427199">
        <w:rPr>
          <w:rFonts w:eastAsia="Times New Roman"/>
          <w:bCs/>
          <w:sz w:val="24"/>
          <w:szCs w:val="24"/>
        </w:rPr>
        <w:t xml:space="preserve">, 194 P.3d 434 (Colo. App. 2008); </w:t>
      </w:r>
      <w:r w:rsidRPr="00427199">
        <w:rPr>
          <w:rFonts w:eastAsia="Times New Roman"/>
          <w:b/>
          <w:bCs/>
          <w:sz w:val="24"/>
          <w:szCs w:val="24"/>
        </w:rPr>
        <w:t>Everett v. Dickinson &amp; Co.</w:t>
      </w:r>
      <w:r w:rsidRPr="00427199">
        <w:rPr>
          <w:rFonts w:eastAsia="Times New Roman"/>
          <w:bCs/>
          <w:sz w:val="24"/>
          <w:szCs w:val="24"/>
        </w:rPr>
        <w:t>, 929 P.2d 10 (Colo. App. 1996).</w:t>
      </w:r>
    </w:p>
    <w:p w14:paraId="3274FAB7"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2. A person not a party to an express contract may bring an action on the contract if the parties to the agreement intended to benefit the nonparty, provided that the benefit claimed is a direct and not merely an incidental benefit of the contract. While the intent to benefit the nonparty need not be expressly recited in the contract, the intent must be apparent from the terms of the agreement, the surrounding circumstances, or both. </w:t>
      </w:r>
      <w:r w:rsidRPr="00427199">
        <w:rPr>
          <w:rFonts w:eastAsia="Times New Roman"/>
          <w:b/>
          <w:bCs/>
          <w:sz w:val="24"/>
          <w:szCs w:val="24"/>
        </w:rPr>
        <w:t>Parrish Chiropractic Ctrs., P.C. v. Progressive Cas. Ins. Co.</w:t>
      </w:r>
      <w:r w:rsidRPr="00427199">
        <w:rPr>
          <w:rFonts w:eastAsia="Times New Roman"/>
          <w:bCs/>
          <w:sz w:val="24"/>
          <w:szCs w:val="24"/>
        </w:rPr>
        <w:t>,</w:t>
      </w:r>
      <w:r w:rsidRPr="00427199">
        <w:rPr>
          <w:rFonts w:eastAsia="Times New Roman"/>
          <w:bCs/>
          <w:i/>
          <w:sz w:val="24"/>
          <w:szCs w:val="24"/>
        </w:rPr>
        <w:t xml:space="preserve"> </w:t>
      </w:r>
      <w:r w:rsidRPr="00427199">
        <w:rPr>
          <w:rFonts w:eastAsia="Times New Roman"/>
          <w:bCs/>
          <w:sz w:val="24"/>
          <w:szCs w:val="24"/>
        </w:rPr>
        <w:t xml:space="preserve">874 P.2d 1049 (Colo. 1994) (holding that clinic was incidental, not third party, beneficiary of the contract). It is not necessary that the third party be specifically referred to in the agreement. It is sufficient if the claimant is a member of the limited class that was intended to benefit from the contract. </w:t>
      </w:r>
      <w:r w:rsidRPr="00427199">
        <w:rPr>
          <w:rFonts w:eastAsia="Times New Roman"/>
          <w:b/>
          <w:bCs/>
          <w:sz w:val="24"/>
          <w:szCs w:val="24"/>
        </w:rPr>
        <w:t>Smith v. TCI Commc’ns, Inc.</w:t>
      </w:r>
      <w:r w:rsidRPr="00427199">
        <w:rPr>
          <w:rFonts w:eastAsia="Times New Roman"/>
          <w:bCs/>
          <w:sz w:val="24"/>
          <w:szCs w:val="24"/>
        </w:rPr>
        <w:t>, 981 P.2d 690 (Colo. App. 1999).</w:t>
      </w:r>
    </w:p>
    <w:p w14:paraId="4CC319D1"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3. The party who actually performed the subcontract was a third-party beneficiary of the contract between the general contractor and the subcontractor and was entitled to bring an action for damages for lost profits sustained as a result of contractor’s breach of such contract. </w:t>
      </w:r>
      <w:r w:rsidRPr="00427199">
        <w:rPr>
          <w:rFonts w:eastAsia="Times New Roman"/>
          <w:b/>
          <w:bCs/>
          <w:sz w:val="24"/>
          <w:szCs w:val="24"/>
        </w:rPr>
        <w:t>E.B. Roberts Constr. Co. v. Concrete Contractors, Inc.</w:t>
      </w:r>
      <w:r w:rsidRPr="00427199">
        <w:rPr>
          <w:rFonts w:eastAsia="Times New Roman"/>
          <w:bCs/>
          <w:sz w:val="24"/>
          <w:szCs w:val="24"/>
        </w:rPr>
        <w:t>, 704 P.2d 859 (Colo. 1985).</w:t>
      </w:r>
    </w:p>
    <w:p w14:paraId="73C250DF" w14:textId="77777777" w:rsidR="00427199" w:rsidRDefault="00427199" w:rsidP="00427199">
      <w:pPr>
        <w:spacing w:after="240"/>
        <w:ind w:firstLine="720"/>
        <w:rPr>
          <w:rFonts w:eastAsia="Times New Roman"/>
          <w:bCs/>
          <w:sz w:val="24"/>
          <w:szCs w:val="24"/>
        </w:rPr>
      </w:pPr>
      <w:r w:rsidRPr="00427199">
        <w:rPr>
          <w:rFonts w:eastAsia="Times New Roman"/>
          <w:bCs/>
          <w:sz w:val="24"/>
          <w:szCs w:val="24"/>
        </w:rPr>
        <w:t xml:space="preserve">4. As to when a third-party beneficiary may be entitled to recover for breach of contract, see </w:t>
      </w:r>
      <w:r w:rsidRPr="00427199">
        <w:rPr>
          <w:rFonts w:eastAsia="Times New Roman"/>
          <w:b/>
          <w:bCs/>
          <w:sz w:val="24"/>
          <w:szCs w:val="24"/>
        </w:rPr>
        <w:t>Cody Park Property Owners’ Ass’n v. Harder</w:t>
      </w:r>
      <w:r w:rsidRPr="00427199">
        <w:rPr>
          <w:rFonts w:eastAsia="Times New Roman"/>
          <w:bCs/>
          <w:sz w:val="24"/>
          <w:szCs w:val="24"/>
        </w:rPr>
        <w:t xml:space="preserve">, 251 P.3d 1 (Colo. App. 2009) (subdivision homeowners association was not third-party beneficiary of agreement for easement); </w:t>
      </w:r>
      <w:r w:rsidRPr="00427199">
        <w:rPr>
          <w:rFonts w:eastAsia="Times New Roman"/>
          <w:b/>
          <w:bCs/>
          <w:sz w:val="24"/>
          <w:szCs w:val="24"/>
        </w:rPr>
        <w:t>Chandler-McPhail v. Duffey</w:t>
      </w:r>
      <w:r w:rsidRPr="00427199">
        <w:rPr>
          <w:rFonts w:eastAsia="Times New Roman"/>
          <w:bCs/>
          <w:sz w:val="24"/>
          <w:szCs w:val="24"/>
        </w:rPr>
        <w:t xml:space="preserve">, 194 P.3d 434 (Colo. App. 2008) (defendant doctor was a third-party beneficiary of contracts between health care plan insurer, patient’s employer, and physician group, and was bound by contract provision barring recovery of costs in litigation); </w:t>
      </w:r>
      <w:r w:rsidRPr="00427199">
        <w:rPr>
          <w:rFonts w:eastAsia="Times New Roman"/>
          <w:b/>
          <w:bCs/>
          <w:sz w:val="24"/>
          <w:szCs w:val="24"/>
        </w:rPr>
        <w:t>East Meadows Co. v. Greeley Irrigation Co.</w:t>
      </w:r>
      <w:r w:rsidRPr="00427199">
        <w:rPr>
          <w:rFonts w:eastAsia="Times New Roman"/>
          <w:bCs/>
          <w:sz w:val="24"/>
          <w:szCs w:val="24"/>
        </w:rPr>
        <w:t xml:space="preserve">, 66 P.3d 214 (Colo. App. 2003); </w:t>
      </w:r>
      <w:r w:rsidRPr="00427199">
        <w:rPr>
          <w:rFonts w:eastAsia="Times New Roman"/>
          <w:b/>
          <w:bCs/>
          <w:sz w:val="24"/>
          <w:szCs w:val="24"/>
        </w:rPr>
        <w:t>Harwig v. Downey</w:t>
      </w:r>
      <w:r w:rsidRPr="00427199">
        <w:rPr>
          <w:rFonts w:eastAsia="Times New Roman"/>
          <w:bCs/>
          <w:sz w:val="24"/>
          <w:szCs w:val="24"/>
        </w:rPr>
        <w:t xml:space="preserve">, 56 P.3d 1220 (Colo. App. 2002) (tenants not third-party beneficiaries of contract for sale of real property); </w:t>
      </w:r>
      <w:r w:rsidRPr="00427199">
        <w:rPr>
          <w:rFonts w:eastAsia="Times New Roman"/>
          <w:b/>
          <w:bCs/>
          <w:sz w:val="24"/>
          <w:szCs w:val="24"/>
        </w:rPr>
        <w:t>Smith</w:t>
      </w:r>
      <w:r w:rsidRPr="00427199">
        <w:rPr>
          <w:rFonts w:eastAsia="Times New Roman"/>
          <w:bCs/>
          <w:sz w:val="24"/>
          <w:szCs w:val="24"/>
        </w:rPr>
        <w:t xml:space="preserve">, 981 P.2d at 693-94 (provider of cable television channel was not third-party beneficiary of franchise agreement between city and cable television operator); </w:t>
      </w:r>
      <w:r w:rsidRPr="00427199">
        <w:rPr>
          <w:rFonts w:eastAsia="Times New Roman"/>
          <w:b/>
          <w:bCs/>
          <w:sz w:val="24"/>
          <w:szCs w:val="24"/>
        </w:rPr>
        <w:t>Frisone v. Deane Automotive Center., Inc.</w:t>
      </w:r>
      <w:r w:rsidRPr="00427199">
        <w:rPr>
          <w:rFonts w:eastAsia="Times New Roman"/>
          <w:bCs/>
          <w:sz w:val="24"/>
          <w:szCs w:val="24"/>
        </w:rPr>
        <w:t xml:space="preserve">, 942 P.2d 1215 (Colo. App. 1996) (buyer of used car was not third-party beneficiary of repair contract between previous owner of car and automotive service </w:t>
      </w:r>
      <w:r w:rsidRPr="00427199">
        <w:rPr>
          <w:rFonts w:eastAsia="Times New Roman"/>
          <w:bCs/>
          <w:sz w:val="24"/>
          <w:szCs w:val="24"/>
        </w:rPr>
        <w:lastRenderedPageBreak/>
        <w:t xml:space="preserve">center); </w:t>
      </w:r>
      <w:r w:rsidRPr="00427199">
        <w:rPr>
          <w:rFonts w:eastAsia="Times New Roman"/>
          <w:b/>
          <w:bCs/>
          <w:sz w:val="24"/>
          <w:szCs w:val="24"/>
        </w:rPr>
        <w:t>Everett</w:t>
      </w:r>
      <w:r w:rsidRPr="00427199">
        <w:rPr>
          <w:rFonts w:eastAsia="Times New Roman"/>
          <w:bCs/>
          <w:sz w:val="24"/>
          <w:szCs w:val="24"/>
        </w:rPr>
        <w:t xml:space="preserve">, 929 P.2d at 12 (introducing broker was not third-party beneficiary of clearing broker agreements); </w:t>
      </w:r>
      <w:r w:rsidRPr="00427199">
        <w:rPr>
          <w:rFonts w:eastAsia="Times New Roman"/>
          <w:b/>
          <w:bCs/>
          <w:sz w:val="24"/>
          <w:szCs w:val="24"/>
        </w:rPr>
        <w:t>State Farm Fire &amp; Casualty Co. v. Nikitow</w:t>
      </w:r>
      <w:r w:rsidRPr="00427199">
        <w:rPr>
          <w:rFonts w:eastAsia="Times New Roman"/>
          <w:bCs/>
          <w:sz w:val="24"/>
          <w:szCs w:val="24"/>
        </w:rPr>
        <w:t xml:space="preserve">, 924 P.2d 1084 (Colo. App. 1995); </w:t>
      </w:r>
      <w:r w:rsidRPr="00427199">
        <w:rPr>
          <w:rFonts w:eastAsia="Times New Roman"/>
          <w:b/>
          <w:bCs/>
          <w:sz w:val="24"/>
          <w:szCs w:val="24"/>
        </w:rPr>
        <w:t>Bain v. Pioneer Plaza Shopping Center. Ltd. Liability Co.</w:t>
      </w:r>
      <w:r w:rsidRPr="00427199">
        <w:rPr>
          <w:rFonts w:eastAsia="Times New Roman"/>
          <w:bCs/>
          <w:sz w:val="24"/>
          <w:szCs w:val="24"/>
        </w:rPr>
        <w:t xml:space="preserve">, 894 P.2d 47 (Colo. App. 1995); </w:t>
      </w:r>
      <w:r w:rsidRPr="00427199">
        <w:rPr>
          <w:rFonts w:eastAsia="Times New Roman"/>
          <w:b/>
          <w:bCs/>
          <w:sz w:val="24"/>
          <w:szCs w:val="24"/>
        </w:rPr>
        <w:t>Villa Sierra Condominium Ass’n v. Field Corp.</w:t>
      </w:r>
      <w:r w:rsidRPr="00427199">
        <w:rPr>
          <w:rFonts w:eastAsia="Times New Roman"/>
          <w:bCs/>
          <w:sz w:val="24"/>
          <w:szCs w:val="24"/>
        </w:rPr>
        <w:t xml:space="preserve">, 878 P.2d 161 (Colo. App. 1994); and </w:t>
      </w:r>
      <w:r w:rsidRPr="00427199">
        <w:rPr>
          <w:rFonts w:eastAsia="Times New Roman"/>
          <w:b/>
          <w:bCs/>
          <w:sz w:val="24"/>
          <w:szCs w:val="24"/>
        </w:rPr>
        <w:t>Quigley v. Jobe</w:t>
      </w:r>
      <w:r w:rsidRPr="00427199">
        <w:rPr>
          <w:rFonts w:eastAsia="Times New Roman"/>
          <w:bCs/>
          <w:sz w:val="24"/>
          <w:szCs w:val="24"/>
        </w:rPr>
        <w:t xml:space="preserve">, 851 P.2d 236 (Colo. App. 1992) (plaintiff only an incidental beneficiary). If a contract is annulled, rescinded, or canceled by the parties to the contract before it is accepted by a third-party beneficiary, the contract may not be enforced by the third-party beneficiary. </w:t>
      </w:r>
      <w:r w:rsidRPr="00F40886">
        <w:rPr>
          <w:rFonts w:eastAsia="Times New Roman"/>
          <w:b/>
          <w:bCs/>
          <w:sz w:val="24"/>
          <w:szCs w:val="24"/>
          <w:lang w:val="fr-FR"/>
        </w:rPr>
        <w:t>Jardel Enters., Inc. v. Triconsultants, Inc.</w:t>
      </w:r>
      <w:r w:rsidRPr="00F40886">
        <w:rPr>
          <w:rFonts w:eastAsia="Times New Roman"/>
          <w:bCs/>
          <w:sz w:val="24"/>
          <w:szCs w:val="24"/>
          <w:lang w:val="fr-FR"/>
        </w:rPr>
        <w:t xml:space="preserve">, 770 P.2d 1301 (Colo. App. 1988); </w:t>
      </w:r>
      <w:r w:rsidRPr="00F40886">
        <w:rPr>
          <w:rFonts w:eastAsia="Times New Roman"/>
          <w:b/>
          <w:bCs/>
          <w:sz w:val="24"/>
          <w:szCs w:val="24"/>
          <w:lang w:val="fr-FR"/>
        </w:rPr>
        <w:t xml:space="preserve">Galie v. RAM Assocs. </w:t>
      </w:r>
      <w:r w:rsidRPr="00427199">
        <w:rPr>
          <w:rFonts w:eastAsia="Times New Roman"/>
          <w:b/>
          <w:bCs/>
          <w:sz w:val="24"/>
          <w:szCs w:val="24"/>
        </w:rPr>
        <w:t>Mgmt. Servs., Inc.</w:t>
      </w:r>
      <w:r w:rsidRPr="00427199">
        <w:rPr>
          <w:rFonts w:eastAsia="Times New Roman"/>
          <w:bCs/>
          <w:sz w:val="24"/>
          <w:szCs w:val="24"/>
        </w:rPr>
        <w:t>, 757 P.2d 176 (Colo. App. 1988) (third-party beneficiary need not be in privity).</w:t>
      </w:r>
    </w:p>
    <w:p w14:paraId="41CB2A85" w14:textId="565674B5" w:rsidR="00753103" w:rsidRPr="00A10C0F" w:rsidRDefault="00753103" w:rsidP="00753103">
      <w:pPr>
        <w:spacing w:after="240"/>
        <w:ind w:firstLine="720"/>
        <w:rPr>
          <w:rFonts w:eastAsia="Times New Roman"/>
          <w:bCs/>
          <w:sz w:val="24"/>
          <w:szCs w:val="24"/>
        </w:rPr>
      </w:pPr>
      <w:r w:rsidRPr="00A10C0F">
        <w:rPr>
          <w:rFonts w:eastAsia="Times New Roman"/>
          <w:bCs/>
          <w:sz w:val="24"/>
          <w:szCs w:val="24"/>
        </w:rPr>
        <w:t xml:space="preserve">5. The strict privity rule bars third-party beneficiary actions against attorneys absent </w:t>
      </w:r>
      <w:r w:rsidRPr="002B39A3">
        <w:rPr>
          <w:rFonts w:eastAsia="Times New Roman"/>
          <w:bCs/>
          <w:sz w:val="24"/>
          <w:szCs w:val="24"/>
        </w:rPr>
        <w:t xml:space="preserve">allegations of </w:t>
      </w:r>
      <w:r w:rsidRPr="00A10C0F">
        <w:rPr>
          <w:rFonts w:eastAsia="Times New Roman"/>
          <w:bCs/>
          <w:sz w:val="24"/>
          <w:szCs w:val="24"/>
        </w:rPr>
        <w:t xml:space="preserve">fraud, malicious conduct, or negligent misrepresentation. </w:t>
      </w:r>
      <w:r w:rsidRPr="00A10C0F">
        <w:rPr>
          <w:rFonts w:eastAsia="Times New Roman"/>
          <w:b/>
          <w:bCs/>
          <w:sz w:val="24"/>
          <w:szCs w:val="24"/>
        </w:rPr>
        <w:t>Bewley v. Semler</w:t>
      </w:r>
      <w:r w:rsidRPr="00A10C0F">
        <w:rPr>
          <w:rFonts w:eastAsia="Times New Roman"/>
          <w:bCs/>
          <w:sz w:val="24"/>
          <w:szCs w:val="24"/>
        </w:rPr>
        <w:t>, 2018 CO 79, ¶ 27, 432 P.3d 582, 589 (“</w:t>
      </w:r>
      <w:r w:rsidRPr="00A10C0F">
        <w:rPr>
          <w:color w:val="1E1E1E"/>
          <w:sz w:val="24"/>
          <w:szCs w:val="24"/>
          <w:shd w:val="clear" w:color="auto" w:fill="FFFFFF"/>
        </w:rPr>
        <w:t>The strict privity rule, as we defined it in </w:t>
      </w:r>
      <w:r w:rsidRPr="0098468C">
        <w:rPr>
          <w:b/>
          <w:sz w:val="24"/>
          <w:szCs w:val="24"/>
        </w:rPr>
        <w:t>Baker</w:t>
      </w:r>
      <w:r w:rsidRPr="00A10C0F">
        <w:rPr>
          <w:color w:val="1E1E1E"/>
          <w:sz w:val="24"/>
          <w:szCs w:val="24"/>
          <w:shd w:val="clear" w:color="auto" w:fill="FFFFFF"/>
        </w:rPr>
        <w:t xml:space="preserve">, is not as restricted as Semler contends; it ‘precludes attorney liability to non-clients absent fraud, malicious conduct, or negligent misrepresentation.’” (quoting </w:t>
      </w:r>
      <w:r w:rsidRPr="00A10C0F">
        <w:rPr>
          <w:b/>
          <w:sz w:val="24"/>
          <w:szCs w:val="24"/>
        </w:rPr>
        <w:t>Baker v. Wood, Ris &amp; Hames, P.C</w:t>
      </w:r>
      <w:r w:rsidRPr="00A10C0F">
        <w:rPr>
          <w:sz w:val="24"/>
          <w:szCs w:val="24"/>
        </w:rPr>
        <w:t>.</w:t>
      </w:r>
      <w:r w:rsidRPr="00A10C0F">
        <w:rPr>
          <w:color w:val="1E1E1E"/>
          <w:sz w:val="24"/>
          <w:szCs w:val="24"/>
          <w:shd w:val="clear" w:color="auto" w:fill="FFFFFF"/>
        </w:rPr>
        <w:t xml:space="preserve">, 2016 CO 5, ¶ 1, 364 P.3d </w:t>
      </w:r>
      <w:r>
        <w:rPr>
          <w:color w:val="1E1E1E"/>
          <w:sz w:val="24"/>
          <w:szCs w:val="24"/>
          <w:shd w:val="clear" w:color="auto" w:fill="FFFFFF"/>
        </w:rPr>
        <w:t xml:space="preserve">872, </w:t>
      </w:r>
      <w:r w:rsidRPr="00A10C0F">
        <w:rPr>
          <w:color w:val="1E1E1E"/>
          <w:sz w:val="24"/>
          <w:szCs w:val="24"/>
          <w:shd w:val="clear" w:color="auto" w:fill="FFFFFF"/>
        </w:rPr>
        <w:t>874</w:t>
      </w:r>
      <w:r w:rsidR="00A61589">
        <w:rPr>
          <w:color w:val="1E1E1E"/>
          <w:sz w:val="24"/>
          <w:szCs w:val="24"/>
          <w:shd w:val="clear" w:color="auto" w:fill="FFFFFF"/>
        </w:rPr>
        <w:t>))</w:t>
      </w:r>
      <w:r w:rsidRPr="00A10C0F">
        <w:rPr>
          <w:color w:val="1E1E1E"/>
          <w:sz w:val="24"/>
          <w:szCs w:val="24"/>
          <w:shd w:val="clear" w:color="auto" w:fill="FFFFFF"/>
        </w:rPr>
        <w:t>.</w:t>
      </w:r>
    </w:p>
    <w:p w14:paraId="76554F2B" w14:textId="77777777" w:rsidR="00753103" w:rsidRDefault="00753103" w:rsidP="00427199">
      <w:pPr>
        <w:spacing w:after="240"/>
        <w:ind w:firstLine="720"/>
        <w:rPr>
          <w:rFonts w:eastAsia="Times New Roman"/>
          <w:bCs/>
          <w:sz w:val="24"/>
          <w:szCs w:val="24"/>
        </w:rPr>
      </w:pPr>
    </w:p>
    <w:p w14:paraId="00A57513" w14:textId="77777777" w:rsidR="00427199" w:rsidRDefault="00427199">
      <w:pPr>
        <w:rPr>
          <w:rFonts w:eastAsia="Times New Roman"/>
          <w:bCs/>
          <w:sz w:val="24"/>
          <w:szCs w:val="24"/>
        </w:rPr>
      </w:pPr>
      <w:r>
        <w:rPr>
          <w:rFonts w:eastAsia="Times New Roman"/>
          <w:bCs/>
          <w:sz w:val="24"/>
          <w:szCs w:val="24"/>
        </w:rPr>
        <w:br w:type="page"/>
      </w:r>
    </w:p>
    <w:p w14:paraId="66890954" w14:textId="77777777" w:rsidR="00427199" w:rsidRDefault="00427199" w:rsidP="00427199">
      <w:pPr>
        <w:spacing w:after="240"/>
        <w:jc w:val="center"/>
        <w:rPr>
          <w:rFonts w:eastAsia="Times New Roman"/>
          <w:b/>
          <w:sz w:val="24"/>
          <w:szCs w:val="24"/>
        </w:rPr>
      </w:pPr>
      <w:r w:rsidRPr="00427199">
        <w:rPr>
          <w:rFonts w:eastAsia="Times New Roman"/>
          <w:b/>
          <w:sz w:val="24"/>
          <w:szCs w:val="24"/>
        </w:rPr>
        <w:lastRenderedPageBreak/>
        <w:t>B. CONTRACT PERFORMANCE</w:t>
      </w:r>
    </w:p>
    <w:p w14:paraId="3237DAE5" w14:textId="77777777" w:rsidR="00427199" w:rsidRPr="009E3DA4" w:rsidRDefault="00427199" w:rsidP="00427199">
      <w:pPr>
        <w:spacing w:after="240"/>
        <w:ind w:left="720" w:hanging="720"/>
        <w:rPr>
          <w:rFonts w:eastAsia="Times New Roman"/>
          <w:b/>
          <w:sz w:val="24"/>
          <w:szCs w:val="24"/>
        </w:rPr>
      </w:pPr>
      <w:bookmarkStart w:id="10" w:name="a30_10"/>
      <w:bookmarkEnd w:id="10"/>
      <w:r w:rsidRPr="00427199">
        <w:rPr>
          <w:rFonts w:eastAsia="Times New Roman"/>
          <w:b/>
          <w:sz w:val="24"/>
          <w:szCs w:val="24"/>
        </w:rPr>
        <w:t xml:space="preserve">30:10 </w:t>
      </w:r>
      <w:r w:rsidRPr="00427199">
        <w:rPr>
          <w:rFonts w:eastAsia="Times New Roman"/>
          <w:b/>
          <w:sz w:val="24"/>
          <w:szCs w:val="24"/>
        </w:rPr>
        <w:tab/>
        <w:t>CONTRACT PERFORMANCE — BREACH OF CONTRACT — ELEMENTS OF LIABILITY</w:t>
      </w:r>
    </w:p>
    <w:p w14:paraId="23D56067" w14:textId="3B883FF3"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For the plaintiff, </w:t>
      </w:r>
      <w:r w:rsidRPr="00427199">
        <w:rPr>
          <w:rFonts w:eastAsia="Times New Roman"/>
          <w:bCs/>
          <w:i/>
          <w:sz w:val="24"/>
          <w:szCs w:val="24"/>
        </w:rPr>
        <w:t>(name)</w:t>
      </w:r>
      <w:r w:rsidRPr="00427199">
        <w:rPr>
          <w:rFonts w:eastAsia="Times New Roman"/>
          <w:b/>
          <w:bCs/>
          <w:sz w:val="24"/>
          <w:szCs w:val="24"/>
        </w:rPr>
        <w:t xml:space="preserve">, to recover from the defendant, </w:t>
      </w:r>
      <w:r w:rsidRPr="00427199">
        <w:rPr>
          <w:rFonts w:eastAsia="Times New Roman"/>
          <w:bCs/>
          <w:i/>
          <w:sz w:val="24"/>
          <w:szCs w:val="24"/>
        </w:rPr>
        <w:t>(name)</w:t>
      </w:r>
      <w:r w:rsidRPr="00427199">
        <w:rPr>
          <w:rFonts w:eastAsia="Times New Roman"/>
          <w:b/>
          <w:bCs/>
          <w:sz w:val="24"/>
          <w:szCs w:val="24"/>
        </w:rPr>
        <w:t xml:space="preserve">, on </w:t>
      </w:r>
      <w:r w:rsidR="00390234" w:rsidRPr="0070684C">
        <w:rPr>
          <w:rFonts w:eastAsia="Times New Roman"/>
          <w:i/>
          <w:iCs/>
          <w:sz w:val="24"/>
          <w:szCs w:val="24"/>
        </w:rPr>
        <w:t>(insert applicable pronoun</w:t>
      </w:r>
      <w:r w:rsidR="00390234">
        <w:rPr>
          <w:rFonts w:eastAsia="Times New Roman"/>
          <w:i/>
          <w:iCs/>
          <w:sz w:val="24"/>
          <w:szCs w:val="24"/>
        </w:rPr>
        <w:t>)</w:t>
      </w:r>
      <w:r w:rsidRPr="00427199">
        <w:rPr>
          <w:rFonts w:eastAsia="Times New Roman"/>
          <w:b/>
          <w:bCs/>
          <w:sz w:val="24"/>
          <w:szCs w:val="24"/>
        </w:rPr>
        <w:t xml:space="preserve"> claim of breach of contract, you must find (all) (both) of the following have been proved by a preponderance of the evidence:</w:t>
      </w:r>
    </w:p>
    <w:p w14:paraId="4BE027C2"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1. The defendant entered into a contract with the plaintiff to </w:t>
      </w:r>
      <w:r w:rsidRPr="00427199">
        <w:rPr>
          <w:rFonts w:eastAsia="Times New Roman"/>
          <w:bCs/>
          <w:i/>
          <w:sz w:val="24"/>
          <w:szCs w:val="24"/>
        </w:rPr>
        <w:t>(insert the alleged promise on which plaintiff is suing)</w:t>
      </w:r>
      <w:r w:rsidRPr="00427199">
        <w:rPr>
          <w:rFonts w:eastAsia="Times New Roman"/>
          <w:b/>
          <w:bCs/>
          <w:sz w:val="24"/>
          <w:szCs w:val="24"/>
        </w:rPr>
        <w:t>; and</w:t>
      </w:r>
    </w:p>
    <w:p w14:paraId="71621D3B"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2. The defendant failed to </w:t>
      </w:r>
      <w:r w:rsidRPr="00427199">
        <w:rPr>
          <w:rFonts w:eastAsia="Times New Roman"/>
          <w:bCs/>
          <w:i/>
          <w:sz w:val="24"/>
          <w:szCs w:val="24"/>
        </w:rPr>
        <w:t>(insert the alleged promise on which the plaintiff is suing</w:t>
      </w:r>
      <w:r w:rsidRPr="00427199">
        <w:rPr>
          <w:rFonts w:eastAsia="Times New Roman"/>
          <w:b/>
          <w:bCs/>
          <w:sz w:val="24"/>
          <w:szCs w:val="24"/>
        </w:rPr>
        <w:t>;</w:t>
      </w:r>
      <w:r w:rsidRPr="00427199">
        <w:rPr>
          <w:rFonts w:eastAsia="Times New Roman"/>
          <w:bCs/>
          <w:sz w:val="24"/>
          <w:szCs w:val="24"/>
        </w:rPr>
        <w:t xml:space="preserve"> </w:t>
      </w:r>
      <w:r w:rsidRPr="00427199">
        <w:rPr>
          <w:rFonts w:eastAsia="Times New Roman"/>
          <w:b/>
          <w:bCs/>
          <w:sz w:val="24"/>
          <w:szCs w:val="24"/>
        </w:rPr>
        <w:t>(and)</w:t>
      </w:r>
    </w:p>
    <w:p w14:paraId="5C0865E1" w14:textId="06BD73CB"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(3. The plaintiff [“substantially performed”] [“substantially complied with”] </w:t>
      </w:r>
      <w:r w:rsidR="00390234">
        <w:rPr>
          <w:rFonts w:eastAsia="Times New Roman"/>
          <w:i/>
          <w:iCs/>
          <w:sz w:val="24"/>
          <w:szCs w:val="24"/>
        </w:rPr>
        <w:t>[</w:t>
      </w:r>
      <w:r w:rsidR="00390234" w:rsidRPr="0070684C">
        <w:rPr>
          <w:rFonts w:eastAsia="Times New Roman"/>
          <w:i/>
          <w:iCs/>
          <w:sz w:val="24"/>
          <w:szCs w:val="24"/>
        </w:rPr>
        <w:t>insert applicable pronoun</w:t>
      </w:r>
      <w:r w:rsidR="00390234">
        <w:rPr>
          <w:rFonts w:eastAsia="Times New Roman"/>
          <w:i/>
          <w:iCs/>
          <w:sz w:val="24"/>
          <w:szCs w:val="24"/>
        </w:rPr>
        <w:t>]</w:t>
      </w:r>
      <w:r w:rsidRPr="00427199">
        <w:rPr>
          <w:rFonts w:eastAsia="Times New Roman"/>
          <w:b/>
          <w:bCs/>
          <w:sz w:val="24"/>
          <w:szCs w:val="24"/>
        </w:rPr>
        <w:t xml:space="preserve"> part of the contract) (or) (Plaintiff is excused from performance. Plaintiff is excused from performance of </w:t>
      </w:r>
      <w:r w:rsidR="00390234">
        <w:rPr>
          <w:rFonts w:eastAsia="Times New Roman"/>
          <w:i/>
          <w:iCs/>
          <w:sz w:val="24"/>
          <w:szCs w:val="24"/>
        </w:rPr>
        <w:t>[</w:t>
      </w:r>
      <w:r w:rsidR="00390234" w:rsidRPr="0070684C">
        <w:rPr>
          <w:rFonts w:eastAsia="Times New Roman"/>
          <w:i/>
          <w:iCs/>
          <w:sz w:val="24"/>
          <w:szCs w:val="24"/>
        </w:rPr>
        <w:t>insert applicable pronoun</w:t>
      </w:r>
      <w:r w:rsidR="00390234">
        <w:rPr>
          <w:rFonts w:eastAsia="Times New Roman"/>
          <w:i/>
          <w:iCs/>
          <w:sz w:val="24"/>
          <w:szCs w:val="24"/>
        </w:rPr>
        <w:t>]</w:t>
      </w:r>
      <w:r w:rsidRPr="00427199">
        <w:rPr>
          <w:rFonts w:eastAsia="Times New Roman"/>
          <w:b/>
          <w:bCs/>
          <w:sz w:val="24"/>
          <w:szCs w:val="24"/>
        </w:rPr>
        <w:t xml:space="preserve"> part of the contract if you find that </w:t>
      </w:r>
      <w:r w:rsidRPr="00427199">
        <w:rPr>
          <w:rFonts w:eastAsia="Times New Roman"/>
          <w:bCs/>
          <w:i/>
          <w:sz w:val="24"/>
          <w:szCs w:val="24"/>
        </w:rPr>
        <w:t>[insert facts that, if proven, would as a matter of law justify nonperformance]</w:t>
      </w:r>
      <w:r w:rsidRPr="00427199">
        <w:rPr>
          <w:rFonts w:eastAsia="Times New Roman"/>
          <w:b/>
          <w:bCs/>
          <w:sz w:val="24"/>
          <w:szCs w:val="24"/>
        </w:rPr>
        <w:t>).</w:t>
      </w:r>
    </w:p>
    <w:p w14:paraId="493955E9"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If you find that (either) (any one or more) of these </w:t>
      </w:r>
      <w:r w:rsidRPr="00427199">
        <w:rPr>
          <w:rFonts w:eastAsia="Times New Roman"/>
          <w:bCs/>
          <w:i/>
          <w:sz w:val="24"/>
          <w:szCs w:val="24"/>
        </w:rPr>
        <w:t>(number)</w:t>
      </w:r>
      <w:r w:rsidRPr="00427199">
        <w:rPr>
          <w:rFonts w:eastAsia="Times New Roman"/>
          <w:b/>
          <w:bCs/>
          <w:sz w:val="24"/>
          <w:szCs w:val="24"/>
        </w:rPr>
        <w:t xml:space="preserve"> statements has not been proved, then your verdict must be for the defendant.</w:t>
      </w:r>
    </w:p>
    <w:p w14:paraId="37A19812"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On the other hand, if you find that all of these </w:t>
      </w:r>
      <w:r w:rsidRPr="00427199">
        <w:rPr>
          <w:rFonts w:eastAsia="Times New Roman"/>
          <w:bCs/>
          <w:i/>
          <w:sz w:val="24"/>
          <w:szCs w:val="24"/>
        </w:rPr>
        <w:t>(number)</w:t>
      </w:r>
      <w:r w:rsidRPr="00427199">
        <w:rPr>
          <w:rFonts w:eastAsia="Times New Roman"/>
          <w:b/>
          <w:bCs/>
          <w:sz w:val="24"/>
          <w:szCs w:val="24"/>
        </w:rPr>
        <w:t xml:space="preserve"> statements have been proved, (then your verdict must be for the plaintiff) (then you must consider the defendant’s affirmative defense(s) of </w:t>
      </w:r>
      <w:r w:rsidRPr="00427199">
        <w:rPr>
          <w:rFonts w:eastAsia="Times New Roman"/>
          <w:bCs/>
          <w:i/>
          <w:sz w:val="24"/>
          <w:szCs w:val="24"/>
        </w:rPr>
        <w:t>[insert any affirmative defense that would be a complete defense to plaintiff’s claim]</w:t>
      </w:r>
      <w:r w:rsidRPr="00427199">
        <w:rPr>
          <w:rFonts w:eastAsia="Times New Roman"/>
          <w:b/>
          <w:bCs/>
          <w:sz w:val="24"/>
          <w:szCs w:val="24"/>
        </w:rPr>
        <w:t>).</w:t>
      </w:r>
    </w:p>
    <w:p w14:paraId="4D53CEDE"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If you find that (this affirmative defense has) (any one or more of these affirmative defenses have) been proved by a preponderance of the evidence, then your verdict must be for the defendant.</w:t>
      </w:r>
    </w:p>
    <w:p w14:paraId="2333FCCE"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However, if you find that (this affirmative defense has not) (none of these affirmative defenses have) been proved, then your verdict must be for the plaintiff.</w:t>
      </w:r>
    </w:p>
    <w:p w14:paraId="1C7642BB" w14:textId="77777777" w:rsidR="00427199" w:rsidRDefault="00427199" w:rsidP="00427199">
      <w:pPr>
        <w:jc w:val="center"/>
        <w:rPr>
          <w:rFonts w:eastAsia="Times New Roman"/>
          <w:sz w:val="24"/>
          <w:szCs w:val="24"/>
        </w:rPr>
      </w:pPr>
    </w:p>
    <w:p w14:paraId="7FEAB5E1" w14:textId="77777777" w:rsidR="00427199" w:rsidRPr="0054263B" w:rsidRDefault="00427199" w:rsidP="00427199">
      <w:pPr>
        <w:keepNext/>
        <w:spacing w:after="240"/>
        <w:jc w:val="center"/>
        <w:rPr>
          <w:rFonts w:eastAsia="Times New Roman"/>
          <w:b/>
          <w:sz w:val="24"/>
          <w:szCs w:val="24"/>
        </w:rPr>
      </w:pPr>
      <w:r w:rsidRPr="0054263B">
        <w:rPr>
          <w:rFonts w:eastAsia="Times New Roman"/>
          <w:b/>
          <w:sz w:val="24"/>
          <w:szCs w:val="24"/>
        </w:rPr>
        <w:t>Notes on Use</w:t>
      </w:r>
    </w:p>
    <w:p w14:paraId="6A50708C"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1. When the existence of the contract is in issue, Instruction 30:1 and contract formation Instructions 30:2–30:9 should be considered. If the existence of the contract is not disputed, the jury may be advised that the parties do not dispute that a contract was formed, but dispute that there was a breach or the amount of damages caused by any breach, or both. </w:t>
      </w:r>
      <w:r w:rsidRPr="00427199">
        <w:rPr>
          <w:rFonts w:eastAsia="Times New Roman"/>
          <w:bCs/>
          <w:i/>
          <w:sz w:val="24"/>
          <w:szCs w:val="24"/>
        </w:rPr>
        <w:t>See</w:t>
      </w:r>
      <w:r w:rsidRPr="00427199">
        <w:rPr>
          <w:rFonts w:eastAsia="Times New Roman"/>
          <w:bCs/>
          <w:sz w:val="24"/>
          <w:szCs w:val="24"/>
        </w:rPr>
        <w:t xml:space="preserve"> Chapter 2 (statement of the case to be determined).</w:t>
      </w:r>
    </w:p>
    <w:p w14:paraId="2AFA95C9"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2. This instruction should be modified as appropriate to reflect the positions of plaintiff, counter-plaintiff, defendant and counter-defendant in the case.</w:t>
      </w:r>
    </w:p>
    <w:p w14:paraId="6A50FB36"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lastRenderedPageBreak/>
        <w:t xml:space="preserve">3. Paragraph 3 of this instruction should be used only if the plaintiff’s performance or substantial performance of the contract is a condition precedent to plaintiff’s right to recover under the contract. </w:t>
      </w:r>
    </w:p>
    <w:p w14:paraId="3FC2337D"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4. This instruction may be appropriately modified in cases involving particular kinds of contracts, e.g., a suit on a promissory note, to set forth in terms more relevant to the case the facts that are in dispute and that the plaintiff must prove in order to recover. For cases involving performance of construction contracts, see Instruction 30:49 and the Notes on Use and Source and Authority to that Instruction. See Part F of this chapter for other contracts. For instructions dealing with breach of employment contract claims, see Chapter 31.</w:t>
      </w:r>
    </w:p>
    <w:p w14:paraId="183E1954"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5. Depending on the facts in dispute, e.g., third party beneficiary, other paragraphs should be included which will properly present the factual issues in dispute to the jury.</w:t>
      </w:r>
    </w:p>
    <w:p w14:paraId="215E79F8"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6. If the defendant has put no affirmative defense in issue or there is insufficient evidence to support a defense, the last two paragraphs should be omitted.</w:t>
      </w:r>
    </w:p>
    <w:p w14:paraId="4079D963"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7. Although mitigation of damages is an affirmative defense (see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damages instruction appropriate to the claim and the evidence in the case.</w:t>
      </w:r>
    </w:p>
    <w:p w14:paraId="1D9590F2"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8. For other affirmative defenses, see Instructions in Part C of this chapter.</w:t>
      </w:r>
    </w:p>
    <w:p w14:paraId="0DE64F8F"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9. In cases involving issues of the duty of good faith and fair dealing implied in every contract, see Instruction 30:16 (non-insurance contract) and Chapter 25, Bad Faith Breach of Insurance Contract. </w:t>
      </w:r>
    </w:p>
    <w:p w14:paraId="5786EAE7" w14:textId="77777777" w:rsidR="00427199" w:rsidRPr="0054263B" w:rsidRDefault="00427199" w:rsidP="00427199">
      <w:pPr>
        <w:keepNext/>
        <w:spacing w:after="240"/>
        <w:jc w:val="center"/>
        <w:rPr>
          <w:rFonts w:eastAsia="Times New Roman"/>
          <w:b/>
          <w:sz w:val="24"/>
          <w:szCs w:val="24"/>
        </w:rPr>
      </w:pPr>
      <w:r>
        <w:rPr>
          <w:rFonts w:eastAsia="Times New Roman"/>
          <w:b/>
          <w:sz w:val="24"/>
          <w:szCs w:val="24"/>
        </w:rPr>
        <w:t>Source and Authority</w:t>
      </w:r>
    </w:p>
    <w:p w14:paraId="6DEE8478"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1. This instruction is supported by </w:t>
      </w:r>
      <w:r w:rsidRPr="00427199">
        <w:rPr>
          <w:rFonts w:eastAsia="Times New Roman"/>
          <w:b/>
          <w:bCs/>
          <w:sz w:val="24"/>
          <w:szCs w:val="24"/>
        </w:rPr>
        <w:t>Hunt v. Cates</w:t>
      </w:r>
      <w:r w:rsidRPr="00427199">
        <w:rPr>
          <w:rFonts w:eastAsia="Times New Roman"/>
          <w:bCs/>
          <w:sz w:val="24"/>
          <w:szCs w:val="24"/>
        </w:rPr>
        <w:t xml:space="preserve">, 61 Colo. 365, 157 P. 1162 (1916); </w:t>
      </w:r>
      <w:r w:rsidRPr="00427199">
        <w:rPr>
          <w:rFonts w:eastAsia="Times New Roman"/>
          <w:b/>
          <w:bCs/>
          <w:sz w:val="24"/>
          <w:szCs w:val="24"/>
        </w:rPr>
        <w:t>McDonald v. Zions First Nat’l Bank, N.A.,</w:t>
      </w:r>
      <w:r w:rsidRPr="00427199">
        <w:rPr>
          <w:rFonts w:eastAsia="Times New Roman"/>
          <w:bCs/>
          <w:sz w:val="24"/>
          <w:szCs w:val="24"/>
        </w:rPr>
        <w:t xml:space="preserve"> 2015 COA 29, ¶ 48, 348 P.3d 957; and </w:t>
      </w:r>
      <w:r w:rsidRPr="00427199">
        <w:rPr>
          <w:rFonts w:eastAsia="Times New Roman"/>
          <w:b/>
          <w:bCs/>
          <w:sz w:val="24"/>
          <w:szCs w:val="24"/>
        </w:rPr>
        <w:t>Long v. Cordain</w:t>
      </w:r>
      <w:r w:rsidRPr="00427199">
        <w:rPr>
          <w:rFonts w:eastAsia="Times New Roman"/>
          <w:bCs/>
          <w:sz w:val="24"/>
          <w:szCs w:val="24"/>
        </w:rPr>
        <w:t xml:space="preserve">, 2014 COA 177, ¶ 19, 343 P.3d 1061 (stating elements needed to prove a contract claim). </w:t>
      </w:r>
      <w:r w:rsidRPr="00427199">
        <w:rPr>
          <w:rFonts w:eastAsia="Times New Roman"/>
          <w:bCs/>
          <w:i/>
          <w:sz w:val="24"/>
          <w:szCs w:val="24"/>
        </w:rPr>
        <w:t>See also</w:t>
      </w:r>
      <w:r w:rsidRPr="00427199">
        <w:rPr>
          <w:rFonts w:eastAsia="Times New Roman"/>
          <w:bCs/>
          <w:sz w:val="24"/>
          <w:szCs w:val="24"/>
        </w:rPr>
        <w:t xml:space="preserve"> </w:t>
      </w:r>
      <w:r w:rsidRPr="00427199">
        <w:rPr>
          <w:rFonts w:eastAsia="Times New Roman"/>
          <w:b/>
          <w:bCs/>
          <w:sz w:val="24"/>
          <w:szCs w:val="24"/>
        </w:rPr>
        <w:t>Coors v. Sec. Life of Denver Ins. Co.</w:t>
      </w:r>
      <w:r w:rsidRPr="00427199">
        <w:rPr>
          <w:rFonts w:eastAsia="Times New Roman"/>
          <w:bCs/>
          <w:sz w:val="24"/>
          <w:szCs w:val="24"/>
        </w:rPr>
        <w:t xml:space="preserve">, 91 P.3d 393 (Colo. App. 2003) (to prevail on claim for breach of contract, party must show existence of contract and failure to perform some term of contract by other party), </w:t>
      </w:r>
      <w:r w:rsidRPr="00427199">
        <w:rPr>
          <w:rFonts w:eastAsia="Times New Roman"/>
          <w:bCs/>
          <w:i/>
          <w:sz w:val="24"/>
          <w:szCs w:val="24"/>
        </w:rPr>
        <w:t>aff’d in part, rev’d in part on other grounds</w:t>
      </w:r>
      <w:r w:rsidRPr="00427199">
        <w:rPr>
          <w:rFonts w:eastAsia="Times New Roman"/>
          <w:bCs/>
          <w:sz w:val="24"/>
          <w:szCs w:val="24"/>
        </w:rPr>
        <w:t xml:space="preserve">, 112 P.3d 59 (Colo. 2005); </w:t>
      </w:r>
      <w:r w:rsidRPr="00427199">
        <w:rPr>
          <w:rFonts w:eastAsia="Times New Roman"/>
          <w:bCs/>
          <w:i/>
          <w:sz w:val="24"/>
          <w:szCs w:val="24"/>
        </w:rPr>
        <w:t>cf</w:t>
      </w:r>
      <w:r w:rsidRPr="00427199">
        <w:rPr>
          <w:rFonts w:eastAsia="Times New Roman"/>
          <w:bCs/>
          <w:sz w:val="24"/>
          <w:szCs w:val="24"/>
        </w:rPr>
        <w:t xml:space="preserve">. </w:t>
      </w:r>
      <w:r w:rsidRPr="00427199">
        <w:rPr>
          <w:rFonts w:eastAsia="Times New Roman"/>
          <w:b/>
          <w:bCs/>
          <w:sz w:val="24"/>
          <w:szCs w:val="24"/>
        </w:rPr>
        <w:t>Smith v. Mills</w:t>
      </w:r>
      <w:r w:rsidRPr="00427199">
        <w:rPr>
          <w:rFonts w:eastAsia="Times New Roman"/>
          <w:bCs/>
          <w:sz w:val="24"/>
          <w:szCs w:val="24"/>
        </w:rPr>
        <w:t>, 123 Colo. 11, 225 P.2d 483 (1950) (a complaint is sufficient if it alleges the existence of a contract and the nonperformance of the promise made).</w:t>
      </w:r>
    </w:p>
    <w:p w14:paraId="725CE6A7" w14:textId="54B6D028"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2. Principles of conditions precedent are set forth in 8 </w:t>
      </w:r>
      <w:r w:rsidRPr="006D1D57">
        <w:rPr>
          <w:rFonts w:eastAsia="Times New Roman"/>
          <w:bCs/>
          <w:smallCaps/>
          <w:sz w:val="24"/>
          <w:szCs w:val="24"/>
        </w:rPr>
        <w:t>Catherine A. McCauliff, Corbin on Contracts</w:t>
      </w:r>
      <w:r w:rsidRPr="00427199">
        <w:rPr>
          <w:rFonts w:eastAsia="Times New Roman"/>
          <w:bCs/>
          <w:sz w:val="24"/>
          <w:szCs w:val="24"/>
        </w:rPr>
        <w:t xml:space="preserve"> § 30.7 (Joseph M. Perillo ed., rev. ed. 1999), considering the occurrence or nonoccurrence of any condition precedent (under certain circumstances). Conditions precedent must be specifically pleaded. C.R.C.P. 9(c). For authority considering conditions precedent, see </w:t>
      </w:r>
      <w:r w:rsidRPr="00427199">
        <w:rPr>
          <w:rFonts w:eastAsia="Times New Roman"/>
          <w:b/>
          <w:bCs/>
          <w:sz w:val="24"/>
          <w:szCs w:val="24"/>
        </w:rPr>
        <w:t>Western Distributing Co. v. Diodosio</w:t>
      </w:r>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 xml:space="preserve">841 P.2d 1053 (Colo. 1992) (defendant had received substantially all the benefit expected from the contract and therefore plaintiffs had substantially performed their obligations and could assert breach of contract claim against </w:t>
      </w:r>
      <w:r w:rsidRPr="00427199">
        <w:rPr>
          <w:rFonts w:eastAsia="Times New Roman"/>
          <w:bCs/>
          <w:sz w:val="24"/>
          <w:szCs w:val="24"/>
        </w:rPr>
        <w:lastRenderedPageBreak/>
        <w:t xml:space="preserve">defendant, even though not every obligation was performed); and </w:t>
      </w:r>
      <w:r w:rsidRPr="00427199">
        <w:rPr>
          <w:rFonts w:eastAsia="Times New Roman"/>
          <w:b/>
          <w:bCs/>
          <w:sz w:val="24"/>
          <w:szCs w:val="24"/>
        </w:rPr>
        <w:t>D.R. Horton, Inc.-Denver v. Bischof &amp; Coffman Construction, LLC</w:t>
      </w:r>
      <w:r w:rsidRPr="00427199">
        <w:rPr>
          <w:rFonts w:eastAsia="Times New Roman"/>
          <w:bCs/>
          <w:sz w:val="24"/>
          <w:szCs w:val="24"/>
        </w:rPr>
        <w:t xml:space="preserve">, 217 P.3d 1262 (Colo. App. 2009) (trial court erred in instructing jury that general contractor could not recover damages for breach of contract from subcontractors if they found subcontractors had substantially performed). </w:t>
      </w:r>
      <w:r w:rsidRPr="00427199">
        <w:rPr>
          <w:rFonts w:eastAsia="Times New Roman"/>
          <w:bCs/>
          <w:i/>
          <w:sz w:val="24"/>
          <w:szCs w:val="24"/>
        </w:rPr>
        <w:t>See also</w:t>
      </w:r>
      <w:r w:rsidRPr="00427199">
        <w:rPr>
          <w:rFonts w:eastAsia="Times New Roman"/>
          <w:bCs/>
          <w:sz w:val="24"/>
          <w:szCs w:val="24"/>
        </w:rPr>
        <w:t xml:space="preserve"> </w:t>
      </w:r>
      <w:r w:rsidRPr="00427199">
        <w:rPr>
          <w:rFonts w:eastAsia="Times New Roman"/>
          <w:b/>
          <w:bCs/>
          <w:sz w:val="24"/>
          <w:szCs w:val="24"/>
        </w:rPr>
        <w:t>Daybreak Constr. Specialties, Inc. v. Saghatoleslami</w:t>
      </w:r>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 xml:space="preserve">712 P.2d 1028, 1031 (Colo. App. 1985) (“When the obligations of a contract for sale and purchase of land are mutual and concurrent [i.e., the performance of each is a condition precedent to the obligation to perform the other], so long as one party makes no tender of deed and the other no offer of payment, neither is in default.”). Whether a breach of contract is material and therefore excuses the other party from performance is generally a question of fact. </w:t>
      </w:r>
      <w:r w:rsidRPr="00427199">
        <w:rPr>
          <w:rFonts w:eastAsia="Times New Roman"/>
          <w:b/>
          <w:bCs/>
          <w:sz w:val="24"/>
          <w:szCs w:val="24"/>
        </w:rPr>
        <w:t>Blood v. Qwest Servs. Corp.</w:t>
      </w:r>
      <w:r w:rsidRPr="00427199">
        <w:rPr>
          <w:rFonts w:eastAsia="Times New Roman"/>
          <w:bCs/>
          <w:sz w:val="24"/>
          <w:szCs w:val="24"/>
        </w:rPr>
        <w:t xml:space="preserve">, 224 P.3d 301 (Colo. App. 2009) (whether third-party plaintiff had materially breached or not substantially performed its contract with third-party defendant a question for jury), </w:t>
      </w:r>
      <w:r w:rsidRPr="00427199">
        <w:rPr>
          <w:rFonts w:eastAsia="Times New Roman"/>
          <w:bCs/>
          <w:i/>
          <w:sz w:val="24"/>
          <w:szCs w:val="24"/>
        </w:rPr>
        <w:t>aff’d on other grounds</w:t>
      </w:r>
      <w:r w:rsidRPr="00427199">
        <w:rPr>
          <w:rFonts w:eastAsia="Times New Roman"/>
          <w:bCs/>
          <w:sz w:val="24"/>
          <w:szCs w:val="24"/>
        </w:rPr>
        <w:t xml:space="preserve">, 252 P.3d 1071 (2011); </w:t>
      </w:r>
      <w:r w:rsidRPr="00427199">
        <w:rPr>
          <w:rFonts w:eastAsia="Times New Roman"/>
          <w:b/>
          <w:bCs/>
          <w:sz w:val="24"/>
          <w:szCs w:val="24"/>
        </w:rPr>
        <w:t>Morris v. Belfor USA Group, Inc.</w:t>
      </w:r>
      <w:r w:rsidRPr="00427199">
        <w:rPr>
          <w:rFonts w:eastAsia="Times New Roman"/>
          <w:bCs/>
          <w:sz w:val="24"/>
          <w:szCs w:val="24"/>
        </w:rPr>
        <w:t xml:space="preserve">, 201 P.3d 1253 (Colo. App. 2008); </w:t>
      </w:r>
      <w:r w:rsidRPr="00427199">
        <w:rPr>
          <w:rFonts w:eastAsia="Times New Roman"/>
          <w:b/>
          <w:bCs/>
          <w:sz w:val="24"/>
          <w:szCs w:val="24"/>
        </w:rPr>
        <w:t>Kaiser v. Market Square Discount Liquors, Inc.</w:t>
      </w:r>
      <w:r w:rsidRPr="00427199">
        <w:rPr>
          <w:rFonts w:eastAsia="Times New Roman"/>
          <w:bCs/>
          <w:sz w:val="24"/>
          <w:szCs w:val="24"/>
        </w:rPr>
        <w:t xml:space="preserve">, 992 P.2d 636 (Colo. App. 1999) (material breach by a party deprives that party of the right to demand performance by the other party). </w:t>
      </w:r>
    </w:p>
    <w:p w14:paraId="710986A2" w14:textId="696C5614"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3. “[W]hen the existence of a contract is in issue, and the evidence is conflicting or admits of more than one inference, it is for the jury to decide whether a contract in fact exists.” </w:t>
      </w:r>
      <w:r w:rsidRPr="00427199">
        <w:rPr>
          <w:rFonts w:eastAsia="Times New Roman"/>
          <w:b/>
          <w:bCs/>
          <w:sz w:val="24"/>
          <w:szCs w:val="24"/>
        </w:rPr>
        <w:t>I.M.A., Inc. v. Rocky Mountain Airways, Inc.</w:t>
      </w:r>
      <w:r w:rsidRPr="00427199">
        <w:rPr>
          <w:rFonts w:eastAsia="Times New Roman"/>
          <w:bCs/>
          <w:sz w:val="24"/>
          <w:szCs w:val="24"/>
        </w:rPr>
        <w:t xml:space="preserve">, 713 P.2d 882, 887 (Colo. 1986); </w:t>
      </w:r>
      <w:r w:rsidRPr="00427199">
        <w:rPr>
          <w:rFonts w:eastAsia="Times New Roman"/>
          <w:bCs/>
          <w:i/>
          <w:sz w:val="24"/>
          <w:szCs w:val="24"/>
        </w:rPr>
        <w:t>see also</w:t>
      </w:r>
      <w:r w:rsidRPr="00427199">
        <w:rPr>
          <w:rFonts w:eastAsia="Times New Roman"/>
          <w:bCs/>
          <w:sz w:val="24"/>
          <w:szCs w:val="24"/>
        </w:rPr>
        <w:t xml:space="preserve"> </w:t>
      </w:r>
      <w:r w:rsidRPr="00427199">
        <w:rPr>
          <w:rFonts w:eastAsia="Times New Roman"/>
          <w:b/>
          <w:bCs/>
          <w:sz w:val="24"/>
          <w:szCs w:val="24"/>
        </w:rPr>
        <w:t>Broomfield Senior Living Owner LLC v. R.G. Brinkman Co</w:t>
      </w:r>
      <w:r w:rsidRPr="00427199">
        <w:rPr>
          <w:rFonts w:eastAsia="Times New Roman"/>
          <w:bCs/>
          <w:sz w:val="24"/>
          <w:szCs w:val="24"/>
        </w:rPr>
        <w:t>., 2017 COA 31, ¶ 35</w:t>
      </w:r>
      <w:r w:rsidR="00F06ADD">
        <w:rPr>
          <w:rFonts w:eastAsia="Times New Roman"/>
          <w:bCs/>
          <w:sz w:val="24"/>
          <w:szCs w:val="24"/>
        </w:rPr>
        <w:t>, 413 P.3d 219</w:t>
      </w:r>
      <w:r w:rsidRPr="00427199">
        <w:rPr>
          <w:rFonts w:eastAsia="Times New Roman"/>
          <w:bCs/>
          <w:sz w:val="24"/>
          <w:szCs w:val="24"/>
        </w:rPr>
        <w:t xml:space="preserve"> (whether builder was given reasonable opportunity to correct defects, and whether defects were patent or latent were disputed issues of fact for the jury); </w:t>
      </w:r>
      <w:r w:rsidRPr="00427199">
        <w:rPr>
          <w:rFonts w:eastAsia="Times New Roman"/>
          <w:b/>
          <w:bCs/>
          <w:sz w:val="24"/>
          <w:szCs w:val="24"/>
        </w:rPr>
        <w:t>Command Commc’ns, Inc. v. Fritz Cos.</w:t>
      </w:r>
      <w:r w:rsidRPr="00427199">
        <w:rPr>
          <w:rFonts w:eastAsia="Times New Roman"/>
          <w:bCs/>
          <w:sz w:val="24"/>
          <w:szCs w:val="24"/>
        </w:rPr>
        <w:t xml:space="preserve">, 36 P.3d 182 (Colo. App. 2001) (existence of contract a question of fact for jury to determine); </w:t>
      </w:r>
      <w:r w:rsidRPr="00427199">
        <w:rPr>
          <w:rFonts w:eastAsia="Times New Roman"/>
          <w:b/>
          <w:bCs/>
          <w:sz w:val="24"/>
          <w:szCs w:val="24"/>
        </w:rPr>
        <w:t>Fair v. Red Lion Inn</w:t>
      </w:r>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 xml:space="preserve">920 P.2d 820 (Colo. App. 1995), </w:t>
      </w:r>
      <w:r w:rsidRPr="00427199">
        <w:rPr>
          <w:rFonts w:eastAsia="Times New Roman"/>
          <w:bCs/>
          <w:i/>
          <w:sz w:val="24"/>
          <w:szCs w:val="24"/>
        </w:rPr>
        <w:t>aff’d on other grounds</w:t>
      </w:r>
      <w:r w:rsidRPr="00427199">
        <w:rPr>
          <w:rFonts w:eastAsia="Times New Roman"/>
          <w:bCs/>
          <w:sz w:val="24"/>
          <w:szCs w:val="24"/>
        </w:rPr>
        <w:t xml:space="preserve">, 943 P.2d 431 (Colo. 1997); </w:t>
      </w:r>
      <w:r w:rsidRPr="00427199">
        <w:rPr>
          <w:rFonts w:eastAsia="Times New Roman"/>
          <w:b/>
          <w:bCs/>
          <w:sz w:val="24"/>
          <w:szCs w:val="24"/>
        </w:rPr>
        <w:t>Tuttle v. ANR Freight Sys., Inc.</w:t>
      </w:r>
      <w:r w:rsidRPr="00427199">
        <w:rPr>
          <w:rFonts w:eastAsia="Times New Roman"/>
          <w:bCs/>
          <w:sz w:val="24"/>
          <w:szCs w:val="24"/>
        </w:rPr>
        <w:t xml:space="preserve">, 797 P.2d 825 (Colo. App. 1990); </w:t>
      </w:r>
      <w:r w:rsidRPr="00427199">
        <w:rPr>
          <w:rFonts w:eastAsia="Times New Roman"/>
          <w:b/>
          <w:bCs/>
          <w:sz w:val="24"/>
          <w:szCs w:val="24"/>
        </w:rPr>
        <w:t>Stroh v. Am. Recreation &amp; Mobile Home Corp.</w:t>
      </w:r>
      <w:r w:rsidRPr="00427199">
        <w:rPr>
          <w:rFonts w:eastAsia="Times New Roman"/>
          <w:bCs/>
          <w:sz w:val="24"/>
          <w:szCs w:val="24"/>
        </w:rPr>
        <w:t>, 35 Colo. App. 196, 201, 530 P.2d 989, 993 (1975) (“the question of the existence of a warranty and whether that warranty was breached is ordinarily one for the trier of fact”).</w:t>
      </w:r>
    </w:p>
    <w:p w14:paraId="157ED955"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4. Because</w:t>
      </w:r>
      <w:r w:rsidR="00826FD6">
        <w:rPr>
          <w:rFonts w:eastAsia="Times New Roman"/>
          <w:bCs/>
          <w:sz w:val="24"/>
          <w:szCs w:val="24"/>
        </w:rPr>
        <w:t xml:space="preserve"> a</w:t>
      </w:r>
      <w:r w:rsidRPr="00427199">
        <w:rPr>
          <w:rFonts w:eastAsia="Times New Roman"/>
          <w:bCs/>
          <w:sz w:val="24"/>
          <w:szCs w:val="24"/>
        </w:rPr>
        <w:t xml:space="preserve"> plaintiff is entitled to recover at least nominal damages if the plaintiff proves the existence of a contract and its breach and there is no defense, proof of general damages has not been included as one of the elements of the plaintiff’s proof of liability. </w:t>
      </w:r>
      <w:r w:rsidRPr="00427199">
        <w:rPr>
          <w:rFonts w:eastAsia="Times New Roman"/>
          <w:b/>
          <w:bCs/>
          <w:sz w:val="24"/>
          <w:szCs w:val="24"/>
        </w:rPr>
        <w:t>Interbank Invs., LLC v. Eagle River Water &amp; Sanitation Dist.</w:t>
      </w:r>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 xml:space="preserve">77 P.3d 814, 818 (Colo. App. 2003) (“Proof of actual damages is not an essential element of a breach of contract claim.”); </w:t>
      </w:r>
      <w:r w:rsidRPr="00427199">
        <w:rPr>
          <w:rFonts w:eastAsia="Times New Roman"/>
          <w:bCs/>
          <w:i/>
          <w:sz w:val="24"/>
          <w:szCs w:val="24"/>
        </w:rPr>
        <w:t>see</w:t>
      </w:r>
      <w:r w:rsidRPr="00427199">
        <w:rPr>
          <w:rFonts w:eastAsia="Times New Roman"/>
          <w:bCs/>
          <w:sz w:val="24"/>
          <w:szCs w:val="24"/>
        </w:rPr>
        <w:t xml:space="preserve"> Instruction 30:38 (General Damages – Measure). </w:t>
      </w:r>
      <w:r w:rsidRPr="00427199">
        <w:rPr>
          <w:rFonts w:eastAsia="Times New Roman"/>
          <w:bCs/>
          <w:i/>
          <w:sz w:val="24"/>
          <w:szCs w:val="24"/>
        </w:rPr>
        <w:t>But see</w:t>
      </w:r>
      <w:r w:rsidRPr="00427199">
        <w:rPr>
          <w:rFonts w:eastAsia="Times New Roman"/>
          <w:bCs/>
          <w:sz w:val="24"/>
          <w:szCs w:val="24"/>
        </w:rPr>
        <w:t xml:space="preserve"> </w:t>
      </w:r>
      <w:r w:rsidRPr="00427199">
        <w:rPr>
          <w:rFonts w:eastAsia="Times New Roman"/>
          <w:b/>
          <w:bCs/>
          <w:sz w:val="24"/>
          <w:szCs w:val="24"/>
        </w:rPr>
        <w:t>Diodosio</w:t>
      </w:r>
      <w:r w:rsidRPr="00427199">
        <w:rPr>
          <w:rFonts w:eastAsia="Times New Roman"/>
          <w:bCs/>
          <w:sz w:val="24"/>
          <w:szCs w:val="24"/>
        </w:rPr>
        <w:t xml:space="preserve">, 841 P.2d at 1058; </w:t>
      </w:r>
      <w:r w:rsidRPr="00427199">
        <w:rPr>
          <w:rFonts w:eastAsia="Times New Roman"/>
          <w:b/>
          <w:bCs/>
          <w:sz w:val="24"/>
          <w:szCs w:val="24"/>
        </w:rPr>
        <w:t>City of</w:t>
      </w:r>
      <w:r w:rsidRPr="00427199">
        <w:rPr>
          <w:rFonts w:eastAsia="Times New Roman"/>
          <w:bCs/>
          <w:sz w:val="24"/>
          <w:szCs w:val="24"/>
        </w:rPr>
        <w:t xml:space="preserve"> </w:t>
      </w:r>
      <w:r w:rsidRPr="00427199">
        <w:rPr>
          <w:rFonts w:eastAsia="Times New Roman"/>
          <w:b/>
          <w:bCs/>
          <w:sz w:val="24"/>
          <w:szCs w:val="24"/>
        </w:rPr>
        <w:t>Westminster v. Centric-Jones Constructors</w:t>
      </w:r>
      <w:r w:rsidRPr="00427199">
        <w:rPr>
          <w:rFonts w:eastAsia="Times New Roman"/>
          <w:bCs/>
          <w:sz w:val="24"/>
          <w:szCs w:val="24"/>
        </w:rPr>
        <w:t xml:space="preserve">, 100 P.3d 472 (Colo. App. 2003) (damages is element of breach of contract claim); </w:t>
      </w:r>
      <w:r w:rsidRPr="00427199">
        <w:rPr>
          <w:rFonts w:eastAsia="Times New Roman"/>
          <w:b/>
          <w:bCs/>
          <w:sz w:val="24"/>
          <w:szCs w:val="24"/>
        </w:rPr>
        <w:t>Montemayor v. Jacor Commc’ns, Inc.</w:t>
      </w:r>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64 P.3d 916 (Colo. App. 2002) (damages an element of plaintiff’s claim for breach of contract).</w:t>
      </w:r>
    </w:p>
    <w:p w14:paraId="3E645BAF" w14:textId="2025A943" w:rsidR="00427199" w:rsidRDefault="00427199" w:rsidP="00427199">
      <w:pPr>
        <w:spacing w:after="240"/>
        <w:ind w:firstLine="720"/>
        <w:rPr>
          <w:rFonts w:eastAsia="Times New Roman"/>
          <w:bCs/>
          <w:sz w:val="24"/>
          <w:szCs w:val="24"/>
        </w:rPr>
      </w:pPr>
      <w:r w:rsidRPr="00427199">
        <w:rPr>
          <w:rFonts w:eastAsia="Times New Roman"/>
          <w:bCs/>
          <w:sz w:val="24"/>
          <w:szCs w:val="24"/>
        </w:rPr>
        <w:t xml:space="preserve">5. Claims for breach of contract may be made against state and municipal governmental entities. The Colorado Governmental Immunity Act (CGIA) applies to tort action but does not apply to contract actions. § 24-10-106(1), C.R.S. (“A public entity shall be immune from liability in all claims for injury which lie in tort or could lie in tort regardless of whether that may be the type of action or the form of relief chosen by the claimant . . . .”); </w:t>
      </w:r>
      <w:r w:rsidRPr="00427199">
        <w:rPr>
          <w:rFonts w:eastAsia="Times New Roman"/>
          <w:b/>
          <w:bCs/>
          <w:sz w:val="24"/>
          <w:szCs w:val="24"/>
        </w:rPr>
        <w:t>CAMAS Colorado, Inc. v. Bd. of Cty. Comm’rs</w:t>
      </w:r>
      <w:r w:rsidRPr="00427199">
        <w:rPr>
          <w:rFonts w:eastAsia="Times New Roman"/>
          <w:bCs/>
          <w:sz w:val="24"/>
          <w:szCs w:val="24"/>
        </w:rPr>
        <w:t>, 36 P.3d 135 (Colo. App. 2001)</w:t>
      </w:r>
      <w:r w:rsidRPr="00427199">
        <w:rPr>
          <w:rFonts w:eastAsia="Times New Roman"/>
          <w:bCs/>
          <w:i/>
          <w:sz w:val="24"/>
          <w:szCs w:val="24"/>
        </w:rPr>
        <w:t xml:space="preserve"> </w:t>
      </w:r>
      <w:r w:rsidRPr="00427199">
        <w:rPr>
          <w:rFonts w:eastAsia="Times New Roman"/>
          <w:bCs/>
          <w:sz w:val="24"/>
          <w:szCs w:val="24"/>
        </w:rPr>
        <w:t xml:space="preserve">(public entities are not immune under CGIA for damages arising in contract). The issue under the CGIA is not whether a contract claim was properly pleaded but, instead, whether the claim could have been brought as a tort. </w:t>
      </w:r>
      <w:r w:rsidR="00F06ADD" w:rsidRPr="00F06ADD">
        <w:rPr>
          <w:rFonts w:eastAsia="Times New Roman"/>
          <w:b/>
          <w:bCs/>
          <w:sz w:val="24"/>
          <w:szCs w:val="24"/>
        </w:rPr>
        <w:t xml:space="preserve">City of </w:t>
      </w:r>
      <w:r w:rsidR="00F06ADD" w:rsidRPr="00F06ADD">
        <w:rPr>
          <w:rFonts w:eastAsia="Times New Roman"/>
          <w:b/>
          <w:bCs/>
          <w:sz w:val="24"/>
          <w:szCs w:val="24"/>
        </w:rPr>
        <w:lastRenderedPageBreak/>
        <w:t>Arvada v. Denver Health &amp; Hosp. Auth.</w:t>
      </w:r>
      <w:r w:rsidR="00F06ADD">
        <w:rPr>
          <w:rFonts w:eastAsia="Times New Roman"/>
          <w:bCs/>
          <w:sz w:val="24"/>
          <w:szCs w:val="24"/>
        </w:rPr>
        <w:t>, 2017 CO 97, ¶ 42, 403 P.3d 609</w:t>
      </w:r>
      <w:r w:rsidR="001333F4">
        <w:rPr>
          <w:rFonts w:eastAsia="Times New Roman"/>
          <w:bCs/>
          <w:sz w:val="24"/>
          <w:szCs w:val="24"/>
        </w:rPr>
        <w:t>, 617 (equitable claim for recovery of medical expenses “resembles one sounding in contract and cannot lie in tort”)</w:t>
      </w:r>
      <w:r w:rsidR="00F06ADD">
        <w:rPr>
          <w:rFonts w:eastAsia="Times New Roman"/>
          <w:bCs/>
          <w:sz w:val="24"/>
          <w:szCs w:val="24"/>
        </w:rPr>
        <w:t xml:space="preserve">; </w:t>
      </w:r>
      <w:r w:rsidR="00753103" w:rsidRPr="00A10C0F">
        <w:rPr>
          <w:rFonts w:eastAsia="Times New Roman"/>
          <w:b/>
          <w:bCs/>
          <w:sz w:val="24"/>
          <w:szCs w:val="24"/>
        </w:rPr>
        <w:t>Falcon Broadband, Inc. v. Banning Lewis Ranch Metro</w:t>
      </w:r>
      <w:r w:rsidR="00753103">
        <w:rPr>
          <w:rFonts w:eastAsia="Times New Roman"/>
          <w:b/>
          <w:bCs/>
          <w:sz w:val="24"/>
          <w:szCs w:val="24"/>
        </w:rPr>
        <w:t>.</w:t>
      </w:r>
      <w:r w:rsidR="00753103" w:rsidRPr="00A10C0F">
        <w:rPr>
          <w:rFonts w:eastAsia="Times New Roman"/>
          <w:b/>
          <w:bCs/>
          <w:sz w:val="24"/>
          <w:szCs w:val="24"/>
        </w:rPr>
        <w:t xml:space="preserve"> Dist. No. 1</w:t>
      </w:r>
      <w:r w:rsidR="00753103">
        <w:rPr>
          <w:rFonts w:eastAsia="Times New Roman"/>
          <w:bCs/>
          <w:sz w:val="24"/>
          <w:szCs w:val="24"/>
        </w:rPr>
        <w:t xml:space="preserve">, 2018 COA 92, </w:t>
      </w:r>
      <w:r w:rsidR="00753103" w:rsidRPr="00B11D2B">
        <w:rPr>
          <w:rFonts w:eastAsia="Times New Roman"/>
          <w:bCs/>
          <w:sz w:val="24"/>
          <w:szCs w:val="24"/>
        </w:rPr>
        <w:t>¶</w:t>
      </w:r>
      <w:r w:rsidR="00753103">
        <w:rPr>
          <w:rFonts w:eastAsia="Times New Roman"/>
          <w:bCs/>
          <w:sz w:val="24"/>
          <w:szCs w:val="24"/>
        </w:rPr>
        <w:t xml:space="preserve"> 17</w:t>
      </w:r>
      <w:r w:rsidR="006459DB">
        <w:rPr>
          <w:rFonts w:eastAsia="Times New Roman"/>
          <w:bCs/>
          <w:sz w:val="24"/>
          <w:szCs w:val="24"/>
        </w:rPr>
        <w:t>, 474 P.3d 1231, 1238</w:t>
      </w:r>
      <w:r w:rsidR="00753103">
        <w:rPr>
          <w:rFonts w:eastAsia="Times New Roman"/>
          <w:bCs/>
          <w:sz w:val="24"/>
          <w:szCs w:val="24"/>
        </w:rPr>
        <w:t xml:space="preserve"> (“enforcement of contractual promises through the quasi-contractual theory of promissory estoppel and the restitution theory of unjust enrichment . . . sound firmly in contract” and are not barred by the CGIA); </w:t>
      </w:r>
      <w:r w:rsidRPr="00427199">
        <w:rPr>
          <w:rFonts w:eastAsia="Times New Roman"/>
          <w:b/>
          <w:bCs/>
          <w:sz w:val="24"/>
          <w:szCs w:val="24"/>
        </w:rPr>
        <w:t>Foster v. Bd. of Governors</w:t>
      </w:r>
      <w:r w:rsidRPr="00427199">
        <w:rPr>
          <w:rFonts w:eastAsia="Times New Roman"/>
          <w:bCs/>
          <w:sz w:val="24"/>
          <w:szCs w:val="24"/>
        </w:rPr>
        <w:t xml:space="preserve">, 2014 COA 18, ¶ 15, 342 P.3d 497 (it is only when a claim cannot lie in tort that there is no immunity); </w:t>
      </w:r>
      <w:r w:rsidRPr="00427199">
        <w:rPr>
          <w:rFonts w:eastAsia="Times New Roman"/>
          <w:b/>
          <w:bCs/>
          <w:sz w:val="24"/>
          <w:szCs w:val="24"/>
        </w:rPr>
        <w:t>Casey v. Colo. Higher Ed. Ins. Benefits All. Trust</w:t>
      </w:r>
      <w:r w:rsidRPr="00427199">
        <w:rPr>
          <w:rFonts w:eastAsia="Times New Roman"/>
          <w:bCs/>
          <w:sz w:val="24"/>
          <w:szCs w:val="24"/>
        </w:rPr>
        <w:t>, 2012 COA 134, ¶ 30, 310 P.3d 196 (same).</w:t>
      </w:r>
    </w:p>
    <w:p w14:paraId="2B1E1F31" w14:textId="7642ED21" w:rsidR="00826FD6" w:rsidRPr="00427199" w:rsidRDefault="00826FD6" w:rsidP="00427199">
      <w:pPr>
        <w:spacing w:after="240"/>
        <w:ind w:firstLine="720"/>
        <w:rPr>
          <w:rFonts w:eastAsia="Times New Roman"/>
          <w:bCs/>
          <w:sz w:val="24"/>
          <w:szCs w:val="24"/>
        </w:rPr>
      </w:pPr>
      <w:r>
        <w:rPr>
          <w:rFonts w:eastAsia="Times New Roman"/>
          <w:bCs/>
          <w:sz w:val="24"/>
          <w:szCs w:val="24"/>
        </w:rPr>
        <w:t xml:space="preserve">6. This elemental instruction and notes were cited with approval in </w:t>
      </w:r>
      <w:r w:rsidRPr="00897604">
        <w:rPr>
          <w:rFonts w:eastAsia="Times New Roman"/>
          <w:b/>
          <w:bCs/>
          <w:sz w:val="24"/>
          <w:szCs w:val="24"/>
        </w:rPr>
        <w:t>Dorsey &amp; W</w:t>
      </w:r>
      <w:r>
        <w:rPr>
          <w:rFonts w:eastAsia="Times New Roman"/>
          <w:b/>
          <w:bCs/>
          <w:sz w:val="24"/>
          <w:szCs w:val="24"/>
        </w:rPr>
        <w:t>h</w:t>
      </w:r>
      <w:r w:rsidRPr="00897604">
        <w:rPr>
          <w:rFonts w:eastAsia="Times New Roman"/>
          <w:b/>
          <w:bCs/>
          <w:sz w:val="24"/>
          <w:szCs w:val="24"/>
        </w:rPr>
        <w:t>itney LLP v. RegScan, Inc</w:t>
      </w:r>
      <w:r w:rsidRPr="00FB3EF4">
        <w:rPr>
          <w:rFonts w:eastAsia="Times New Roman"/>
          <w:b/>
          <w:bCs/>
          <w:sz w:val="24"/>
          <w:szCs w:val="24"/>
        </w:rPr>
        <w:t>.</w:t>
      </w:r>
      <w:r>
        <w:rPr>
          <w:rFonts w:eastAsia="Times New Roman"/>
          <w:bCs/>
          <w:sz w:val="24"/>
          <w:szCs w:val="24"/>
        </w:rPr>
        <w:t xml:space="preserve">, 2018 COA 21, </w:t>
      </w:r>
      <w:r w:rsidRPr="00457F63">
        <w:rPr>
          <w:rFonts w:eastAsia="Times New Roman"/>
          <w:bCs/>
          <w:sz w:val="24"/>
          <w:szCs w:val="24"/>
        </w:rPr>
        <w:t>¶</w:t>
      </w:r>
      <w:r>
        <w:rPr>
          <w:rFonts w:eastAsia="Times New Roman"/>
          <w:bCs/>
          <w:sz w:val="24"/>
          <w:szCs w:val="24"/>
        </w:rPr>
        <w:t xml:space="preserve"> 47</w:t>
      </w:r>
      <w:r w:rsidR="00275682">
        <w:rPr>
          <w:rFonts w:eastAsia="Times New Roman"/>
          <w:bCs/>
          <w:sz w:val="24"/>
          <w:szCs w:val="24"/>
        </w:rPr>
        <w:t>, 488 P.3d 324, 334-35</w:t>
      </w:r>
      <w:r>
        <w:rPr>
          <w:rFonts w:eastAsia="Times New Roman"/>
          <w:bCs/>
          <w:sz w:val="24"/>
          <w:szCs w:val="24"/>
        </w:rPr>
        <w:t xml:space="preserve"> (finding no error in trial court’s refusal to instruct jury in the legal fee dispute that </w:t>
      </w:r>
      <w:r w:rsidR="0042704F">
        <w:rPr>
          <w:rFonts w:eastAsia="Times New Roman"/>
          <w:bCs/>
          <w:sz w:val="24"/>
          <w:szCs w:val="24"/>
        </w:rPr>
        <w:t xml:space="preserve">it must find that </w:t>
      </w:r>
      <w:r>
        <w:rPr>
          <w:rFonts w:eastAsia="Times New Roman"/>
          <w:bCs/>
          <w:sz w:val="24"/>
          <w:szCs w:val="24"/>
        </w:rPr>
        <w:t>“the contract was fair and reasonable under the circumstances”)</w:t>
      </w:r>
      <w:r w:rsidR="004D5700">
        <w:rPr>
          <w:rFonts w:eastAsia="Times New Roman"/>
          <w:bCs/>
          <w:sz w:val="24"/>
          <w:szCs w:val="24"/>
        </w:rPr>
        <w:t>.</w:t>
      </w:r>
    </w:p>
    <w:p w14:paraId="3D9F73BE" w14:textId="77777777" w:rsidR="00427199" w:rsidRDefault="00427199">
      <w:pPr>
        <w:rPr>
          <w:rFonts w:eastAsia="Times New Roman"/>
          <w:bCs/>
          <w:sz w:val="24"/>
          <w:szCs w:val="24"/>
        </w:rPr>
      </w:pPr>
      <w:r>
        <w:rPr>
          <w:rFonts w:eastAsia="Times New Roman"/>
          <w:bCs/>
          <w:sz w:val="24"/>
          <w:szCs w:val="24"/>
        </w:rPr>
        <w:br w:type="page"/>
      </w:r>
    </w:p>
    <w:p w14:paraId="29280ACE" w14:textId="77777777" w:rsidR="00427199" w:rsidRPr="009E3DA4" w:rsidRDefault="00DD5492" w:rsidP="00427199">
      <w:pPr>
        <w:spacing w:after="240"/>
        <w:ind w:left="720" w:hanging="720"/>
        <w:rPr>
          <w:rFonts w:eastAsia="Times New Roman"/>
          <w:b/>
          <w:sz w:val="24"/>
          <w:szCs w:val="24"/>
        </w:rPr>
      </w:pPr>
      <w:bookmarkStart w:id="11" w:name="a30_11"/>
      <w:bookmarkEnd w:id="11"/>
      <w:r w:rsidRPr="00DD5492">
        <w:rPr>
          <w:rFonts w:eastAsia="Times New Roman"/>
          <w:b/>
          <w:sz w:val="24"/>
          <w:szCs w:val="24"/>
        </w:rPr>
        <w:lastRenderedPageBreak/>
        <w:t>30:11</w:t>
      </w:r>
      <w:r w:rsidRPr="00DD5492">
        <w:rPr>
          <w:rFonts w:eastAsia="Times New Roman"/>
          <w:b/>
          <w:sz w:val="24"/>
          <w:szCs w:val="24"/>
        </w:rPr>
        <w:tab/>
        <w:t>CONTRACT PERFORMANCE — BREACH OF CONTRACT DEFINED</w:t>
      </w:r>
    </w:p>
    <w:p w14:paraId="00333EF5" w14:textId="77777777" w:rsidR="00DD5492" w:rsidRPr="00DD5492" w:rsidRDefault="00DD5492" w:rsidP="00DD5492">
      <w:pPr>
        <w:spacing w:after="240"/>
        <w:ind w:firstLine="720"/>
        <w:rPr>
          <w:rFonts w:eastAsia="Times New Roman"/>
          <w:b/>
          <w:bCs/>
          <w:sz w:val="24"/>
          <w:szCs w:val="24"/>
        </w:rPr>
      </w:pPr>
      <w:r w:rsidRPr="00DD5492">
        <w:rPr>
          <w:rFonts w:eastAsia="Times New Roman"/>
          <w:b/>
          <w:bCs/>
          <w:sz w:val="24"/>
          <w:szCs w:val="24"/>
        </w:rPr>
        <w:t xml:space="preserve">A breach of contract is the failure to perform a contractual promise when performance is due. </w:t>
      </w:r>
    </w:p>
    <w:p w14:paraId="4902E05F" w14:textId="77777777" w:rsidR="00DD5492" w:rsidRPr="00DD5492" w:rsidRDefault="00DD5492" w:rsidP="00DD5492">
      <w:pPr>
        <w:spacing w:after="240"/>
        <w:ind w:firstLine="720"/>
        <w:rPr>
          <w:rFonts w:eastAsia="Times New Roman"/>
          <w:b/>
          <w:bCs/>
          <w:sz w:val="24"/>
          <w:szCs w:val="24"/>
        </w:rPr>
      </w:pPr>
      <w:r w:rsidRPr="00DD5492">
        <w:rPr>
          <w:rFonts w:eastAsia="Times New Roman"/>
          <w:b/>
          <w:bCs/>
          <w:sz w:val="24"/>
          <w:szCs w:val="24"/>
        </w:rPr>
        <w:t xml:space="preserve">(A material breach occurs when a party fails to (substantially perform) (or) (substantially comply with) the essential terms of a contract.) </w:t>
      </w:r>
    </w:p>
    <w:p w14:paraId="0E666C2A" w14:textId="4080E22C" w:rsidR="00DD5492" w:rsidRPr="00DD5492" w:rsidRDefault="00DD5492" w:rsidP="00DD5492">
      <w:pPr>
        <w:spacing w:after="240"/>
        <w:ind w:firstLine="720"/>
        <w:rPr>
          <w:rFonts w:eastAsia="Times New Roman"/>
          <w:b/>
          <w:bCs/>
          <w:sz w:val="24"/>
          <w:szCs w:val="24"/>
        </w:rPr>
      </w:pPr>
      <w:r w:rsidRPr="00DD5492">
        <w:rPr>
          <w:rFonts w:eastAsia="Times New Roman"/>
          <w:b/>
          <w:bCs/>
          <w:sz w:val="24"/>
          <w:szCs w:val="24"/>
        </w:rPr>
        <w:t xml:space="preserve">(A breach is not material if the other party received substantially what </w:t>
      </w:r>
      <w:r w:rsidR="00390234">
        <w:rPr>
          <w:rFonts w:eastAsia="Times New Roman"/>
          <w:i/>
          <w:iCs/>
          <w:sz w:val="24"/>
          <w:szCs w:val="24"/>
        </w:rPr>
        <w:t>[</w:t>
      </w:r>
      <w:r w:rsidR="00390234" w:rsidRPr="0070684C">
        <w:rPr>
          <w:rFonts w:eastAsia="Times New Roman"/>
          <w:i/>
          <w:iCs/>
          <w:sz w:val="24"/>
          <w:szCs w:val="24"/>
        </w:rPr>
        <w:t>insert applicable pronoun</w:t>
      </w:r>
      <w:r w:rsidR="00390234">
        <w:rPr>
          <w:rFonts w:eastAsia="Times New Roman"/>
          <w:i/>
          <w:iCs/>
          <w:sz w:val="24"/>
          <w:szCs w:val="24"/>
        </w:rPr>
        <w:t>]</w:t>
      </w:r>
      <w:r w:rsidRPr="00DD5492">
        <w:rPr>
          <w:rFonts w:eastAsia="Times New Roman"/>
          <w:b/>
          <w:bCs/>
          <w:sz w:val="24"/>
          <w:szCs w:val="24"/>
        </w:rPr>
        <w:t xml:space="preserve"> contracted for. In determining whether a breach is material, you may consider the nature of the promised performance, the purpose of the contract, and whether any defects in performance have defeated the purpose of the contract.)</w:t>
      </w:r>
    </w:p>
    <w:p w14:paraId="0A504C58" w14:textId="77777777" w:rsidR="00DD5492" w:rsidRPr="00DD5492" w:rsidRDefault="00DD5492" w:rsidP="00DD5492">
      <w:pPr>
        <w:spacing w:after="240"/>
        <w:ind w:firstLine="720"/>
        <w:rPr>
          <w:rFonts w:eastAsia="Times New Roman"/>
          <w:b/>
          <w:bCs/>
          <w:sz w:val="24"/>
          <w:szCs w:val="24"/>
        </w:rPr>
      </w:pPr>
      <w:r w:rsidRPr="00DD5492">
        <w:rPr>
          <w:rFonts w:eastAsia="Times New Roman"/>
          <w:b/>
          <w:bCs/>
          <w:sz w:val="24"/>
          <w:szCs w:val="24"/>
        </w:rPr>
        <w:t>(A material breach by one party excuses performance by the other party to the contract.)</w:t>
      </w:r>
    </w:p>
    <w:p w14:paraId="458D9194" w14:textId="77777777" w:rsidR="00427199" w:rsidRDefault="00427199" w:rsidP="00427199">
      <w:pPr>
        <w:jc w:val="center"/>
        <w:rPr>
          <w:rFonts w:eastAsia="Times New Roman"/>
          <w:sz w:val="24"/>
          <w:szCs w:val="24"/>
        </w:rPr>
      </w:pPr>
    </w:p>
    <w:p w14:paraId="6316AACA" w14:textId="77777777" w:rsidR="00427199" w:rsidRPr="0054263B" w:rsidRDefault="00427199" w:rsidP="00427199">
      <w:pPr>
        <w:keepNext/>
        <w:spacing w:after="240"/>
        <w:jc w:val="center"/>
        <w:rPr>
          <w:rFonts w:eastAsia="Times New Roman"/>
          <w:b/>
          <w:sz w:val="24"/>
          <w:szCs w:val="24"/>
        </w:rPr>
      </w:pPr>
      <w:r w:rsidRPr="0054263B">
        <w:rPr>
          <w:rFonts w:eastAsia="Times New Roman"/>
          <w:b/>
          <w:sz w:val="24"/>
          <w:szCs w:val="24"/>
        </w:rPr>
        <w:t>Notes on Use</w:t>
      </w:r>
    </w:p>
    <w:p w14:paraId="77A2E0EB" w14:textId="77777777" w:rsidR="00DD5492" w:rsidRPr="00DD5492" w:rsidRDefault="00DD5492" w:rsidP="00DD5492">
      <w:pPr>
        <w:spacing w:after="240"/>
        <w:ind w:firstLine="720"/>
        <w:rPr>
          <w:rFonts w:eastAsia="Times New Roman"/>
          <w:bCs/>
          <w:sz w:val="24"/>
          <w:szCs w:val="24"/>
        </w:rPr>
      </w:pPr>
      <w:r w:rsidRPr="00DD5492">
        <w:rPr>
          <w:rFonts w:eastAsia="Times New Roman"/>
          <w:bCs/>
          <w:sz w:val="24"/>
          <w:szCs w:val="24"/>
        </w:rPr>
        <w:t xml:space="preserve">1. This instruction, which defines the phrase “breach of contract,” should be given whenever Instruction 30:10 is given. Use the parenthetical paragraphs when issues of material breach are present in the case. </w:t>
      </w:r>
    </w:p>
    <w:p w14:paraId="3E9B99E6" w14:textId="77777777" w:rsidR="00DD5492" w:rsidRPr="00DD5492" w:rsidRDefault="00DD5492" w:rsidP="00DD5492">
      <w:pPr>
        <w:spacing w:after="240"/>
        <w:ind w:firstLine="720"/>
        <w:rPr>
          <w:rFonts w:eastAsia="Times New Roman"/>
          <w:bCs/>
          <w:sz w:val="24"/>
          <w:szCs w:val="24"/>
        </w:rPr>
      </w:pPr>
      <w:r w:rsidRPr="00DD5492">
        <w:rPr>
          <w:rFonts w:eastAsia="Times New Roman"/>
          <w:bCs/>
          <w:sz w:val="24"/>
          <w:szCs w:val="24"/>
        </w:rPr>
        <w:t>2. Other instructions may be needed to further refine the “breach of contract” term, and should be given as needed according to the facts of the case, e.g., Instruction 30:12 (substantial performance), Instruction 30:13 (anticipatory breach), Instruction 30:15 (conditions precedent).</w:t>
      </w:r>
    </w:p>
    <w:p w14:paraId="726BD036" w14:textId="77777777" w:rsidR="00427199" w:rsidRPr="0054263B" w:rsidRDefault="00427199" w:rsidP="00427199">
      <w:pPr>
        <w:keepNext/>
        <w:spacing w:after="240"/>
        <w:jc w:val="center"/>
        <w:rPr>
          <w:rFonts w:eastAsia="Times New Roman"/>
          <w:b/>
          <w:sz w:val="24"/>
          <w:szCs w:val="24"/>
        </w:rPr>
      </w:pPr>
      <w:r>
        <w:rPr>
          <w:rFonts w:eastAsia="Times New Roman"/>
          <w:b/>
          <w:sz w:val="24"/>
          <w:szCs w:val="24"/>
        </w:rPr>
        <w:t>Source and Authority</w:t>
      </w:r>
    </w:p>
    <w:p w14:paraId="2D1FA8A5" w14:textId="77777777" w:rsidR="00DD5492" w:rsidRPr="00A725B4" w:rsidRDefault="00DD5492" w:rsidP="00DD5492">
      <w:pPr>
        <w:spacing w:after="240"/>
        <w:ind w:firstLine="720"/>
        <w:rPr>
          <w:rFonts w:eastAsia="Times New Roman"/>
          <w:bCs/>
          <w:sz w:val="24"/>
          <w:szCs w:val="24"/>
        </w:rPr>
      </w:pPr>
      <w:r w:rsidRPr="00A725B4">
        <w:rPr>
          <w:rFonts w:eastAsia="Times New Roman"/>
          <w:bCs/>
          <w:sz w:val="24"/>
          <w:szCs w:val="24"/>
        </w:rPr>
        <w:t xml:space="preserve">1. This instruction is supported by </w:t>
      </w:r>
      <w:r w:rsidRPr="00A725B4">
        <w:rPr>
          <w:rFonts w:eastAsia="Times New Roman"/>
          <w:b/>
          <w:bCs/>
          <w:sz w:val="24"/>
          <w:szCs w:val="24"/>
        </w:rPr>
        <w:t>Hunt v. Cates</w:t>
      </w:r>
      <w:r w:rsidRPr="00A725B4">
        <w:rPr>
          <w:rFonts w:eastAsia="Times New Roman"/>
          <w:bCs/>
          <w:sz w:val="24"/>
          <w:szCs w:val="24"/>
        </w:rPr>
        <w:t>, 61 Colo. 365, 157 P. 1162 (1916);</w:t>
      </w:r>
      <w:r w:rsidRPr="00A725B4">
        <w:rPr>
          <w:rFonts w:eastAsia="Times New Roman"/>
          <w:bCs/>
          <w:i/>
          <w:sz w:val="24"/>
          <w:szCs w:val="24"/>
        </w:rPr>
        <w:t xml:space="preserve"> </w:t>
      </w:r>
      <w:r w:rsidRPr="00A725B4">
        <w:rPr>
          <w:rFonts w:eastAsia="Times New Roman"/>
          <w:bCs/>
          <w:sz w:val="24"/>
          <w:szCs w:val="24"/>
        </w:rPr>
        <w:t>and</w:t>
      </w:r>
      <w:r w:rsidRPr="00A725B4">
        <w:rPr>
          <w:rFonts w:eastAsia="Times New Roman"/>
          <w:bCs/>
          <w:i/>
          <w:sz w:val="24"/>
          <w:szCs w:val="24"/>
        </w:rPr>
        <w:t xml:space="preserve"> </w:t>
      </w:r>
      <w:r w:rsidRPr="00A725B4">
        <w:rPr>
          <w:rFonts w:eastAsia="Times New Roman"/>
          <w:b/>
          <w:bCs/>
          <w:sz w:val="24"/>
          <w:szCs w:val="24"/>
        </w:rPr>
        <w:t>Western Distributing Co. v. Diodosio</w:t>
      </w:r>
      <w:r w:rsidRPr="00A725B4">
        <w:rPr>
          <w:rFonts w:eastAsia="Times New Roman"/>
          <w:bCs/>
          <w:sz w:val="24"/>
          <w:szCs w:val="24"/>
        </w:rPr>
        <w:t xml:space="preserve">, 841 P.2d 1053 (Colo. 1992). </w:t>
      </w:r>
      <w:r w:rsidRPr="00A725B4">
        <w:rPr>
          <w:rFonts w:eastAsia="Times New Roman"/>
          <w:bCs/>
          <w:i/>
          <w:sz w:val="24"/>
          <w:szCs w:val="24"/>
        </w:rPr>
        <w:t>Cf</w:t>
      </w:r>
      <w:r w:rsidRPr="00A725B4">
        <w:rPr>
          <w:rFonts w:eastAsia="Times New Roman"/>
          <w:bCs/>
          <w:sz w:val="24"/>
          <w:szCs w:val="24"/>
        </w:rPr>
        <w:t xml:space="preserve">. </w:t>
      </w:r>
      <w:r w:rsidRPr="00A725B4">
        <w:rPr>
          <w:rFonts w:eastAsia="Times New Roman"/>
          <w:b/>
          <w:bCs/>
          <w:sz w:val="24"/>
          <w:szCs w:val="24"/>
        </w:rPr>
        <w:t>Smith v. Mills</w:t>
      </w:r>
      <w:r w:rsidRPr="00A725B4">
        <w:rPr>
          <w:rFonts w:eastAsia="Times New Roman"/>
          <w:bCs/>
          <w:sz w:val="24"/>
          <w:szCs w:val="24"/>
        </w:rPr>
        <w:t>, 123 Colo. 11, 225 P.2d 483 (1950) (a complaint is sufficient if it alleges the existence of a contract and the nonperformance of the promise made).</w:t>
      </w:r>
    </w:p>
    <w:p w14:paraId="329593B0" w14:textId="2629788E" w:rsidR="00DD5492" w:rsidRPr="008E39FC" w:rsidRDefault="00DD5492" w:rsidP="00DD5492">
      <w:pPr>
        <w:spacing w:after="240"/>
        <w:ind w:firstLine="720"/>
        <w:rPr>
          <w:rFonts w:eastAsia="Times New Roman"/>
          <w:bCs/>
          <w:sz w:val="24"/>
          <w:szCs w:val="24"/>
        </w:rPr>
      </w:pPr>
      <w:r w:rsidRPr="00A725B4">
        <w:rPr>
          <w:rFonts w:eastAsia="Times New Roman"/>
          <w:bCs/>
          <w:sz w:val="24"/>
          <w:szCs w:val="24"/>
        </w:rPr>
        <w:t>2. For discussion of material breach, see</w:t>
      </w:r>
      <w:r w:rsidRPr="00A725B4">
        <w:rPr>
          <w:rFonts w:eastAsia="Times New Roman"/>
          <w:bCs/>
          <w:i/>
          <w:sz w:val="24"/>
          <w:szCs w:val="24"/>
        </w:rPr>
        <w:t xml:space="preserve"> </w:t>
      </w:r>
      <w:r w:rsidRPr="00A725B4">
        <w:rPr>
          <w:rFonts w:eastAsia="Times New Roman"/>
          <w:b/>
          <w:bCs/>
          <w:sz w:val="24"/>
          <w:szCs w:val="24"/>
        </w:rPr>
        <w:t>Stan Clauson Associates Inc. v. Coleman Brothers Construction, LLC</w:t>
      </w:r>
      <w:r w:rsidRPr="00A725B4">
        <w:rPr>
          <w:rFonts w:eastAsia="Times New Roman"/>
          <w:bCs/>
          <w:sz w:val="24"/>
          <w:szCs w:val="24"/>
        </w:rPr>
        <w:t>, 2013 COA 7, ¶ 9, 297 P.3d 1042 (“A party has substantially performed when the other party has substantially received the expected benefit from the contract” and “[d]eviation from contract duties in trifling particulars . . . does not constitute a material breach”); an</w:t>
      </w:r>
      <w:r w:rsidRPr="008E39FC">
        <w:rPr>
          <w:rFonts w:eastAsia="Times New Roman"/>
          <w:bCs/>
          <w:sz w:val="24"/>
          <w:szCs w:val="24"/>
        </w:rPr>
        <w:t xml:space="preserve">d </w:t>
      </w:r>
      <w:r w:rsidR="004B3F74" w:rsidRPr="008E39FC">
        <w:rPr>
          <w:b/>
          <w:bCs/>
          <w:sz w:val="24"/>
          <w:szCs w:val="24"/>
        </w:rPr>
        <w:t>Coors v. Security Life of Denver Insurance Co</w:t>
      </w:r>
      <w:r w:rsidR="004B3F74" w:rsidRPr="005A7E19">
        <w:rPr>
          <w:b/>
          <w:i/>
          <w:iCs/>
          <w:sz w:val="24"/>
          <w:szCs w:val="24"/>
        </w:rPr>
        <w:t>.</w:t>
      </w:r>
      <w:r w:rsidR="004B3F74" w:rsidRPr="008E39FC">
        <w:rPr>
          <w:sz w:val="24"/>
          <w:szCs w:val="24"/>
        </w:rPr>
        <w:t>, 112 P.3d 59, 64</w:t>
      </w:r>
      <w:r w:rsidR="004B3F74" w:rsidRPr="008E39FC">
        <w:rPr>
          <w:i/>
          <w:iCs/>
          <w:sz w:val="24"/>
          <w:szCs w:val="24"/>
        </w:rPr>
        <w:t xml:space="preserve"> </w:t>
      </w:r>
      <w:r w:rsidR="004B3F74" w:rsidRPr="008E39FC">
        <w:rPr>
          <w:sz w:val="24"/>
          <w:szCs w:val="24"/>
        </w:rPr>
        <w:t>(Colo. 2005) (“Under contract</w:t>
      </w:r>
      <w:r w:rsidR="004B3F74" w:rsidRPr="008E39FC">
        <w:rPr>
          <w:b/>
          <w:bCs/>
          <w:sz w:val="24"/>
          <w:szCs w:val="24"/>
        </w:rPr>
        <w:t xml:space="preserve"> </w:t>
      </w:r>
      <w:r w:rsidR="004B3F74" w:rsidRPr="008E39FC">
        <w:rPr>
          <w:sz w:val="24"/>
          <w:szCs w:val="24"/>
        </w:rPr>
        <w:t>law, a party to a contract</w:t>
      </w:r>
      <w:r w:rsidR="004B3F74" w:rsidRPr="008E39FC">
        <w:rPr>
          <w:b/>
          <w:bCs/>
          <w:sz w:val="24"/>
          <w:szCs w:val="24"/>
        </w:rPr>
        <w:t xml:space="preserve"> </w:t>
      </w:r>
      <w:r w:rsidR="004B3F74" w:rsidRPr="008E39FC">
        <w:rPr>
          <w:sz w:val="24"/>
          <w:szCs w:val="24"/>
        </w:rPr>
        <w:t>cannot claim its benefit where he is the first to violate its</w:t>
      </w:r>
      <w:r w:rsidR="004B3F74" w:rsidRPr="008E39FC">
        <w:rPr>
          <w:b/>
          <w:bCs/>
          <w:sz w:val="24"/>
          <w:szCs w:val="24"/>
        </w:rPr>
        <w:t xml:space="preserve"> </w:t>
      </w:r>
      <w:r w:rsidR="004B3F74" w:rsidRPr="008E39FC">
        <w:rPr>
          <w:sz w:val="24"/>
          <w:szCs w:val="24"/>
        </w:rPr>
        <w:t xml:space="preserve">terms.”). </w:t>
      </w:r>
    </w:p>
    <w:p w14:paraId="25BCA9C5" w14:textId="77777777" w:rsidR="003E47F0" w:rsidRDefault="004B3F74" w:rsidP="005A7E19">
      <w:pPr>
        <w:spacing w:after="240"/>
        <w:ind w:firstLine="720"/>
        <w:rPr>
          <w:rFonts w:eastAsia="Times New Roman"/>
          <w:bCs/>
          <w:sz w:val="24"/>
          <w:szCs w:val="24"/>
        </w:rPr>
      </w:pPr>
      <w:r>
        <w:rPr>
          <w:rFonts w:eastAsia="Times New Roman"/>
          <w:bCs/>
          <w:sz w:val="24"/>
          <w:szCs w:val="24"/>
        </w:rPr>
        <w:t xml:space="preserve">3. The scope of an insured’s promise to cooperate depends on the specific policy provision at issue, and whether there has been a breach of contract is a question of fact to be decided by the jury. </w:t>
      </w:r>
      <w:r w:rsidRPr="004A6200">
        <w:rPr>
          <w:rFonts w:eastAsia="Times New Roman"/>
          <w:b/>
          <w:sz w:val="24"/>
          <w:szCs w:val="24"/>
        </w:rPr>
        <w:t>State Farm</w:t>
      </w:r>
      <w:r>
        <w:rPr>
          <w:rFonts w:eastAsia="Times New Roman"/>
          <w:b/>
          <w:sz w:val="24"/>
          <w:szCs w:val="24"/>
        </w:rPr>
        <w:t xml:space="preserve"> Mut. Auto. Ins. Co.</w:t>
      </w:r>
      <w:r w:rsidRPr="004A6200">
        <w:rPr>
          <w:rFonts w:eastAsia="Times New Roman"/>
          <w:b/>
          <w:sz w:val="24"/>
          <w:szCs w:val="24"/>
        </w:rPr>
        <w:t xml:space="preserve"> v. Goddard</w:t>
      </w:r>
      <w:r w:rsidRPr="00C0406C">
        <w:rPr>
          <w:rFonts w:eastAsia="Times New Roman"/>
          <w:sz w:val="24"/>
          <w:szCs w:val="24"/>
        </w:rPr>
        <w:t>,</w:t>
      </w:r>
      <w:r>
        <w:rPr>
          <w:rFonts w:eastAsia="Times New Roman"/>
          <w:bCs/>
          <w:sz w:val="24"/>
          <w:szCs w:val="24"/>
        </w:rPr>
        <w:t xml:space="preserve"> 2021 COA 15, ¶ 45, 484 P.3d 765 (jury found that defendant breached promises to State Farm by submitting the issue of damages to arbitration and by failing to comply with State Farm’s requests for information).</w:t>
      </w:r>
    </w:p>
    <w:p w14:paraId="487678D5" w14:textId="659668F6" w:rsidR="00FB3EF4" w:rsidRDefault="003E47F0" w:rsidP="005A7E19">
      <w:pPr>
        <w:spacing w:after="240"/>
        <w:ind w:firstLine="720"/>
        <w:rPr>
          <w:rFonts w:eastAsia="Times New Roman"/>
          <w:bCs/>
          <w:sz w:val="24"/>
          <w:szCs w:val="24"/>
        </w:rPr>
      </w:pPr>
      <w:r>
        <w:rPr>
          <w:rFonts w:eastAsia="Times New Roman"/>
          <w:bCs/>
          <w:sz w:val="24"/>
          <w:szCs w:val="24"/>
        </w:rPr>
        <w:lastRenderedPageBreak/>
        <w:t>4.</w:t>
      </w:r>
      <w:r w:rsidRPr="003E47F0">
        <w:rPr>
          <w:rFonts w:eastAsia="Times New Roman"/>
          <w:bCs/>
          <w:sz w:val="24"/>
          <w:szCs w:val="24"/>
        </w:rPr>
        <w:t xml:space="preserve"> </w:t>
      </w:r>
      <w:r>
        <w:rPr>
          <w:rFonts w:eastAsia="Times New Roman"/>
          <w:bCs/>
          <w:sz w:val="24"/>
          <w:szCs w:val="24"/>
        </w:rPr>
        <w:t>A material breach excuses the injured party from further performance and allow</w:t>
      </w:r>
      <w:r w:rsidR="00736474">
        <w:rPr>
          <w:rFonts w:eastAsia="Times New Roman"/>
          <w:bCs/>
          <w:sz w:val="24"/>
          <w:szCs w:val="24"/>
        </w:rPr>
        <w:t>s</w:t>
      </w:r>
      <w:r>
        <w:rPr>
          <w:rFonts w:eastAsia="Times New Roman"/>
          <w:bCs/>
          <w:sz w:val="24"/>
          <w:szCs w:val="24"/>
        </w:rPr>
        <w:t xml:space="preserve"> the recovery of damages. </w:t>
      </w:r>
      <w:r w:rsidRPr="00357ACC">
        <w:rPr>
          <w:rFonts w:eastAsia="Times New Roman"/>
          <w:b/>
          <w:sz w:val="24"/>
          <w:szCs w:val="24"/>
        </w:rPr>
        <w:t xml:space="preserve">Gravina Siding </w:t>
      </w:r>
      <w:r w:rsidR="00736474">
        <w:rPr>
          <w:rFonts w:eastAsia="Times New Roman"/>
          <w:b/>
          <w:sz w:val="24"/>
          <w:szCs w:val="24"/>
        </w:rPr>
        <w:t>&amp;</w:t>
      </w:r>
      <w:r w:rsidRPr="00357ACC">
        <w:rPr>
          <w:rFonts w:eastAsia="Times New Roman"/>
          <w:b/>
          <w:sz w:val="24"/>
          <w:szCs w:val="24"/>
        </w:rPr>
        <w:t xml:space="preserve"> Windows Co. v. Gravina</w:t>
      </w:r>
      <w:r>
        <w:rPr>
          <w:rFonts w:eastAsia="Times New Roman"/>
          <w:bCs/>
          <w:sz w:val="24"/>
          <w:szCs w:val="24"/>
        </w:rPr>
        <w:t>, 2022 COA 50, ¶ 28</w:t>
      </w:r>
      <w:r w:rsidR="00275682">
        <w:rPr>
          <w:rFonts w:eastAsia="Times New Roman"/>
          <w:bCs/>
          <w:sz w:val="24"/>
          <w:szCs w:val="24"/>
        </w:rPr>
        <w:t>, 516 P.3d 37, 45</w:t>
      </w:r>
      <w:r>
        <w:rPr>
          <w:rFonts w:eastAsia="Times New Roman"/>
          <w:bCs/>
          <w:sz w:val="24"/>
          <w:szCs w:val="24"/>
        </w:rPr>
        <w:t xml:space="preserve"> (“by failing to complete the work in a timely and satisfactory manner, Gravina breached material terms of the contract and . . . [the plaintiffs] were entitled to terminate the agreement and recover actual damages”); </w:t>
      </w:r>
      <w:r w:rsidRPr="00357ACC">
        <w:rPr>
          <w:rFonts w:eastAsia="Times New Roman"/>
          <w:b/>
          <w:sz w:val="24"/>
          <w:szCs w:val="24"/>
        </w:rPr>
        <w:t>Morris v. Belfor USA Grp., Inc</w:t>
      </w:r>
      <w:r w:rsidRPr="00FB3EF4">
        <w:rPr>
          <w:rFonts w:eastAsia="Times New Roman"/>
          <w:b/>
          <w:bCs/>
          <w:sz w:val="24"/>
          <w:szCs w:val="24"/>
        </w:rPr>
        <w:t>.</w:t>
      </w:r>
      <w:r>
        <w:rPr>
          <w:rFonts w:eastAsia="Times New Roman"/>
          <w:bCs/>
          <w:sz w:val="24"/>
          <w:szCs w:val="24"/>
        </w:rPr>
        <w:t>, 201 P.3d 1253 (Colo. App. 2008).</w:t>
      </w:r>
    </w:p>
    <w:p w14:paraId="5645A39F" w14:textId="6F0D481F" w:rsidR="000627ED" w:rsidRDefault="00F425A4" w:rsidP="005A7E19">
      <w:pPr>
        <w:spacing w:after="240"/>
        <w:ind w:firstLine="720"/>
        <w:rPr>
          <w:rFonts w:eastAsia="Times New Roman"/>
          <w:bCs/>
          <w:sz w:val="24"/>
          <w:szCs w:val="24"/>
        </w:rPr>
      </w:pPr>
      <w:r>
        <w:rPr>
          <w:rFonts w:eastAsia="Times New Roman"/>
          <w:bCs/>
          <w:sz w:val="24"/>
          <w:szCs w:val="24"/>
        </w:rPr>
        <w:t xml:space="preserve">5. A payment on a security agreement becomes due on the date required by the contract’s original terms. </w:t>
      </w:r>
      <w:r w:rsidRPr="00703911">
        <w:rPr>
          <w:rFonts w:eastAsia="Times New Roman"/>
          <w:b/>
          <w:sz w:val="24"/>
          <w:szCs w:val="24"/>
        </w:rPr>
        <w:t>US Bank Nat</w:t>
      </w:r>
      <w:r w:rsidR="00703911">
        <w:rPr>
          <w:rFonts w:eastAsia="Times New Roman"/>
          <w:b/>
          <w:sz w:val="24"/>
          <w:szCs w:val="24"/>
        </w:rPr>
        <w:t>’</w:t>
      </w:r>
      <w:r w:rsidRPr="00703911">
        <w:rPr>
          <w:rFonts w:eastAsia="Times New Roman"/>
          <w:b/>
          <w:sz w:val="24"/>
          <w:szCs w:val="24"/>
        </w:rPr>
        <w:t>l Assoc. v. Silvernagel</w:t>
      </w:r>
      <w:r>
        <w:rPr>
          <w:rFonts w:eastAsia="Times New Roman"/>
          <w:bCs/>
          <w:sz w:val="24"/>
          <w:szCs w:val="24"/>
        </w:rPr>
        <w:t>, 2023 CO</w:t>
      </w:r>
      <w:r w:rsidR="00703911">
        <w:rPr>
          <w:rFonts w:eastAsia="Times New Roman"/>
          <w:bCs/>
          <w:sz w:val="24"/>
          <w:szCs w:val="24"/>
        </w:rPr>
        <w:t xml:space="preserve"> </w:t>
      </w:r>
      <w:r>
        <w:rPr>
          <w:rFonts w:eastAsia="Times New Roman"/>
          <w:bCs/>
          <w:sz w:val="24"/>
          <w:szCs w:val="24"/>
        </w:rPr>
        <w:t>17</w:t>
      </w:r>
      <w:r w:rsidR="00703911">
        <w:rPr>
          <w:rFonts w:eastAsia="Times New Roman"/>
          <w:bCs/>
          <w:sz w:val="24"/>
          <w:szCs w:val="24"/>
        </w:rPr>
        <w:t>,</w:t>
      </w:r>
      <w:r>
        <w:rPr>
          <w:rFonts w:eastAsia="Times New Roman"/>
          <w:bCs/>
          <w:sz w:val="24"/>
          <w:szCs w:val="24"/>
        </w:rPr>
        <w:t xml:space="preserve"> ¶ 13, 528 P.3d 163</w:t>
      </w:r>
      <w:r w:rsidR="00703911">
        <w:rPr>
          <w:rFonts w:eastAsia="Times New Roman"/>
          <w:bCs/>
          <w:sz w:val="24"/>
          <w:szCs w:val="24"/>
        </w:rPr>
        <w:t>, 166</w:t>
      </w:r>
      <w:r>
        <w:rPr>
          <w:rFonts w:eastAsia="Times New Roman"/>
          <w:bCs/>
          <w:sz w:val="24"/>
          <w:szCs w:val="24"/>
        </w:rPr>
        <w:t xml:space="preserve"> (“If a security agreement mandates regular monthly payments . . . the debt becomes due when each installment is missed.”)</w:t>
      </w:r>
      <w:r w:rsidR="00703911">
        <w:rPr>
          <w:rFonts w:eastAsia="Times New Roman"/>
          <w:bCs/>
          <w:sz w:val="24"/>
          <w:szCs w:val="24"/>
        </w:rPr>
        <w:t>.</w:t>
      </w:r>
    </w:p>
    <w:p w14:paraId="2F4FA74C" w14:textId="58DD9A54" w:rsidR="00527AD3" w:rsidRDefault="00527AD3" w:rsidP="005A7E19">
      <w:pPr>
        <w:spacing w:after="240"/>
        <w:ind w:firstLine="720"/>
        <w:rPr>
          <w:rFonts w:eastAsia="Times New Roman"/>
          <w:bCs/>
          <w:sz w:val="24"/>
          <w:szCs w:val="24"/>
        </w:rPr>
      </w:pPr>
      <w:r>
        <w:rPr>
          <w:rFonts w:eastAsia="Times New Roman"/>
          <w:bCs/>
          <w:sz w:val="24"/>
          <w:szCs w:val="24"/>
        </w:rPr>
        <w:br w:type="page"/>
      </w:r>
    </w:p>
    <w:p w14:paraId="1DD1D8B7" w14:textId="77777777" w:rsidR="00527AD3" w:rsidRPr="009E3DA4" w:rsidRDefault="00AE1C04" w:rsidP="00527AD3">
      <w:pPr>
        <w:spacing w:after="240"/>
        <w:ind w:left="720" w:hanging="720"/>
        <w:rPr>
          <w:rFonts w:eastAsia="Times New Roman"/>
          <w:b/>
          <w:sz w:val="24"/>
          <w:szCs w:val="24"/>
        </w:rPr>
      </w:pPr>
      <w:bookmarkStart w:id="12" w:name="a30_12"/>
      <w:bookmarkEnd w:id="12"/>
      <w:r>
        <w:rPr>
          <w:rFonts w:eastAsia="Times New Roman"/>
          <w:b/>
          <w:sz w:val="24"/>
          <w:szCs w:val="24"/>
        </w:rPr>
        <w:lastRenderedPageBreak/>
        <w:t>30:12</w:t>
      </w:r>
      <w:r>
        <w:rPr>
          <w:rFonts w:eastAsia="Times New Roman"/>
          <w:b/>
          <w:sz w:val="24"/>
          <w:szCs w:val="24"/>
        </w:rPr>
        <w:tab/>
      </w:r>
      <w:r w:rsidR="00527AD3" w:rsidRPr="00527AD3">
        <w:rPr>
          <w:rFonts w:eastAsia="Times New Roman"/>
          <w:b/>
          <w:sz w:val="24"/>
          <w:szCs w:val="24"/>
        </w:rPr>
        <w:t>CONTRACT PERFORMANCE — SUBSTANTIAL PERFORMANCE</w:t>
      </w:r>
    </w:p>
    <w:p w14:paraId="1673B09C" w14:textId="3A29CCD0" w:rsidR="00527AD3" w:rsidRPr="00527AD3" w:rsidRDefault="00527AD3" w:rsidP="00527AD3">
      <w:pPr>
        <w:spacing w:after="240"/>
        <w:ind w:firstLine="720"/>
        <w:rPr>
          <w:rFonts w:eastAsia="Times New Roman"/>
          <w:b/>
          <w:bCs/>
          <w:sz w:val="24"/>
          <w:szCs w:val="24"/>
        </w:rPr>
      </w:pPr>
      <w:r w:rsidRPr="00527AD3">
        <w:rPr>
          <w:rFonts w:eastAsia="Times New Roman"/>
          <w:b/>
          <w:bCs/>
          <w:sz w:val="24"/>
          <w:szCs w:val="24"/>
        </w:rPr>
        <w:t xml:space="preserve">A party (substantially performs) (or) (substantially complies with) the terms of a contract when the party performs the essential obligations under the contract, and the other party receives substantially what </w:t>
      </w:r>
      <w:r w:rsidR="00390234" w:rsidRPr="0070684C">
        <w:rPr>
          <w:rFonts w:eastAsia="Times New Roman"/>
          <w:i/>
          <w:iCs/>
          <w:sz w:val="24"/>
          <w:szCs w:val="24"/>
        </w:rPr>
        <w:t>(insert applicable pronoun</w:t>
      </w:r>
      <w:r w:rsidR="00390234">
        <w:rPr>
          <w:rFonts w:eastAsia="Times New Roman"/>
          <w:i/>
          <w:iCs/>
          <w:sz w:val="24"/>
          <w:szCs w:val="24"/>
        </w:rPr>
        <w:t>)</w:t>
      </w:r>
      <w:r w:rsidRPr="00527AD3">
        <w:rPr>
          <w:rFonts w:eastAsia="Times New Roman"/>
          <w:b/>
          <w:bCs/>
          <w:sz w:val="24"/>
          <w:szCs w:val="24"/>
        </w:rPr>
        <w:t xml:space="preserve"> contracted for.</w:t>
      </w:r>
    </w:p>
    <w:p w14:paraId="6F4B1920" w14:textId="77777777" w:rsidR="00527AD3" w:rsidRPr="00527AD3" w:rsidRDefault="00527AD3" w:rsidP="00527AD3">
      <w:pPr>
        <w:spacing w:after="240"/>
        <w:ind w:firstLine="720"/>
        <w:rPr>
          <w:rFonts w:eastAsia="Times New Roman"/>
          <w:b/>
          <w:bCs/>
          <w:sz w:val="24"/>
          <w:szCs w:val="24"/>
        </w:rPr>
      </w:pPr>
      <w:r w:rsidRPr="00527AD3">
        <w:rPr>
          <w:rFonts w:eastAsia="Times New Roman"/>
          <w:b/>
          <w:bCs/>
          <w:sz w:val="24"/>
          <w:szCs w:val="24"/>
        </w:rPr>
        <w:t>To determine whether the party has (substantially performed) (or) (substantially complied with) the essential obligations under the contract, you may consider the nature of the promised performance, the purpose of the contract, and whether any defects in performance have defeated the purpose of the contract.</w:t>
      </w:r>
    </w:p>
    <w:p w14:paraId="2F0FD344" w14:textId="77777777" w:rsidR="00527AD3" w:rsidRDefault="00527AD3" w:rsidP="00527AD3">
      <w:pPr>
        <w:jc w:val="center"/>
        <w:rPr>
          <w:rFonts w:eastAsia="Times New Roman"/>
          <w:sz w:val="24"/>
          <w:szCs w:val="24"/>
        </w:rPr>
      </w:pPr>
    </w:p>
    <w:p w14:paraId="0D28AE40" w14:textId="77777777" w:rsidR="00527AD3" w:rsidRPr="0054263B" w:rsidRDefault="00527AD3" w:rsidP="00527AD3">
      <w:pPr>
        <w:keepNext/>
        <w:spacing w:after="240"/>
        <w:jc w:val="center"/>
        <w:rPr>
          <w:rFonts w:eastAsia="Times New Roman"/>
          <w:b/>
          <w:sz w:val="24"/>
          <w:szCs w:val="24"/>
        </w:rPr>
      </w:pPr>
      <w:r w:rsidRPr="0054263B">
        <w:rPr>
          <w:rFonts w:eastAsia="Times New Roman"/>
          <w:b/>
          <w:sz w:val="24"/>
          <w:szCs w:val="24"/>
        </w:rPr>
        <w:t>Notes on Use</w:t>
      </w:r>
    </w:p>
    <w:p w14:paraId="6CB178DB"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If the defendant, pursuant to C.R.C.P. 9(c), has pleaded the lack of complete performance as the nonperformance of a condition precedent, then the plaintiff must prove either complete or substantial performance. See Note 2 of the Notes on Use to Instruction 30:10. See also Note 2 of the Notes on Use to Instruction 30:46 (substantial performance by builder). </w:t>
      </w:r>
    </w:p>
    <w:p w14:paraId="6F765ED2" w14:textId="77777777" w:rsidR="00527AD3" w:rsidRPr="0054263B" w:rsidRDefault="00527AD3" w:rsidP="00527AD3">
      <w:pPr>
        <w:keepNext/>
        <w:spacing w:after="240"/>
        <w:jc w:val="center"/>
        <w:rPr>
          <w:rFonts w:eastAsia="Times New Roman"/>
          <w:b/>
          <w:sz w:val="24"/>
          <w:szCs w:val="24"/>
        </w:rPr>
      </w:pPr>
      <w:r>
        <w:rPr>
          <w:rFonts w:eastAsia="Times New Roman"/>
          <w:b/>
          <w:sz w:val="24"/>
          <w:szCs w:val="24"/>
        </w:rPr>
        <w:t>Source and Authority</w:t>
      </w:r>
    </w:p>
    <w:p w14:paraId="2B208278"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1. This instruction is supported by </w:t>
      </w:r>
      <w:r w:rsidRPr="00527AD3">
        <w:rPr>
          <w:rFonts w:eastAsia="Times New Roman"/>
          <w:b/>
          <w:bCs/>
          <w:sz w:val="24"/>
          <w:szCs w:val="24"/>
        </w:rPr>
        <w:t>Reynolds v. Armstead</w:t>
      </w:r>
      <w:r w:rsidRPr="00527AD3">
        <w:rPr>
          <w:rFonts w:eastAsia="Times New Roman"/>
          <w:bCs/>
          <w:sz w:val="24"/>
          <w:szCs w:val="24"/>
        </w:rPr>
        <w:t xml:space="preserve">, 166 Colo. 372, 443 P.2d 990 (1968); and </w:t>
      </w:r>
      <w:r w:rsidRPr="00527AD3">
        <w:rPr>
          <w:rFonts w:eastAsia="Times New Roman"/>
          <w:b/>
          <w:bCs/>
          <w:sz w:val="24"/>
          <w:szCs w:val="24"/>
        </w:rPr>
        <w:t>Newcomb v. Schaeffler</w:t>
      </w:r>
      <w:r w:rsidRPr="00527AD3">
        <w:rPr>
          <w:rFonts w:eastAsia="Times New Roman"/>
          <w:bCs/>
          <w:sz w:val="24"/>
          <w:szCs w:val="24"/>
        </w:rPr>
        <w:t xml:space="preserve">, 131 Colo. 56, 279 P.2d 409 (1955). </w:t>
      </w:r>
      <w:r w:rsidRPr="00527AD3">
        <w:rPr>
          <w:rFonts w:eastAsia="Times New Roman"/>
          <w:bCs/>
          <w:i/>
          <w:sz w:val="24"/>
          <w:szCs w:val="24"/>
        </w:rPr>
        <w:t xml:space="preserve">See also </w:t>
      </w:r>
      <w:r w:rsidRPr="00527AD3">
        <w:rPr>
          <w:rFonts w:eastAsia="Times New Roman"/>
          <w:b/>
          <w:bCs/>
          <w:sz w:val="24"/>
          <w:szCs w:val="24"/>
        </w:rPr>
        <w:t>W. Distrib. Co. v. Diodosio</w:t>
      </w:r>
      <w:r w:rsidRPr="00527AD3">
        <w:rPr>
          <w:rFonts w:eastAsia="Times New Roman"/>
          <w:bCs/>
          <w:sz w:val="24"/>
          <w:szCs w:val="24"/>
        </w:rPr>
        <w:t xml:space="preserve">, 841 P.2d 1053 (Colo. 1992); </w:t>
      </w:r>
      <w:r w:rsidRPr="00527AD3">
        <w:rPr>
          <w:rFonts w:eastAsia="Times New Roman"/>
          <w:b/>
          <w:bCs/>
          <w:sz w:val="24"/>
          <w:szCs w:val="24"/>
        </w:rPr>
        <w:t>Rohauer v. Little</w:t>
      </w:r>
      <w:r w:rsidRPr="00527AD3">
        <w:rPr>
          <w:rFonts w:eastAsia="Times New Roman"/>
          <w:bCs/>
          <w:sz w:val="24"/>
          <w:szCs w:val="24"/>
        </w:rPr>
        <w:t xml:space="preserve">, 736 P.2d 403 (Colo. 1987); </w:t>
      </w:r>
      <w:r w:rsidRPr="00527AD3">
        <w:rPr>
          <w:rFonts w:eastAsia="Times New Roman"/>
          <w:b/>
          <w:bCs/>
          <w:sz w:val="24"/>
          <w:szCs w:val="24"/>
        </w:rPr>
        <w:t>I.M.A., Inc. v. Rocky Mtn. Airways, Inc.</w:t>
      </w:r>
      <w:r w:rsidRPr="00527AD3">
        <w:rPr>
          <w:rFonts w:eastAsia="Times New Roman"/>
          <w:bCs/>
          <w:sz w:val="24"/>
          <w:szCs w:val="24"/>
        </w:rPr>
        <w:t>,</w:t>
      </w:r>
      <w:r w:rsidRPr="00527AD3">
        <w:rPr>
          <w:rFonts w:eastAsia="Times New Roman"/>
          <w:b/>
          <w:bCs/>
          <w:sz w:val="24"/>
          <w:szCs w:val="24"/>
        </w:rPr>
        <w:t xml:space="preserve"> </w:t>
      </w:r>
      <w:r w:rsidRPr="00527AD3">
        <w:rPr>
          <w:rFonts w:eastAsia="Times New Roman"/>
          <w:bCs/>
          <w:sz w:val="24"/>
          <w:szCs w:val="24"/>
        </w:rPr>
        <w:t xml:space="preserve">713 P.2d 882 (Colo. 1986); </w:t>
      </w:r>
      <w:r w:rsidRPr="00527AD3">
        <w:rPr>
          <w:rFonts w:eastAsia="Times New Roman"/>
          <w:b/>
          <w:bCs/>
          <w:sz w:val="24"/>
          <w:szCs w:val="24"/>
        </w:rPr>
        <w:t>McDonald v. Zions First Nat’l Bank, N.A.,</w:t>
      </w:r>
      <w:r w:rsidRPr="00527AD3">
        <w:rPr>
          <w:rFonts w:eastAsia="Times New Roman"/>
          <w:bCs/>
          <w:sz w:val="24"/>
          <w:szCs w:val="24"/>
        </w:rPr>
        <w:t xml:space="preserve"> 2015 COA 29, ¶ 50, 348 P.3d 957 (“A party has substantially performed when the other party has substantially received the expected benefit of the contract.” (quoting </w:t>
      </w:r>
      <w:r w:rsidRPr="00F40886">
        <w:rPr>
          <w:rFonts w:eastAsia="Times New Roman"/>
          <w:b/>
          <w:bCs/>
          <w:sz w:val="24"/>
          <w:szCs w:val="24"/>
        </w:rPr>
        <w:t xml:space="preserve">Stan Clauson Assocs. Inc. v. Coleman Bros. </w:t>
      </w:r>
      <w:r w:rsidRPr="00527AD3">
        <w:rPr>
          <w:rFonts w:eastAsia="Times New Roman"/>
          <w:b/>
          <w:bCs/>
          <w:sz w:val="24"/>
          <w:szCs w:val="24"/>
        </w:rPr>
        <w:t>Constr., LLC</w:t>
      </w:r>
      <w:r w:rsidRPr="00527AD3">
        <w:rPr>
          <w:rFonts w:eastAsia="Times New Roman"/>
          <w:bCs/>
          <w:sz w:val="24"/>
          <w:szCs w:val="24"/>
        </w:rPr>
        <w:t xml:space="preserve">, 2013 COA 7, ¶ 9, 297 P.3d 1042)); </w:t>
      </w:r>
      <w:r w:rsidRPr="00527AD3">
        <w:rPr>
          <w:rFonts w:eastAsia="Times New Roman"/>
          <w:b/>
          <w:bCs/>
          <w:sz w:val="24"/>
          <w:szCs w:val="24"/>
        </w:rPr>
        <w:t>R.F. Carle Co. v. Biological Sciences Curriculum Study Co.</w:t>
      </w:r>
      <w:r w:rsidRPr="00527AD3">
        <w:rPr>
          <w:rFonts w:eastAsia="Times New Roman"/>
          <w:bCs/>
          <w:sz w:val="24"/>
          <w:szCs w:val="24"/>
        </w:rPr>
        <w:t xml:space="preserve">, 616 P.2d 989 (Colo. App. 1980). Where there has been a “material” breach of contract, substantial performance has not been rendered. </w:t>
      </w:r>
      <w:r w:rsidRPr="00527AD3">
        <w:rPr>
          <w:rFonts w:eastAsia="Times New Roman"/>
          <w:b/>
          <w:bCs/>
          <w:sz w:val="24"/>
          <w:szCs w:val="24"/>
        </w:rPr>
        <w:t>Interbank Invs. LLC v. Vail Valley Consol. Water Dist.</w:t>
      </w:r>
      <w:r w:rsidRPr="00527AD3">
        <w:rPr>
          <w:rFonts w:eastAsia="Times New Roman"/>
          <w:bCs/>
          <w:sz w:val="24"/>
          <w:szCs w:val="24"/>
        </w:rPr>
        <w:t xml:space="preserve">, 12 P.3d 1224 (Colo. App. 2000) (breach that is material goes to essence of contract and renders substantial performance of contract impossible). To determine whether a breach is material, “the trier of fact should consider: (1) the extent to which an injured party, absent the breach, would obtain a substantial benefit from the contract, and (2) the adequacy of compensation in damages.” </w:t>
      </w:r>
      <w:r w:rsidRPr="00527AD3">
        <w:rPr>
          <w:rFonts w:eastAsia="Times New Roman"/>
          <w:b/>
          <w:bCs/>
          <w:sz w:val="24"/>
          <w:szCs w:val="24"/>
        </w:rPr>
        <w:t>Nat’l Propane Corp. v. Miller</w:t>
      </w:r>
      <w:r w:rsidRPr="00527AD3">
        <w:rPr>
          <w:rFonts w:eastAsia="Times New Roman"/>
          <w:bCs/>
          <w:sz w:val="24"/>
          <w:szCs w:val="24"/>
        </w:rPr>
        <w:t xml:space="preserve">, 18 P.3d 782 (Colo. App. 2000); </w:t>
      </w:r>
      <w:r w:rsidRPr="00527AD3">
        <w:rPr>
          <w:rFonts w:eastAsia="Times New Roman"/>
          <w:bCs/>
          <w:i/>
          <w:sz w:val="24"/>
          <w:szCs w:val="24"/>
        </w:rPr>
        <w:t>accord</w:t>
      </w:r>
      <w:r w:rsidRPr="00527AD3">
        <w:rPr>
          <w:rFonts w:eastAsia="Times New Roman"/>
          <w:bCs/>
          <w:sz w:val="24"/>
          <w:szCs w:val="24"/>
        </w:rPr>
        <w:t xml:space="preserve"> </w:t>
      </w:r>
      <w:r w:rsidRPr="00527AD3">
        <w:rPr>
          <w:rFonts w:eastAsia="Times New Roman"/>
          <w:b/>
          <w:bCs/>
          <w:sz w:val="24"/>
          <w:szCs w:val="24"/>
        </w:rPr>
        <w:t>Coors v. Sec. Life of Denver Ins. Co.</w:t>
      </w:r>
      <w:r w:rsidRPr="00527AD3">
        <w:rPr>
          <w:rFonts w:eastAsia="Times New Roman"/>
          <w:bCs/>
          <w:sz w:val="24"/>
          <w:szCs w:val="24"/>
        </w:rPr>
        <w:t>, 91 P.3d 393 (Colo. App. 2003),</w:t>
      </w:r>
      <w:r w:rsidRPr="00527AD3">
        <w:rPr>
          <w:rFonts w:eastAsia="Times New Roman"/>
          <w:bCs/>
          <w:i/>
          <w:sz w:val="24"/>
          <w:szCs w:val="24"/>
        </w:rPr>
        <w:t xml:space="preserve"> aff’d in part, rev’d in part on other grounds</w:t>
      </w:r>
      <w:r w:rsidRPr="00527AD3">
        <w:rPr>
          <w:rFonts w:eastAsia="Times New Roman"/>
          <w:bCs/>
          <w:sz w:val="24"/>
          <w:szCs w:val="24"/>
        </w:rPr>
        <w:t>,</w:t>
      </w:r>
      <w:r w:rsidRPr="00527AD3">
        <w:rPr>
          <w:rFonts w:eastAsia="Times New Roman"/>
          <w:bCs/>
          <w:i/>
          <w:sz w:val="24"/>
          <w:szCs w:val="24"/>
        </w:rPr>
        <w:t xml:space="preserve"> </w:t>
      </w:r>
      <w:r w:rsidRPr="00527AD3">
        <w:rPr>
          <w:rFonts w:eastAsia="Times New Roman"/>
          <w:bCs/>
          <w:sz w:val="24"/>
          <w:szCs w:val="24"/>
        </w:rPr>
        <w:t xml:space="preserve">112 P.3d 59 (Colo. 2005). </w:t>
      </w:r>
    </w:p>
    <w:p w14:paraId="193A09E4" w14:textId="4D0E536E"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2. Generally, performance or substantial performance by the plaintiff is a condition precedent to the right to recover on the contract. </w:t>
      </w:r>
      <w:r w:rsidRPr="00527AD3">
        <w:rPr>
          <w:rFonts w:eastAsia="Times New Roman"/>
          <w:bCs/>
          <w:i/>
          <w:sz w:val="24"/>
          <w:szCs w:val="24"/>
        </w:rPr>
        <w:t>See, e.g.</w:t>
      </w:r>
      <w:r w:rsidRPr="00527AD3">
        <w:rPr>
          <w:rFonts w:eastAsia="Times New Roman"/>
          <w:bCs/>
          <w:sz w:val="24"/>
          <w:szCs w:val="24"/>
        </w:rPr>
        <w:t xml:space="preserve">, </w:t>
      </w:r>
      <w:r w:rsidRPr="00527AD3">
        <w:rPr>
          <w:rFonts w:eastAsia="Times New Roman"/>
          <w:b/>
          <w:bCs/>
          <w:sz w:val="24"/>
          <w:szCs w:val="24"/>
        </w:rPr>
        <w:t>Diodosio</w:t>
      </w:r>
      <w:r w:rsidRPr="00527AD3">
        <w:rPr>
          <w:rFonts w:eastAsia="Times New Roman"/>
          <w:bCs/>
          <w:sz w:val="24"/>
          <w:szCs w:val="24"/>
        </w:rPr>
        <w:t xml:space="preserve">, 841 P.2d at 1058; </w:t>
      </w:r>
      <w:r w:rsidRPr="00527AD3">
        <w:rPr>
          <w:rFonts w:eastAsia="Times New Roman"/>
          <w:b/>
          <w:bCs/>
          <w:sz w:val="24"/>
          <w:szCs w:val="24"/>
        </w:rPr>
        <w:t>Newcomb</w:t>
      </w:r>
      <w:r w:rsidRPr="00527AD3">
        <w:rPr>
          <w:rFonts w:eastAsia="Times New Roman"/>
          <w:bCs/>
          <w:sz w:val="24"/>
          <w:szCs w:val="24"/>
        </w:rPr>
        <w:t xml:space="preserve">, 131 Colo. at 62-63, 270 P.2d at 412 (builder’s failure to substantially perform excused owners’ obligation to pay remaining balance on the contract); </w:t>
      </w:r>
      <w:r w:rsidR="00753103" w:rsidRPr="002B39A3">
        <w:rPr>
          <w:rFonts w:eastAsia="Times New Roman"/>
          <w:b/>
          <w:bCs/>
          <w:sz w:val="24"/>
          <w:szCs w:val="24"/>
        </w:rPr>
        <w:t xml:space="preserve">Whiting-Turner </w:t>
      </w:r>
      <w:r w:rsidR="00753103">
        <w:rPr>
          <w:rFonts w:eastAsia="Times New Roman"/>
          <w:b/>
          <w:bCs/>
          <w:sz w:val="24"/>
          <w:szCs w:val="24"/>
        </w:rPr>
        <w:t xml:space="preserve">Contracting Co. </w:t>
      </w:r>
      <w:r w:rsidR="00753103" w:rsidRPr="002B39A3">
        <w:rPr>
          <w:rFonts w:eastAsia="Times New Roman"/>
          <w:b/>
          <w:bCs/>
          <w:sz w:val="24"/>
          <w:szCs w:val="24"/>
        </w:rPr>
        <w:t>v. Guar</w:t>
      </w:r>
      <w:r w:rsidR="00753103">
        <w:rPr>
          <w:rFonts w:eastAsia="Times New Roman"/>
          <w:b/>
          <w:bCs/>
          <w:sz w:val="24"/>
          <w:szCs w:val="24"/>
        </w:rPr>
        <w:t>.</w:t>
      </w:r>
      <w:r w:rsidR="00753103" w:rsidRPr="002B39A3">
        <w:rPr>
          <w:rFonts w:eastAsia="Times New Roman"/>
          <w:b/>
          <w:bCs/>
          <w:sz w:val="24"/>
          <w:szCs w:val="24"/>
        </w:rPr>
        <w:t xml:space="preserve"> Co. of N. Am</w:t>
      </w:r>
      <w:r w:rsidR="00753103">
        <w:rPr>
          <w:rFonts w:eastAsia="Times New Roman"/>
          <w:b/>
          <w:bCs/>
          <w:sz w:val="24"/>
          <w:szCs w:val="24"/>
        </w:rPr>
        <w:t>.</w:t>
      </w:r>
      <w:r w:rsidR="00753103" w:rsidRPr="002B39A3">
        <w:rPr>
          <w:rFonts w:eastAsia="Times New Roman"/>
          <w:bCs/>
          <w:sz w:val="24"/>
          <w:szCs w:val="24"/>
        </w:rPr>
        <w:t>,</w:t>
      </w:r>
      <w:r w:rsidR="00753103">
        <w:rPr>
          <w:rFonts w:eastAsia="Times New Roman"/>
          <w:bCs/>
          <w:sz w:val="24"/>
          <w:szCs w:val="24"/>
        </w:rPr>
        <w:t xml:space="preserve"> 2019 COA 44</w:t>
      </w:r>
      <w:r w:rsidR="00891A22">
        <w:rPr>
          <w:rFonts w:eastAsia="Times New Roman"/>
          <w:bCs/>
          <w:sz w:val="24"/>
          <w:szCs w:val="24"/>
        </w:rPr>
        <w:t>,</w:t>
      </w:r>
      <w:r w:rsidR="00753103">
        <w:rPr>
          <w:rFonts w:eastAsia="Times New Roman"/>
          <w:bCs/>
          <w:sz w:val="24"/>
          <w:szCs w:val="24"/>
        </w:rPr>
        <w:t xml:space="preserve"> </w:t>
      </w:r>
      <w:r w:rsidR="00753103" w:rsidRPr="005F2349">
        <w:rPr>
          <w:rFonts w:eastAsia="Times New Roman"/>
          <w:bCs/>
          <w:sz w:val="24"/>
          <w:szCs w:val="24"/>
        </w:rPr>
        <w:t>¶</w:t>
      </w:r>
      <w:r w:rsidR="00753103">
        <w:rPr>
          <w:rFonts w:eastAsia="Times New Roman"/>
          <w:bCs/>
          <w:sz w:val="24"/>
          <w:szCs w:val="24"/>
        </w:rPr>
        <w:t xml:space="preserve">¶ 27-28, 440 P.3d 1282 (only substantial performance with bond notice requirements is necessary to recover on a surety bond); </w:t>
      </w:r>
      <w:r w:rsidRPr="00527AD3">
        <w:rPr>
          <w:rFonts w:eastAsia="Times New Roman"/>
          <w:b/>
          <w:bCs/>
          <w:sz w:val="24"/>
          <w:szCs w:val="24"/>
        </w:rPr>
        <w:t>D.R. Horton, Inc.-Denver v. Bischof &amp; Coffman Constr., LLC</w:t>
      </w:r>
      <w:r w:rsidRPr="00527AD3">
        <w:rPr>
          <w:rFonts w:eastAsia="Times New Roman"/>
          <w:bCs/>
          <w:sz w:val="24"/>
          <w:szCs w:val="24"/>
        </w:rPr>
        <w:t xml:space="preserve">, 217 P.3d 1262 (Colo. App. 2009) (substantial performance was not a bar to recovery of contract damages); </w:t>
      </w:r>
      <w:r w:rsidRPr="00527AD3">
        <w:rPr>
          <w:rFonts w:eastAsia="Times New Roman"/>
          <w:bCs/>
          <w:i/>
          <w:sz w:val="24"/>
          <w:szCs w:val="24"/>
        </w:rPr>
        <w:t>see also</w:t>
      </w:r>
      <w:r w:rsidRPr="00527AD3">
        <w:rPr>
          <w:rFonts w:eastAsia="Times New Roman"/>
          <w:bCs/>
          <w:sz w:val="24"/>
          <w:szCs w:val="24"/>
        </w:rPr>
        <w:t xml:space="preserve"> </w:t>
      </w:r>
      <w:r w:rsidRPr="00527AD3">
        <w:rPr>
          <w:rFonts w:eastAsia="Times New Roman"/>
          <w:b/>
          <w:bCs/>
          <w:sz w:val="24"/>
          <w:szCs w:val="24"/>
        </w:rPr>
        <w:t xml:space="preserve">Blood v. </w:t>
      </w:r>
      <w:r w:rsidRPr="00527AD3">
        <w:rPr>
          <w:rFonts w:eastAsia="Times New Roman"/>
          <w:b/>
          <w:bCs/>
          <w:sz w:val="24"/>
          <w:szCs w:val="24"/>
        </w:rPr>
        <w:lastRenderedPageBreak/>
        <w:t>Qwest Servs. Corp.</w:t>
      </w:r>
      <w:r w:rsidRPr="00527AD3">
        <w:rPr>
          <w:rFonts w:eastAsia="Times New Roman"/>
          <w:bCs/>
          <w:sz w:val="24"/>
          <w:szCs w:val="24"/>
        </w:rPr>
        <w:t xml:space="preserve">, 224 P.3d 301 (Colo. App. 2009) (whether third-party plaintiff had materially breached or not substantially performed its contract with third-party defendant a question for jury), </w:t>
      </w:r>
      <w:r w:rsidRPr="00527AD3">
        <w:rPr>
          <w:rFonts w:eastAsia="Times New Roman"/>
          <w:bCs/>
          <w:i/>
          <w:sz w:val="24"/>
          <w:szCs w:val="24"/>
        </w:rPr>
        <w:t>aff’d on other grounds</w:t>
      </w:r>
      <w:r w:rsidRPr="00527AD3">
        <w:rPr>
          <w:rFonts w:eastAsia="Times New Roman"/>
          <w:bCs/>
          <w:sz w:val="24"/>
          <w:szCs w:val="24"/>
        </w:rPr>
        <w:t>,</w:t>
      </w:r>
      <w:r w:rsidRPr="00527AD3">
        <w:rPr>
          <w:rFonts w:eastAsia="Times New Roman"/>
          <w:bCs/>
          <w:i/>
          <w:sz w:val="24"/>
          <w:szCs w:val="24"/>
        </w:rPr>
        <w:t xml:space="preserve"> </w:t>
      </w:r>
      <w:r w:rsidRPr="00527AD3">
        <w:rPr>
          <w:rFonts w:eastAsia="Times New Roman"/>
          <w:bCs/>
          <w:sz w:val="24"/>
          <w:szCs w:val="24"/>
        </w:rPr>
        <w:t xml:space="preserve">252 P.3d 1071 (Colo. 2011). </w:t>
      </w:r>
    </w:p>
    <w:p w14:paraId="629A3090" w14:textId="641EEF55"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3. Whether a breach of contract is material and therefore excuses the other party from performance is generally a question of fact. </w:t>
      </w:r>
      <w:r w:rsidRPr="00527AD3">
        <w:rPr>
          <w:rFonts w:eastAsia="Times New Roman"/>
          <w:b/>
          <w:bCs/>
          <w:sz w:val="24"/>
          <w:szCs w:val="24"/>
        </w:rPr>
        <w:t>Morris v. Belfor USA Grp</w:t>
      </w:r>
      <w:r w:rsidR="003E47F0">
        <w:rPr>
          <w:rFonts w:eastAsia="Times New Roman"/>
          <w:b/>
          <w:bCs/>
          <w:sz w:val="24"/>
          <w:szCs w:val="24"/>
        </w:rPr>
        <w:t>.</w:t>
      </w:r>
      <w:r w:rsidRPr="00527AD3">
        <w:rPr>
          <w:rFonts w:eastAsia="Times New Roman"/>
          <w:b/>
          <w:bCs/>
          <w:sz w:val="24"/>
          <w:szCs w:val="24"/>
        </w:rPr>
        <w:t>, Inc.</w:t>
      </w:r>
      <w:r w:rsidRPr="00527AD3">
        <w:rPr>
          <w:rFonts w:eastAsia="Times New Roman"/>
          <w:bCs/>
          <w:sz w:val="24"/>
          <w:szCs w:val="24"/>
        </w:rPr>
        <w:t xml:space="preserve">, 201 P.3d 1253 (Colo. App. 2008); </w:t>
      </w:r>
      <w:r w:rsidRPr="00527AD3">
        <w:rPr>
          <w:rFonts w:eastAsia="Times New Roman"/>
          <w:b/>
          <w:bCs/>
          <w:sz w:val="24"/>
          <w:szCs w:val="24"/>
        </w:rPr>
        <w:t>Kaiser v. Market Square Disc. Liquors</w:t>
      </w:r>
      <w:r w:rsidRPr="00527AD3">
        <w:rPr>
          <w:rFonts w:eastAsia="Times New Roman"/>
          <w:bCs/>
          <w:sz w:val="24"/>
          <w:szCs w:val="24"/>
        </w:rPr>
        <w:t>,</w:t>
      </w:r>
      <w:r w:rsidRPr="00527AD3">
        <w:rPr>
          <w:rFonts w:eastAsia="Times New Roman"/>
          <w:b/>
          <w:bCs/>
          <w:sz w:val="24"/>
          <w:szCs w:val="24"/>
        </w:rPr>
        <w:t xml:space="preserve"> Inc.</w:t>
      </w:r>
      <w:r w:rsidRPr="00527AD3">
        <w:rPr>
          <w:rFonts w:eastAsia="Times New Roman"/>
          <w:bCs/>
          <w:sz w:val="24"/>
          <w:szCs w:val="24"/>
        </w:rPr>
        <w:t xml:space="preserve">, 992 P.2d 636 (Colo. App. 1999) (material breach by a party deprives that party of the right to demand performance by the other party). On the other hand, the fact that one may have rendered substantial performance does not mean that that party has not breached the contract and is not, therefore, liable for any damages. </w:t>
      </w:r>
      <w:r w:rsidRPr="00527AD3">
        <w:rPr>
          <w:rFonts w:eastAsia="Times New Roman"/>
          <w:bCs/>
          <w:i/>
          <w:sz w:val="24"/>
          <w:szCs w:val="24"/>
        </w:rPr>
        <w:t>See</w:t>
      </w:r>
      <w:r w:rsidRPr="00527AD3">
        <w:rPr>
          <w:rFonts w:eastAsia="Times New Roman"/>
          <w:bCs/>
          <w:sz w:val="24"/>
          <w:szCs w:val="24"/>
        </w:rPr>
        <w:t xml:space="preserve"> </w:t>
      </w:r>
      <w:r w:rsidRPr="00527AD3">
        <w:rPr>
          <w:rFonts w:eastAsia="Times New Roman"/>
          <w:b/>
          <w:bCs/>
          <w:sz w:val="24"/>
          <w:szCs w:val="24"/>
        </w:rPr>
        <w:t>Zambakian v. Leson</w:t>
      </w:r>
      <w:r w:rsidRPr="00527AD3">
        <w:rPr>
          <w:rFonts w:eastAsia="Times New Roman"/>
          <w:bCs/>
          <w:sz w:val="24"/>
          <w:szCs w:val="24"/>
        </w:rPr>
        <w:t xml:space="preserve">, 77 Colo. 183, 234 P. 1065 (1925); 8 </w:t>
      </w:r>
      <w:r w:rsidRPr="00527AD3">
        <w:rPr>
          <w:rFonts w:eastAsia="Times New Roman"/>
          <w:bCs/>
          <w:smallCaps/>
          <w:sz w:val="24"/>
          <w:szCs w:val="24"/>
        </w:rPr>
        <w:t>Catherine A. McCauliff, Corbin on Contracts</w:t>
      </w:r>
      <w:r w:rsidRPr="00527AD3">
        <w:rPr>
          <w:rFonts w:eastAsia="Times New Roman"/>
          <w:bCs/>
          <w:sz w:val="24"/>
          <w:szCs w:val="24"/>
        </w:rPr>
        <w:t xml:space="preserve"> § 36.3 (Joseph M. Perillo ed., rev. ed. 1999). Rather, it means that the other party is not entitled to regard the breach as giving him or her a right to repudiate the contract and refuse to perform his or her own return promise. </w:t>
      </w:r>
      <w:r w:rsidRPr="00527AD3">
        <w:rPr>
          <w:rFonts w:eastAsia="Times New Roman"/>
          <w:bCs/>
          <w:i/>
          <w:sz w:val="24"/>
          <w:szCs w:val="24"/>
        </w:rPr>
        <w:t>See generally</w:t>
      </w:r>
      <w:r w:rsidRPr="00527AD3">
        <w:rPr>
          <w:rFonts w:eastAsia="Times New Roman"/>
          <w:bCs/>
          <w:sz w:val="24"/>
          <w:szCs w:val="24"/>
        </w:rPr>
        <w:t xml:space="preserve"> </w:t>
      </w:r>
      <w:r w:rsidRPr="00527AD3">
        <w:rPr>
          <w:rFonts w:eastAsia="Times New Roman"/>
          <w:b/>
          <w:bCs/>
          <w:sz w:val="24"/>
          <w:szCs w:val="24"/>
        </w:rPr>
        <w:t>Converse v. Zinke</w:t>
      </w:r>
      <w:r w:rsidRPr="00527AD3">
        <w:rPr>
          <w:rFonts w:eastAsia="Times New Roman"/>
          <w:bCs/>
          <w:sz w:val="24"/>
          <w:szCs w:val="24"/>
        </w:rPr>
        <w:t xml:space="preserve">, 635 P.2d 882 (Colo. 1981); </w:t>
      </w:r>
      <w:r w:rsidRPr="00527AD3">
        <w:rPr>
          <w:rFonts w:eastAsia="Times New Roman"/>
          <w:b/>
          <w:bCs/>
          <w:sz w:val="24"/>
          <w:szCs w:val="24"/>
        </w:rPr>
        <w:t>Little Thompson Water Ass’n v. Strawn</w:t>
      </w:r>
      <w:r w:rsidRPr="00527AD3">
        <w:rPr>
          <w:rFonts w:eastAsia="Times New Roman"/>
          <w:bCs/>
          <w:sz w:val="24"/>
          <w:szCs w:val="24"/>
        </w:rPr>
        <w:t xml:space="preserve">, 171 Colo. 295, 466 P.2d 915 (1970); </w:t>
      </w:r>
      <w:r w:rsidRPr="00527AD3">
        <w:rPr>
          <w:rFonts w:eastAsia="Times New Roman"/>
          <w:bCs/>
          <w:smallCaps/>
          <w:sz w:val="24"/>
          <w:szCs w:val="24"/>
        </w:rPr>
        <w:t>Corbin on Contracts</w:t>
      </w:r>
      <w:r w:rsidRPr="00527AD3">
        <w:rPr>
          <w:rFonts w:eastAsia="Times New Roman"/>
          <w:bCs/>
          <w:sz w:val="24"/>
          <w:szCs w:val="24"/>
        </w:rPr>
        <w:t xml:space="preserve">, </w:t>
      </w:r>
      <w:r w:rsidRPr="00527AD3">
        <w:rPr>
          <w:rFonts w:eastAsia="Times New Roman"/>
          <w:bCs/>
          <w:i/>
          <w:sz w:val="24"/>
          <w:szCs w:val="24"/>
        </w:rPr>
        <w:t>supra</w:t>
      </w:r>
      <w:r w:rsidRPr="00527AD3">
        <w:rPr>
          <w:rFonts w:eastAsia="Times New Roman"/>
          <w:bCs/>
          <w:sz w:val="24"/>
          <w:szCs w:val="24"/>
        </w:rPr>
        <w:t>, at §§ 36.1-36.11.</w:t>
      </w:r>
    </w:p>
    <w:p w14:paraId="5046021E" w14:textId="716C3F19"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4. Even if a party has failed to render substantial performance and breached a contract, the party may nonetheless be entitled to recover in </w:t>
      </w:r>
      <w:r w:rsidRPr="00527AD3">
        <w:rPr>
          <w:rFonts w:eastAsia="Times New Roman"/>
          <w:bCs/>
          <w:i/>
          <w:sz w:val="24"/>
          <w:szCs w:val="24"/>
        </w:rPr>
        <w:t>quantum meruit</w:t>
      </w:r>
      <w:r w:rsidRPr="00527AD3">
        <w:rPr>
          <w:rFonts w:eastAsia="Times New Roman"/>
          <w:bCs/>
          <w:sz w:val="24"/>
          <w:szCs w:val="24"/>
        </w:rPr>
        <w:t xml:space="preserve"> for the value of the benefits conferred </w:t>
      </w:r>
      <w:r w:rsidR="003E47F0">
        <w:rPr>
          <w:rFonts w:eastAsia="Times New Roman"/>
          <w:bCs/>
          <w:sz w:val="24"/>
          <w:szCs w:val="24"/>
        </w:rPr>
        <w:t>by partial performance</w:t>
      </w:r>
      <w:r w:rsidR="003E47F0" w:rsidRPr="00527AD3">
        <w:rPr>
          <w:rFonts w:eastAsia="Times New Roman"/>
          <w:bCs/>
          <w:sz w:val="24"/>
          <w:szCs w:val="24"/>
        </w:rPr>
        <w:t xml:space="preserve"> </w:t>
      </w:r>
      <w:r w:rsidRPr="00527AD3">
        <w:rPr>
          <w:rFonts w:eastAsia="Times New Roman"/>
          <w:bCs/>
          <w:sz w:val="24"/>
          <w:szCs w:val="24"/>
        </w:rPr>
        <w:t xml:space="preserve">to the extent those benefits exceed the loss caused by the party’s breach. </w:t>
      </w:r>
      <w:r w:rsidR="003E47F0" w:rsidRPr="00357ACC">
        <w:rPr>
          <w:rFonts w:eastAsia="Times New Roman"/>
          <w:b/>
          <w:sz w:val="24"/>
          <w:szCs w:val="24"/>
        </w:rPr>
        <w:t>Gravina</w:t>
      </w:r>
      <w:r w:rsidR="003E47F0">
        <w:rPr>
          <w:rFonts w:eastAsia="Times New Roman"/>
          <w:bCs/>
          <w:sz w:val="24"/>
          <w:szCs w:val="24"/>
        </w:rPr>
        <w:t xml:space="preserve"> </w:t>
      </w:r>
      <w:r w:rsidR="003E47F0" w:rsidRPr="00357ACC">
        <w:rPr>
          <w:rFonts w:eastAsia="Times New Roman"/>
          <w:b/>
          <w:sz w:val="24"/>
          <w:szCs w:val="24"/>
        </w:rPr>
        <w:t xml:space="preserve">Siding </w:t>
      </w:r>
      <w:r w:rsidR="00736474">
        <w:rPr>
          <w:rFonts w:eastAsia="Times New Roman"/>
          <w:b/>
          <w:sz w:val="24"/>
          <w:szCs w:val="24"/>
        </w:rPr>
        <w:t>&amp;</w:t>
      </w:r>
      <w:r w:rsidR="003E47F0" w:rsidRPr="00357ACC">
        <w:rPr>
          <w:rFonts w:eastAsia="Times New Roman"/>
          <w:b/>
          <w:sz w:val="24"/>
          <w:szCs w:val="24"/>
        </w:rPr>
        <w:t xml:space="preserve"> Windows Co. v. Gravina</w:t>
      </w:r>
      <w:r w:rsidR="003E47F0">
        <w:rPr>
          <w:rFonts w:eastAsia="Times New Roman"/>
          <w:bCs/>
          <w:sz w:val="24"/>
          <w:szCs w:val="24"/>
        </w:rPr>
        <w:t>, 2022 COA 50, ¶¶ 44, 76-77</w:t>
      </w:r>
      <w:r w:rsidR="004B108D">
        <w:rPr>
          <w:rFonts w:eastAsia="Times New Roman"/>
          <w:bCs/>
          <w:sz w:val="24"/>
          <w:szCs w:val="24"/>
        </w:rPr>
        <w:t>, 516 P.3d 37, 47</w:t>
      </w:r>
      <w:r w:rsidR="003E47F0">
        <w:rPr>
          <w:rFonts w:eastAsia="Times New Roman"/>
          <w:bCs/>
          <w:sz w:val="24"/>
          <w:szCs w:val="24"/>
        </w:rPr>
        <w:t xml:space="preserve"> (the non-breaching plaintiffs “received a benefit in the form of installation of siding on a portion of their home[,] done at Gravina’s expense,” for which </w:t>
      </w:r>
      <w:r w:rsidR="003E47F0" w:rsidRPr="00D30894">
        <w:rPr>
          <w:rFonts w:eastAsia="Times New Roman"/>
          <w:bCs/>
          <w:sz w:val="24"/>
          <w:szCs w:val="24"/>
        </w:rPr>
        <w:t>Gravina</w:t>
      </w:r>
      <w:r w:rsidR="003E47F0" w:rsidRPr="00357ACC">
        <w:rPr>
          <w:rFonts w:eastAsia="Times New Roman"/>
          <w:b/>
          <w:sz w:val="24"/>
          <w:szCs w:val="24"/>
        </w:rPr>
        <w:t xml:space="preserve"> </w:t>
      </w:r>
      <w:r w:rsidR="003E47F0">
        <w:rPr>
          <w:rFonts w:eastAsia="Times New Roman"/>
          <w:bCs/>
          <w:sz w:val="24"/>
          <w:szCs w:val="24"/>
        </w:rPr>
        <w:t xml:space="preserve">was entitled to recover); </w:t>
      </w:r>
      <w:r w:rsidRPr="00527AD3">
        <w:rPr>
          <w:rFonts w:eastAsia="Times New Roman"/>
          <w:b/>
          <w:bCs/>
          <w:sz w:val="24"/>
          <w:szCs w:val="24"/>
        </w:rPr>
        <w:t>Denver Ventures, Inc. v. Arlington Lane Corp.</w:t>
      </w:r>
      <w:r w:rsidRPr="00527AD3">
        <w:rPr>
          <w:rFonts w:eastAsia="Times New Roman"/>
          <w:bCs/>
          <w:sz w:val="24"/>
          <w:szCs w:val="24"/>
        </w:rPr>
        <w:t>,</w:t>
      </w:r>
      <w:r w:rsidRPr="00527AD3">
        <w:rPr>
          <w:rFonts w:eastAsia="Times New Roman"/>
          <w:b/>
          <w:bCs/>
          <w:sz w:val="24"/>
          <w:szCs w:val="24"/>
        </w:rPr>
        <w:t xml:space="preserve"> </w:t>
      </w:r>
      <w:r w:rsidRPr="00527AD3">
        <w:rPr>
          <w:rFonts w:eastAsia="Times New Roman"/>
          <w:bCs/>
          <w:sz w:val="24"/>
          <w:szCs w:val="24"/>
        </w:rPr>
        <w:t>754 P.2d 785 (Colo. App. 1988).</w:t>
      </w:r>
    </w:p>
    <w:p w14:paraId="28CC11C4"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5. The principle and rules set out in this instruction are not limited to construction contracts. </w:t>
      </w:r>
      <w:r w:rsidRPr="00527AD3">
        <w:rPr>
          <w:rFonts w:eastAsia="Times New Roman"/>
          <w:bCs/>
          <w:i/>
          <w:sz w:val="24"/>
          <w:szCs w:val="24"/>
        </w:rPr>
        <w:t>See</w:t>
      </w:r>
      <w:r w:rsidRPr="00527AD3">
        <w:rPr>
          <w:rFonts w:eastAsia="Times New Roman"/>
          <w:bCs/>
          <w:sz w:val="24"/>
          <w:szCs w:val="24"/>
        </w:rPr>
        <w:t xml:space="preserve"> </w:t>
      </w:r>
      <w:r w:rsidRPr="00527AD3">
        <w:rPr>
          <w:rFonts w:eastAsia="Times New Roman"/>
          <w:b/>
          <w:bCs/>
          <w:sz w:val="24"/>
          <w:szCs w:val="24"/>
        </w:rPr>
        <w:t>R.F. Carle Co.</w:t>
      </w:r>
      <w:r w:rsidRPr="00527AD3">
        <w:rPr>
          <w:rFonts w:eastAsia="Times New Roman"/>
          <w:bCs/>
          <w:sz w:val="24"/>
          <w:szCs w:val="24"/>
        </w:rPr>
        <w:t>, 616 P.2d at 991-92.</w:t>
      </w:r>
    </w:p>
    <w:p w14:paraId="37D25004" w14:textId="77777777" w:rsidR="00527AD3" w:rsidRDefault="00527AD3">
      <w:pPr>
        <w:rPr>
          <w:rFonts w:eastAsia="Times New Roman"/>
          <w:bCs/>
          <w:sz w:val="24"/>
          <w:szCs w:val="24"/>
        </w:rPr>
      </w:pPr>
      <w:r>
        <w:rPr>
          <w:rFonts w:eastAsia="Times New Roman"/>
          <w:bCs/>
          <w:sz w:val="24"/>
          <w:szCs w:val="24"/>
        </w:rPr>
        <w:br w:type="page"/>
      </w:r>
    </w:p>
    <w:p w14:paraId="1A546BB1" w14:textId="77777777" w:rsidR="00527AD3" w:rsidRPr="009E3DA4" w:rsidRDefault="00527AD3" w:rsidP="00527AD3">
      <w:pPr>
        <w:spacing w:after="240"/>
        <w:ind w:left="720" w:hanging="720"/>
        <w:rPr>
          <w:rFonts w:eastAsia="Times New Roman"/>
          <w:b/>
          <w:sz w:val="24"/>
          <w:szCs w:val="24"/>
        </w:rPr>
      </w:pPr>
      <w:bookmarkStart w:id="13" w:name="a30_13"/>
      <w:bookmarkEnd w:id="13"/>
      <w:r w:rsidRPr="00527AD3">
        <w:rPr>
          <w:rFonts w:eastAsia="Times New Roman"/>
          <w:b/>
          <w:sz w:val="24"/>
          <w:szCs w:val="24"/>
        </w:rPr>
        <w:lastRenderedPageBreak/>
        <w:t xml:space="preserve">30:13 </w:t>
      </w:r>
      <w:r w:rsidRPr="00527AD3">
        <w:rPr>
          <w:rFonts w:eastAsia="Times New Roman"/>
          <w:b/>
          <w:sz w:val="24"/>
          <w:szCs w:val="24"/>
        </w:rPr>
        <w:tab/>
        <w:t>CONTRACT PERFORMANCE — ANTICIPATORY BREACH</w:t>
      </w:r>
    </w:p>
    <w:p w14:paraId="33B42EA8" w14:textId="4E2505B2" w:rsidR="00527AD3" w:rsidRPr="00527AD3" w:rsidRDefault="00527AD3" w:rsidP="00527AD3">
      <w:pPr>
        <w:spacing w:after="240"/>
        <w:ind w:firstLine="720"/>
        <w:rPr>
          <w:rFonts w:eastAsia="Times New Roman"/>
          <w:b/>
          <w:bCs/>
          <w:sz w:val="24"/>
          <w:szCs w:val="24"/>
        </w:rPr>
      </w:pPr>
      <w:r w:rsidRPr="00527AD3">
        <w:rPr>
          <w:rFonts w:eastAsia="Times New Roman"/>
          <w:b/>
          <w:bCs/>
          <w:sz w:val="24"/>
          <w:szCs w:val="24"/>
        </w:rPr>
        <w:t xml:space="preserve">A party to a contract who shows a clear and definite intention not to perform the contract before the time when </w:t>
      </w:r>
      <w:r w:rsidR="00390234" w:rsidRPr="0070684C">
        <w:rPr>
          <w:rFonts w:eastAsia="Times New Roman"/>
          <w:i/>
          <w:iCs/>
          <w:sz w:val="24"/>
          <w:szCs w:val="24"/>
        </w:rPr>
        <w:t>(insert applicable pronoun</w:t>
      </w:r>
      <w:r w:rsidR="00390234">
        <w:rPr>
          <w:rFonts w:eastAsia="Times New Roman"/>
          <w:i/>
          <w:iCs/>
          <w:sz w:val="24"/>
          <w:szCs w:val="24"/>
        </w:rPr>
        <w:t>)</w:t>
      </w:r>
      <w:r w:rsidRPr="00527AD3">
        <w:rPr>
          <w:rFonts w:eastAsia="Times New Roman"/>
          <w:b/>
          <w:bCs/>
          <w:sz w:val="24"/>
          <w:szCs w:val="24"/>
        </w:rPr>
        <w:t xml:space="preserve"> own performance (is due) (is to be completed) commits a breach of contract. The intention not to perform may be shown by words or conduct or both.</w:t>
      </w:r>
    </w:p>
    <w:p w14:paraId="226EB634" w14:textId="77777777" w:rsidR="00527AD3" w:rsidRDefault="00527AD3" w:rsidP="00527AD3">
      <w:pPr>
        <w:jc w:val="center"/>
        <w:rPr>
          <w:rFonts w:eastAsia="Times New Roman"/>
          <w:sz w:val="24"/>
          <w:szCs w:val="24"/>
        </w:rPr>
      </w:pPr>
    </w:p>
    <w:p w14:paraId="0C50B432" w14:textId="77777777" w:rsidR="00527AD3" w:rsidRPr="0054263B" w:rsidRDefault="00527AD3" w:rsidP="00527AD3">
      <w:pPr>
        <w:keepNext/>
        <w:spacing w:after="240"/>
        <w:jc w:val="center"/>
        <w:rPr>
          <w:rFonts w:eastAsia="Times New Roman"/>
          <w:b/>
          <w:sz w:val="24"/>
          <w:szCs w:val="24"/>
        </w:rPr>
      </w:pPr>
      <w:r w:rsidRPr="0054263B">
        <w:rPr>
          <w:rFonts w:eastAsia="Times New Roman"/>
          <w:b/>
          <w:sz w:val="24"/>
          <w:szCs w:val="24"/>
        </w:rPr>
        <w:t>Notes on Use</w:t>
      </w:r>
    </w:p>
    <w:p w14:paraId="0F1DAAB3"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1. Use whichever parenthesized words are most appropriate.</w:t>
      </w:r>
    </w:p>
    <w:p w14:paraId="002A41EA"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2. For possible modifications required in cases involving the sale of goods, see sections 4-2-610 and 4-2-611, C.R.S.</w:t>
      </w:r>
    </w:p>
    <w:p w14:paraId="702F59EA" w14:textId="77777777" w:rsidR="00527AD3" w:rsidRPr="0054263B" w:rsidRDefault="00527AD3" w:rsidP="00527AD3">
      <w:pPr>
        <w:keepNext/>
        <w:spacing w:after="240"/>
        <w:jc w:val="center"/>
        <w:rPr>
          <w:rFonts w:eastAsia="Times New Roman"/>
          <w:b/>
          <w:sz w:val="24"/>
          <w:szCs w:val="24"/>
        </w:rPr>
      </w:pPr>
      <w:r>
        <w:rPr>
          <w:rFonts w:eastAsia="Times New Roman"/>
          <w:b/>
          <w:sz w:val="24"/>
          <w:szCs w:val="24"/>
        </w:rPr>
        <w:t>Source and Authority</w:t>
      </w:r>
    </w:p>
    <w:p w14:paraId="639950C8"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1. This instruction is supported by </w:t>
      </w:r>
      <w:r w:rsidRPr="00527AD3">
        <w:rPr>
          <w:rFonts w:eastAsia="Times New Roman"/>
          <w:b/>
          <w:bCs/>
          <w:sz w:val="24"/>
          <w:szCs w:val="24"/>
        </w:rPr>
        <w:t>Lake Durango Water Co. v. Public Utilities Commission</w:t>
      </w:r>
      <w:r w:rsidRPr="00527AD3">
        <w:rPr>
          <w:rFonts w:eastAsia="Times New Roman"/>
          <w:bCs/>
          <w:sz w:val="24"/>
          <w:szCs w:val="24"/>
        </w:rPr>
        <w:t xml:space="preserve">, 67 P.3d 12 (Colo. 2003); </w:t>
      </w:r>
      <w:r w:rsidRPr="00527AD3">
        <w:rPr>
          <w:rFonts w:eastAsia="Times New Roman"/>
          <w:b/>
          <w:bCs/>
          <w:sz w:val="24"/>
          <w:szCs w:val="24"/>
        </w:rPr>
        <w:t>Brown v. Jefferson County School District No. R-1</w:t>
      </w:r>
      <w:r w:rsidRPr="00527AD3">
        <w:rPr>
          <w:rFonts w:eastAsia="Times New Roman"/>
          <w:bCs/>
          <w:sz w:val="24"/>
          <w:szCs w:val="24"/>
        </w:rPr>
        <w:t xml:space="preserve">, 2012 COA 98, ¶ 55, 297 P.3d 976; and </w:t>
      </w:r>
      <w:r w:rsidRPr="00527AD3">
        <w:rPr>
          <w:rFonts w:eastAsia="Times New Roman"/>
          <w:b/>
          <w:bCs/>
          <w:sz w:val="24"/>
          <w:szCs w:val="24"/>
        </w:rPr>
        <w:t>Highlands Ranch University Park, LLC v. Uno of Highlands Ranch, Inc.</w:t>
      </w:r>
      <w:r w:rsidRPr="00527AD3">
        <w:rPr>
          <w:rFonts w:eastAsia="Times New Roman"/>
          <w:bCs/>
          <w:sz w:val="24"/>
          <w:szCs w:val="24"/>
        </w:rPr>
        <w:t xml:space="preserve">, 129 P.3d 1020 (Colo. App. 2005). </w:t>
      </w:r>
      <w:r w:rsidRPr="00527AD3">
        <w:rPr>
          <w:rFonts w:eastAsia="Times New Roman"/>
          <w:bCs/>
          <w:i/>
          <w:sz w:val="24"/>
          <w:szCs w:val="24"/>
        </w:rPr>
        <w:t>See also</w:t>
      </w:r>
      <w:r w:rsidRPr="00527AD3">
        <w:rPr>
          <w:rFonts w:eastAsia="Times New Roman"/>
          <w:bCs/>
          <w:sz w:val="24"/>
          <w:szCs w:val="24"/>
        </w:rPr>
        <w:t xml:space="preserve"> </w:t>
      </w:r>
      <w:r w:rsidRPr="00527AD3">
        <w:rPr>
          <w:rFonts w:eastAsia="Times New Roman"/>
          <w:bCs/>
          <w:smallCaps/>
          <w:sz w:val="24"/>
          <w:szCs w:val="24"/>
        </w:rPr>
        <w:t>Restatement (Second) of Contracts</w:t>
      </w:r>
      <w:r w:rsidRPr="00527AD3">
        <w:rPr>
          <w:rFonts w:eastAsia="Times New Roman"/>
          <w:bCs/>
          <w:sz w:val="24"/>
          <w:szCs w:val="24"/>
        </w:rPr>
        <w:t xml:space="preserve"> § 250 (1981) (cited in Brown, ¶ 55, 297 P.3d at 987). Among the cases that have recognized the doctrine of anticipatory breach, expressly or by implication, are </w:t>
      </w:r>
      <w:r w:rsidRPr="00527AD3">
        <w:rPr>
          <w:rFonts w:eastAsia="Times New Roman"/>
          <w:b/>
          <w:bCs/>
          <w:sz w:val="24"/>
          <w:szCs w:val="24"/>
        </w:rPr>
        <w:t>Dreier v. Sherwood</w:t>
      </w:r>
      <w:r w:rsidRPr="00527AD3">
        <w:rPr>
          <w:rFonts w:eastAsia="Times New Roman"/>
          <w:bCs/>
          <w:sz w:val="24"/>
          <w:szCs w:val="24"/>
        </w:rPr>
        <w:t>,</w:t>
      </w:r>
      <w:r w:rsidRPr="00527AD3">
        <w:rPr>
          <w:rFonts w:eastAsia="Times New Roman"/>
          <w:b/>
          <w:bCs/>
          <w:sz w:val="24"/>
          <w:szCs w:val="24"/>
        </w:rPr>
        <w:t xml:space="preserve"> </w:t>
      </w:r>
      <w:r w:rsidRPr="00527AD3">
        <w:rPr>
          <w:rFonts w:eastAsia="Times New Roman"/>
          <w:bCs/>
          <w:sz w:val="24"/>
          <w:szCs w:val="24"/>
        </w:rPr>
        <w:t xml:space="preserve">77 Colo. 539, 238 P. 38 (1925) (unequivocal words of repudiation); </w:t>
      </w:r>
      <w:r w:rsidRPr="00527AD3">
        <w:rPr>
          <w:rFonts w:eastAsia="Times New Roman"/>
          <w:b/>
          <w:bCs/>
          <w:sz w:val="24"/>
          <w:szCs w:val="24"/>
        </w:rPr>
        <w:t>Long v. Wright</w:t>
      </w:r>
      <w:r w:rsidRPr="00527AD3">
        <w:rPr>
          <w:rFonts w:eastAsia="Times New Roman"/>
          <w:bCs/>
          <w:sz w:val="24"/>
          <w:szCs w:val="24"/>
        </w:rPr>
        <w:t xml:space="preserve">, 70 Colo. 173, 197 P. 1016 (1921) (doctrine expressly recognized); </w:t>
      </w:r>
      <w:r w:rsidRPr="00527AD3">
        <w:rPr>
          <w:rFonts w:eastAsia="Times New Roman"/>
          <w:b/>
          <w:bCs/>
          <w:sz w:val="24"/>
          <w:szCs w:val="24"/>
        </w:rPr>
        <w:t>Mulford v. Torrey Exploration Co.</w:t>
      </w:r>
      <w:r w:rsidRPr="00527AD3">
        <w:rPr>
          <w:rFonts w:eastAsia="Times New Roman"/>
          <w:bCs/>
          <w:sz w:val="24"/>
          <w:szCs w:val="24"/>
        </w:rPr>
        <w:t xml:space="preserve">, 45 Colo. 81, 100 P. 596 (1909) (doctrine recognized where defendant voluntarily rendered himself incapable of performing prior to the time when his performance was due); </w:t>
      </w:r>
      <w:r w:rsidRPr="00527AD3">
        <w:rPr>
          <w:rFonts w:eastAsia="Times New Roman"/>
          <w:b/>
          <w:bCs/>
          <w:sz w:val="24"/>
          <w:szCs w:val="24"/>
        </w:rPr>
        <w:t>Saxonia Mining &amp; Reduction Co. v. Cook</w:t>
      </w:r>
      <w:r w:rsidRPr="00527AD3">
        <w:rPr>
          <w:rFonts w:eastAsia="Times New Roman"/>
          <w:bCs/>
          <w:sz w:val="24"/>
          <w:szCs w:val="24"/>
        </w:rPr>
        <w:t xml:space="preserve">, 7 Colo. 569, 4 P. 1111 (1884) (repudiation by unequivocal words); </w:t>
      </w:r>
      <w:r w:rsidRPr="00527AD3">
        <w:rPr>
          <w:rFonts w:eastAsia="Times New Roman"/>
          <w:b/>
          <w:bCs/>
          <w:sz w:val="24"/>
          <w:szCs w:val="24"/>
        </w:rPr>
        <w:t>Durango Transportation, Inc. v. City of Durango</w:t>
      </w:r>
      <w:r w:rsidRPr="00527AD3">
        <w:rPr>
          <w:rFonts w:eastAsia="Times New Roman"/>
          <w:bCs/>
          <w:sz w:val="24"/>
          <w:szCs w:val="24"/>
        </w:rPr>
        <w:t>,</w:t>
      </w:r>
      <w:r w:rsidRPr="00527AD3">
        <w:rPr>
          <w:rFonts w:eastAsia="Times New Roman"/>
          <w:b/>
          <w:bCs/>
          <w:sz w:val="24"/>
          <w:szCs w:val="24"/>
        </w:rPr>
        <w:t xml:space="preserve"> </w:t>
      </w:r>
      <w:r w:rsidRPr="00527AD3">
        <w:rPr>
          <w:rFonts w:eastAsia="Times New Roman"/>
          <w:bCs/>
          <w:sz w:val="24"/>
          <w:szCs w:val="24"/>
        </w:rPr>
        <w:t xml:space="preserve">786 P.2d 428 (Colo. App. 1989) (manifestation of intent not to perform must be definite and unequivocal), </w:t>
      </w:r>
      <w:r w:rsidRPr="00527AD3">
        <w:rPr>
          <w:rFonts w:eastAsia="Times New Roman"/>
          <w:bCs/>
          <w:i/>
          <w:sz w:val="24"/>
          <w:szCs w:val="24"/>
        </w:rPr>
        <w:t>rev’d on other grounds</w:t>
      </w:r>
      <w:r w:rsidRPr="00527AD3">
        <w:rPr>
          <w:rFonts w:eastAsia="Times New Roman"/>
          <w:bCs/>
          <w:sz w:val="24"/>
          <w:szCs w:val="24"/>
        </w:rPr>
        <w:t xml:space="preserve">, 807 P.2d 1152 (Colo. 1991); and </w:t>
      </w:r>
      <w:r w:rsidRPr="00527AD3">
        <w:rPr>
          <w:rFonts w:eastAsia="Times New Roman"/>
          <w:b/>
          <w:bCs/>
          <w:sz w:val="24"/>
          <w:szCs w:val="24"/>
        </w:rPr>
        <w:t>Johnson v. Benson</w:t>
      </w:r>
      <w:r w:rsidRPr="00527AD3">
        <w:rPr>
          <w:rFonts w:eastAsia="Times New Roman"/>
          <w:bCs/>
          <w:sz w:val="24"/>
          <w:szCs w:val="24"/>
        </w:rPr>
        <w:t>, 725 P.2d 21 (Colo. App. 1986) (repudiation by unequivocal language).</w:t>
      </w:r>
    </w:p>
    <w:p w14:paraId="0BBCEABE"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2. The following do not alone constitute a repudiation: a negative attitude; doubtful or indefinite statements that a party may or may not perform; statements that, under certain circumstances that do not yet exist, the party will not perform; or statements showing a desire to cancel or change the terms of a contract. 10 </w:t>
      </w:r>
      <w:r w:rsidRPr="00527AD3">
        <w:rPr>
          <w:rFonts w:eastAsia="Times New Roman"/>
          <w:bCs/>
          <w:smallCaps/>
          <w:sz w:val="24"/>
          <w:szCs w:val="24"/>
        </w:rPr>
        <w:t>John E. Murray, Jr., Corbin on Contracts</w:t>
      </w:r>
      <w:r w:rsidRPr="00527AD3">
        <w:rPr>
          <w:rFonts w:eastAsia="Times New Roman"/>
          <w:bCs/>
          <w:sz w:val="24"/>
          <w:szCs w:val="24"/>
        </w:rPr>
        <w:t xml:space="preserve"> § 54.16 (Joseph M. Perillo ed., rev. ed. 2014).</w:t>
      </w:r>
    </w:p>
    <w:p w14:paraId="69862595"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3. Repudiation of a contract does not excuse the repudiating party from performing its part of the contract, but does allow the nonrepudiating party to terminate the contract. </w:t>
      </w:r>
      <w:r w:rsidRPr="00527AD3">
        <w:rPr>
          <w:rFonts w:eastAsia="Times New Roman"/>
          <w:b/>
          <w:bCs/>
          <w:sz w:val="24"/>
          <w:szCs w:val="24"/>
        </w:rPr>
        <w:t>Interbank Invs. LLC v. Vail Valley Consol. Water Dist.</w:t>
      </w:r>
      <w:r w:rsidRPr="00527AD3">
        <w:rPr>
          <w:rFonts w:eastAsia="Times New Roman"/>
          <w:bCs/>
          <w:sz w:val="24"/>
          <w:szCs w:val="24"/>
        </w:rPr>
        <w:t>, 12 P.3d 1224 (Colo. App. 2000).</w:t>
      </w:r>
    </w:p>
    <w:p w14:paraId="5A5CA58F" w14:textId="77777777" w:rsidR="00527AD3" w:rsidRDefault="00527AD3">
      <w:pPr>
        <w:rPr>
          <w:rFonts w:eastAsia="Times New Roman"/>
          <w:bCs/>
          <w:sz w:val="24"/>
          <w:szCs w:val="24"/>
        </w:rPr>
      </w:pPr>
      <w:r>
        <w:rPr>
          <w:rFonts w:eastAsia="Times New Roman"/>
          <w:bCs/>
          <w:sz w:val="24"/>
          <w:szCs w:val="24"/>
        </w:rPr>
        <w:br w:type="page"/>
      </w:r>
    </w:p>
    <w:p w14:paraId="2F485663" w14:textId="77777777" w:rsidR="00527AD3" w:rsidRPr="009E3DA4" w:rsidRDefault="00527AD3" w:rsidP="00527AD3">
      <w:pPr>
        <w:spacing w:after="240"/>
        <w:ind w:left="720" w:hanging="720"/>
        <w:rPr>
          <w:rFonts w:eastAsia="Times New Roman"/>
          <w:b/>
          <w:sz w:val="24"/>
          <w:szCs w:val="24"/>
        </w:rPr>
      </w:pPr>
      <w:bookmarkStart w:id="14" w:name="a30_14"/>
      <w:bookmarkEnd w:id="14"/>
      <w:r w:rsidRPr="00527AD3">
        <w:rPr>
          <w:rFonts w:eastAsia="Times New Roman"/>
          <w:b/>
          <w:bCs/>
          <w:sz w:val="24"/>
          <w:szCs w:val="24"/>
        </w:rPr>
        <w:lastRenderedPageBreak/>
        <w:t>30:14</w:t>
      </w:r>
      <w:r w:rsidRPr="00527AD3">
        <w:rPr>
          <w:rFonts w:eastAsia="Times New Roman"/>
          <w:b/>
          <w:bCs/>
          <w:sz w:val="24"/>
          <w:szCs w:val="24"/>
        </w:rPr>
        <w:tab/>
        <w:t>CONTRACT PERFORMANCE — TIME OF PERFORMANCE</w:t>
      </w:r>
    </w:p>
    <w:p w14:paraId="0526DBFA" w14:textId="77777777" w:rsidR="00527AD3" w:rsidRPr="00527AD3" w:rsidRDefault="00527AD3" w:rsidP="00527AD3">
      <w:pPr>
        <w:spacing w:after="240"/>
        <w:ind w:firstLine="720"/>
        <w:rPr>
          <w:rFonts w:eastAsia="Times New Roman"/>
          <w:b/>
          <w:bCs/>
          <w:sz w:val="24"/>
          <w:szCs w:val="24"/>
        </w:rPr>
      </w:pPr>
      <w:r w:rsidRPr="00527AD3">
        <w:rPr>
          <w:rFonts w:eastAsia="Times New Roman"/>
          <w:b/>
          <w:bCs/>
          <w:sz w:val="24"/>
          <w:szCs w:val="24"/>
        </w:rPr>
        <w:t xml:space="preserve">If a contract does not state a specific time when the parties are to perform their obligations under the contract, then the parties are to perform within a reasonable time. In deciding whether a contractual obligation has been performed within a reasonable time, you may consider all the circumstances, including the nature of the contract, the parties’ diligence, and any reason why the obligation was not performed at an earlier time. </w:t>
      </w:r>
    </w:p>
    <w:p w14:paraId="3ED1A84A" w14:textId="77777777" w:rsidR="00527AD3" w:rsidRDefault="00527AD3" w:rsidP="00527AD3">
      <w:pPr>
        <w:jc w:val="center"/>
        <w:rPr>
          <w:rFonts w:eastAsia="Times New Roman"/>
          <w:sz w:val="24"/>
          <w:szCs w:val="24"/>
        </w:rPr>
      </w:pPr>
    </w:p>
    <w:p w14:paraId="0C31E7A4" w14:textId="77777777" w:rsidR="00527AD3" w:rsidRPr="0054263B" w:rsidRDefault="00527AD3" w:rsidP="00527AD3">
      <w:pPr>
        <w:keepNext/>
        <w:spacing w:after="240"/>
        <w:jc w:val="center"/>
        <w:rPr>
          <w:rFonts w:eastAsia="Times New Roman"/>
          <w:b/>
          <w:sz w:val="24"/>
          <w:szCs w:val="24"/>
        </w:rPr>
      </w:pPr>
      <w:r w:rsidRPr="0054263B">
        <w:rPr>
          <w:rFonts w:eastAsia="Times New Roman"/>
          <w:b/>
          <w:sz w:val="24"/>
          <w:szCs w:val="24"/>
        </w:rPr>
        <w:t>Notes on Use</w:t>
      </w:r>
    </w:p>
    <w:p w14:paraId="7190405D"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This instruction may be used whenever a written contract is silent about the date or time of performance or where the evidence indicates that the parties to an oral contract did not have specific intentions about a date for performance. </w:t>
      </w:r>
    </w:p>
    <w:p w14:paraId="46021C0E" w14:textId="77777777" w:rsidR="00527AD3" w:rsidRPr="0054263B" w:rsidRDefault="00527AD3" w:rsidP="00527AD3">
      <w:pPr>
        <w:keepNext/>
        <w:spacing w:after="240"/>
        <w:jc w:val="center"/>
        <w:rPr>
          <w:rFonts w:eastAsia="Times New Roman"/>
          <w:b/>
          <w:sz w:val="24"/>
          <w:szCs w:val="24"/>
        </w:rPr>
      </w:pPr>
      <w:r>
        <w:rPr>
          <w:rFonts w:eastAsia="Times New Roman"/>
          <w:b/>
          <w:sz w:val="24"/>
          <w:szCs w:val="24"/>
        </w:rPr>
        <w:t>Source and Authority</w:t>
      </w:r>
    </w:p>
    <w:p w14:paraId="59FB310E" w14:textId="057BB249"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1. This instruction is supported by </w:t>
      </w:r>
      <w:r w:rsidR="003E47F0" w:rsidRPr="005D74C0">
        <w:rPr>
          <w:rFonts w:eastAsia="Times New Roman"/>
          <w:b/>
          <w:sz w:val="24"/>
          <w:szCs w:val="24"/>
        </w:rPr>
        <w:t>Shull v. Sexton</w:t>
      </w:r>
      <w:r w:rsidR="003E47F0">
        <w:rPr>
          <w:rFonts w:eastAsia="Times New Roman"/>
          <w:bCs/>
          <w:sz w:val="24"/>
          <w:szCs w:val="24"/>
        </w:rPr>
        <w:t>, 154 Colo. 311, 390 P.2d 313 (1964); and</w:t>
      </w:r>
      <w:r w:rsidR="003E47F0" w:rsidRPr="00527AD3">
        <w:rPr>
          <w:rFonts w:eastAsia="Times New Roman"/>
          <w:bCs/>
          <w:sz w:val="24"/>
          <w:szCs w:val="24"/>
        </w:rPr>
        <w:t xml:space="preserve"> </w:t>
      </w:r>
      <w:r w:rsidRPr="00527AD3">
        <w:rPr>
          <w:rFonts w:eastAsia="Times New Roman"/>
          <w:b/>
          <w:bCs/>
          <w:sz w:val="24"/>
          <w:szCs w:val="24"/>
        </w:rPr>
        <w:t>Boggs v. McMickle</w:t>
      </w:r>
      <w:r w:rsidRPr="00527AD3">
        <w:rPr>
          <w:rFonts w:eastAsia="Times New Roman"/>
          <w:bCs/>
          <w:sz w:val="24"/>
          <w:szCs w:val="24"/>
        </w:rPr>
        <w:t xml:space="preserve">, 120 Colo. 53, 206 P.2d 824 (1949). </w:t>
      </w:r>
      <w:r w:rsidRPr="00527AD3">
        <w:rPr>
          <w:rFonts w:eastAsia="Times New Roman"/>
          <w:bCs/>
          <w:i/>
          <w:sz w:val="24"/>
          <w:szCs w:val="24"/>
        </w:rPr>
        <w:t>See also</w:t>
      </w:r>
      <w:r w:rsidRPr="00527AD3">
        <w:rPr>
          <w:rFonts w:eastAsia="Times New Roman"/>
          <w:bCs/>
          <w:sz w:val="24"/>
          <w:szCs w:val="24"/>
        </w:rPr>
        <w:t xml:space="preserve"> </w:t>
      </w:r>
      <w:r w:rsidRPr="00527AD3">
        <w:rPr>
          <w:rFonts w:eastAsia="Times New Roman"/>
          <w:b/>
          <w:bCs/>
          <w:sz w:val="24"/>
          <w:szCs w:val="24"/>
        </w:rPr>
        <w:t>Geiger v. Kiser</w:t>
      </w:r>
      <w:r w:rsidRPr="00527AD3">
        <w:rPr>
          <w:rFonts w:eastAsia="Times New Roman"/>
          <w:bCs/>
          <w:sz w:val="24"/>
          <w:szCs w:val="24"/>
        </w:rPr>
        <w:t xml:space="preserve">, 47 Colo. 297, 107 P. 267 (1910); </w:t>
      </w:r>
      <w:r w:rsidR="00736474" w:rsidRPr="005D74C0">
        <w:rPr>
          <w:rFonts w:eastAsia="Times New Roman"/>
          <w:b/>
          <w:sz w:val="24"/>
          <w:szCs w:val="24"/>
        </w:rPr>
        <w:t xml:space="preserve">Gravina Siding </w:t>
      </w:r>
      <w:r w:rsidR="00736474">
        <w:rPr>
          <w:rFonts w:eastAsia="Times New Roman"/>
          <w:b/>
          <w:sz w:val="24"/>
          <w:szCs w:val="24"/>
        </w:rPr>
        <w:t>&amp;</w:t>
      </w:r>
      <w:r w:rsidR="00736474" w:rsidRPr="005D74C0">
        <w:rPr>
          <w:rFonts w:eastAsia="Times New Roman"/>
          <w:b/>
          <w:sz w:val="24"/>
          <w:szCs w:val="24"/>
        </w:rPr>
        <w:t xml:space="preserve"> Windows Co.</w:t>
      </w:r>
      <w:r w:rsidR="00736474">
        <w:rPr>
          <w:rFonts w:eastAsia="Times New Roman"/>
          <w:b/>
          <w:sz w:val="24"/>
          <w:szCs w:val="24"/>
        </w:rPr>
        <w:t xml:space="preserve"> v. </w:t>
      </w:r>
      <w:r w:rsidR="003E47F0" w:rsidRPr="005D74C0">
        <w:rPr>
          <w:rFonts w:eastAsia="Times New Roman"/>
          <w:b/>
          <w:sz w:val="24"/>
          <w:szCs w:val="24"/>
        </w:rPr>
        <w:t>Gravina</w:t>
      </w:r>
      <w:r w:rsidR="003E47F0">
        <w:rPr>
          <w:rFonts w:eastAsia="Times New Roman"/>
          <w:bCs/>
          <w:sz w:val="24"/>
          <w:szCs w:val="24"/>
        </w:rPr>
        <w:t>, 2022 COA 50, ¶ 20</w:t>
      </w:r>
      <w:r w:rsidR="00D30894">
        <w:rPr>
          <w:rFonts w:eastAsia="Times New Roman"/>
          <w:bCs/>
          <w:sz w:val="24"/>
          <w:szCs w:val="24"/>
        </w:rPr>
        <w:t>, 516 P.3d 37, 43</w:t>
      </w:r>
      <w:r w:rsidR="003E47F0">
        <w:rPr>
          <w:rFonts w:eastAsia="Times New Roman"/>
          <w:bCs/>
          <w:sz w:val="24"/>
          <w:szCs w:val="24"/>
        </w:rPr>
        <w:t xml:space="preserve"> (“if a contract contains no explicit provision concerning the time for a party’s performance of obligations, the party must perform within a ‘reasonable time’ as determined by the circumstances of the case”)</w:t>
      </w:r>
      <w:r w:rsidR="0070700B">
        <w:rPr>
          <w:rFonts w:eastAsia="Times New Roman"/>
          <w:bCs/>
          <w:sz w:val="24"/>
          <w:szCs w:val="24"/>
        </w:rPr>
        <w:t xml:space="preserve">; </w:t>
      </w:r>
      <w:r w:rsidRPr="00527AD3">
        <w:rPr>
          <w:rFonts w:eastAsia="Times New Roman"/>
          <w:b/>
          <w:bCs/>
          <w:sz w:val="24"/>
          <w:szCs w:val="24"/>
        </w:rPr>
        <w:t>Ranta Const., Inc. v. Anderson</w:t>
      </w:r>
      <w:r w:rsidRPr="00527AD3">
        <w:rPr>
          <w:rFonts w:eastAsia="Times New Roman"/>
          <w:bCs/>
          <w:sz w:val="24"/>
          <w:szCs w:val="24"/>
        </w:rPr>
        <w:t>, 190 P.3d 835</w:t>
      </w:r>
      <w:r w:rsidR="0070700B">
        <w:rPr>
          <w:rFonts w:eastAsia="Times New Roman"/>
          <w:bCs/>
          <w:sz w:val="24"/>
          <w:szCs w:val="24"/>
        </w:rPr>
        <w:t>, 841</w:t>
      </w:r>
      <w:r w:rsidRPr="00527AD3">
        <w:rPr>
          <w:rFonts w:eastAsia="Times New Roman"/>
          <w:bCs/>
          <w:sz w:val="24"/>
          <w:szCs w:val="24"/>
        </w:rPr>
        <w:t xml:space="preserve"> (Colo. App. 2008)</w:t>
      </w:r>
      <w:r w:rsidR="0070700B" w:rsidRPr="0070700B">
        <w:rPr>
          <w:rFonts w:eastAsia="Times New Roman"/>
          <w:bCs/>
          <w:sz w:val="24"/>
          <w:szCs w:val="24"/>
        </w:rPr>
        <w:t xml:space="preserve"> </w:t>
      </w:r>
      <w:r w:rsidR="0070700B">
        <w:rPr>
          <w:rFonts w:eastAsia="Times New Roman"/>
          <w:bCs/>
          <w:sz w:val="24"/>
          <w:szCs w:val="24"/>
        </w:rPr>
        <w:t>(“‘[I]n the absence of a specific time for performance in the contract, the law implies a reasonable time,’ measured by the circumstances of the case.” (</w:t>
      </w:r>
      <w:r w:rsidR="0070700B">
        <w:t xml:space="preserve">quoting </w:t>
      </w:r>
      <w:r w:rsidR="0070700B" w:rsidRPr="00FB3EF4">
        <w:rPr>
          <w:rStyle w:val="Emphasis"/>
          <w:b/>
          <w:bCs/>
          <w:i w:val="0"/>
          <w:iCs w:val="0"/>
        </w:rPr>
        <w:t>Adams v. City of Westminster</w:t>
      </w:r>
      <w:r w:rsidR="0070700B" w:rsidRPr="00FB3EF4">
        <w:t>, 140 P.3d 8, 11 (Colo. App. 2005)</w:t>
      </w:r>
      <w:r w:rsidR="0070700B">
        <w:t>)</w:t>
      </w:r>
      <w:r w:rsidR="0070700B">
        <w:rPr>
          <w:rFonts w:eastAsia="Times New Roman"/>
          <w:bCs/>
          <w:sz w:val="24"/>
          <w:szCs w:val="24"/>
        </w:rPr>
        <w:t>)</w:t>
      </w:r>
      <w:r w:rsidRPr="00527AD3">
        <w:rPr>
          <w:rFonts w:eastAsia="Times New Roman"/>
          <w:bCs/>
          <w:sz w:val="24"/>
          <w:szCs w:val="24"/>
        </w:rPr>
        <w:t>.</w:t>
      </w:r>
    </w:p>
    <w:p w14:paraId="1495DC7A"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2. If a contract does not contain an express term setting the time for performance, then the time for performance is a reasonable time after entry into the contract. </w:t>
      </w:r>
      <w:r w:rsidRPr="00527AD3">
        <w:rPr>
          <w:rFonts w:eastAsia="Times New Roman"/>
          <w:b/>
          <w:bCs/>
          <w:sz w:val="24"/>
          <w:szCs w:val="24"/>
        </w:rPr>
        <w:t>Twin Lakes Reservoir &amp; Canal Co. v. Bond</w:t>
      </w:r>
      <w:r w:rsidRPr="00527AD3">
        <w:rPr>
          <w:rFonts w:eastAsia="Times New Roman"/>
          <w:bCs/>
          <w:sz w:val="24"/>
          <w:szCs w:val="24"/>
        </w:rPr>
        <w:t>, 156 Colo. 433, 399 P.2d 793 (Colo. 1965).</w:t>
      </w:r>
    </w:p>
    <w:p w14:paraId="5437E77F"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3. What is a reasonable time for performance of a contract depends upon the particular facts and circumstances of each case and rests largely in the discretion of the finder of fact. </w:t>
      </w:r>
      <w:r w:rsidRPr="00527AD3">
        <w:rPr>
          <w:rFonts w:eastAsia="Times New Roman"/>
          <w:b/>
          <w:bCs/>
          <w:sz w:val="24"/>
          <w:szCs w:val="24"/>
        </w:rPr>
        <w:t>Larimer v. Salida Granite Corp.</w:t>
      </w:r>
      <w:r w:rsidRPr="00527AD3">
        <w:rPr>
          <w:rFonts w:eastAsia="Times New Roman"/>
          <w:bCs/>
          <w:sz w:val="24"/>
          <w:szCs w:val="24"/>
        </w:rPr>
        <w:t xml:space="preserve">, 112 Colo. 598, 153 P.2d 998 (1944). </w:t>
      </w:r>
    </w:p>
    <w:p w14:paraId="7FB8CF4C" w14:textId="77777777" w:rsidR="00F57A28" w:rsidRDefault="00F57A28">
      <w:pPr>
        <w:rPr>
          <w:rFonts w:eastAsia="Times New Roman"/>
          <w:bCs/>
          <w:sz w:val="24"/>
          <w:szCs w:val="24"/>
        </w:rPr>
      </w:pPr>
      <w:r>
        <w:rPr>
          <w:rFonts w:eastAsia="Times New Roman"/>
          <w:bCs/>
          <w:sz w:val="24"/>
          <w:szCs w:val="24"/>
        </w:rPr>
        <w:br w:type="page"/>
      </w:r>
    </w:p>
    <w:p w14:paraId="6FF5807B" w14:textId="77777777" w:rsidR="00F57A28" w:rsidRPr="009E3DA4" w:rsidRDefault="00F57A28" w:rsidP="00F57A28">
      <w:pPr>
        <w:spacing w:after="240"/>
        <w:ind w:left="720" w:hanging="720"/>
        <w:rPr>
          <w:rFonts w:eastAsia="Times New Roman"/>
          <w:b/>
          <w:sz w:val="24"/>
          <w:szCs w:val="24"/>
        </w:rPr>
      </w:pPr>
      <w:bookmarkStart w:id="15" w:name="a30_15"/>
      <w:bookmarkEnd w:id="15"/>
      <w:r w:rsidRPr="00F57A28">
        <w:rPr>
          <w:rFonts w:eastAsia="Times New Roman"/>
          <w:b/>
          <w:bCs/>
          <w:sz w:val="24"/>
          <w:szCs w:val="24"/>
        </w:rPr>
        <w:lastRenderedPageBreak/>
        <w:t xml:space="preserve">30:15 </w:t>
      </w:r>
      <w:r w:rsidRPr="00F57A28">
        <w:rPr>
          <w:rFonts w:eastAsia="Times New Roman"/>
          <w:b/>
          <w:bCs/>
          <w:sz w:val="24"/>
          <w:szCs w:val="24"/>
        </w:rPr>
        <w:tab/>
        <w:t>CONTRACT PERFORMANCE — CONDITIONS PRECEDENT</w:t>
      </w:r>
    </w:p>
    <w:p w14:paraId="384EE1D9" w14:textId="77777777" w:rsidR="00F57A28" w:rsidRPr="00F57A28" w:rsidRDefault="00F57A28" w:rsidP="00F57A28">
      <w:pPr>
        <w:spacing w:after="240"/>
        <w:ind w:firstLine="720"/>
        <w:rPr>
          <w:rFonts w:eastAsia="Times New Roman"/>
          <w:b/>
          <w:bCs/>
          <w:sz w:val="24"/>
          <w:szCs w:val="24"/>
        </w:rPr>
      </w:pPr>
      <w:r w:rsidRPr="00F57A28">
        <w:rPr>
          <w:rFonts w:eastAsia="Times New Roman"/>
          <w:b/>
          <w:bCs/>
          <w:sz w:val="24"/>
          <w:szCs w:val="24"/>
        </w:rPr>
        <w:t>A contract may include one or more conditions precedent. A condition precedent is an event that must occur before performance under a contract becomes due.</w:t>
      </w:r>
    </w:p>
    <w:p w14:paraId="453B22B7" w14:textId="77777777" w:rsidR="00F57A28" w:rsidRDefault="00F57A28" w:rsidP="00F57A28">
      <w:pPr>
        <w:jc w:val="center"/>
        <w:rPr>
          <w:rFonts w:eastAsia="Times New Roman"/>
          <w:sz w:val="24"/>
          <w:szCs w:val="24"/>
        </w:rPr>
      </w:pPr>
    </w:p>
    <w:p w14:paraId="08AF9B01" w14:textId="77777777" w:rsidR="00F57A28" w:rsidRPr="0054263B" w:rsidRDefault="00F57A28" w:rsidP="00F57A28">
      <w:pPr>
        <w:keepNext/>
        <w:spacing w:after="240"/>
        <w:jc w:val="center"/>
        <w:rPr>
          <w:rFonts w:eastAsia="Times New Roman"/>
          <w:b/>
          <w:sz w:val="24"/>
          <w:szCs w:val="24"/>
        </w:rPr>
      </w:pPr>
      <w:r w:rsidRPr="0054263B">
        <w:rPr>
          <w:rFonts w:eastAsia="Times New Roman"/>
          <w:b/>
          <w:sz w:val="24"/>
          <w:szCs w:val="24"/>
        </w:rPr>
        <w:t>Notes on Use</w:t>
      </w:r>
    </w:p>
    <w:p w14:paraId="53DA24A4" w14:textId="77777777" w:rsidR="00F57A28" w:rsidRPr="00F57A28" w:rsidRDefault="00F57A28" w:rsidP="00F57A28">
      <w:pPr>
        <w:spacing w:after="240"/>
        <w:ind w:firstLine="720"/>
        <w:rPr>
          <w:rFonts w:eastAsia="Times New Roman"/>
          <w:bCs/>
          <w:sz w:val="24"/>
          <w:szCs w:val="24"/>
        </w:rPr>
      </w:pPr>
      <w:r w:rsidRPr="00F57A28">
        <w:rPr>
          <w:rFonts w:eastAsia="Times New Roman"/>
          <w:bCs/>
          <w:sz w:val="24"/>
          <w:szCs w:val="24"/>
        </w:rPr>
        <w:t>See the Notes on Use to Instructions 30:10 and 30:12.</w:t>
      </w:r>
    </w:p>
    <w:p w14:paraId="72BC9904" w14:textId="77777777" w:rsidR="00F57A28" w:rsidRPr="0054263B" w:rsidRDefault="00F57A28" w:rsidP="00F57A28">
      <w:pPr>
        <w:keepNext/>
        <w:spacing w:after="240"/>
        <w:jc w:val="center"/>
        <w:rPr>
          <w:rFonts w:eastAsia="Times New Roman"/>
          <w:b/>
          <w:sz w:val="24"/>
          <w:szCs w:val="24"/>
        </w:rPr>
      </w:pPr>
      <w:r>
        <w:rPr>
          <w:rFonts w:eastAsia="Times New Roman"/>
          <w:b/>
          <w:sz w:val="24"/>
          <w:szCs w:val="24"/>
        </w:rPr>
        <w:t>Source and Authority</w:t>
      </w:r>
    </w:p>
    <w:p w14:paraId="48472ECE" w14:textId="77777777" w:rsidR="00F57A28" w:rsidRPr="00F57A28" w:rsidRDefault="00F57A28" w:rsidP="00F57A28">
      <w:pPr>
        <w:spacing w:after="240"/>
        <w:ind w:firstLine="720"/>
        <w:rPr>
          <w:rFonts w:eastAsia="Times New Roman"/>
          <w:bCs/>
          <w:sz w:val="24"/>
          <w:szCs w:val="24"/>
        </w:rPr>
      </w:pPr>
      <w:r w:rsidRPr="00F57A28">
        <w:rPr>
          <w:rFonts w:eastAsia="Times New Roman"/>
          <w:bCs/>
          <w:sz w:val="24"/>
          <w:szCs w:val="24"/>
        </w:rPr>
        <w:t xml:space="preserve">1. This instruction is supported by the Restatement: “A condition is an event, not certain to occur, which must occur, unless its non-occurrence is excused, before performance under a contract becomes due.” </w:t>
      </w:r>
      <w:r w:rsidRPr="00F57A28">
        <w:rPr>
          <w:rFonts w:eastAsia="Times New Roman"/>
          <w:bCs/>
          <w:smallCaps/>
          <w:sz w:val="24"/>
          <w:szCs w:val="24"/>
        </w:rPr>
        <w:t>Restatement (Second) of Contracts</w:t>
      </w:r>
      <w:r w:rsidRPr="00F57A28">
        <w:rPr>
          <w:rFonts w:eastAsia="Times New Roman"/>
          <w:bCs/>
          <w:sz w:val="24"/>
          <w:szCs w:val="24"/>
        </w:rPr>
        <w:t xml:space="preserve"> § 224 (1981). S</w:t>
      </w:r>
      <w:r w:rsidRPr="00F57A28">
        <w:rPr>
          <w:rFonts w:eastAsia="Times New Roman"/>
          <w:bCs/>
          <w:i/>
          <w:sz w:val="24"/>
          <w:szCs w:val="24"/>
        </w:rPr>
        <w:t>ee also</w:t>
      </w:r>
      <w:r w:rsidRPr="00F57A28">
        <w:rPr>
          <w:rFonts w:eastAsia="Times New Roman"/>
          <w:bCs/>
          <w:sz w:val="24"/>
          <w:szCs w:val="24"/>
        </w:rPr>
        <w:t xml:space="preserve"> </w:t>
      </w:r>
      <w:r w:rsidRPr="00F57A28">
        <w:rPr>
          <w:rFonts w:eastAsia="Times New Roman"/>
          <w:b/>
          <w:bCs/>
          <w:sz w:val="24"/>
          <w:szCs w:val="24"/>
        </w:rPr>
        <w:t>Daybreak Constr. Specialties, Inc. v. Saghatoleslami</w:t>
      </w:r>
      <w:r w:rsidRPr="00F57A28">
        <w:rPr>
          <w:rFonts w:eastAsia="Times New Roman"/>
          <w:bCs/>
          <w:sz w:val="24"/>
          <w:szCs w:val="24"/>
        </w:rPr>
        <w:t>,</w:t>
      </w:r>
      <w:r w:rsidRPr="00F57A28">
        <w:rPr>
          <w:rFonts w:eastAsia="Times New Roman"/>
          <w:b/>
          <w:bCs/>
          <w:sz w:val="24"/>
          <w:szCs w:val="24"/>
        </w:rPr>
        <w:t xml:space="preserve"> </w:t>
      </w:r>
      <w:r w:rsidRPr="00F57A28">
        <w:rPr>
          <w:rFonts w:eastAsia="Times New Roman"/>
          <w:bCs/>
          <w:sz w:val="24"/>
          <w:szCs w:val="24"/>
        </w:rPr>
        <w:t xml:space="preserve">712 P.2d 1028, 1031 (Colo. App. 1985) (“When the obligations of a contract for sale and purchase of land are mutual and concurrent [i.e., the performance of each is a condition precedent to the obligation to perform the other], so long as one party makes no tender of deed and the other no offer of payment, neither is in default.”); </w:t>
      </w:r>
      <w:r w:rsidRPr="00F57A28">
        <w:rPr>
          <w:rFonts w:eastAsia="Times New Roman"/>
          <w:bCs/>
          <w:smallCaps/>
          <w:sz w:val="24"/>
          <w:szCs w:val="24"/>
        </w:rPr>
        <w:t>Restatement (Second) of Contracts</w:t>
      </w:r>
      <w:r w:rsidRPr="00F57A28">
        <w:rPr>
          <w:rFonts w:eastAsia="Times New Roman"/>
          <w:bCs/>
          <w:sz w:val="24"/>
          <w:szCs w:val="24"/>
        </w:rPr>
        <w:t xml:space="preserve"> § 225 (1981). </w:t>
      </w:r>
    </w:p>
    <w:p w14:paraId="6DDB7484" w14:textId="77777777" w:rsidR="00F57A28" w:rsidRPr="00F57A28" w:rsidRDefault="00F57A28" w:rsidP="00F57A28">
      <w:pPr>
        <w:spacing w:after="240"/>
        <w:ind w:firstLine="720"/>
        <w:rPr>
          <w:rFonts w:eastAsia="Times New Roman"/>
          <w:bCs/>
          <w:sz w:val="24"/>
          <w:szCs w:val="24"/>
        </w:rPr>
      </w:pPr>
      <w:r w:rsidRPr="00F57A28">
        <w:rPr>
          <w:rFonts w:eastAsia="Times New Roman"/>
          <w:bCs/>
          <w:sz w:val="24"/>
          <w:szCs w:val="24"/>
        </w:rPr>
        <w:t xml:space="preserve"> 2. Principles of conditions precedent are set forth in 8 </w:t>
      </w:r>
      <w:r w:rsidRPr="00F57A28">
        <w:rPr>
          <w:rFonts w:eastAsia="Times New Roman"/>
          <w:bCs/>
          <w:smallCaps/>
          <w:sz w:val="24"/>
          <w:szCs w:val="24"/>
        </w:rPr>
        <w:t>Catherine A. McCauliff, Corbin on Contracts</w:t>
      </w:r>
      <w:r w:rsidRPr="00F57A28">
        <w:rPr>
          <w:rFonts w:eastAsia="Times New Roman"/>
          <w:bCs/>
          <w:sz w:val="24"/>
          <w:szCs w:val="24"/>
        </w:rPr>
        <w:t xml:space="preserve"> § 30.7 (Joseph M. Perillo ed., rev. ed. 1999) (considering the occurrence or nonoccurrence of any condition precedent under certain circumstances). Conditions precedent must be specifically pleaded. C.R.C.P. 9(c). For authority considering conditions precedent, see </w:t>
      </w:r>
      <w:r w:rsidRPr="00F57A28">
        <w:rPr>
          <w:rFonts w:eastAsia="Times New Roman"/>
          <w:b/>
          <w:bCs/>
          <w:sz w:val="24"/>
          <w:szCs w:val="24"/>
        </w:rPr>
        <w:t>Western Distributing Co. v. Diodosio</w:t>
      </w:r>
      <w:r w:rsidRPr="00F57A28">
        <w:rPr>
          <w:rFonts w:eastAsia="Times New Roman"/>
          <w:bCs/>
          <w:sz w:val="24"/>
          <w:szCs w:val="24"/>
        </w:rPr>
        <w:t>,</w:t>
      </w:r>
      <w:r w:rsidRPr="00F57A28">
        <w:rPr>
          <w:rFonts w:eastAsia="Times New Roman"/>
          <w:b/>
          <w:bCs/>
          <w:sz w:val="24"/>
          <w:szCs w:val="24"/>
        </w:rPr>
        <w:t xml:space="preserve"> </w:t>
      </w:r>
      <w:r w:rsidRPr="00F57A28">
        <w:rPr>
          <w:rFonts w:eastAsia="Times New Roman"/>
          <w:bCs/>
          <w:sz w:val="24"/>
          <w:szCs w:val="24"/>
        </w:rPr>
        <w:t xml:space="preserve">841 P.2d 1053 (Colo. 1992) (defendant had received substantially all the benefit expected from the contract and therefore plaintiffs had substantially performed their obligations and could assert breach of contract claim against defendant, even though not every obligation was performed); and </w:t>
      </w:r>
      <w:r w:rsidRPr="00F57A28">
        <w:rPr>
          <w:rFonts w:eastAsia="Times New Roman"/>
          <w:b/>
          <w:bCs/>
          <w:sz w:val="24"/>
          <w:szCs w:val="24"/>
        </w:rPr>
        <w:t>D.R. Horton, Inc.-Denver v. Bischof &amp; Coffman Construction, LLC</w:t>
      </w:r>
      <w:r w:rsidRPr="00F57A28">
        <w:rPr>
          <w:rFonts w:eastAsia="Times New Roman"/>
          <w:bCs/>
          <w:sz w:val="24"/>
          <w:szCs w:val="24"/>
        </w:rPr>
        <w:t xml:space="preserve">, 217 P.3d 1262 (Colo. App. 2009) (trial court erred in instructing jury that general contractor could not recover damages for breach of contract from subcontractors if they found subcontractors had substantially performed). Whether a breach of contract is material and therefore excuses the other party from performance is generally a question of fact. </w:t>
      </w:r>
      <w:r w:rsidRPr="00F57A28">
        <w:rPr>
          <w:rFonts w:eastAsia="Times New Roman"/>
          <w:b/>
          <w:bCs/>
          <w:sz w:val="24"/>
          <w:szCs w:val="24"/>
        </w:rPr>
        <w:t>Blood v. Qwest Servs. Corp.</w:t>
      </w:r>
      <w:r w:rsidRPr="00F57A28">
        <w:rPr>
          <w:rFonts w:eastAsia="Times New Roman"/>
          <w:bCs/>
          <w:sz w:val="24"/>
          <w:szCs w:val="24"/>
        </w:rPr>
        <w:t xml:space="preserve">, 224 P.3d 301 (Colo. App. 2009), </w:t>
      </w:r>
      <w:r w:rsidRPr="00F57A28">
        <w:rPr>
          <w:rFonts w:eastAsia="Times New Roman"/>
          <w:bCs/>
          <w:i/>
          <w:sz w:val="24"/>
          <w:szCs w:val="24"/>
        </w:rPr>
        <w:t>aff’d on other grounds</w:t>
      </w:r>
      <w:r w:rsidRPr="00F57A28">
        <w:rPr>
          <w:rFonts w:eastAsia="Times New Roman"/>
          <w:bCs/>
          <w:sz w:val="24"/>
          <w:szCs w:val="24"/>
        </w:rPr>
        <w:t xml:space="preserve">, 252 P.3d 1071 (Colo. 2011) (whether third-party plaintiff had materially breached or not substantially performed its contract with third-party defendant a question for jury); </w:t>
      </w:r>
      <w:r w:rsidRPr="00F57A28">
        <w:rPr>
          <w:rFonts w:eastAsia="Times New Roman"/>
          <w:b/>
          <w:bCs/>
          <w:sz w:val="24"/>
          <w:szCs w:val="24"/>
        </w:rPr>
        <w:t>Morris v. Belfor USA Group, Inc.</w:t>
      </w:r>
      <w:r w:rsidRPr="00F57A28">
        <w:rPr>
          <w:rFonts w:eastAsia="Times New Roman"/>
          <w:bCs/>
          <w:sz w:val="24"/>
          <w:szCs w:val="24"/>
        </w:rPr>
        <w:t xml:space="preserve">, 201 P.3d 1253 (Colo. App. 2008); </w:t>
      </w:r>
      <w:r w:rsidRPr="00F57A28">
        <w:rPr>
          <w:rFonts w:eastAsia="Times New Roman"/>
          <w:b/>
          <w:bCs/>
          <w:sz w:val="24"/>
          <w:szCs w:val="24"/>
        </w:rPr>
        <w:t>Kaiser v. Market Square Disc. Liquors, Inc.</w:t>
      </w:r>
      <w:r w:rsidRPr="00F57A28">
        <w:rPr>
          <w:rFonts w:eastAsia="Times New Roman"/>
          <w:bCs/>
          <w:sz w:val="24"/>
          <w:szCs w:val="24"/>
        </w:rPr>
        <w:t>, 992 P.2d 636 (Colo. App. 1999) (material breach by a party deprives that party of the right to demand performance by the other party).</w:t>
      </w:r>
    </w:p>
    <w:p w14:paraId="1711EA6F" w14:textId="36175FA1" w:rsidR="00F57A28" w:rsidRDefault="00F57A28" w:rsidP="00F57A28">
      <w:pPr>
        <w:spacing w:after="240"/>
        <w:ind w:firstLine="720"/>
        <w:rPr>
          <w:rFonts w:eastAsia="Times New Roman"/>
          <w:bCs/>
          <w:sz w:val="24"/>
          <w:szCs w:val="24"/>
        </w:rPr>
      </w:pPr>
      <w:r w:rsidRPr="00F57A28">
        <w:rPr>
          <w:rFonts w:eastAsia="Times New Roman"/>
          <w:bCs/>
          <w:sz w:val="24"/>
          <w:szCs w:val="24"/>
        </w:rPr>
        <w:t xml:space="preserve">3. Generally, unless unequivocal language mandates otherwise, a contractual clause will be interpreted as a promise rather than as a condition precedent. </w:t>
      </w:r>
      <w:r w:rsidRPr="00F57A28">
        <w:rPr>
          <w:rFonts w:eastAsia="Times New Roman"/>
          <w:b/>
          <w:bCs/>
          <w:sz w:val="24"/>
          <w:szCs w:val="24"/>
        </w:rPr>
        <w:t>Main Elec., Ltd. v. Printz Servs. Corp.</w:t>
      </w:r>
      <w:r w:rsidRPr="00F57A28">
        <w:rPr>
          <w:rFonts w:eastAsia="Times New Roman"/>
          <w:bCs/>
          <w:sz w:val="24"/>
          <w:szCs w:val="24"/>
        </w:rPr>
        <w:t>, 980 P.2d 522 (Colo. 1999).</w:t>
      </w:r>
    </w:p>
    <w:p w14:paraId="39BC6A5F" w14:textId="66FCF7FB" w:rsidR="00986A4E" w:rsidRDefault="00986A4E" w:rsidP="00F57A28">
      <w:pPr>
        <w:spacing w:after="240"/>
        <w:ind w:firstLine="720"/>
        <w:rPr>
          <w:rFonts w:eastAsia="Times New Roman"/>
          <w:bCs/>
          <w:sz w:val="24"/>
          <w:szCs w:val="24"/>
        </w:rPr>
      </w:pPr>
      <w:r>
        <w:rPr>
          <w:rFonts w:eastAsia="Times New Roman"/>
          <w:bCs/>
          <w:sz w:val="24"/>
          <w:szCs w:val="24"/>
        </w:rPr>
        <w:t>4</w:t>
      </w:r>
      <w:r w:rsidRPr="0000321C">
        <w:rPr>
          <w:rFonts w:eastAsia="Times New Roman"/>
          <w:bCs/>
          <w:sz w:val="24"/>
          <w:szCs w:val="24"/>
        </w:rPr>
        <w:t xml:space="preserve">. In some instances, a demand or notice may be a condition precedent to creating a cause of action for breach of contract. </w:t>
      </w:r>
      <w:r w:rsidRPr="0000321C">
        <w:rPr>
          <w:rFonts w:eastAsia="Times New Roman"/>
          <w:bCs/>
          <w:i/>
          <w:sz w:val="24"/>
          <w:szCs w:val="24"/>
        </w:rPr>
        <w:t>See, e.g.</w:t>
      </w:r>
      <w:r w:rsidRPr="0000321C">
        <w:rPr>
          <w:rFonts w:eastAsia="Times New Roman"/>
          <w:bCs/>
          <w:sz w:val="24"/>
          <w:szCs w:val="24"/>
        </w:rPr>
        <w:t xml:space="preserve">, </w:t>
      </w:r>
      <w:r w:rsidRPr="00357ACC">
        <w:rPr>
          <w:rFonts w:eastAsia="Times New Roman"/>
          <w:b/>
          <w:sz w:val="24"/>
          <w:szCs w:val="24"/>
        </w:rPr>
        <w:t>Gregory v. Safeco Ins. Co.</w:t>
      </w:r>
      <w:r>
        <w:rPr>
          <w:rFonts w:eastAsia="Times New Roman"/>
          <w:bCs/>
          <w:sz w:val="24"/>
          <w:szCs w:val="24"/>
        </w:rPr>
        <w:t xml:space="preserve">, 2022 COA 45, ¶ 38, 514 P.3d 971, 979 (“Gregory’s policy [required] that she report hail damage within 365 days . . . </w:t>
      </w:r>
      <w:r>
        <w:rPr>
          <w:rFonts w:eastAsia="Times New Roman"/>
          <w:bCs/>
          <w:sz w:val="24"/>
          <w:szCs w:val="24"/>
        </w:rPr>
        <w:lastRenderedPageBreak/>
        <w:t>[therefore] Gregory’s timely notice of loss was a condition precedent to her contractual right to recover for the hail damage to her home.”)</w:t>
      </w:r>
      <w:r w:rsidRPr="0000321C">
        <w:rPr>
          <w:rFonts w:eastAsia="Times New Roman"/>
          <w:bCs/>
          <w:sz w:val="24"/>
          <w:szCs w:val="24"/>
        </w:rPr>
        <w:t>.</w:t>
      </w:r>
    </w:p>
    <w:p w14:paraId="255B6F2E" w14:textId="77777777" w:rsidR="00B96786" w:rsidRDefault="00B96786">
      <w:pPr>
        <w:rPr>
          <w:rFonts w:eastAsia="Times New Roman"/>
          <w:bCs/>
          <w:sz w:val="24"/>
          <w:szCs w:val="24"/>
        </w:rPr>
      </w:pPr>
      <w:r>
        <w:rPr>
          <w:rFonts w:eastAsia="Times New Roman"/>
          <w:bCs/>
          <w:sz w:val="24"/>
          <w:szCs w:val="24"/>
        </w:rPr>
        <w:br w:type="page"/>
      </w:r>
    </w:p>
    <w:p w14:paraId="3FC4FCCC" w14:textId="77777777" w:rsidR="00B96786" w:rsidRPr="009E3DA4" w:rsidRDefault="00B96786" w:rsidP="00B96786">
      <w:pPr>
        <w:spacing w:after="240"/>
        <w:ind w:left="720" w:hanging="720"/>
        <w:rPr>
          <w:rFonts w:eastAsia="Times New Roman"/>
          <w:b/>
          <w:sz w:val="24"/>
          <w:szCs w:val="24"/>
        </w:rPr>
      </w:pPr>
      <w:bookmarkStart w:id="16" w:name="a30_16"/>
      <w:bookmarkEnd w:id="16"/>
      <w:r w:rsidRPr="00B96786">
        <w:rPr>
          <w:rFonts w:eastAsia="Times New Roman"/>
          <w:b/>
          <w:bCs/>
          <w:sz w:val="24"/>
          <w:szCs w:val="24"/>
        </w:rPr>
        <w:lastRenderedPageBreak/>
        <w:t>30:16</w:t>
      </w:r>
      <w:r w:rsidRPr="00B96786">
        <w:rPr>
          <w:rFonts w:eastAsia="Times New Roman"/>
          <w:b/>
          <w:bCs/>
          <w:sz w:val="24"/>
          <w:szCs w:val="24"/>
        </w:rPr>
        <w:tab/>
        <w:t>CONTRACT PERFORMANCE — IMPLIED DUTY OF GOOD FAITH AND FAIR DEALING — NON-INSURANCE CONTRACT</w:t>
      </w:r>
    </w:p>
    <w:p w14:paraId="0322E3B9" w14:textId="77777777" w:rsidR="00B96786" w:rsidRPr="00B96786" w:rsidRDefault="00B96786" w:rsidP="00B96786">
      <w:pPr>
        <w:spacing w:after="240"/>
        <w:ind w:firstLine="720"/>
        <w:rPr>
          <w:rFonts w:eastAsia="Times New Roman"/>
          <w:b/>
          <w:bCs/>
          <w:sz w:val="24"/>
          <w:szCs w:val="24"/>
        </w:rPr>
      </w:pPr>
      <w:r w:rsidRPr="00B96786">
        <w:rPr>
          <w:rFonts w:eastAsia="Times New Roman"/>
          <w:b/>
          <w:bCs/>
          <w:sz w:val="24"/>
          <w:szCs w:val="24"/>
        </w:rPr>
        <w:t>Every contract requires the parties to act in good faith and to deal fairly with each other in performing or enforcing the express terms of the contract.</w:t>
      </w:r>
    </w:p>
    <w:p w14:paraId="6C86D9DD" w14:textId="28FE7D8D" w:rsidR="00B96786" w:rsidRPr="00B96786" w:rsidRDefault="00B96786" w:rsidP="00B96786">
      <w:pPr>
        <w:spacing w:after="240"/>
        <w:ind w:firstLine="720"/>
        <w:rPr>
          <w:rFonts w:eastAsia="Times New Roman"/>
          <w:b/>
          <w:bCs/>
          <w:sz w:val="24"/>
          <w:szCs w:val="24"/>
        </w:rPr>
      </w:pPr>
      <w:r w:rsidRPr="00B96786">
        <w:rPr>
          <w:rFonts w:eastAsia="Times New Roman"/>
          <w:b/>
          <w:bCs/>
          <w:sz w:val="24"/>
          <w:szCs w:val="24"/>
        </w:rPr>
        <w:t xml:space="preserve">A party performs a contract in good faith when </w:t>
      </w:r>
      <w:r w:rsidR="00390234" w:rsidRPr="0070684C">
        <w:rPr>
          <w:rFonts w:eastAsia="Times New Roman"/>
          <w:i/>
          <w:iCs/>
          <w:sz w:val="24"/>
          <w:szCs w:val="24"/>
        </w:rPr>
        <w:t>(insert applicable pronoun</w:t>
      </w:r>
      <w:r w:rsidR="00390234">
        <w:rPr>
          <w:rFonts w:eastAsia="Times New Roman"/>
          <w:i/>
          <w:iCs/>
          <w:sz w:val="24"/>
          <w:szCs w:val="24"/>
        </w:rPr>
        <w:t>)</w:t>
      </w:r>
      <w:r w:rsidRPr="00B96786">
        <w:rPr>
          <w:rFonts w:eastAsia="Times New Roman"/>
          <w:b/>
          <w:bCs/>
          <w:sz w:val="24"/>
          <w:szCs w:val="24"/>
        </w:rPr>
        <w:t xml:space="preserve"> actions are consistent with the agreed common purpose and with the reasonable expectations of the parties. The duty of good faith and fair dealing is breached when a party acts contrary to that agreed common purpose and the parties’ reasonable expectations.</w:t>
      </w:r>
    </w:p>
    <w:p w14:paraId="0C60F332" w14:textId="77777777" w:rsidR="00B96786" w:rsidRDefault="00B96786" w:rsidP="00B96786">
      <w:pPr>
        <w:jc w:val="center"/>
        <w:rPr>
          <w:rFonts w:eastAsia="Times New Roman"/>
          <w:sz w:val="24"/>
          <w:szCs w:val="24"/>
        </w:rPr>
      </w:pPr>
    </w:p>
    <w:p w14:paraId="7E5E6B99" w14:textId="77777777" w:rsidR="00B96786" w:rsidRPr="0054263B" w:rsidRDefault="00B96786" w:rsidP="00B96786">
      <w:pPr>
        <w:keepNext/>
        <w:spacing w:after="240"/>
        <w:jc w:val="center"/>
        <w:rPr>
          <w:rFonts w:eastAsia="Times New Roman"/>
          <w:b/>
          <w:sz w:val="24"/>
          <w:szCs w:val="24"/>
        </w:rPr>
      </w:pPr>
      <w:r w:rsidRPr="0054263B">
        <w:rPr>
          <w:rFonts w:eastAsia="Times New Roman"/>
          <w:b/>
          <w:sz w:val="24"/>
          <w:szCs w:val="24"/>
        </w:rPr>
        <w:t>Notes on Use</w:t>
      </w:r>
    </w:p>
    <w:p w14:paraId="0752D3C2" w14:textId="77777777" w:rsidR="00B96786" w:rsidRPr="00B96786" w:rsidRDefault="00B96786" w:rsidP="00B96786">
      <w:pPr>
        <w:spacing w:after="240"/>
        <w:ind w:firstLine="720"/>
        <w:rPr>
          <w:rFonts w:eastAsia="Times New Roman"/>
          <w:bCs/>
          <w:sz w:val="24"/>
          <w:szCs w:val="24"/>
        </w:rPr>
      </w:pPr>
      <w:r w:rsidRPr="00B96786">
        <w:rPr>
          <w:rFonts w:eastAsia="Times New Roman"/>
          <w:bCs/>
          <w:sz w:val="24"/>
          <w:szCs w:val="24"/>
        </w:rPr>
        <w:t>None.</w:t>
      </w:r>
    </w:p>
    <w:p w14:paraId="0F9260AB" w14:textId="77777777" w:rsidR="00B96786" w:rsidRPr="0054263B" w:rsidRDefault="00B96786" w:rsidP="00B96786">
      <w:pPr>
        <w:keepNext/>
        <w:spacing w:after="240"/>
        <w:jc w:val="center"/>
        <w:rPr>
          <w:rFonts w:eastAsia="Times New Roman"/>
          <w:b/>
          <w:sz w:val="24"/>
          <w:szCs w:val="24"/>
        </w:rPr>
      </w:pPr>
      <w:r>
        <w:rPr>
          <w:rFonts w:eastAsia="Times New Roman"/>
          <w:b/>
          <w:sz w:val="24"/>
          <w:szCs w:val="24"/>
        </w:rPr>
        <w:t>Source and Authority</w:t>
      </w:r>
    </w:p>
    <w:p w14:paraId="7D933385" w14:textId="77777777" w:rsidR="00EA3B32" w:rsidRPr="00EA3B32" w:rsidRDefault="00EA3B32" w:rsidP="00EA3B32">
      <w:pPr>
        <w:spacing w:after="240"/>
        <w:ind w:firstLine="720"/>
        <w:rPr>
          <w:rFonts w:eastAsia="Times New Roman"/>
          <w:bCs/>
          <w:sz w:val="24"/>
          <w:szCs w:val="24"/>
        </w:rPr>
      </w:pPr>
      <w:r>
        <w:rPr>
          <w:rFonts w:eastAsia="Times New Roman"/>
          <w:bCs/>
          <w:sz w:val="24"/>
          <w:szCs w:val="24"/>
        </w:rPr>
        <w:t xml:space="preserve">1. </w:t>
      </w:r>
      <w:r w:rsidRPr="00EA3B32">
        <w:rPr>
          <w:rFonts w:eastAsia="Times New Roman"/>
          <w:bCs/>
          <w:sz w:val="24"/>
          <w:szCs w:val="24"/>
        </w:rPr>
        <w:t xml:space="preserve">This instruction is supported by </w:t>
      </w:r>
      <w:r w:rsidRPr="00EA3B32">
        <w:rPr>
          <w:rFonts w:eastAsia="Times New Roman"/>
          <w:b/>
          <w:bCs/>
          <w:sz w:val="24"/>
          <w:szCs w:val="24"/>
        </w:rPr>
        <w:t>Amoco Oil Co. v. Ervin</w:t>
      </w:r>
      <w:r w:rsidRPr="00EA3B32">
        <w:rPr>
          <w:rFonts w:eastAsia="Times New Roman"/>
          <w:bCs/>
          <w:sz w:val="24"/>
          <w:szCs w:val="24"/>
        </w:rPr>
        <w:t>, 908 P.2d 493 (Colo. 1995).</w:t>
      </w:r>
    </w:p>
    <w:p w14:paraId="132C6663"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2. Every contract in Colorado includes an implied duty of good faith and fair dealing. </w:t>
      </w:r>
      <w:r w:rsidRPr="00EA3B32">
        <w:rPr>
          <w:rFonts w:eastAsia="Times New Roman"/>
          <w:b/>
          <w:bCs/>
          <w:sz w:val="24"/>
          <w:szCs w:val="24"/>
        </w:rPr>
        <w:t>McDonald v. Zions First Nat’l Bank, N.A.</w:t>
      </w:r>
      <w:r w:rsidRPr="00EA3B32">
        <w:rPr>
          <w:rFonts w:eastAsia="Times New Roman"/>
          <w:bCs/>
          <w:sz w:val="24"/>
          <w:szCs w:val="24"/>
        </w:rPr>
        <w:t xml:space="preserve">, 2015 COA 29, ¶ 66, 348 P.3d 957; </w:t>
      </w:r>
      <w:r w:rsidRPr="00EA3B32">
        <w:rPr>
          <w:rFonts w:eastAsia="Times New Roman"/>
          <w:b/>
          <w:bCs/>
          <w:sz w:val="24"/>
          <w:szCs w:val="24"/>
        </w:rPr>
        <w:t>Platt v. Aspenwood Condo. Ass’n, Inc.</w:t>
      </w:r>
      <w:r w:rsidRPr="00EA3B32">
        <w:rPr>
          <w:rFonts w:eastAsia="Times New Roman"/>
          <w:bCs/>
          <w:sz w:val="24"/>
          <w:szCs w:val="24"/>
        </w:rPr>
        <w:t xml:space="preserve">, 214 P.3d 1060 (Colo. App. 2009). For a discussion as to the existence and scope of the duty of good faith and fair dealing implied in every contract, see </w:t>
      </w:r>
      <w:r w:rsidRPr="00EA3B32">
        <w:rPr>
          <w:rFonts w:eastAsia="Times New Roman"/>
          <w:b/>
          <w:bCs/>
          <w:sz w:val="24"/>
          <w:szCs w:val="24"/>
        </w:rPr>
        <w:t>Wells Fargo Realty Advisors Funding, Inc. v. Uioli, Inc.</w:t>
      </w:r>
      <w:r w:rsidRPr="00EA3B32">
        <w:rPr>
          <w:rFonts w:eastAsia="Times New Roman"/>
          <w:bCs/>
          <w:sz w:val="24"/>
          <w:szCs w:val="24"/>
        </w:rPr>
        <w:t xml:space="preserve">, 872 P.2d 1359 (Colo. App. 1994) (when one party uses discretion conferred by contract to act dishonestly or to act outside of accepted commercial practices to deprive the other party of the benefit of the contract, the contract is breached). </w:t>
      </w:r>
      <w:r w:rsidRPr="00EA3B32">
        <w:rPr>
          <w:rFonts w:eastAsia="Times New Roman"/>
          <w:bCs/>
          <w:i/>
          <w:sz w:val="24"/>
          <w:szCs w:val="24"/>
        </w:rPr>
        <w:t>See also</w:t>
      </w:r>
      <w:r w:rsidRPr="00EA3B32">
        <w:rPr>
          <w:rFonts w:eastAsia="Times New Roman"/>
          <w:bCs/>
          <w:sz w:val="24"/>
          <w:szCs w:val="24"/>
        </w:rPr>
        <w:t xml:space="preserve"> </w:t>
      </w:r>
      <w:r w:rsidRPr="00EA3B32">
        <w:rPr>
          <w:rFonts w:eastAsia="Times New Roman"/>
          <w:b/>
          <w:bCs/>
          <w:sz w:val="24"/>
          <w:szCs w:val="24"/>
        </w:rPr>
        <w:t>Sinclair Transp. Co. v. Sandberg</w:t>
      </w:r>
      <w:r w:rsidRPr="00EA3B32">
        <w:rPr>
          <w:rFonts w:eastAsia="Times New Roman"/>
          <w:bCs/>
          <w:sz w:val="24"/>
          <w:szCs w:val="24"/>
        </w:rPr>
        <w:t xml:space="preserve">, 2014 COA 76M, ¶ 52, 350 P.3d 924 (where a contract is silent, a court may imply a reasonable term to give effect to the expectation of the parties when they entered the agreement); </w:t>
      </w:r>
      <w:r w:rsidRPr="00EA3B32">
        <w:rPr>
          <w:rFonts w:eastAsia="Times New Roman"/>
          <w:b/>
          <w:bCs/>
          <w:sz w:val="24"/>
          <w:szCs w:val="24"/>
        </w:rPr>
        <w:t>Newflower Mkt., Inc. v. Cook</w:t>
      </w:r>
      <w:r w:rsidRPr="00EA3B32">
        <w:rPr>
          <w:rFonts w:eastAsia="Times New Roman"/>
          <w:bCs/>
          <w:sz w:val="24"/>
          <w:szCs w:val="24"/>
        </w:rPr>
        <w:t xml:space="preserve">, 229 P.3d 1058 (Colo. App. 2010) (no breach of implied covenant of good faith for refusing to negotiate or consent to deposit money into specific account when contract did not contemplate either action); </w:t>
      </w:r>
      <w:r w:rsidRPr="00EA3B32">
        <w:rPr>
          <w:rFonts w:eastAsia="Times New Roman"/>
          <w:b/>
          <w:bCs/>
          <w:sz w:val="24"/>
          <w:szCs w:val="24"/>
        </w:rPr>
        <w:t>New Design Constr. Co., Inc. v. Hamon Contractors, Inc.</w:t>
      </w:r>
      <w:r w:rsidRPr="00EA3B32">
        <w:rPr>
          <w:rFonts w:eastAsia="Times New Roman"/>
          <w:bCs/>
          <w:sz w:val="24"/>
          <w:szCs w:val="24"/>
        </w:rPr>
        <w:t xml:space="preserve">, 215 P.3d 1172 (Colo. App. 2008) (implied covenant of good faith and fair dealing may be relied upon where one party has discretion with respect to performance of specific terms of the contract); </w:t>
      </w:r>
      <w:r w:rsidRPr="00EA3B32">
        <w:rPr>
          <w:rFonts w:eastAsia="Times New Roman"/>
          <w:bCs/>
          <w:i/>
          <w:sz w:val="24"/>
          <w:szCs w:val="24"/>
        </w:rPr>
        <w:t>accord</w:t>
      </w:r>
      <w:r w:rsidRPr="00EA3B32">
        <w:rPr>
          <w:rFonts w:eastAsia="Times New Roman"/>
          <w:bCs/>
          <w:sz w:val="24"/>
          <w:szCs w:val="24"/>
        </w:rPr>
        <w:t xml:space="preserve"> </w:t>
      </w:r>
      <w:r w:rsidRPr="00EA3B32">
        <w:rPr>
          <w:rFonts w:eastAsia="Times New Roman"/>
          <w:b/>
          <w:bCs/>
          <w:sz w:val="24"/>
          <w:szCs w:val="24"/>
        </w:rPr>
        <w:t>Lutfi v. Brighton Cmty. Hosp. Ass’n</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40 P.3d 51 (Colo. App. 2001); </w:t>
      </w:r>
      <w:r w:rsidRPr="00EA3B32">
        <w:rPr>
          <w:rFonts w:eastAsia="Times New Roman"/>
          <w:b/>
          <w:bCs/>
          <w:sz w:val="24"/>
          <w:szCs w:val="24"/>
        </w:rPr>
        <w:t>O’Reilly v. Physicians Mut. Ins. Co.</w:t>
      </w:r>
      <w:r w:rsidRPr="00EA3B32">
        <w:rPr>
          <w:rFonts w:eastAsia="Times New Roman"/>
          <w:bCs/>
          <w:sz w:val="24"/>
          <w:szCs w:val="24"/>
        </w:rPr>
        <w:t xml:space="preserve">, 992 P.2d 644 (Colo. App. 1999); </w:t>
      </w:r>
      <w:r w:rsidRPr="00EA3B32">
        <w:rPr>
          <w:rFonts w:eastAsia="Times New Roman"/>
          <w:b/>
          <w:bCs/>
          <w:sz w:val="24"/>
          <w:szCs w:val="24"/>
        </w:rPr>
        <w:t>Crown Life Ins. Co. v. Haag Ltd. P’ship</w:t>
      </w:r>
      <w:r w:rsidRPr="00EA3B32">
        <w:rPr>
          <w:rFonts w:eastAsia="Times New Roman"/>
          <w:bCs/>
          <w:sz w:val="24"/>
          <w:szCs w:val="24"/>
        </w:rPr>
        <w:t xml:space="preserve">, 929 P.2d 42 (Colo. App. 1996). </w:t>
      </w:r>
    </w:p>
    <w:p w14:paraId="29609B30"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3. The existence of a contract is a necessary predicate to a claim for breach of the implied duty of good faith and fair dealing. </w:t>
      </w:r>
      <w:r w:rsidRPr="00EA3B32">
        <w:rPr>
          <w:rFonts w:eastAsia="Times New Roman"/>
          <w:b/>
          <w:bCs/>
          <w:sz w:val="24"/>
          <w:szCs w:val="24"/>
        </w:rPr>
        <w:t>Beal Corp. Liquidating Trust v. Valleylab, Inc.</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927 F. Supp. 1350 (D. Colo. 1996). A party, therefore, cannot rely on the implied covenant of good faith and fair dealing as a basis for claiming that another party has wrongfully failed or refused to enter into a contract.</w:t>
      </w:r>
    </w:p>
    <w:p w14:paraId="7A2E5541"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4. The good faith performance doctrine serves to effectuate the intentions of the parties or to honor their reasonable expectations. </w:t>
      </w:r>
      <w:r w:rsidRPr="00EA3B32">
        <w:rPr>
          <w:rFonts w:eastAsia="Times New Roman"/>
          <w:b/>
          <w:bCs/>
          <w:sz w:val="24"/>
          <w:szCs w:val="24"/>
        </w:rPr>
        <w:t>Bayou Land Co. v. Talley</w:t>
      </w:r>
      <w:r w:rsidRPr="00EA3B32">
        <w:rPr>
          <w:rFonts w:eastAsia="Times New Roman"/>
          <w:bCs/>
          <w:sz w:val="24"/>
          <w:szCs w:val="24"/>
        </w:rPr>
        <w:t xml:space="preserve">, 924 P.2d 136 (Colo. 1996); </w:t>
      </w:r>
      <w:r w:rsidRPr="00EA3B32">
        <w:rPr>
          <w:rFonts w:eastAsia="Times New Roman"/>
          <w:b/>
          <w:bCs/>
          <w:sz w:val="24"/>
          <w:szCs w:val="24"/>
        </w:rPr>
        <w:lastRenderedPageBreak/>
        <w:t>Amoco Oil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908 P.2d at 498; </w:t>
      </w:r>
      <w:r w:rsidRPr="00EA3B32">
        <w:rPr>
          <w:rFonts w:eastAsia="Times New Roman"/>
          <w:b/>
          <w:bCs/>
          <w:sz w:val="24"/>
          <w:szCs w:val="24"/>
        </w:rPr>
        <w:t>State Farm Mut. Auto. Ins. Co. v. Nissen</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851 P.2d 165 (Colo. 1993); </w:t>
      </w:r>
      <w:r w:rsidRPr="00EA3B32">
        <w:rPr>
          <w:rFonts w:eastAsia="Times New Roman"/>
          <w:b/>
          <w:bCs/>
          <w:sz w:val="24"/>
          <w:szCs w:val="24"/>
        </w:rPr>
        <w:t>Davis v. M.L.G. Corp.</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712 P.2d 985 (Colo. 1986); </w:t>
      </w:r>
      <w:r w:rsidRPr="00EA3B32">
        <w:rPr>
          <w:rFonts w:eastAsia="Times New Roman"/>
          <w:b/>
          <w:bCs/>
          <w:sz w:val="24"/>
          <w:szCs w:val="24"/>
        </w:rPr>
        <w:t>ADT Sec. Servs., Inc</w:t>
      </w:r>
      <w:r w:rsidR="00A725B4">
        <w:rPr>
          <w:rFonts w:eastAsia="Times New Roman"/>
          <w:b/>
          <w:bCs/>
          <w:sz w:val="24"/>
          <w:szCs w:val="24"/>
        </w:rPr>
        <w:t>.</w:t>
      </w:r>
      <w:r w:rsidRPr="00EA3B32">
        <w:rPr>
          <w:rFonts w:eastAsia="Times New Roman"/>
          <w:b/>
          <w:bCs/>
          <w:sz w:val="24"/>
          <w:szCs w:val="24"/>
        </w:rPr>
        <w:t xml:space="preserve"> v. Premier Home Prot., Inc.</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181 P.3d 288 (Colo. App. 2007) (no breach of duty of good faith and fair dealing where other party’s conduct was not contrary to claimant’s justified expectations).</w:t>
      </w:r>
    </w:p>
    <w:p w14:paraId="5E899021"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5. The reasonable expectations doctrine applies to all contracts, including those free from ambiguity, in order to effectuate the parties’ intentions. </w:t>
      </w:r>
      <w:r w:rsidRPr="00EA3B32">
        <w:rPr>
          <w:rFonts w:eastAsia="Times New Roman"/>
          <w:bCs/>
          <w:i/>
          <w:sz w:val="24"/>
          <w:szCs w:val="24"/>
        </w:rPr>
        <w:t>See</w:t>
      </w:r>
      <w:r w:rsidRPr="00EA3B32">
        <w:rPr>
          <w:rFonts w:eastAsia="Times New Roman"/>
          <w:bCs/>
          <w:sz w:val="24"/>
          <w:szCs w:val="24"/>
        </w:rPr>
        <w:t xml:space="preserve"> </w:t>
      </w:r>
      <w:r w:rsidRPr="00EA3B32">
        <w:rPr>
          <w:rFonts w:eastAsia="Times New Roman"/>
          <w:b/>
          <w:bCs/>
          <w:sz w:val="24"/>
          <w:szCs w:val="24"/>
        </w:rPr>
        <w:t>Amoco Oil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908 P.2d at 498; </w:t>
      </w:r>
      <w:r w:rsidRPr="00EA3B32">
        <w:rPr>
          <w:rFonts w:eastAsia="Times New Roman"/>
          <w:b/>
          <w:bCs/>
          <w:sz w:val="24"/>
          <w:szCs w:val="24"/>
        </w:rPr>
        <w:t>Nissen</w:t>
      </w:r>
      <w:r w:rsidRPr="00EA3B32">
        <w:rPr>
          <w:rFonts w:eastAsia="Times New Roman"/>
          <w:bCs/>
          <w:sz w:val="24"/>
          <w:szCs w:val="24"/>
        </w:rPr>
        <w:t xml:space="preserve">, 851 P.2d 166-67; </w:t>
      </w:r>
      <w:r w:rsidRPr="00EA3B32">
        <w:rPr>
          <w:rFonts w:eastAsia="Times New Roman"/>
          <w:b/>
          <w:bCs/>
          <w:sz w:val="24"/>
          <w:szCs w:val="24"/>
        </w:rPr>
        <w:t>Simon v. Shelter Gen. Ins. Co.</w:t>
      </w:r>
      <w:r w:rsidRPr="00EA3B32">
        <w:rPr>
          <w:rFonts w:eastAsia="Times New Roman"/>
          <w:bCs/>
          <w:sz w:val="24"/>
          <w:szCs w:val="24"/>
        </w:rPr>
        <w:t>, 842 P.2d 236 (Colo. 1992);</w:t>
      </w:r>
      <w:r w:rsidRPr="00EA3B32">
        <w:rPr>
          <w:rFonts w:eastAsia="Times New Roman"/>
          <w:b/>
          <w:bCs/>
          <w:sz w:val="24"/>
          <w:szCs w:val="24"/>
        </w:rPr>
        <w:t xml:space="preserve"> Davis</w:t>
      </w:r>
      <w:r w:rsidRPr="00EA3B32">
        <w:rPr>
          <w:rFonts w:eastAsia="Times New Roman"/>
          <w:bCs/>
          <w:sz w:val="24"/>
          <w:szCs w:val="24"/>
        </w:rPr>
        <w:t xml:space="preserve">, 712 P.2d at 988-90; </w:t>
      </w:r>
      <w:r w:rsidRPr="00EA3B32">
        <w:rPr>
          <w:rFonts w:eastAsia="Times New Roman"/>
          <w:bCs/>
          <w:i/>
          <w:sz w:val="24"/>
          <w:szCs w:val="24"/>
        </w:rPr>
        <w:t>cf.</w:t>
      </w:r>
      <w:r w:rsidRPr="00EA3B32">
        <w:rPr>
          <w:rFonts w:eastAsia="Times New Roman"/>
          <w:bCs/>
          <w:sz w:val="24"/>
          <w:szCs w:val="24"/>
        </w:rPr>
        <w:t xml:space="preserve"> </w:t>
      </w:r>
      <w:r w:rsidRPr="00EA3B32">
        <w:rPr>
          <w:rFonts w:eastAsia="Times New Roman"/>
          <w:b/>
          <w:bCs/>
          <w:sz w:val="24"/>
          <w:szCs w:val="24"/>
        </w:rPr>
        <w:t>Dupre v. Allstate Ins.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62 P.3d 1024 (Colo. App. 2002); </w:t>
      </w:r>
      <w:r w:rsidRPr="00EA3B32">
        <w:rPr>
          <w:rFonts w:eastAsia="Times New Roman"/>
          <w:b/>
          <w:bCs/>
          <w:sz w:val="24"/>
          <w:szCs w:val="24"/>
        </w:rPr>
        <w:t>Spaur v. Allstate Ins. Co.</w:t>
      </w:r>
      <w:r w:rsidRPr="00EA3B32">
        <w:rPr>
          <w:rFonts w:eastAsia="Times New Roman"/>
          <w:bCs/>
          <w:sz w:val="24"/>
          <w:szCs w:val="24"/>
        </w:rPr>
        <w:t xml:space="preserve">, 942 P.2d 1261 (Colo. App. 1996); </w:t>
      </w:r>
      <w:r w:rsidRPr="00EA3B32">
        <w:rPr>
          <w:rFonts w:eastAsia="Times New Roman"/>
          <w:b/>
          <w:bCs/>
          <w:sz w:val="24"/>
          <w:szCs w:val="24"/>
        </w:rPr>
        <w:t>Shean v. Farmers Ins. Exch.</w:t>
      </w:r>
      <w:r w:rsidRPr="00EA3B32">
        <w:rPr>
          <w:rFonts w:eastAsia="Times New Roman"/>
          <w:bCs/>
          <w:sz w:val="24"/>
          <w:szCs w:val="24"/>
        </w:rPr>
        <w:t>, 934 P.2d 835 (Colo. App. 1996) (doctrine of reasonable expectations applies only if the contract is ambiguous).</w:t>
      </w:r>
    </w:p>
    <w:p w14:paraId="5E6B2305"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6. Public policy considerations favor the honoring of the reasonable expectations of the parties to a contract. Honoring those expectations is consistent with numerous other interpretive rules pertaining to contracts, including: words are given effect according to their ordinary or popular meaning; the scope of the agreement is not determined in a vacuum, but instead with reference to extrinsic circumstances; the interpretation which makes a contract fair and reasonable is selected over that which yields a harsh or unreasonable result; and contracts are to be construed so as to effectuate the parties’ intentions. </w:t>
      </w:r>
      <w:r w:rsidRPr="00EA3B32">
        <w:rPr>
          <w:rFonts w:eastAsia="Times New Roman"/>
          <w:b/>
          <w:bCs/>
          <w:sz w:val="24"/>
          <w:szCs w:val="24"/>
        </w:rPr>
        <w:t>Davis</w:t>
      </w:r>
      <w:r w:rsidRPr="00EA3B32">
        <w:rPr>
          <w:rFonts w:eastAsia="Times New Roman"/>
          <w:bCs/>
          <w:sz w:val="24"/>
          <w:szCs w:val="24"/>
        </w:rPr>
        <w:t>, 712 P.2d 990-91.</w:t>
      </w:r>
    </w:p>
    <w:p w14:paraId="4F2B5946" w14:textId="4EDF274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7. Application of the reasonable expectation doctrine often fails to give effect to some hornbook rules governing the construction of contracts, including the tenets that a party is presumed to know the content of a contract signed by him, that contracts free from ambiguity are to be enforced as written, and that specific clauses control the effect of general clauses. </w:t>
      </w:r>
      <w:r w:rsidRPr="00EA3B32">
        <w:rPr>
          <w:rFonts w:eastAsia="Times New Roman"/>
          <w:bCs/>
          <w:i/>
          <w:sz w:val="24"/>
          <w:szCs w:val="24"/>
        </w:rPr>
        <w:t>See</w:t>
      </w:r>
      <w:r w:rsidRPr="00EA3B32">
        <w:rPr>
          <w:rFonts w:eastAsia="Times New Roman"/>
          <w:bCs/>
          <w:sz w:val="24"/>
          <w:szCs w:val="24"/>
        </w:rPr>
        <w:t xml:space="preserve"> </w:t>
      </w:r>
      <w:r w:rsidRPr="00EA3B32">
        <w:rPr>
          <w:rFonts w:eastAsia="Times New Roman"/>
          <w:b/>
          <w:bCs/>
          <w:sz w:val="24"/>
          <w:szCs w:val="24"/>
        </w:rPr>
        <w:t>Amoco Oil Co.</w:t>
      </w:r>
      <w:r w:rsidRPr="00EA3B32">
        <w:rPr>
          <w:rFonts w:eastAsia="Times New Roman"/>
          <w:bCs/>
          <w:sz w:val="24"/>
          <w:szCs w:val="24"/>
        </w:rPr>
        <w:t xml:space="preserve">, 908 P.2d at 498; </w:t>
      </w:r>
      <w:r w:rsidRPr="00EA3B32">
        <w:rPr>
          <w:rFonts w:eastAsia="Times New Roman"/>
          <w:b/>
          <w:bCs/>
          <w:sz w:val="24"/>
          <w:szCs w:val="24"/>
        </w:rPr>
        <w:t>Davis</w:t>
      </w:r>
      <w:r w:rsidRPr="00EA3B32">
        <w:rPr>
          <w:rFonts w:eastAsia="Times New Roman"/>
          <w:bCs/>
          <w:sz w:val="24"/>
          <w:szCs w:val="24"/>
        </w:rPr>
        <w:t xml:space="preserve">, 712 P.2d at 990; </w:t>
      </w:r>
      <w:r w:rsidRPr="00EA3B32">
        <w:rPr>
          <w:rFonts w:eastAsia="Times New Roman"/>
          <w:bCs/>
          <w:i/>
          <w:sz w:val="24"/>
          <w:szCs w:val="24"/>
        </w:rPr>
        <w:t>cf.</w:t>
      </w:r>
      <w:r w:rsidRPr="00EA3B32">
        <w:rPr>
          <w:rFonts w:eastAsia="Times New Roman"/>
          <w:bCs/>
          <w:sz w:val="24"/>
          <w:szCs w:val="24"/>
        </w:rPr>
        <w:t xml:space="preserve"> </w:t>
      </w:r>
      <w:r w:rsidRPr="00EA3B32">
        <w:rPr>
          <w:rFonts w:eastAsia="Times New Roman"/>
          <w:b/>
          <w:bCs/>
          <w:sz w:val="24"/>
          <w:szCs w:val="24"/>
        </w:rPr>
        <w:t>Spaur</w:t>
      </w:r>
      <w:r w:rsidRPr="00EA3B32">
        <w:rPr>
          <w:rFonts w:eastAsia="Times New Roman"/>
          <w:bCs/>
          <w:sz w:val="24"/>
          <w:szCs w:val="24"/>
        </w:rPr>
        <w:t xml:space="preserve">, 942 P.2d 1265; </w:t>
      </w:r>
      <w:r w:rsidRPr="00EA3B32">
        <w:rPr>
          <w:rFonts w:eastAsia="Times New Roman"/>
          <w:b/>
          <w:bCs/>
          <w:sz w:val="24"/>
          <w:szCs w:val="24"/>
        </w:rPr>
        <w:t>Shelter Mut. Ins. Co. v. Breit</w:t>
      </w:r>
      <w:r w:rsidRPr="00EA3B32">
        <w:rPr>
          <w:rFonts w:eastAsia="Times New Roman"/>
          <w:bCs/>
          <w:sz w:val="24"/>
          <w:szCs w:val="24"/>
        </w:rPr>
        <w:t>, 908 P.2d 1149 (Colo. App. 1995) (doctrine of reasonable expectations supplements, but does not substitute for, the rule that insurance policies are to be construed according to well-settled principles of contract construction)</w:t>
      </w:r>
      <w:r w:rsidR="006B7995">
        <w:rPr>
          <w:rFonts w:eastAsia="Times New Roman"/>
          <w:bCs/>
          <w:sz w:val="24"/>
          <w:szCs w:val="24"/>
        </w:rPr>
        <w:t xml:space="preserve">; </w:t>
      </w:r>
      <w:r w:rsidR="006B7995" w:rsidRPr="004A6200">
        <w:rPr>
          <w:rFonts w:eastAsia="Times New Roman"/>
          <w:b/>
          <w:sz w:val="24"/>
          <w:szCs w:val="24"/>
        </w:rPr>
        <w:t>Redden v. Clear Creek Skiing Corp</w:t>
      </w:r>
      <w:r w:rsidR="006B7995">
        <w:rPr>
          <w:rFonts w:eastAsia="Times New Roman"/>
          <w:b/>
          <w:sz w:val="24"/>
          <w:szCs w:val="24"/>
        </w:rPr>
        <w:t>.</w:t>
      </w:r>
      <w:r w:rsidR="006B7995">
        <w:rPr>
          <w:rFonts w:eastAsia="Times New Roman"/>
          <w:bCs/>
          <w:sz w:val="24"/>
          <w:szCs w:val="24"/>
        </w:rPr>
        <w:t>, 2020 COA 176, ¶ 24, 490 P.3d 1063 (a party signing an agreement is presumed to know its contents and to have assented to its terms)</w:t>
      </w:r>
      <w:r w:rsidRPr="00EA3B32">
        <w:rPr>
          <w:rFonts w:eastAsia="Times New Roman"/>
          <w:bCs/>
          <w:sz w:val="24"/>
          <w:szCs w:val="24"/>
        </w:rPr>
        <w:t>.</w:t>
      </w:r>
    </w:p>
    <w:p w14:paraId="4D0C9FD5" w14:textId="462F0CF5"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8. </w:t>
      </w:r>
      <w:r w:rsidR="0070700B">
        <w:rPr>
          <w:rFonts w:eastAsia="Times New Roman"/>
          <w:bCs/>
          <w:sz w:val="24"/>
          <w:szCs w:val="24"/>
        </w:rPr>
        <w:t xml:space="preserve">The implied </w:t>
      </w:r>
      <w:r w:rsidR="0015641B">
        <w:rPr>
          <w:rFonts w:eastAsia="Times New Roman"/>
          <w:bCs/>
          <w:sz w:val="24"/>
          <w:szCs w:val="24"/>
        </w:rPr>
        <w:t xml:space="preserve">contractual </w:t>
      </w:r>
      <w:r w:rsidR="0070700B">
        <w:rPr>
          <w:rFonts w:eastAsia="Times New Roman"/>
          <w:bCs/>
          <w:sz w:val="24"/>
          <w:szCs w:val="24"/>
        </w:rPr>
        <w:t xml:space="preserve">duty of good faith and fair dealing may displace tort duties applicable to the same conduct under the economic loss rule. </w:t>
      </w:r>
      <w:r w:rsidR="0070700B" w:rsidRPr="00FA35C9">
        <w:rPr>
          <w:rFonts w:eastAsia="Times New Roman"/>
          <w:b/>
          <w:sz w:val="24"/>
          <w:szCs w:val="24"/>
        </w:rPr>
        <w:t>Dream Finders Homes LLC v. Wey</w:t>
      </w:r>
      <w:r w:rsidR="0070700B">
        <w:rPr>
          <w:rFonts w:eastAsia="Times New Roman"/>
          <w:b/>
          <w:sz w:val="24"/>
          <w:szCs w:val="24"/>
        </w:rPr>
        <w:t>er</w:t>
      </w:r>
      <w:r w:rsidR="0070700B" w:rsidRPr="00FA35C9">
        <w:rPr>
          <w:rFonts w:eastAsia="Times New Roman"/>
          <w:b/>
          <w:sz w:val="24"/>
          <w:szCs w:val="24"/>
        </w:rPr>
        <w:t>haeuser NR Co</w:t>
      </w:r>
      <w:r w:rsidR="0070700B">
        <w:rPr>
          <w:rFonts w:eastAsia="Times New Roman"/>
          <w:b/>
          <w:sz w:val="24"/>
          <w:szCs w:val="24"/>
        </w:rPr>
        <w:t>.</w:t>
      </w:r>
      <w:r w:rsidR="0070700B" w:rsidRPr="00CF7D11">
        <w:rPr>
          <w:rFonts w:eastAsia="Times New Roman"/>
          <w:sz w:val="24"/>
          <w:szCs w:val="24"/>
        </w:rPr>
        <w:t>,</w:t>
      </w:r>
      <w:r w:rsidR="0070700B">
        <w:rPr>
          <w:rFonts w:eastAsia="Times New Roman"/>
          <w:bCs/>
          <w:sz w:val="24"/>
          <w:szCs w:val="24"/>
        </w:rPr>
        <w:t xml:space="preserve"> 2021 COA 143, ¶¶ 68-69, 506 P.3d 108, 123 (</w:t>
      </w:r>
      <w:r w:rsidR="00736474">
        <w:rPr>
          <w:rFonts w:eastAsia="Times New Roman"/>
          <w:bCs/>
          <w:sz w:val="24"/>
          <w:szCs w:val="24"/>
        </w:rPr>
        <w:t>Defendant</w:t>
      </w:r>
      <w:r w:rsidR="0070700B">
        <w:rPr>
          <w:rFonts w:eastAsia="Times New Roman"/>
          <w:bCs/>
          <w:sz w:val="24"/>
          <w:szCs w:val="24"/>
        </w:rPr>
        <w:t xml:space="preserve"> owed a</w:t>
      </w:r>
      <w:r w:rsidR="0015641B">
        <w:rPr>
          <w:rFonts w:eastAsia="Times New Roman"/>
          <w:bCs/>
          <w:sz w:val="24"/>
          <w:szCs w:val="24"/>
        </w:rPr>
        <w:t>n implied</w:t>
      </w:r>
      <w:r w:rsidR="0070700B">
        <w:rPr>
          <w:rFonts w:eastAsia="Times New Roman"/>
          <w:bCs/>
          <w:sz w:val="24"/>
          <w:szCs w:val="24"/>
        </w:rPr>
        <w:t xml:space="preserve"> contractual duty </w:t>
      </w:r>
      <w:r w:rsidR="0015641B">
        <w:rPr>
          <w:rFonts w:eastAsia="Times New Roman"/>
          <w:bCs/>
          <w:sz w:val="24"/>
          <w:szCs w:val="24"/>
        </w:rPr>
        <w:t xml:space="preserve">of good faith and fair dealing </w:t>
      </w:r>
      <w:r w:rsidR="0070700B">
        <w:rPr>
          <w:rFonts w:eastAsia="Times New Roman"/>
          <w:bCs/>
          <w:sz w:val="24"/>
          <w:szCs w:val="24"/>
        </w:rPr>
        <w:t xml:space="preserve">not to misrepresent the quality and safety </w:t>
      </w:r>
      <w:r w:rsidR="00736474">
        <w:rPr>
          <w:rFonts w:eastAsia="Times New Roman"/>
          <w:bCs/>
          <w:sz w:val="24"/>
          <w:szCs w:val="24"/>
        </w:rPr>
        <w:t xml:space="preserve">of </w:t>
      </w:r>
      <w:r w:rsidR="0070700B">
        <w:rPr>
          <w:rFonts w:eastAsia="Times New Roman"/>
          <w:bCs/>
          <w:sz w:val="24"/>
          <w:szCs w:val="24"/>
        </w:rPr>
        <w:t>its product and a concurrent tort duty not to misrepresent the condition and safety of the same product. “Because the duties overlapped . . . a breach of the duties support a claim for breach of contract but not a tort claim.”).</w:t>
      </w:r>
    </w:p>
    <w:p w14:paraId="785C7A34" w14:textId="49CC3C0A"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9. The implied duty of good faith and fair dealing does not inject new substantive terms or conditions into a contract. </w:t>
      </w:r>
      <w:r w:rsidRPr="00EA3B32">
        <w:rPr>
          <w:rFonts w:eastAsia="Times New Roman"/>
          <w:b/>
          <w:bCs/>
          <w:sz w:val="24"/>
          <w:szCs w:val="24"/>
        </w:rPr>
        <w:t>City of Boulder v. Pub. Serv. Co.</w:t>
      </w:r>
      <w:r w:rsidRPr="00EA3B32">
        <w:rPr>
          <w:rFonts w:eastAsia="Times New Roman"/>
          <w:bCs/>
          <w:sz w:val="24"/>
          <w:szCs w:val="24"/>
        </w:rPr>
        <w:t xml:space="preserve">, 996 P.2d 198 (Colo. App. 1999); </w:t>
      </w:r>
      <w:r w:rsidRPr="00EA3B32">
        <w:rPr>
          <w:rFonts w:eastAsia="Times New Roman"/>
          <w:b/>
          <w:bCs/>
          <w:sz w:val="24"/>
          <w:szCs w:val="24"/>
        </w:rPr>
        <w:t>Soderlun v. Pub. Serv.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944 P.2d 616 (Colo. App. 1997); </w:t>
      </w:r>
      <w:r w:rsidRPr="00EA3B32">
        <w:rPr>
          <w:rFonts w:eastAsia="Times New Roman"/>
          <w:bCs/>
          <w:i/>
          <w:sz w:val="24"/>
          <w:szCs w:val="24"/>
        </w:rPr>
        <w:t>see also</w:t>
      </w:r>
      <w:r w:rsidRPr="00EA3B32">
        <w:rPr>
          <w:rFonts w:eastAsia="Times New Roman"/>
          <w:bCs/>
          <w:sz w:val="24"/>
          <w:szCs w:val="24"/>
        </w:rPr>
        <w:t xml:space="preserve"> </w:t>
      </w:r>
      <w:r w:rsidRPr="00EA3B32">
        <w:rPr>
          <w:rFonts w:eastAsia="Times New Roman"/>
          <w:b/>
          <w:bCs/>
          <w:sz w:val="24"/>
          <w:szCs w:val="24"/>
        </w:rPr>
        <w:t>Amoco Oil Co.</w:t>
      </w:r>
      <w:r w:rsidRPr="00EA3B32">
        <w:rPr>
          <w:rFonts w:eastAsia="Times New Roman"/>
          <w:bCs/>
          <w:sz w:val="24"/>
          <w:szCs w:val="24"/>
        </w:rPr>
        <w:t xml:space="preserve">, 908 P.2d at 498 (“[The covenant] will not contradict terms or conditions for which a party has bargained.”); </w:t>
      </w:r>
      <w:r w:rsidRPr="00EA3B32">
        <w:rPr>
          <w:rFonts w:eastAsia="Times New Roman"/>
          <w:b/>
          <w:bCs/>
          <w:sz w:val="24"/>
          <w:szCs w:val="24"/>
        </w:rPr>
        <w:t>Miller v. Bank of N.Y. Mellon,</w:t>
      </w:r>
      <w:r w:rsidRPr="00EA3B32">
        <w:rPr>
          <w:rFonts w:eastAsia="Times New Roman"/>
          <w:bCs/>
          <w:sz w:val="24"/>
          <w:szCs w:val="24"/>
        </w:rPr>
        <w:t xml:space="preserve"> 2016 COA 95, ¶ 46</w:t>
      </w:r>
      <w:r w:rsidR="004C330E">
        <w:rPr>
          <w:rFonts w:eastAsia="Times New Roman"/>
          <w:bCs/>
          <w:sz w:val="24"/>
          <w:szCs w:val="24"/>
        </w:rPr>
        <w:t>, 379 P.3d 342</w:t>
      </w:r>
      <w:r w:rsidRPr="00EA3B32">
        <w:rPr>
          <w:rFonts w:eastAsia="Times New Roman"/>
          <w:bCs/>
          <w:sz w:val="24"/>
          <w:szCs w:val="24"/>
        </w:rPr>
        <w:t xml:space="preserve"> (implied duty of good faith and fair dealing could not be used to require bank to negotiate changes to loan agreement.).</w:t>
      </w:r>
    </w:p>
    <w:p w14:paraId="0EC91634"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lastRenderedPageBreak/>
        <w:t xml:space="preserve">10. In contrast to a claim for bad faith breach of insurance contract addressed in Chapter 25, which gives rise to liability in tort and a broader range of damages, breach of the implied duty of good faith and fair dealing in a non-insurance context is a contract claim subject to the traditional limitations on contract remedies. These include the rule that punitive damages are not recoverable for breach of an ordinary contract. </w:t>
      </w:r>
      <w:r w:rsidRPr="00EA3B32">
        <w:rPr>
          <w:rFonts w:eastAsia="Times New Roman"/>
          <w:b/>
          <w:bCs/>
          <w:sz w:val="24"/>
          <w:szCs w:val="24"/>
        </w:rPr>
        <w:t>Mortg. Fin., Inc. v. Podleski</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742 P.2d 900 (Colo. 1987). See, generally, the instructions on damages set forth in Part E of this chapter.</w:t>
      </w:r>
    </w:p>
    <w:p w14:paraId="53657F5D"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11. In deciding whether a party violated the obligation to act in good faith, the court must determine whether the underlying contract provision allows for the exercise of discretion in its performance. The concept of discretion in performance refers to one party’s power after contract formation to set or control the terms of performance. </w:t>
      </w:r>
      <w:r w:rsidRPr="00EA3B32">
        <w:rPr>
          <w:rFonts w:eastAsia="Times New Roman"/>
          <w:b/>
          <w:bCs/>
          <w:sz w:val="24"/>
          <w:szCs w:val="24"/>
        </w:rPr>
        <w:t>Amoco Oil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908 P.2d at 498; </w:t>
      </w:r>
      <w:r w:rsidRPr="00EA3B32">
        <w:rPr>
          <w:rFonts w:eastAsia="Times New Roman"/>
          <w:b/>
          <w:bCs/>
          <w:sz w:val="24"/>
          <w:szCs w:val="24"/>
        </w:rPr>
        <w:t>Newflower Mkt., Inc.</w:t>
      </w:r>
      <w:r w:rsidRPr="00EA3B32">
        <w:rPr>
          <w:rFonts w:eastAsia="Times New Roman"/>
          <w:bCs/>
          <w:sz w:val="24"/>
          <w:szCs w:val="24"/>
        </w:rPr>
        <w:t xml:space="preserve">, 229 P.3d at 1064 (refusing to consent to deposit money into specific account or negotiate for same when contract did not contemplate either action not breach of good faith duty); </w:t>
      </w:r>
      <w:r w:rsidRPr="00EA3B32">
        <w:rPr>
          <w:rFonts w:eastAsia="Times New Roman"/>
          <w:b/>
          <w:bCs/>
          <w:sz w:val="24"/>
          <w:szCs w:val="24"/>
        </w:rPr>
        <w:t>New Design Constr. Co., Inc.</w:t>
      </w:r>
      <w:r w:rsidRPr="00EA3B32">
        <w:rPr>
          <w:rFonts w:eastAsia="Times New Roman"/>
          <w:bCs/>
          <w:sz w:val="24"/>
          <w:szCs w:val="24"/>
        </w:rPr>
        <w:t xml:space="preserve">, 215 P.3d at 1182 (contractor given discretion in contract to schedule work of subcontractor). Discretion occurs when the parties, at formation, defer a decision regarding performance terms of the contract. </w:t>
      </w:r>
      <w:r w:rsidRPr="00EA3B32">
        <w:rPr>
          <w:rFonts w:eastAsia="Times New Roman"/>
          <w:b/>
          <w:bCs/>
          <w:sz w:val="24"/>
          <w:szCs w:val="24"/>
        </w:rPr>
        <w:t>Amoco Oil Co.</w:t>
      </w:r>
      <w:r w:rsidRPr="00EA3B32">
        <w:rPr>
          <w:rFonts w:eastAsia="Times New Roman"/>
          <w:bCs/>
          <w:sz w:val="24"/>
          <w:szCs w:val="24"/>
        </w:rPr>
        <w:t xml:space="preserve">, 908 P.2d at 499; </w:t>
      </w:r>
      <w:r w:rsidRPr="00EA3B32">
        <w:rPr>
          <w:rFonts w:eastAsia="Times New Roman"/>
          <w:bCs/>
          <w:i/>
          <w:sz w:val="24"/>
          <w:szCs w:val="24"/>
        </w:rPr>
        <w:t xml:space="preserve">accord </w:t>
      </w:r>
      <w:r w:rsidRPr="00EA3B32">
        <w:rPr>
          <w:rFonts w:eastAsia="Times New Roman"/>
          <w:b/>
          <w:bCs/>
          <w:sz w:val="24"/>
          <w:szCs w:val="24"/>
        </w:rPr>
        <w:t>City of Golden v. Parker</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138 P.3d 285 (Colo. 2006); </w:t>
      </w:r>
      <w:r w:rsidRPr="00EA3B32">
        <w:rPr>
          <w:rFonts w:eastAsia="Times New Roman"/>
          <w:b/>
          <w:bCs/>
          <w:sz w:val="24"/>
          <w:szCs w:val="24"/>
        </w:rPr>
        <w:t>Lutfi</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40 P.3d at 59; </w:t>
      </w:r>
      <w:r w:rsidRPr="00EA3B32">
        <w:rPr>
          <w:rFonts w:eastAsia="Times New Roman"/>
          <w:b/>
          <w:bCs/>
          <w:sz w:val="24"/>
          <w:szCs w:val="24"/>
        </w:rPr>
        <w:t>O’Reilly</w:t>
      </w:r>
      <w:r w:rsidRPr="00EA3B32">
        <w:rPr>
          <w:rFonts w:eastAsia="Times New Roman"/>
          <w:bCs/>
          <w:sz w:val="24"/>
          <w:szCs w:val="24"/>
        </w:rPr>
        <w:t>, 992 P.2d at 646.</w:t>
      </w:r>
    </w:p>
    <w:p w14:paraId="77D3EEA5"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12. While the good faith performance doctrine may be used to protect a “weaker” party from a “stronger” party, in this context weakness and strength do not refer to the relative bargaining power of the parties. Rather, even in arms-length transactions between sophisticated parties, there may be an agreement to confer control of performance of a contract term on one of the parties. </w:t>
      </w:r>
      <w:r w:rsidRPr="00EA3B32">
        <w:rPr>
          <w:rFonts w:eastAsia="Times New Roman"/>
          <w:bCs/>
          <w:i/>
          <w:sz w:val="24"/>
          <w:szCs w:val="24"/>
        </w:rPr>
        <w:t>See, e.g.</w:t>
      </w:r>
      <w:r w:rsidRPr="00EA3B32">
        <w:rPr>
          <w:rFonts w:eastAsia="Times New Roman"/>
          <w:bCs/>
          <w:sz w:val="24"/>
          <w:szCs w:val="24"/>
        </w:rPr>
        <w:t>,</w:t>
      </w:r>
      <w:r w:rsidRPr="00EA3B32">
        <w:rPr>
          <w:rFonts w:eastAsia="Times New Roman"/>
          <w:b/>
          <w:bCs/>
          <w:sz w:val="24"/>
          <w:szCs w:val="24"/>
        </w:rPr>
        <w:t xml:space="preserve"> City of Golden</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138 P.3d 292-93; </w:t>
      </w:r>
      <w:r w:rsidRPr="00EA3B32">
        <w:rPr>
          <w:rFonts w:eastAsia="Times New Roman"/>
          <w:b/>
          <w:bCs/>
          <w:sz w:val="24"/>
          <w:szCs w:val="24"/>
        </w:rPr>
        <w:t>Mahan v. Capitol Hill Internal Med., P.C.</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151 P.3d 685 (Colo. App. 2006). The dependent party must then rely on the party in control to exercise good faith in the exercise of its discretion. </w:t>
      </w:r>
      <w:r w:rsidRPr="00EA3B32">
        <w:rPr>
          <w:rFonts w:eastAsia="Times New Roman"/>
          <w:b/>
          <w:bCs/>
          <w:sz w:val="24"/>
          <w:szCs w:val="24"/>
        </w:rPr>
        <w:t>Amoco Oil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908 P.2d at 498-99.</w:t>
      </w:r>
    </w:p>
    <w:p w14:paraId="1877244F"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13. The duty of good faith and fair dealing may apply to the enforcement of a contract as well as its performance. When applied in the enforcement context, it bars dishonest conduct such as raising an imaginary dispute, asserting an interpretation contrary to one’s own understanding, or falsification of facts. </w:t>
      </w:r>
      <w:r w:rsidRPr="00EA3B32">
        <w:rPr>
          <w:rFonts w:eastAsia="Times New Roman"/>
          <w:b/>
          <w:bCs/>
          <w:sz w:val="24"/>
          <w:szCs w:val="24"/>
        </w:rPr>
        <w:t>Bayou Land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924 P.2d at 155 n.28 (citing </w:t>
      </w:r>
      <w:r w:rsidRPr="00EA3B32">
        <w:rPr>
          <w:rFonts w:eastAsia="Times New Roman"/>
          <w:bCs/>
          <w:smallCaps/>
          <w:sz w:val="24"/>
          <w:szCs w:val="24"/>
        </w:rPr>
        <w:t>Restatement (Second) of Contracts</w:t>
      </w:r>
      <w:r w:rsidRPr="00EA3B32">
        <w:rPr>
          <w:rFonts w:eastAsia="Times New Roman"/>
          <w:bCs/>
          <w:sz w:val="24"/>
          <w:szCs w:val="24"/>
        </w:rPr>
        <w:t xml:space="preserve"> § 205 cmt. e (1981)); </w:t>
      </w:r>
      <w:r w:rsidRPr="00EA3B32">
        <w:rPr>
          <w:rFonts w:eastAsia="Times New Roman"/>
          <w:bCs/>
          <w:i/>
          <w:sz w:val="24"/>
          <w:szCs w:val="24"/>
        </w:rPr>
        <w:t>see also</w:t>
      </w:r>
      <w:r w:rsidRPr="00EA3B32">
        <w:rPr>
          <w:rFonts w:eastAsia="Times New Roman"/>
          <w:bCs/>
          <w:sz w:val="24"/>
          <w:szCs w:val="24"/>
        </w:rPr>
        <w:t xml:space="preserve"> </w:t>
      </w:r>
      <w:r w:rsidRPr="00EA3B32">
        <w:rPr>
          <w:rFonts w:eastAsia="Times New Roman"/>
          <w:b/>
          <w:bCs/>
          <w:sz w:val="24"/>
          <w:szCs w:val="24"/>
        </w:rPr>
        <w:t>Ranta Constr., Inc. v. Anderson</w:t>
      </w:r>
      <w:r w:rsidRPr="00EA3B32">
        <w:rPr>
          <w:rFonts w:eastAsia="Times New Roman"/>
          <w:bCs/>
          <w:sz w:val="24"/>
          <w:szCs w:val="24"/>
        </w:rPr>
        <w:t>, 190 P.3d 835 (Colo. App. 2008) (in case decided under UCC’s good faith and fair dealing provision, buyer had no claim for breach of warranty when seller of product has right to cure defects and buyer interferes with that right by foreclosing it prematurely).</w:t>
      </w:r>
    </w:p>
    <w:p w14:paraId="2DB8A1A0"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14. The implied covenant of good faith and fair dealing cannot be invoked to bar a party from bringing a claim based on a disagreement regarding contract terms. </w:t>
      </w:r>
      <w:r w:rsidRPr="00EA3B32">
        <w:rPr>
          <w:rFonts w:eastAsia="Times New Roman"/>
          <w:b/>
          <w:bCs/>
          <w:sz w:val="24"/>
          <w:szCs w:val="24"/>
        </w:rPr>
        <w:t>Bayou Land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924 P.2d at 154.</w:t>
      </w:r>
    </w:p>
    <w:p w14:paraId="1F1D3013"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15. The implied duty of good faith and fair dealing does not apply to the termination of an at-will employment contract. </w:t>
      </w:r>
      <w:r w:rsidRPr="00EA3B32">
        <w:rPr>
          <w:rFonts w:eastAsia="Times New Roman"/>
          <w:b/>
          <w:bCs/>
          <w:sz w:val="24"/>
          <w:szCs w:val="24"/>
        </w:rPr>
        <w:t>Soderlun</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944 P.2d at 623.</w:t>
      </w:r>
    </w:p>
    <w:p w14:paraId="3DC9FE2D"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16. While an implied duty of good faith and fair dealing is inherent in every contract, the parties to a contract may also include an express covenant of good faith and fair dealing as a contract term. </w:t>
      </w:r>
      <w:r w:rsidRPr="00EA3B32">
        <w:rPr>
          <w:rFonts w:eastAsia="Times New Roman"/>
          <w:b/>
          <w:bCs/>
          <w:sz w:val="24"/>
          <w:szCs w:val="24"/>
        </w:rPr>
        <w:t>Decker v. Browning-Ferris Indus. of Colo., Inc.</w:t>
      </w:r>
      <w:r w:rsidRPr="00EA3B32">
        <w:rPr>
          <w:rFonts w:eastAsia="Times New Roman"/>
          <w:bCs/>
          <w:sz w:val="24"/>
          <w:szCs w:val="24"/>
        </w:rPr>
        <w:t xml:space="preserve">, 931 P.2d 436 (Colo. 1997). </w:t>
      </w:r>
      <w:r w:rsidRPr="00EA3B32">
        <w:rPr>
          <w:rFonts w:eastAsia="Times New Roman"/>
          <w:bCs/>
          <w:sz w:val="24"/>
          <w:szCs w:val="24"/>
        </w:rPr>
        <w:lastRenderedPageBreak/>
        <w:t xml:space="preserve">However, absent an agreement by the parties, no industry-specific standard will be implied into a contract. </w:t>
      </w:r>
      <w:r w:rsidRPr="00EA3B32">
        <w:rPr>
          <w:rFonts w:eastAsia="Times New Roman"/>
          <w:b/>
          <w:bCs/>
          <w:sz w:val="24"/>
          <w:szCs w:val="24"/>
        </w:rPr>
        <w:t>BSLNI, Inc. v. Russ T. Diamonds, Inc.</w:t>
      </w:r>
      <w:r w:rsidRPr="00EA3B32">
        <w:rPr>
          <w:rFonts w:eastAsia="Times New Roman"/>
          <w:bCs/>
          <w:sz w:val="24"/>
          <w:szCs w:val="24"/>
        </w:rPr>
        <w:t>, 2012 COA 214, ¶ 22, 293 P.3d 598.</w:t>
      </w:r>
    </w:p>
    <w:p w14:paraId="0928E3CF" w14:textId="77777777" w:rsidR="00EA3B32" w:rsidRDefault="00EA3B32">
      <w:pPr>
        <w:rPr>
          <w:rFonts w:eastAsia="Times New Roman"/>
          <w:bCs/>
          <w:sz w:val="24"/>
          <w:szCs w:val="24"/>
        </w:rPr>
      </w:pPr>
      <w:r>
        <w:rPr>
          <w:rFonts w:eastAsia="Times New Roman"/>
          <w:bCs/>
          <w:sz w:val="24"/>
          <w:szCs w:val="24"/>
        </w:rPr>
        <w:br w:type="page"/>
      </w:r>
    </w:p>
    <w:p w14:paraId="00B83F6A" w14:textId="77777777" w:rsidR="00EA3B32" w:rsidRPr="009E3DA4" w:rsidRDefault="00AE1C04" w:rsidP="00EA3B32">
      <w:pPr>
        <w:spacing w:after="240"/>
        <w:ind w:left="720" w:hanging="720"/>
        <w:rPr>
          <w:rFonts w:eastAsia="Times New Roman"/>
          <w:b/>
          <w:sz w:val="24"/>
          <w:szCs w:val="24"/>
        </w:rPr>
      </w:pPr>
      <w:bookmarkStart w:id="17" w:name="a30_17"/>
      <w:bookmarkEnd w:id="17"/>
      <w:r>
        <w:rPr>
          <w:rFonts w:eastAsia="Times New Roman"/>
          <w:b/>
          <w:bCs/>
          <w:sz w:val="24"/>
          <w:szCs w:val="24"/>
        </w:rPr>
        <w:lastRenderedPageBreak/>
        <w:t>30:17</w:t>
      </w:r>
      <w:r>
        <w:rPr>
          <w:rFonts w:eastAsia="Times New Roman"/>
          <w:b/>
          <w:bCs/>
          <w:sz w:val="24"/>
          <w:szCs w:val="24"/>
        </w:rPr>
        <w:tab/>
      </w:r>
      <w:r w:rsidR="00F755B7" w:rsidRPr="00F755B7">
        <w:rPr>
          <w:rFonts w:eastAsia="Times New Roman"/>
          <w:b/>
          <w:bCs/>
          <w:caps/>
          <w:sz w:val="24"/>
          <w:szCs w:val="24"/>
        </w:rPr>
        <w:t>Contract Performance — Assignment</w:t>
      </w:r>
    </w:p>
    <w:p w14:paraId="3765765D" w14:textId="1B2A97FC" w:rsidR="00F755B7" w:rsidRPr="00F755B7" w:rsidRDefault="00F755B7" w:rsidP="00F755B7">
      <w:pPr>
        <w:spacing w:after="240"/>
        <w:ind w:firstLine="720"/>
        <w:rPr>
          <w:rFonts w:eastAsia="Times New Roman"/>
          <w:b/>
          <w:bCs/>
          <w:sz w:val="24"/>
          <w:szCs w:val="24"/>
        </w:rPr>
      </w:pPr>
      <w:r w:rsidRPr="00F755B7">
        <w:rPr>
          <w:rFonts w:eastAsia="Times New Roman"/>
          <w:b/>
          <w:bCs/>
          <w:sz w:val="24"/>
          <w:szCs w:val="24"/>
        </w:rPr>
        <w:t xml:space="preserve">(Plaintiff) (Defendant), who was not a party to the original contract, may bring a claim for breach of contract if rights under the contract were (intended to be) transferred to </w:t>
      </w:r>
      <w:r w:rsidR="00390234" w:rsidRPr="0070684C">
        <w:rPr>
          <w:rFonts w:eastAsia="Times New Roman"/>
          <w:i/>
          <w:iCs/>
          <w:sz w:val="24"/>
          <w:szCs w:val="24"/>
        </w:rPr>
        <w:t>(insert applicable pronoun</w:t>
      </w:r>
      <w:r w:rsidR="00390234">
        <w:rPr>
          <w:rFonts w:eastAsia="Times New Roman"/>
          <w:i/>
          <w:iCs/>
          <w:sz w:val="24"/>
          <w:szCs w:val="24"/>
        </w:rPr>
        <w:t>)</w:t>
      </w:r>
      <w:r w:rsidRPr="00F755B7">
        <w:rPr>
          <w:rFonts w:eastAsia="Times New Roman"/>
          <w:b/>
          <w:bCs/>
          <w:sz w:val="24"/>
          <w:szCs w:val="24"/>
        </w:rPr>
        <w:t xml:space="preserve"> by </w:t>
      </w:r>
      <w:r w:rsidRPr="00F755B7">
        <w:rPr>
          <w:rFonts w:eastAsia="Times New Roman"/>
          <w:bCs/>
          <w:i/>
          <w:sz w:val="24"/>
          <w:szCs w:val="24"/>
        </w:rPr>
        <w:t>(insert name of authorized assignor)</w:t>
      </w:r>
      <w:r w:rsidRPr="00F755B7">
        <w:rPr>
          <w:rFonts w:eastAsia="Times New Roman"/>
          <w:b/>
          <w:bCs/>
          <w:sz w:val="24"/>
          <w:szCs w:val="24"/>
        </w:rPr>
        <w:t>. This transfer is referred to as an assignment.</w:t>
      </w:r>
    </w:p>
    <w:p w14:paraId="4A7A91BF" w14:textId="77777777" w:rsidR="00F755B7" w:rsidRPr="00F755B7" w:rsidRDefault="00F755B7" w:rsidP="00F755B7">
      <w:pPr>
        <w:spacing w:after="240"/>
        <w:ind w:firstLine="720"/>
        <w:rPr>
          <w:rFonts w:eastAsia="Times New Roman"/>
          <w:b/>
          <w:bCs/>
          <w:sz w:val="24"/>
          <w:szCs w:val="24"/>
        </w:rPr>
      </w:pPr>
      <w:r w:rsidRPr="00F755B7">
        <w:rPr>
          <w:rFonts w:eastAsia="Times New Roman"/>
          <w:b/>
          <w:bCs/>
          <w:sz w:val="24"/>
          <w:szCs w:val="24"/>
        </w:rPr>
        <w:t>(You may consider the entire transaction and the conduct of the parties to the assignment in determining the intent to transfer contract rights.)</w:t>
      </w:r>
    </w:p>
    <w:p w14:paraId="5B362806" w14:textId="77777777" w:rsidR="00F755B7" w:rsidRPr="00F755B7" w:rsidRDefault="00F755B7" w:rsidP="00F755B7">
      <w:pPr>
        <w:spacing w:after="240"/>
        <w:ind w:firstLine="720"/>
        <w:rPr>
          <w:rFonts w:eastAsia="Times New Roman"/>
          <w:b/>
          <w:bCs/>
          <w:sz w:val="24"/>
          <w:szCs w:val="24"/>
        </w:rPr>
      </w:pPr>
      <w:r w:rsidRPr="00F755B7">
        <w:rPr>
          <w:rFonts w:eastAsia="Times New Roman"/>
          <w:b/>
          <w:bCs/>
          <w:sz w:val="24"/>
          <w:szCs w:val="24"/>
        </w:rPr>
        <w:t>(A transfer of contract rights does not have to be written. A transfer of contract rights may be oral or may be implied by the conduct of the parties to the assignment.)</w:t>
      </w:r>
    </w:p>
    <w:p w14:paraId="47AA4DA3" w14:textId="77777777" w:rsidR="00EA3B32" w:rsidRDefault="00EA3B32" w:rsidP="00EA3B32">
      <w:pPr>
        <w:jc w:val="center"/>
        <w:rPr>
          <w:rFonts w:eastAsia="Times New Roman"/>
          <w:sz w:val="24"/>
          <w:szCs w:val="24"/>
        </w:rPr>
      </w:pPr>
    </w:p>
    <w:p w14:paraId="6B714FC9" w14:textId="77777777" w:rsidR="00EA3B32" w:rsidRPr="0054263B" w:rsidRDefault="00EA3B32" w:rsidP="00EA3B32">
      <w:pPr>
        <w:keepNext/>
        <w:spacing w:after="240"/>
        <w:jc w:val="center"/>
        <w:rPr>
          <w:rFonts w:eastAsia="Times New Roman"/>
          <w:b/>
          <w:sz w:val="24"/>
          <w:szCs w:val="24"/>
        </w:rPr>
      </w:pPr>
      <w:r w:rsidRPr="0054263B">
        <w:rPr>
          <w:rFonts w:eastAsia="Times New Roman"/>
          <w:b/>
          <w:sz w:val="24"/>
          <w:szCs w:val="24"/>
        </w:rPr>
        <w:t>Notes on Use</w:t>
      </w:r>
    </w:p>
    <w:p w14:paraId="750ECF99"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1. This instruction should be used only if the agreement does not specifically prohibit assignment of rights. </w:t>
      </w:r>
    </w:p>
    <w:p w14:paraId="543F0AE8"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2. The second and third sentences should be used only if the validity of the assignment is contested. </w:t>
      </w:r>
    </w:p>
    <w:p w14:paraId="11923688" w14:textId="77777777" w:rsidR="00EA3B32" w:rsidRPr="0054263B" w:rsidRDefault="00EA3B32" w:rsidP="00EA3B32">
      <w:pPr>
        <w:keepNext/>
        <w:spacing w:after="240"/>
        <w:jc w:val="center"/>
        <w:rPr>
          <w:rFonts w:eastAsia="Times New Roman"/>
          <w:b/>
          <w:sz w:val="24"/>
          <w:szCs w:val="24"/>
        </w:rPr>
      </w:pPr>
      <w:r>
        <w:rPr>
          <w:rFonts w:eastAsia="Times New Roman"/>
          <w:b/>
          <w:sz w:val="24"/>
          <w:szCs w:val="24"/>
        </w:rPr>
        <w:t>Source and Authority</w:t>
      </w:r>
    </w:p>
    <w:p w14:paraId="3142C77D"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1. This instruction is supported by </w:t>
      </w:r>
      <w:r w:rsidRPr="00F755B7">
        <w:rPr>
          <w:rFonts w:eastAsia="Times New Roman"/>
          <w:b/>
          <w:bCs/>
          <w:sz w:val="24"/>
          <w:szCs w:val="24"/>
        </w:rPr>
        <w:t>Parrish Chiropractic Centers, P.C. v. Progressive Casualty Insurance Co.</w:t>
      </w:r>
      <w:r w:rsidRPr="00F755B7">
        <w:rPr>
          <w:rFonts w:eastAsia="Times New Roman"/>
          <w:bCs/>
          <w:sz w:val="24"/>
          <w:szCs w:val="24"/>
        </w:rPr>
        <w:t xml:space="preserve">, 874 P.2d 1049, 1052 (Colo. 1994) (“Contract rights generally are assignable, except where assignment is prohibited by contract or by operation of law or where the contract involves a matter of personal trust or confidence.”); </w:t>
      </w:r>
      <w:r w:rsidRPr="00F755B7">
        <w:rPr>
          <w:rFonts w:eastAsia="Times New Roman"/>
          <w:b/>
          <w:bCs/>
          <w:sz w:val="24"/>
          <w:szCs w:val="24"/>
        </w:rPr>
        <w:t>Matson v. White</w:t>
      </w:r>
      <w:r w:rsidRPr="00F755B7">
        <w:rPr>
          <w:rFonts w:eastAsia="Times New Roman"/>
          <w:bCs/>
          <w:sz w:val="24"/>
          <w:szCs w:val="24"/>
        </w:rPr>
        <w:t xml:space="preserve">, 122 Colo. 79, 84, 220 P.2d 864, 867 (1950) (“consent of the other contracting party is not essential to the validity of an assignment”); and </w:t>
      </w:r>
      <w:r w:rsidRPr="00F755B7">
        <w:rPr>
          <w:rFonts w:eastAsia="Times New Roman"/>
          <w:b/>
          <w:bCs/>
          <w:sz w:val="24"/>
          <w:szCs w:val="24"/>
        </w:rPr>
        <w:t>Temple Hoyne Buell Foundation v. Holland &amp; Hart</w:t>
      </w:r>
      <w:r w:rsidRPr="00F755B7">
        <w:rPr>
          <w:rFonts w:eastAsia="Times New Roman"/>
          <w:bCs/>
          <w:sz w:val="24"/>
          <w:szCs w:val="24"/>
        </w:rPr>
        <w:t xml:space="preserve">, 851 P.2d 192, 197 (Colo. App. 1992) (a party may assign his obligations “only if such assignment would not impair plaintiffs’ rights” (citing </w:t>
      </w:r>
      <w:r w:rsidRPr="00F755B7">
        <w:rPr>
          <w:rFonts w:eastAsia="Times New Roman"/>
          <w:bCs/>
          <w:smallCaps/>
          <w:sz w:val="24"/>
          <w:szCs w:val="24"/>
        </w:rPr>
        <w:t>Restatement (Second) of Contracts</w:t>
      </w:r>
      <w:r w:rsidRPr="00F755B7">
        <w:rPr>
          <w:rFonts w:eastAsia="Times New Roman"/>
          <w:bCs/>
          <w:sz w:val="24"/>
          <w:szCs w:val="24"/>
        </w:rPr>
        <w:t xml:space="preserve"> § 317(2) (1981))).</w:t>
      </w:r>
    </w:p>
    <w:p w14:paraId="69EBD635"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2. An attempt to assign rights in a </w:t>
      </w:r>
      <w:r w:rsidRPr="00F755B7">
        <w:rPr>
          <w:rFonts w:eastAsia="Times New Roman"/>
          <w:bCs/>
          <w:i/>
          <w:sz w:val="24"/>
          <w:szCs w:val="24"/>
        </w:rPr>
        <w:t>future</w:t>
      </w:r>
      <w:r w:rsidRPr="00F755B7">
        <w:rPr>
          <w:rFonts w:eastAsia="Times New Roman"/>
          <w:bCs/>
          <w:sz w:val="24"/>
          <w:szCs w:val="24"/>
        </w:rPr>
        <w:t xml:space="preserve"> contract, however, is not enforceable against the obligor. </w:t>
      </w:r>
      <w:r w:rsidRPr="00F755B7">
        <w:rPr>
          <w:rFonts w:eastAsia="Times New Roman"/>
          <w:b/>
          <w:bCs/>
          <w:sz w:val="24"/>
          <w:szCs w:val="24"/>
        </w:rPr>
        <w:t>Allstate Ins. Co. v. Med. Lien Mgmt., Inc.</w:t>
      </w:r>
      <w:r w:rsidRPr="00F755B7">
        <w:rPr>
          <w:rFonts w:eastAsia="Times New Roman"/>
          <w:bCs/>
          <w:sz w:val="24"/>
          <w:szCs w:val="24"/>
        </w:rPr>
        <w:t>, 2015 CO 32, ¶ 13, 348 P.3d 943 (“a purported assignment of a right expected to arise under a contract not yet in existence operates only as a promise to assign the right when it arises and as a power to enforce it . . . [and] does not constitute an assignment of future or after-acquired rights so as to be effective against the promisor’s obligor”).</w:t>
      </w:r>
    </w:p>
    <w:p w14:paraId="17859A41" w14:textId="77777777" w:rsidR="00F755B7" w:rsidRDefault="00F755B7" w:rsidP="00F755B7">
      <w:pPr>
        <w:spacing w:after="240"/>
        <w:ind w:firstLine="720"/>
        <w:rPr>
          <w:rFonts w:eastAsia="Times New Roman"/>
          <w:bCs/>
          <w:sz w:val="24"/>
          <w:szCs w:val="24"/>
        </w:rPr>
      </w:pPr>
      <w:r w:rsidRPr="00F755B7">
        <w:rPr>
          <w:rFonts w:eastAsia="Times New Roman"/>
          <w:bCs/>
          <w:sz w:val="24"/>
          <w:szCs w:val="24"/>
        </w:rPr>
        <w:t>3. “An assignment of a right is a manifestation of the assignor’s intention to transfer it by virtue of which the assignor’s right to performance by the obligor is extinguished in whole or in part and the assignee acquires a right to such performance.”</w:t>
      </w:r>
      <w:r w:rsidRPr="00F755B7">
        <w:rPr>
          <w:rFonts w:eastAsia="Times New Roman"/>
          <w:bCs/>
          <w:i/>
          <w:sz w:val="24"/>
          <w:szCs w:val="24"/>
        </w:rPr>
        <w:t xml:space="preserve"> </w:t>
      </w:r>
      <w:r w:rsidRPr="00F755B7">
        <w:rPr>
          <w:rFonts w:eastAsia="Times New Roman"/>
          <w:bCs/>
          <w:smallCaps/>
          <w:sz w:val="24"/>
          <w:szCs w:val="24"/>
        </w:rPr>
        <w:t>Restatement (Second) of Contracts</w:t>
      </w:r>
      <w:r w:rsidRPr="00F755B7">
        <w:rPr>
          <w:rFonts w:eastAsia="Times New Roman"/>
          <w:bCs/>
          <w:sz w:val="24"/>
          <w:szCs w:val="24"/>
        </w:rPr>
        <w:t xml:space="preserve"> § 317(1) (1981).</w:t>
      </w:r>
    </w:p>
    <w:p w14:paraId="7B7B71C6" w14:textId="77777777" w:rsidR="00F755B7" w:rsidRDefault="00F755B7">
      <w:pPr>
        <w:rPr>
          <w:rFonts w:eastAsia="Times New Roman"/>
          <w:bCs/>
          <w:sz w:val="24"/>
          <w:szCs w:val="24"/>
        </w:rPr>
      </w:pPr>
      <w:r>
        <w:rPr>
          <w:rFonts w:eastAsia="Times New Roman"/>
          <w:bCs/>
          <w:sz w:val="24"/>
          <w:szCs w:val="24"/>
        </w:rPr>
        <w:br w:type="page"/>
      </w:r>
    </w:p>
    <w:p w14:paraId="49C8A1AE" w14:textId="77777777" w:rsidR="00F755B7" w:rsidRDefault="00F755B7" w:rsidP="00F755B7">
      <w:pPr>
        <w:spacing w:after="240"/>
        <w:jc w:val="center"/>
        <w:rPr>
          <w:rFonts w:eastAsia="Times New Roman"/>
          <w:b/>
          <w:sz w:val="24"/>
          <w:szCs w:val="24"/>
        </w:rPr>
      </w:pPr>
      <w:r w:rsidRPr="00F755B7">
        <w:rPr>
          <w:rFonts w:eastAsia="Times New Roman"/>
          <w:b/>
          <w:sz w:val="24"/>
          <w:szCs w:val="24"/>
        </w:rPr>
        <w:lastRenderedPageBreak/>
        <w:t>C. DEFENSES</w:t>
      </w:r>
    </w:p>
    <w:p w14:paraId="30EF67A7" w14:textId="77777777" w:rsidR="00F755B7" w:rsidRPr="0054263B" w:rsidRDefault="00F755B7" w:rsidP="00F755B7">
      <w:pPr>
        <w:keepNext/>
        <w:spacing w:after="240"/>
        <w:jc w:val="center"/>
        <w:rPr>
          <w:rFonts w:eastAsia="Times New Roman"/>
          <w:b/>
          <w:sz w:val="24"/>
          <w:szCs w:val="24"/>
        </w:rPr>
      </w:pPr>
      <w:bookmarkStart w:id="18" w:name="IntroNoteC"/>
      <w:bookmarkEnd w:id="18"/>
      <w:r w:rsidRPr="00F755B7">
        <w:rPr>
          <w:rFonts w:eastAsia="Times New Roman"/>
          <w:b/>
          <w:sz w:val="24"/>
          <w:szCs w:val="24"/>
        </w:rPr>
        <w:t>Introductory Note</w:t>
      </w:r>
    </w:p>
    <w:p w14:paraId="6B684A88"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1. Mutual mistake may be grounds for rescission of a contract. Rescission is an equitable claim that generally is not presented for a jury determination. </w:t>
      </w:r>
      <w:r w:rsidRPr="00F755B7">
        <w:rPr>
          <w:rFonts w:eastAsia="Times New Roman"/>
          <w:bCs/>
          <w:i/>
          <w:sz w:val="24"/>
          <w:szCs w:val="24"/>
        </w:rPr>
        <w:t>See</w:t>
      </w:r>
      <w:r w:rsidRPr="00F755B7">
        <w:rPr>
          <w:rFonts w:eastAsia="Times New Roman"/>
          <w:bCs/>
          <w:sz w:val="24"/>
          <w:szCs w:val="24"/>
        </w:rPr>
        <w:t xml:space="preserve"> </w:t>
      </w:r>
      <w:r w:rsidRPr="00F755B7">
        <w:rPr>
          <w:rFonts w:eastAsia="Times New Roman"/>
          <w:b/>
          <w:bCs/>
          <w:sz w:val="24"/>
          <w:szCs w:val="24"/>
        </w:rPr>
        <w:t>England v. Amerigas Propane</w:t>
      </w:r>
      <w:r w:rsidRPr="00F755B7">
        <w:rPr>
          <w:rFonts w:eastAsia="Times New Roman"/>
          <w:bCs/>
          <w:sz w:val="24"/>
          <w:szCs w:val="24"/>
        </w:rPr>
        <w:t xml:space="preserve">, 2017 CO 55, ¶¶ 19-22, 395 P.3d 766 (court concluded that parties were mutually mistaken about existence of scapular fracture at the time they settled the case); </w:t>
      </w:r>
      <w:r w:rsidRPr="00F755B7">
        <w:rPr>
          <w:rFonts w:eastAsia="Times New Roman"/>
          <w:b/>
          <w:bCs/>
          <w:sz w:val="24"/>
          <w:szCs w:val="24"/>
        </w:rPr>
        <w:t>Carpenter v. Hill</w:t>
      </w:r>
      <w:r w:rsidRPr="00F755B7">
        <w:rPr>
          <w:rFonts w:eastAsia="Times New Roman"/>
          <w:bCs/>
          <w:sz w:val="24"/>
          <w:szCs w:val="24"/>
        </w:rPr>
        <w:t xml:space="preserve">, 131 Colo. 553, 283 P.2d 963 (1955); </w:t>
      </w:r>
      <w:r w:rsidRPr="00F755B7">
        <w:rPr>
          <w:rFonts w:eastAsia="Times New Roman"/>
          <w:b/>
          <w:bCs/>
          <w:sz w:val="24"/>
          <w:szCs w:val="24"/>
        </w:rPr>
        <w:t>Ramstetter v. Hostetler</w:t>
      </w:r>
      <w:r w:rsidRPr="00F755B7">
        <w:rPr>
          <w:rFonts w:eastAsia="Times New Roman"/>
          <w:bCs/>
          <w:sz w:val="24"/>
          <w:szCs w:val="24"/>
        </w:rPr>
        <w:t>, 2016 COA 81, ¶ 46</w:t>
      </w:r>
      <w:r w:rsidR="004C330E">
        <w:rPr>
          <w:rFonts w:eastAsia="Times New Roman"/>
          <w:bCs/>
          <w:sz w:val="24"/>
          <w:szCs w:val="24"/>
        </w:rPr>
        <w:t>, 411 P.3d 1043</w:t>
      </w:r>
      <w:r w:rsidRPr="00F755B7">
        <w:rPr>
          <w:rFonts w:eastAsia="Times New Roman"/>
          <w:bCs/>
          <w:sz w:val="24"/>
          <w:szCs w:val="24"/>
        </w:rPr>
        <w:t xml:space="preserve"> (affirming trial court’s judgment rescinding contract where the parties mistakenly believed that joint tenancy could be severed only by mutual agreement). The Committee therefore determined an instruction on mutual mistake is not necessary. </w:t>
      </w:r>
      <w:r w:rsidRPr="00F755B7">
        <w:rPr>
          <w:rFonts w:eastAsia="Times New Roman"/>
          <w:bCs/>
          <w:i/>
          <w:sz w:val="24"/>
          <w:szCs w:val="24"/>
        </w:rPr>
        <w:t xml:space="preserve">See generally </w:t>
      </w:r>
      <w:r w:rsidRPr="00F755B7">
        <w:rPr>
          <w:rFonts w:eastAsia="Times New Roman"/>
          <w:b/>
          <w:bCs/>
          <w:sz w:val="24"/>
          <w:szCs w:val="24"/>
        </w:rPr>
        <w:t>Casey v. Colo. Higher Educ. Ins. Benefits All. Trust</w:t>
      </w:r>
      <w:r w:rsidRPr="00F755B7">
        <w:rPr>
          <w:rFonts w:eastAsia="Times New Roman"/>
          <w:bCs/>
          <w:sz w:val="24"/>
          <w:szCs w:val="24"/>
        </w:rPr>
        <w:t xml:space="preserve">, 2012 COA 134, ¶ 68, 310 P.3d 196; </w:t>
      </w:r>
      <w:r w:rsidRPr="00F755B7">
        <w:rPr>
          <w:rFonts w:eastAsia="Times New Roman"/>
          <w:b/>
          <w:bCs/>
          <w:sz w:val="24"/>
          <w:szCs w:val="24"/>
        </w:rPr>
        <w:t>Snow Basin, Ltd. v. Boettcher &amp; Co.</w:t>
      </w:r>
      <w:r w:rsidRPr="00F755B7">
        <w:rPr>
          <w:rFonts w:eastAsia="Times New Roman"/>
          <w:bCs/>
          <w:sz w:val="24"/>
          <w:szCs w:val="24"/>
        </w:rPr>
        <w:t>, 805 P.2d 1151 (Colo. App. 1990).</w:t>
      </w:r>
    </w:p>
    <w:p w14:paraId="1B002D95"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2. A unilateral mistake of fact or law is generally not a defense to a breach of contract claim. </w:t>
      </w:r>
      <w:r w:rsidRPr="00F755B7">
        <w:rPr>
          <w:rFonts w:eastAsia="Times New Roman"/>
          <w:bCs/>
          <w:i/>
          <w:sz w:val="24"/>
          <w:szCs w:val="24"/>
        </w:rPr>
        <w:t>See</w:t>
      </w:r>
      <w:r w:rsidRPr="00F755B7">
        <w:rPr>
          <w:rFonts w:eastAsia="Times New Roman"/>
          <w:bCs/>
          <w:sz w:val="24"/>
          <w:szCs w:val="24"/>
        </w:rPr>
        <w:t xml:space="preserve"> </w:t>
      </w:r>
      <w:r w:rsidRPr="00F755B7">
        <w:rPr>
          <w:rFonts w:eastAsia="Times New Roman"/>
          <w:b/>
          <w:bCs/>
          <w:sz w:val="24"/>
          <w:szCs w:val="24"/>
        </w:rPr>
        <w:t>Kuper v. Scroggins</w:t>
      </w:r>
      <w:r w:rsidRPr="00F755B7">
        <w:rPr>
          <w:rFonts w:eastAsia="Times New Roman"/>
          <w:bCs/>
          <w:sz w:val="24"/>
          <w:szCs w:val="24"/>
        </w:rPr>
        <w:t>, 127 Colo. 416, 257 P.2d 412 (Colo. 1953).</w:t>
      </w:r>
      <w:r w:rsidRPr="00F755B7">
        <w:rPr>
          <w:rFonts w:eastAsia="Times New Roman"/>
          <w:b/>
          <w:bCs/>
          <w:sz w:val="24"/>
          <w:szCs w:val="24"/>
        </w:rPr>
        <w:t xml:space="preserve"> </w:t>
      </w:r>
      <w:r w:rsidRPr="00F755B7">
        <w:rPr>
          <w:rFonts w:eastAsia="Times New Roman"/>
          <w:bCs/>
          <w:i/>
          <w:sz w:val="24"/>
          <w:szCs w:val="24"/>
        </w:rPr>
        <w:t xml:space="preserve">But see </w:t>
      </w:r>
      <w:r w:rsidRPr="00F755B7">
        <w:rPr>
          <w:rFonts w:eastAsia="Times New Roman"/>
          <w:b/>
          <w:bCs/>
          <w:sz w:val="24"/>
          <w:szCs w:val="24"/>
        </w:rPr>
        <w:t>In re Marriage of Manzo</w:t>
      </w:r>
      <w:r w:rsidRPr="00F755B7">
        <w:rPr>
          <w:rFonts w:eastAsia="Times New Roman"/>
          <w:bCs/>
          <w:sz w:val="24"/>
          <w:szCs w:val="24"/>
        </w:rPr>
        <w:t xml:space="preserve">, 659 P.2d 669 (Colo. 1983) (in </w:t>
      </w:r>
      <w:r w:rsidRPr="00F755B7">
        <w:rPr>
          <w:rFonts w:eastAsia="Times New Roman"/>
          <w:bCs/>
          <w:i/>
          <w:sz w:val="24"/>
          <w:szCs w:val="24"/>
        </w:rPr>
        <w:t>dicta</w:t>
      </w:r>
      <w:r w:rsidRPr="00F755B7">
        <w:rPr>
          <w:rFonts w:eastAsia="Times New Roman"/>
          <w:bCs/>
          <w:sz w:val="24"/>
          <w:szCs w:val="24"/>
        </w:rPr>
        <w:t xml:space="preserve">, supreme court suggests a unilateral mistake may justify rescission where one party knows of the mistake and takes advantage of it); </w:t>
      </w:r>
      <w:r w:rsidRPr="00F755B7">
        <w:rPr>
          <w:rFonts w:eastAsia="Times New Roman"/>
          <w:b/>
          <w:bCs/>
          <w:sz w:val="24"/>
          <w:szCs w:val="24"/>
        </w:rPr>
        <w:t>Sumerel v. Goodyear Tire &amp; Rubber Co.</w:t>
      </w:r>
      <w:r w:rsidRPr="00F755B7">
        <w:rPr>
          <w:rFonts w:eastAsia="Times New Roman"/>
          <w:bCs/>
          <w:sz w:val="24"/>
          <w:szCs w:val="24"/>
        </w:rPr>
        <w:t xml:space="preserve">, 232 P.3d 128 (Colo. App. 2009) (where one party knew arithmetical calculation of damages was erroneous, risk of mistake did not rest with other party, and the agreement made based on that calculation was unconscionable, agreement was unenforceable (citing </w:t>
      </w:r>
      <w:r w:rsidRPr="00184ADB">
        <w:rPr>
          <w:rFonts w:eastAsia="Times New Roman"/>
          <w:bCs/>
          <w:smallCaps/>
          <w:sz w:val="24"/>
          <w:szCs w:val="24"/>
        </w:rPr>
        <w:t>Restatement (Second) of Contracts</w:t>
      </w:r>
      <w:r w:rsidRPr="00F755B7">
        <w:rPr>
          <w:rFonts w:eastAsia="Times New Roman"/>
          <w:bCs/>
          <w:sz w:val="24"/>
          <w:szCs w:val="24"/>
        </w:rPr>
        <w:t xml:space="preserve"> §§ 153</w:t>
      </w:r>
      <w:r w:rsidRPr="00F755B7">
        <w:rPr>
          <w:rFonts w:eastAsia="Times New Roman"/>
          <w:b/>
          <w:bCs/>
          <w:sz w:val="24"/>
          <w:szCs w:val="24"/>
        </w:rPr>
        <w:t>-</w:t>
      </w:r>
      <w:r w:rsidRPr="00F755B7">
        <w:rPr>
          <w:rFonts w:eastAsia="Times New Roman"/>
          <w:bCs/>
          <w:sz w:val="24"/>
          <w:szCs w:val="24"/>
        </w:rPr>
        <w:t xml:space="preserve">54 (1981)). </w:t>
      </w:r>
    </w:p>
    <w:p w14:paraId="70E16F70"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3. While equity recognizes an estoppel to claim damages, </w:t>
      </w:r>
      <w:r w:rsidRPr="00F755B7">
        <w:rPr>
          <w:rFonts w:eastAsia="Times New Roman"/>
          <w:bCs/>
          <w:i/>
          <w:sz w:val="24"/>
          <w:szCs w:val="24"/>
        </w:rPr>
        <w:t>see</w:t>
      </w:r>
      <w:r w:rsidRPr="00F755B7">
        <w:rPr>
          <w:rFonts w:eastAsia="Times New Roman"/>
          <w:bCs/>
          <w:sz w:val="24"/>
          <w:szCs w:val="24"/>
        </w:rPr>
        <w:t xml:space="preserve"> </w:t>
      </w:r>
      <w:r w:rsidRPr="00F755B7">
        <w:rPr>
          <w:rFonts w:eastAsia="Times New Roman"/>
          <w:b/>
          <w:bCs/>
          <w:sz w:val="24"/>
          <w:szCs w:val="24"/>
        </w:rPr>
        <w:t>Mabray v. Williams</w:t>
      </w:r>
      <w:r w:rsidRPr="00F755B7">
        <w:rPr>
          <w:rFonts w:eastAsia="Times New Roman"/>
          <w:bCs/>
          <w:sz w:val="24"/>
          <w:szCs w:val="24"/>
        </w:rPr>
        <w:t xml:space="preserve">, 132 Colo. 523, 291 P.2d 677 (1955), the Committee determined that an instruction is not necessary. </w:t>
      </w:r>
      <w:r w:rsidRPr="00F755B7">
        <w:rPr>
          <w:rFonts w:eastAsia="Times New Roman"/>
          <w:bCs/>
          <w:i/>
          <w:sz w:val="24"/>
          <w:szCs w:val="24"/>
        </w:rPr>
        <w:t xml:space="preserve">See </w:t>
      </w:r>
      <w:r w:rsidRPr="00F755B7">
        <w:rPr>
          <w:rFonts w:eastAsia="Times New Roman"/>
          <w:b/>
          <w:bCs/>
          <w:sz w:val="24"/>
          <w:szCs w:val="24"/>
        </w:rPr>
        <w:t>Sanger v. Larson Constr. Co.</w:t>
      </w:r>
      <w:r w:rsidRPr="00F755B7">
        <w:rPr>
          <w:rFonts w:eastAsia="Times New Roman"/>
          <w:bCs/>
          <w:sz w:val="24"/>
          <w:szCs w:val="24"/>
        </w:rPr>
        <w:t xml:space="preserve">, 126 Colo. 479, 251 P.2d 930 (1952) (plaintiff estopped to claim trespass by defendant); </w:t>
      </w:r>
      <w:r w:rsidRPr="00F755B7">
        <w:rPr>
          <w:rFonts w:eastAsia="Times New Roman"/>
          <w:b/>
          <w:bCs/>
          <w:sz w:val="24"/>
          <w:szCs w:val="24"/>
        </w:rPr>
        <w:t>Richmond v. Grabowski</w:t>
      </w:r>
      <w:r w:rsidRPr="00F755B7">
        <w:rPr>
          <w:rFonts w:eastAsia="Times New Roman"/>
          <w:bCs/>
          <w:sz w:val="24"/>
          <w:szCs w:val="24"/>
        </w:rPr>
        <w:t xml:space="preserve">, 781 P.2d 192, 195 (Colo. App. 1989) (“the party to be estopped [must know] the facts”); </w:t>
      </w:r>
      <w:r w:rsidRPr="00F755B7">
        <w:rPr>
          <w:rFonts w:eastAsia="Times New Roman"/>
          <w:b/>
          <w:bCs/>
          <w:sz w:val="24"/>
          <w:szCs w:val="24"/>
        </w:rPr>
        <w:t>Barker v. Jeremiasen</w:t>
      </w:r>
      <w:r w:rsidRPr="00F755B7">
        <w:rPr>
          <w:rFonts w:eastAsia="Times New Roman"/>
          <w:bCs/>
          <w:sz w:val="24"/>
          <w:szCs w:val="24"/>
        </w:rPr>
        <w:t xml:space="preserve">, 676 P.2d 1259 (Colo. App. 1984) (citing elements of estoppel). If there is a dispute as to whether the plaintiff had sufficient knowledge of the defendant’s breach, this instruction must be appropriately modified. </w:t>
      </w:r>
      <w:r w:rsidRPr="00F755B7">
        <w:rPr>
          <w:rFonts w:eastAsia="Times New Roman"/>
          <w:bCs/>
          <w:i/>
          <w:sz w:val="24"/>
          <w:szCs w:val="24"/>
        </w:rPr>
        <w:t xml:space="preserve">See </w:t>
      </w:r>
      <w:r w:rsidRPr="00F755B7">
        <w:rPr>
          <w:rFonts w:eastAsia="Times New Roman"/>
          <w:b/>
          <w:bCs/>
          <w:sz w:val="24"/>
          <w:szCs w:val="24"/>
        </w:rPr>
        <w:t>Cont’l W. Ins. Co. v. Jim’s Hardwood Floor Co.</w:t>
      </w:r>
      <w:r w:rsidRPr="00F755B7">
        <w:rPr>
          <w:rFonts w:eastAsia="Times New Roman"/>
          <w:bCs/>
          <w:sz w:val="24"/>
          <w:szCs w:val="24"/>
        </w:rPr>
        <w:t>, 12 P.3d 824 (Colo. App. 2000) (party to be estopped must know facts and party asserting estoppel must be ignorant of facts).</w:t>
      </w:r>
    </w:p>
    <w:p w14:paraId="137D1261"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4. For a discussion of the elements necessary to establish the equitable defense of estoppel by reason of delay or laches, see </w:t>
      </w:r>
      <w:r w:rsidRPr="00F755B7">
        <w:rPr>
          <w:rFonts w:eastAsia="Times New Roman"/>
          <w:b/>
          <w:bCs/>
          <w:sz w:val="24"/>
          <w:szCs w:val="24"/>
        </w:rPr>
        <w:t>Manor Vail Condominium Ass’n v. Town of Vail</w:t>
      </w:r>
      <w:r w:rsidRPr="00F755B7">
        <w:rPr>
          <w:rFonts w:eastAsia="Times New Roman"/>
          <w:bCs/>
          <w:sz w:val="24"/>
          <w:szCs w:val="24"/>
        </w:rPr>
        <w:t>,</w:t>
      </w:r>
      <w:r w:rsidRPr="00F755B7">
        <w:rPr>
          <w:rFonts w:eastAsia="Times New Roman"/>
          <w:b/>
          <w:bCs/>
          <w:sz w:val="24"/>
          <w:szCs w:val="24"/>
        </w:rPr>
        <w:t xml:space="preserve"> </w:t>
      </w:r>
      <w:r w:rsidRPr="00F755B7">
        <w:rPr>
          <w:rFonts w:eastAsia="Times New Roman"/>
          <w:bCs/>
          <w:sz w:val="24"/>
          <w:szCs w:val="24"/>
        </w:rPr>
        <w:t xml:space="preserve">199 Colo. 62, 604 P.2d 1168 (1980); </w:t>
      </w:r>
      <w:r w:rsidRPr="00F755B7">
        <w:rPr>
          <w:rFonts w:eastAsia="Times New Roman"/>
          <w:b/>
          <w:bCs/>
          <w:sz w:val="24"/>
          <w:szCs w:val="24"/>
        </w:rPr>
        <w:t>Lookout Mountain Paradise Hills Homeowners’ Ass’n v. Viewpoint Associates</w:t>
      </w:r>
      <w:r w:rsidRPr="00F755B7">
        <w:rPr>
          <w:rFonts w:eastAsia="Times New Roman"/>
          <w:bCs/>
          <w:sz w:val="24"/>
          <w:szCs w:val="24"/>
        </w:rPr>
        <w:t xml:space="preserve">, 867 P.2d 70 (Colo. App. 1993); and </w:t>
      </w:r>
      <w:r w:rsidRPr="00F755B7">
        <w:rPr>
          <w:rFonts w:eastAsia="Times New Roman"/>
          <w:b/>
          <w:bCs/>
          <w:sz w:val="24"/>
          <w:szCs w:val="24"/>
        </w:rPr>
        <w:t>Extreme</w:t>
      </w:r>
      <w:r w:rsidRPr="00F755B7">
        <w:rPr>
          <w:rFonts w:eastAsia="Times New Roman"/>
          <w:bCs/>
          <w:sz w:val="24"/>
          <w:szCs w:val="24"/>
        </w:rPr>
        <w:t xml:space="preserve"> </w:t>
      </w:r>
      <w:r w:rsidRPr="00F755B7">
        <w:rPr>
          <w:rFonts w:eastAsia="Times New Roman"/>
          <w:b/>
          <w:bCs/>
          <w:sz w:val="24"/>
          <w:szCs w:val="24"/>
        </w:rPr>
        <w:t>Construction Co. v. RCG Glenwood, LLC</w:t>
      </w:r>
      <w:r w:rsidRPr="00F755B7">
        <w:rPr>
          <w:rFonts w:eastAsia="Times New Roman"/>
          <w:bCs/>
          <w:sz w:val="24"/>
          <w:szCs w:val="24"/>
        </w:rPr>
        <w:t>, 2012 COA 220, ¶ 29, 310 P.3d 246.</w:t>
      </w:r>
    </w:p>
    <w:p w14:paraId="4036BBED"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5. The defense of unconscionability is an equitable defense to be decided by the Court. Therefore, the Committee determined that an instruction was not necessary. For a discussion as to whether an agreement constitutes an adhesion contract, see </w:t>
      </w:r>
      <w:r w:rsidRPr="00F755B7">
        <w:rPr>
          <w:rFonts w:eastAsia="Times New Roman"/>
          <w:b/>
          <w:bCs/>
          <w:sz w:val="24"/>
          <w:szCs w:val="24"/>
        </w:rPr>
        <w:t>Ad Two, Inc. v. City &amp; County of Denver</w:t>
      </w:r>
      <w:r w:rsidRPr="00F755B7">
        <w:rPr>
          <w:rFonts w:eastAsia="Times New Roman"/>
          <w:bCs/>
          <w:sz w:val="24"/>
          <w:szCs w:val="24"/>
        </w:rPr>
        <w:t>,</w:t>
      </w:r>
      <w:r w:rsidRPr="00F755B7">
        <w:rPr>
          <w:rFonts w:eastAsia="Times New Roman"/>
          <w:b/>
          <w:bCs/>
          <w:sz w:val="24"/>
          <w:szCs w:val="24"/>
        </w:rPr>
        <w:t xml:space="preserve"> </w:t>
      </w:r>
      <w:r w:rsidRPr="00F755B7">
        <w:rPr>
          <w:rFonts w:eastAsia="Times New Roman"/>
          <w:bCs/>
          <w:sz w:val="24"/>
          <w:szCs w:val="24"/>
        </w:rPr>
        <w:t xml:space="preserve">983 P.2d 128 (Colo. App. 1999), </w:t>
      </w:r>
      <w:r w:rsidRPr="00F755B7">
        <w:rPr>
          <w:rFonts w:eastAsia="Times New Roman"/>
          <w:bCs/>
          <w:i/>
          <w:sz w:val="24"/>
          <w:szCs w:val="24"/>
        </w:rPr>
        <w:t>aff’d on other grounds</w:t>
      </w:r>
      <w:r w:rsidRPr="00F755B7">
        <w:rPr>
          <w:rFonts w:eastAsia="Times New Roman"/>
          <w:bCs/>
          <w:sz w:val="24"/>
          <w:szCs w:val="24"/>
        </w:rPr>
        <w:t>, 9 P.3d 373 (Colo. 2000).</w:t>
      </w:r>
    </w:p>
    <w:p w14:paraId="0ED43EC7" w14:textId="5CC8CBC0"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6. Generally, contracts in contravention of public policy are void and unenforceable. </w:t>
      </w:r>
      <w:r w:rsidRPr="00F755B7">
        <w:rPr>
          <w:rFonts w:eastAsia="Times New Roman"/>
          <w:bCs/>
          <w:i/>
          <w:sz w:val="24"/>
          <w:szCs w:val="24"/>
        </w:rPr>
        <w:t>See</w:t>
      </w:r>
      <w:r w:rsidRPr="00F755B7">
        <w:rPr>
          <w:rFonts w:eastAsia="Times New Roman"/>
          <w:bCs/>
          <w:sz w:val="24"/>
          <w:szCs w:val="24"/>
        </w:rPr>
        <w:t xml:space="preserve"> </w:t>
      </w:r>
      <w:r w:rsidRPr="00F755B7">
        <w:rPr>
          <w:rFonts w:eastAsia="Times New Roman"/>
          <w:b/>
          <w:bCs/>
          <w:sz w:val="24"/>
          <w:szCs w:val="24"/>
        </w:rPr>
        <w:t>Pierce v. St. Vrain Valley Sch. Dist. RE-1J</w:t>
      </w:r>
      <w:r w:rsidRPr="00F755B7">
        <w:rPr>
          <w:rFonts w:eastAsia="Times New Roman"/>
          <w:bCs/>
          <w:sz w:val="24"/>
          <w:szCs w:val="24"/>
        </w:rPr>
        <w:t xml:space="preserve">, 981 P.2d 600 (Colo. 1999); </w:t>
      </w:r>
      <w:r w:rsidRPr="00F755B7">
        <w:rPr>
          <w:rFonts w:eastAsia="Times New Roman"/>
          <w:bCs/>
          <w:i/>
          <w:sz w:val="24"/>
          <w:szCs w:val="24"/>
        </w:rPr>
        <w:t>see also</w:t>
      </w:r>
      <w:r w:rsidRPr="00F755B7">
        <w:rPr>
          <w:rFonts w:eastAsia="Times New Roman"/>
          <w:bCs/>
          <w:sz w:val="24"/>
          <w:szCs w:val="24"/>
        </w:rPr>
        <w:t xml:space="preserve"> </w:t>
      </w:r>
      <w:r w:rsidRPr="00F755B7">
        <w:rPr>
          <w:rFonts w:eastAsia="Times New Roman"/>
          <w:b/>
          <w:bCs/>
          <w:sz w:val="24"/>
          <w:szCs w:val="24"/>
        </w:rPr>
        <w:t xml:space="preserve">Bailey v. </w:t>
      </w:r>
      <w:r w:rsidRPr="00F755B7">
        <w:rPr>
          <w:rFonts w:eastAsia="Times New Roman"/>
          <w:b/>
          <w:bCs/>
          <w:sz w:val="24"/>
          <w:szCs w:val="24"/>
        </w:rPr>
        <w:lastRenderedPageBreak/>
        <w:t>Lincoln Gen. Ins. Co</w:t>
      </w:r>
      <w:r w:rsidRPr="00F755B7">
        <w:rPr>
          <w:rFonts w:eastAsia="Times New Roman"/>
          <w:bCs/>
          <w:sz w:val="24"/>
          <w:szCs w:val="24"/>
        </w:rPr>
        <w:t xml:space="preserve">., 255 P.3d 1039 (Colo. 2011) (insurance provision of automobile rental agreement excluding coverage for intentional criminal acts was not void as against public policy); </w:t>
      </w:r>
      <w:r w:rsidRPr="00F755B7">
        <w:rPr>
          <w:rFonts w:eastAsia="Times New Roman"/>
          <w:b/>
          <w:bCs/>
          <w:sz w:val="24"/>
          <w:szCs w:val="24"/>
        </w:rPr>
        <w:t>Wheat Ridge Urban Renewal Auth. v. Cornerstone Group XXII, L.L.C.</w:t>
      </w:r>
      <w:r w:rsidRPr="00F755B7">
        <w:rPr>
          <w:rFonts w:eastAsia="Times New Roman"/>
          <w:bCs/>
          <w:sz w:val="24"/>
          <w:szCs w:val="24"/>
        </w:rPr>
        <w:t>, 176 P.3d 737 (Colo. 2007) (contract for renewal authority to acquire certain property by eminent domain condemnation if necessary not void);</w:t>
      </w:r>
      <w:r w:rsidR="000A705F">
        <w:rPr>
          <w:rFonts w:eastAsia="Times New Roman"/>
          <w:bCs/>
          <w:sz w:val="24"/>
          <w:szCs w:val="24"/>
        </w:rPr>
        <w:t xml:space="preserve"> </w:t>
      </w:r>
      <w:r w:rsidR="000A705F" w:rsidRPr="00703911">
        <w:rPr>
          <w:rFonts w:eastAsia="Times New Roman"/>
          <w:b/>
          <w:sz w:val="24"/>
          <w:szCs w:val="24"/>
        </w:rPr>
        <w:t>Heights Healthcare Co., LLC v. BCER Eng</w:t>
      </w:r>
      <w:r w:rsidR="00703911">
        <w:rPr>
          <w:rFonts w:eastAsia="Times New Roman"/>
          <w:b/>
          <w:sz w:val="24"/>
          <w:szCs w:val="24"/>
        </w:rPr>
        <w:t>’</w:t>
      </w:r>
      <w:r w:rsidR="000A705F" w:rsidRPr="00703911">
        <w:rPr>
          <w:rFonts w:eastAsia="Times New Roman"/>
          <w:b/>
          <w:sz w:val="24"/>
          <w:szCs w:val="24"/>
        </w:rPr>
        <w:t>g</w:t>
      </w:r>
      <w:r w:rsidR="00703911">
        <w:rPr>
          <w:rFonts w:eastAsia="Times New Roman"/>
          <w:b/>
          <w:sz w:val="24"/>
          <w:szCs w:val="24"/>
        </w:rPr>
        <w:t>, Inc.</w:t>
      </w:r>
      <w:r w:rsidR="000A705F">
        <w:rPr>
          <w:rFonts w:eastAsia="Times New Roman"/>
          <w:bCs/>
          <w:sz w:val="24"/>
          <w:szCs w:val="24"/>
        </w:rPr>
        <w:t>, 2023 COA 44, ¶</w:t>
      </w:r>
      <w:r w:rsidR="00703911">
        <w:rPr>
          <w:rFonts w:eastAsia="Times New Roman"/>
          <w:bCs/>
          <w:sz w:val="24"/>
          <w:szCs w:val="24"/>
        </w:rPr>
        <w:t xml:space="preserve"> </w:t>
      </w:r>
      <w:r w:rsidR="000A705F">
        <w:rPr>
          <w:rFonts w:eastAsia="Times New Roman"/>
          <w:bCs/>
          <w:sz w:val="24"/>
          <w:szCs w:val="24"/>
        </w:rPr>
        <w:t>26 (“Heights Healthcare is a ‘residential property’ . . . therefore</w:t>
      </w:r>
      <w:r w:rsidR="00390234">
        <w:rPr>
          <w:rFonts w:eastAsia="Times New Roman"/>
          <w:bCs/>
          <w:sz w:val="24"/>
          <w:szCs w:val="24"/>
        </w:rPr>
        <w:t>,</w:t>
      </w:r>
      <w:r w:rsidR="000A705F">
        <w:rPr>
          <w:rFonts w:eastAsia="Times New Roman"/>
          <w:bCs/>
          <w:sz w:val="24"/>
          <w:szCs w:val="24"/>
        </w:rPr>
        <w:t xml:space="preserve"> the trial court erred by enforcing” the contract term limiting liability under the Homeowner Protection Act);</w:t>
      </w:r>
      <w:r w:rsidRPr="00F755B7">
        <w:rPr>
          <w:rFonts w:eastAsia="Times New Roman"/>
          <w:bCs/>
          <w:sz w:val="24"/>
          <w:szCs w:val="24"/>
        </w:rPr>
        <w:t xml:space="preserve"> </w:t>
      </w:r>
      <w:r w:rsidRPr="00F755B7">
        <w:rPr>
          <w:rFonts w:eastAsia="Times New Roman"/>
          <w:b/>
          <w:bCs/>
          <w:sz w:val="24"/>
          <w:szCs w:val="24"/>
        </w:rPr>
        <w:t>Grippin v. State Farm Mut. Auto. Ins. Co.,</w:t>
      </w:r>
      <w:r w:rsidRPr="00F755B7">
        <w:rPr>
          <w:rFonts w:eastAsia="Times New Roman"/>
          <w:bCs/>
          <w:sz w:val="24"/>
          <w:szCs w:val="24"/>
        </w:rPr>
        <w:t xml:space="preserve"> 2016 COA 127, ¶ 26</w:t>
      </w:r>
      <w:r w:rsidR="004C330E">
        <w:rPr>
          <w:rFonts w:eastAsia="Times New Roman"/>
          <w:bCs/>
          <w:sz w:val="24"/>
          <w:szCs w:val="24"/>
        </w:rPr>
        <w:t>, 409 P.3d 529</w:t>
      </w:r>
      <w:r w:rsidRPr="00F755B7">
        <w:rPr>
          <w:rFonts w:eastAsia="Times New Roman"/>
          <w:bCs/>
          <w:sz w:val="24"/>
          <w:szCs w:val="24"/>
        </w:rPr>
        <w:t xml:space="preserve"> (insurance provision limiting coverage to relatives who reside “primarily” with the named insured was void as an improper limitation on statutorily mandated coverage); </w:t>
      </w:r>
      <w:r w:rsidRPr="00F755B7">
        <w:rPr>
          <w:rFonts w:eastAsia="Times New Roman"/>
          <w:b/>
          <w:bCs/>
          <w:sz w:val="24"/>
          <w:szCs w:val="24"/>
        </w:rPr>
        <w:t>Rocky Mountain Nat. Gas, LLC v. Colo. Mountain Junior Coll. Dist.</w:t>
      </w:r>
      <w:r w:rsidRPr="00F755B7">
        <w:rPr>
          <w:rFonts w:eastAsia="Times New Roman"/>
          <w:bCs/>
          <w:sz w:val="24"/>
          <w:szCs w:val="24"/>
        </w:rPr>
        <w:t xml:space="preserve">, 2014 COA 118, ¶ 20, 385 P.3d 848 (lease, which contained term that exceeded defendant’s statutory authority, was void); </w:t>
      </w:r>
      <w:r w:rsidRPr="00F755B7">
        <w:rPr>
          <w:rFonts w:eastAsia="Times New Roman"/>
          <w:b/>
          <w:bCs/>
          <w:sz w:val="24"/>
          <w:szCs w:val="24"/>
        </w:rPr>
        <w:t>Weize Co. v. Colo. Reg’l Constr., Inc.</w:t>
      </w:r>
      <w:r w:rsidRPr="00F755B7">
        <w:rPr>
          <w:rFonts w:eastAsia="Times New Roman"/>
          <w:bCs/>
          <w:sz w:val="24"/>
          <w:szCs w:val="24"/>
        </w:rPr>
        <w:t xml:space="preserve">, 251 P.3d 489 (Colo. App. 2010) (affirmative defense of illegality of contract with unlicensed plumber); </w:t>
      </w:r>
      <w:r w:rsidRPr="00F755B7">
        <w:rPr>
          <w:rFonts w:eastAsia="Times New Roman"/>
          <w:b/>
          <w:bCs/>
          <w:sz w:val="24"/>
          <w:szCs w:val="24"/>
        </w:rPr>
        <w:t>Amedeus Corp. v. McAllister</w:t>
      </w:r>
      <w:r w:rsidRPr="00F755B7">
        <w:rPr>
          <w:rFonts w:eastAsia="Times New Roman"/>
          <w:bCs/>
          <w:sz w:val="24"/>
          <w:szCs w:val="24"/>
        </w:rPr>
        <w:t xml:space="preserve">, 232 P.3d 107 (Colo. App. 2009) (agreement to pay fees for real estate work to unlicensed party illegal and unenforceable); </w:t>
      </w:r>
      <w:r w:rsidRPr="00F755B7">
        <w:rPr>
          <w:rFonts w:eastAsia="Times New Roman"/>
          <w:b/>
          <w:bCs/>
          <w:sz w:val="24"/>
          <w:szCs w:val="24"/>
        </w:rPr>
        <w:t>Platt v. Aspenwood Condo. Ass’n</w:t>
      </w:r>
      <w:r w:rsidRPr="00F755B7">
        <w:rPr>
          <w:rFonts w:eastAsia="Times New Roman"/>
          <w:bCs/>
          <w:sz w:val="24"/>
          <w:szCs w:val="24"/>
        </w:rPr>
        <w:t xml:space="preserve">, 214 P.3d 1060 (Colo. App. 2009) (where a statute expressly forbids sale of unit without vote of other owners and imposes a penalty for entering into a forbidden contract, the contract is void ab initio); </w:t>
      </w:r>
      <w:r w:rsidRPr="00F755B7">
        <w:rPr>
          <w:rFonts w:eastAsia="Times New Roman"/>
          <w:b/>
          <w:bCs/>
          <w:sz w:val="24"/>
          <w:szCs w:val="24"/>
        </w:rPr>
        <w:t>Dinosaur Park Invs. L.L.C. v. Tello</w:t>
      </w:r>
      <w:r w:rsidRPr="00F755B7">
        <w:rPr>
          <w:rFonts w:eastAsia="Times New Roman"/>
          <w:bCs/>
          <w:sz w:val="24"/>
          <w:szCs w:val="24"/>
        </w:rPr>
        <w:t xml:space="preserve">, 192 P.3d 513 (Colo. App. 2008) (contract for installment sale was illegal for failure to name public trustee, and issue properly raised as affirmative defense); </w:t>
      </w:r>
      <w:r w:rsidRPr="00F755B7">
        <w:rPr>
          <w:rFonts w:eastAsia="Times New Roman"/>
          <w:b/>
          <w:bCs/>
          <w:sz w:val="24"/>
          <w:szCs w:val="24"/>
        </w:rPr>
        <w:t>Shotkoski v. Denver Inv. Grp., Inc.</w:t>
      </w:r>
      <w:r w:rsidRPr="00F755B7">
        <w:rPr>
          <w:rFonts w:eastAsia="Times New Roman"/>
          <w:bCs/>
          <w:sz w:val="24"/>
          <w:szCs w:val="24"/>
        </w:rPr>
        <w:t xml:space="preserve">, 134 P.3d 513 (Colo. App. 2006) (agreement to compensate unlicensed real estate broker is illegal and unenforceable); </w:t>
      </w:r>
      <w:r w:rsidRPr="00F755B7">
        <w:rPr>
          <w:rFonts w:eastAsia="Times New Roman"/>
          <w:b/>
          <w:bCs/>
          <w:sz w:val="24"/>
          <w:szCs w:val="24"/>
        </w:rPr>
        <w:t>Harding v. Heritage Health Prods. Co.</w:t>
      </w:r>
      <w:r w:rsidRPr="00F755B7">
        <w:rPr>
          <w:rFonts w:eastAsia="Times New Roman"/>
          <w:bCs/>
          <w:sz w:val="24"/>
          <w:szCs w:val="24"/>
        </w:rPr>
        <w:t xml:space="preserve">, 98 P.3d 945 (Colo. App. 2004) (equitable doctrines may not be used to enforce illegal or void agreement); </w:t>
      </w:r>
      <w:r w:rsidRPr="00F755B7">
        <w:rPr>
          <w:rFonts w:eastAsia="Times New Roman"/>
          <w:b/>
          <w:bCs/>
          <w:sz w:val="24"/>
          <w:szCs w:val="24"/>
        </w:rPr>
        <w:t>Equitex, Inc. v. Ungar</w:t>
      </w:r>
      <w:r w:rsidRPr="00F755B7">
        <w:rPr>
          <w:rFonts w:eastAsia="Times New Roman"/>
          <w:bCs/>
          <w:sz w:val="24"/>
          <w:szCs w:val="24"/>
        </w:rPr>
        <w:t xml:space="preserve">, 60 P.3d 746 (Colo. App. 2002) (neither party to a contract may waive objections based on public policy or illegality and courts will not enforce contracts that violate public policy even if failure to do so is unfair). However, a party to an illegal contract cannot rely on the illegality of a contract to defeat a claim by a nonparty to the contract. </w:t>
      </w:r>
      <w:r w:rsidRPr="00F755B7">
        <w:rPr>
          <w:rFonts w:eastAsia="Times New Roman"/>
          <w:b/>
          <w:bCs/>
          <w:sz w:val="24"/>
          <w:szCs w:val="24"/>
        </w:rPr>
        <w:t>Bebo Constr. Co. v. Mattox &amp; O’Brien, P.C.</w:t>
      </w:r>
      <w:r w:rsidRPr="00F755B7">
        <w:rPr>
          <w:rFonts w:eastAsia="Times New Roman"/>
          <w:bCs/>
          <w:sz w:val="24"/>
          <w:szCs w:val="24"/>
        </w:rPr>
        <w:t xml:space="preserve">, 998 P.2d 475 (Colo. App. 2000) (party who entered into illegal joint venture agreement with law firm could not rely on illegality of joint venture to defeat claim by third-party). Similarly, a nonparty to a contract cannot raise the defense of illegality when sued by a party to an illegal contract. </w:t>
      </w:r>
      <w:r w:rsidRPr="00F755B7">
        <w:rPr>
          <w:rFonts w:eastAsia="Times New Roman"/>
          <w:b/>
          <w:bCs/>
          <w:sz w:val="24"/>
          <w:szCs w:val="24"/>
        </w:rPr>
        <w:t>Oppenheimer Indus., Inc. v. Firestone</w:t>
      </w:r>
      <w:r w:rsidRPr="00F755B7">
        <w:rPr>
          <w:rFonts w:eastAsia="Times New Roman"/>
          <w:bCs/>
          <w:sz w:val="24"/>
          <w:szCs w:val="24"/>
        </w:rPr>
        <w:t>, 39 Colo. App. 448, 569 P.2d 334 (1977) (suit for real estate commission).</w:t>
      </w:r>
    </w:p>
    <w:p w14:paraId="70CD4F95" w14:textId="28CAA926" w:rsidR="00753103" w:rsidRPr="00A84688" w:rsidRDefault="00753103" w:rsidP="00753103">
      <w:pPr>
        <w:spacing w:after="240"/>
        <w:ind w:firstLine="720"/>
        <w:rPr>
          <w:rFonts w:eastAsia="Times New Roman"/>
          <w:bCs/>
          <w:sz w:val="24"/>
          <w:szCs w:val="24"/>
        </w:rPr>
      </w:pPr>
      <w:r w:rsidRPr="00A84688">
        <w:rPr>
          <w:rFonts w:eastAsia="Times New Roman"/>
          <w:bCs/>
          <w:sz w:val="24"/>
          <w:szCs w:val="24"/>
        </w:rPr>
        <w:t xml:space="preserve">7. </w:t>
      </w:r>
      <w:r>
        <w:rPr>
          <w:rFonts w:eastAsia="Times New Roman"/>
          <w:bCs/>
          <w:sz w:val="24"/>
          <w:szCs w:val="24"/>
        </w:rPr>
        <w:t xml:space="preserve">Colorado Rule of Professional Conduct 1.8 is an expression of public policy, the violation of which may render an agreement unenforceable. </w:t>
      </w:r>
      <w:r w:rsidRPr="002B39A3">
        <w:rPr>
          <w:rFonts w:eastAsia="Times New Roman"/>
          <w:b/>
          <w:bCs/>
          <w:sz w:val="24"/>
          <w:szCs w:val="24"/>
        </w:rPr>
        <w:t>Calvert v. Mayberry</w:t>
      </w:r>
      <w:r w:rsidRPr="00A84688">
        <w:rPr>
          <w:rFonts w:eastAsia="Times New Roman"/>
          <w:bCs/>
          <w:sz w:val="24"/>
          <w:szCs w:val="24"/>
        </w:rPr>
        <w:t>, 2019 CO 23, ¶ 49</w:t>
      </w:r>
      <w:r>
        <w:rPr>
          <w:rFonts w:eastAsia="Times New Roman"/>
          <w:bCs/>
          <w:sz w:val="24"/>
          <w:szCs w:val="24"/>
        </w:rPr>
        <w:t>, 440 P.3d 424, 435</w:t>
      </w:r>
      <w:r w:rsidRPr="00A84688">
        <w:rPr>
          <w:rFonts w:eastAsia="Times New Roman"/>
          <w:bCs/>
          <w:sz w:val="24"/>
          <w:szCs w:val="24"/>
        </w:rPr>
        <w:t xml:space="preserve"> (“</w:t>
      </w:r>
      <w:r w:rsidR="00891A22">
        <w:rPr>
          <w:rFonts w:eastAsia="Times New Roman"/>
          <w:bCs/>
          <w:sz w:val="24"/>
          <w:szCs w:val="24"/>
        </w:rPr>
        <w:t>[W]</w:t>
      </w:r>
      <w:r w:rsidRPr="002B39A3">
        <w:rPr>
          <w:sz w:val="24"/>
          <w:szCs w:val="24"/>
        </w:rPr>
        <w:t xml:space="preserve">e hold that when an attorney </w:t>
      </w:r>
      <w:r w:rsidRPr="00891A22">
        <w:rPr>
          <w:sz w:val="24"/>
          <w:szCs w:val="24"/>
        </w:rPr>
        <w:t>enters in a</w:t>
      </w:r>
      <w:r w:rsidRPr="002B39A3">
        <w:rPr>
          <w:sz w:val="24"/>
          <w:szCs w:val="24"/>
        </w:rPr>
        <w:t xml:space="preserve"> contract without complying with Rule 1.8(a), the contract is presumptively void as against public policy; however, the attorney may rebut that presumption by showing that, under the circumstances, the contract does not contravene the public policy underlying Rule 1.8(a)</w:t>
      </w:r>
      <w:r w:rsidR="00891A22">
        <w:rPr>
          <w:sz w:val="24"/>
          <w:szCs w:val="24"/>
        </w:rPr>
        <w:t>.</w:t>
      </w:r>
      <w:r w:rsidRPr="002B39A3">
        <w:rPr>
          <w:sz w:val="24"/>
          <w:szCs w:val="24"/>
        </w:rPr>
        <w:t>”)</w:t>
      </w:r>
      <w:r>
        <w:rPr>
          <w:sz w:val="24"/>
          <w:szCs w:val="24"/>
        </w:rPr>
        <w:t>.</w:t>
      </w:r>
      <w:r w:rsidRPr="00A84688">
        <w:rPr>
          <w:rFonts w:eastAsia="Times New Roman"/>
          <w:bCs/>
          <w:sz w:val="24"/>
          <w:szCs w:val="24"/>
        </w:rPr>
        <w:t xml:space="preserve"> </w:t>
      </w:r>
      <w:r w:rsidR="0015641B">
        <w:rPr>
          <w:rFonts w:eastAsia="Times New Roman"/>
          <w:bCs/>
          <w:sz w:val="24"/>
          <w:szCs w:val="24"/>
        </w:rPr>
        <w:t xml:space="preserve">A contract term that violates </w:t>
      </w:r>
      <w:r w:rsidR="0070700B">
        <w:rPr>
          <w:rFonts w:eastAsia="Times New Roman"/>
          <w:bCs/>
          <w:sz w:val="24"/>
          <w:szCs w:val="24"/>
        </w:rPr>
        <w:t xml:space="preserve">Colorado Rule of Professional Conduct 5.6(a), which governs restrictions on the practice of law after departure from a firm, </w:t>
      </w:r>
      <w:r w:rsidR="006454FD">
        <w:rPr>
          <w:rFonts w:eastAsia="Times New Roman"/>
          <w:bCs/>
          <w:sz w:val="24"/>
          <w:szCs w:val="24"/>
        </w:rPr>
        <w:t>is void as against</w:t>
      </w:r>
      <w:r w:rsidR="0070700B">
        <w:rPr>
          <w:rFonts w:eastAsia="Times New Roman"/>
          <w:bCs/>
          <w:sz w:val="24"/>
          <w:szCs w:val="24"/>
        </w:rPr>
        <w:t xml:space="preserve"> public policy</w:t>
      </w:r>
      <w:r w:rsidR="006454FD">
        <w:rPr>
          <w:rFonts w:eastAsia="Times New Roman"/>
          <w:bCs/>
          <w:sz w:val="24"/>
          <w:szCs w:val="24"/>
        </w:rPr>
        <w:t>,</w:t>
      </w:r>
      <w:r w:rsidR="0015641B">
        <w:rPr>
          <w:rFonts w:eastAsia="Times New Roman"/>
          <w:bCs/>
          <w:sz w:val="24"/>
          <w:szCs w:val="24"/>
        </w:rPr>
        <w:t xml:space="preserve"> </w:t>
      </w:r>
      <w:r w:rsidR="0070700B">
        <w:rPr>
          <w:rFonts w:eastAsia="Times New Roman"/>
          <w:bCs/>
          <w:sz w:val="24"/>
          <w:szCs w:val="24"/>
        </w:rPr>
        <w:t xml:space="preserve">but </w:t>
      </w:r>
      <w:r w:rsidR="006454FD">
        <w:rPr>
          <w:rFonts w:eastAsia="Times New Roman"/>
          <w:bCs/>
          <w:sz w:val="24"/>
          <w:szCs w:val="24"/>
        </w:rPr>
        <w:t>the remainder of the agr</w:t>
      </w:r>
      <w:r w:rsidR="0070700B">
        <w:rPr>
          <w:rFonts w:eastAsia="Times New Roman"/>
          <w:bCs/>
          <w:sz w:val="24"/>
          <w:szCs w:val="24"/>
        </w:rPr>
        <w:t xml:space="preserve">eement </w:t>
      </w:r>
      <w:r w:rsidR="006454FD">
        <w:rPr>
          <w:rFonts w:eastAsia="Times New Roman"/>
          <w:bCs/>
          <w:sz w:val="24"/>
          <w:szCs w:val="24"/>
        </w:rPr>
        <w:t xml:space="preserve">is </w:t>
      </w:r>
      <w:r w:rsidR="0070700B">
        <w:rPr>
          <w:rFonts w:eastAsia="Times New Roman"/>
          <w:bCs/>
          <w:sz w:val="24"/>
          <w:szCs w:val="24"/>
        </w:rPr>
        <w:t xml:space="preserve">enforceable. </w:t>
      </w:r>
      <w:r w:rsidR="0070700B" w:rsidRPr="002E2D9E">
        <w:rPr>
          <w:rFonts w:eastAsia="Times New Roman"/>
          <w:b/>
          <w:sz w:val="24"/>
          <w:szCs w:val="24"/>
        </w:rPr>
        <w:t>Johnson Family Law</w:t>
      </w:r>
      <w:r w:rsidR="0070700B">
        <w:rPr>
          <w:rFonts w:eastAsia="Times New Roman"/>
          <w:b/>
          <w:sz w:val="24"/>
          <w:szCs w:val="24"/>
        </w:rPr>
        <w:t>,</w:t>
      </w:r>
      <w:r w:rsidR="0070700B" w:rsidRPr="002E2D9E">
        <w:rPr>
          <w:rFonts w:eastAsia="Times New Roman"/>
          <w:b/>
          <w:sz w:val="24"/>
          <w:szCs w:val="24"/>
        </w:rPr>
        <w:t xml:space="preserve"> P.C. v. Bursek</w:t>
      </w:r>
      <w:r w:rsidR="0070700B" w:rsidRPr="00162471">
        <w:rPr>
          <w:rFonts w:eastAsia="Times New Roman"/>
          <w:sz w:val="24"/>
          <w:szCs w:val="24"/>
        </w:rPr>
        <w:t>,</w:t>
      </w:r>
      <w:r w:rsidR="0070700B" w:rsidRPr="002E2D9E">
        <w:rPr>
          <w:rFonts w:eastAsia="Times New Roman"/>
          <w:b/>
          <w:sz w:val="24"/>
          <w:szCs w:val="24"/>
        </w:rPr>
        <w:t xml:space="preserve"> </w:t>
      </w:r>
      <w:r w:rsidR="0070700B">
        <w:rPr>
          <w:rFonts w:eastAsia="Times New Roman"/>
          <w:bCs/>
          <w:sz w:val="24"/>
          <w:szCs w:val="24"/>
        </w:rPr>
        <w:t>2022 COA 48, ¶ 62</w:t>
      </w:r>
      <w:r w:rsidR="00275682">
        <w:rPr>
          <w:rFonts w:eastAsia="Times New Roman"/>
          <w:bCs/>
          <w:sz w:val="24"/>
          <w:szCs w:val="24"/>
        </w:rPr>
        <w:t>, 515 P.3d 179, 191</w:t>
      </w:r>
      <w:r w:rsidR="0070700B">
        <w:rPr>
          <w:rFonts w:eastAsia="Times New Roman"/>
          <w:bCs/>
          <w:sz w:val="24"/>
          <w:szCs w:val="24"/>
        </w:rPr>
        <w:t xml:space="preserve"> (“we conclude that the provisions of the Agreement imposing the $1,052 per client fee are void as a matter of public policy, but the rest of the Agreement remains enforceable”).</w:t>
      </w:r>
    </w:p>
    <w:p w14:paraId="7F791D4C" w14:textId="34AF46DD" w:rsidR="00F755B7" w:rsidRDefault="00753103" w:rsidP="00F755B7">
      <w:pPr>
        <w:spacing w:after="240"/>
        <w:ind w:firstLine="720"/>
        <w:rPr>
          <w:rFonts w:eastAsia="Times New Roman"/>
          <w:bCs/>
          <w:sz w:val="24"/>
          <w:szCs w:val="24"/>
        </w:rPr>
      </w:pPr>
      <w:r>
        <w:rPr>
          <w:rFonts w:eastAsia="Times New Roman"/>
          <w:bCs/>
          <w:sz w:val="24"/>
          <w:szCs w:val="24"/>
        </w:rPr>
        <w:t>8</w:t>
      </w:r>
      <w:r w:rsidR="00F755B7" w:rsidRPr="00F755B7">
        <w:rPr>
          <w:rFonts w:eastAsia="Times New Roman"/>
          <w:bCs/>
          <w:sz w:val="24"/>
          <w:szCs w:val="24"/>
        </w:rPr>
        <w:t xml:space="preserve">. Whether exculpatory clauses are sufficient and valid is a question of law for the court. Four factors are considered by courts when evaluating the enforceability of exculpatory clauses: </w:t>
      </w:r>
      <w:r w:rsidR="00F755B7" w:rsidRPr="00F755B7">
        <w:rPr>
          <w:rFonts w:eastAsia="Times New Roman"/>
          <w:bCs/>
          <w:sz w:val="24"/>
          <w:szCs w:val="24"/>
        </w:rPr>
        <w:lastRenderedPageBreak/>
        <w:t xml:space="preserve">(1) the existence of a duty to the public; (2) the nature of the service performed; (3) whether the contract was fairly entered into; and (4) whether the intention of the parties was expressed in clear and unambiguous language. </w:t>
      </w:r>
      <w:r w:rsidR="00F755B7" w:rsidRPr="00F755B7">
        <w:rPr>
          <w:rFonts w:eastAsia="Times New Roman"/>
          <w:b/>
          <w:bCs/>
          <w:sz w:val="24"/>
          <w:szCs w:val="24"/>
        </w:rPr>
        <w:t>McShane v. Stirling Ranch Prop. Owners Ass’n, Inc</w:t>
      </w:r>
      <w:r w:rsidR="00F755B7" w:rsidRPr="00F755B7">
        <w:rPr>
          <w:rFonts w:eastAsia="Times New Roman"/>
          <w:bCs/>
          <w:sz w:val="24"/>
          <w:szCs w:val="24"/>
        </w:rPr>
        <w:t xml:space="preserve">., 2017 CO 38, ¶ 13, 393 P.3d 978; </w:t>
      </w:r>
      <w:r w:rsidR="00F755B7" w:rsidRPr="00F755B7">
        <w:rPr>
          <w:rFonts w:eastAsia="Times New Roman"/>
          <w:bCs/>
          <w:i/>
          <w:sz w:val="24"/>
          <w:szCs w:val="24"/>
        </w:rPr>
        <w:t>see also</w:t>
      </w:r>
      <w:r w:rsidR="00F755B7" w:rsidRPr="00F755B7">
        <w:rPr>
          <w:rFonts w:eastAsia="Times New Roman"/>
          <w:bCs/>
          <w:sz w:val="24"/>
          <w:szCs w:val="24"/>
        </w:rPr>
        <w:t xml:space="preserve"> </w:t>
      </w:r>
      <w:r w:rsidR="00F755B7" w:rsidRPr="00F755B7">
        <w:rPr>
          <w:rFonts w:eastAsia="Times New Roman"/>
          <w:b/>
          <w:bCs/>
          <w:sz w:val="24"/>
          <w:szCs w:val="24"/>
        </w:rPr>
        <w:t>Stone v. Life Time Fitness, Inc</w:t>
      </w:r>
      <w:r w:rsidR="00F755B7" w:rsidRPr="00F755B7">
        <w:rPr>
          <w:rFonts w:eastAsia="Times New Roman"/>
          <w:bCs/>
          <w:sz w:val="24"/>
          <w:szCs w:val="24"/>
        </w:rPr>
        <w:t>., 2016 COA 189M, ¶ 35</w:t>
      </w:r>
      <w:r w:rsidR="004C330E">
        <w:rPr>
          <w:rFonts w:eastAsia="Times New Roman"/>
          <w:bCs/>
          <w:sz w:val="24"/>
          <w:szCs w:val="24"/>
        </w:rPr>
        <w:t>, 411 P.3d 225</w:t>
      </w:r>
      <w:r w:rsidR="00F755B7" w:rsidRPr="00F755B7">
        <w:rPr>
          <w:rFonts w:eastAsia="Times New Roman"/>
          <w:bCs/>
          <w:sz w:val="24"/>
          <w:szCs w:val="24"/>
        </w:rPr>
        <w:t xml:space="preserve"> (release language in membership agreement was ambiguous and accordingly did not bar claim for injury sustained while washing hands in restroom)</w:t>
      </w:r>
      <w:r w:rsidR="006B7995">
        <w:rPr>
          <w:rFonts w:eastAsia="Times New Roman"/>
          <w:bCs/>
          <w:sz w:val="24"/>
          <w:szCs w:val="24"/>
        </w:rPr>
        <w:t xml:space="preserve">; </w:t>
      </w:r>
      <w:r w:rsidR="006B7995" w:rsidRPr="004A6200">
        <w:rPr>
          <w:rFonts w:eastAsia="Times New Roman"/>
          <w:b/>
          <w:sz w:val="24"/>
          <w:szCs w:val="24"/>
        </w:rPr>
        <w:t>Redden v. Clear Creek Skiing Corp</w:t>
      </w:r>
      <w:r w:rsidR="006B7995">
        <w:rPr>
          <w:rFonts w:eastAsia="Times New Roman"/>
          <w:b/>
          <w:sz w:val="24"/>
          <w:szCs w:val="24"/>
        </w:rPr>
        <w:t>.</w:t>
      </w:r>
      <w:r w:rsidR="006B7995">
        <w:rPr>
          <w:rFonts w:eastAsia="Times New Roman"/>
          <w:bCs/>
          <w:sz w:val="24"/>
          <w:szCs w:val="24"/>
        </w:rPr>
        <w:t>, 2020 COA 176, ¶ 31, 490 P.3d 1063, 1071 (“We conclude that the two exculpatory agreements are clear: The purchaser of the boots and the holder of the ticket are ‘to assume all risks of skiing, whether inherent to skiing or not.’”)</w:t>
      </w:r>
      <w:r w:rsidR="00F755B7" w:rsidRPr="00F755B7">
        <w:rPr>
          <w:rFonts w:eastAsia="Times New Roman"/>
          <w:bCs/>
          <w:sz w:val="24"/>
          <w:szCs w:val="24"/>
        </w:rPr>
        <w:t>.</w:t>
      </w:r>
    </w:p>
    <w:p w14:paraId="6630CA06" w14:textId="6B81F56D" w:rsidR="00753103" w:rsidRPr="00F755B7" w:rsidRDefault="00753103" w:rsidP="00F755B7">
      <w:pPr>
        <w:spacing w:after="240"/>
        <w:ind w:firstLine="720"/>
        <w:rPr>
          <w:rFonts w:eastAsia="Times New Roman"/>
          <w:bCs/>
          <w:sz w:val="24"/>
          <w:szCs w:val="24"/>
        </w:rPr>
      </w:pPr>
      <w:r>
        <w:rPr>
          <w:rFonts w:eastAsia="Times New Roman"/>
          <w:bCs/>
          <w:sz w:val="24"/>
          <w:szCs w:val="24"/>
        </w:rPr>
        <w:t>9</w:t>
      </w:r>
      <w:r w:rsidRPr="002612AD">
        <w:rPr>
          <w:rFonts w:eastAsia="Times New Roman"/>
          <w:bCs/>
          <w:sz w:val="24"/>
          <w:szCs w:val="24"/>
        </w:rPr>
        <w:t xml:space="preserve">. </w:t>
      </w:r>
      <w:r w:rsidRPr="00A6332F">
        <w:rPr>
          <w:color w:val="1E1E1E"/>
          <w:sz w:val="24"/>
          <w:szCs w:val="24"/>
          <w:shd w:val="clear" w:color="auto" w:fill="FFFFFF"/>
        </w:rPr>
        <w:t xml:space="preserve">Whether a contract disclaimer is clear and conspicuous is a question of law for the court. </w:t>
      </w:r>
      <w:r w:rsidRPr="00A6332F">
        <w:rPr>
          <w:b/>
          <w:color w:val="1E1E1E"/>
          <w:sz w:val="24"/>
          <w:szCs w:val="24"/>
          <w:shd w:val="clear" w:color="auto" w:fill="FFFFFF"/>
        </w:rPr>
        <w:t>Cummings v. Arapahoe Cty</w:t>
      </w:r>
      <w:r>
        <w:rPr>
          <w:b/>
          <w:color w:val="1E1E1E"/>
          <w:sz w:val="24"/>
          <w:szCs w:val="24"/>
          <w:shd w:val="clear" w:color="auto" w:fill="FFFFFF"/>
        </w:rPr>
        <w:t>.</w:t>
      </w:r>
      <w:r w:rsidRPr="00A6332F">
        <w:rPr>
          <w:b/>
          <w:color w:val="1E1E1E"/>
          <w:sz w:val="24"/>
          <w:szCs w:val="24"/>
          <w:shd w:val="clear" w:color="auto" w:fill="FFFFFF"/>
        </w:rPr>
        <w:t xml:space="preserve"> Sheriff’s Dep</w:t>
      </w:r>
      <w:r>
        <w:rPr>
          <w:b/>
          <w:color w:val="1E1E1E"/>
          <w:sz w:val="24"/>
          <w:szCs w:val="24"/>
          <w:shd w:val="clear" w:color="auto" w:fill="FFFFFF"/>
        </w:rPr>
        <w:t>’</w:t>
      </w:r>
      <w:r w:rsidRPr="00A6332F">
        <w:rPr>
          <w:b/>
          <w:color w:val="1E1E1E"/>
          <w:sz w:val="24"/>
          <w:szCs w:val="24"/>
          <w:shd w:val="clear" w:color="auto" w:fill="FFFFFF"/>
        </w:rPr>
        <w:t>t</w:t>
      </w:r>
      <w:r w:rsidRPr="00A6332F">
        <w:rPr>
          <w:color w:val="1E1E1E"/>
          <w:sz w:val="24"/>
          <w:szCs w:val="24"/>
          <w:shd w:val="clear" w:color="auto" w:fill="FFFFFF"/>
        </w:rPr>
        <w:t>, 20</w:t>
      </w:r>
      <w:r>
        <w:rPr>
          <w:color w:val="1E1E1E"/>
          <w:sz w:val="24"/>
          <w:szCs w:val="24"/>
          <w:shd w:val="clear" w:color="auto" w:fill="FFFFFF"/>
        </w:rPr>
        <w:t>1</w:t>
      </w:r>
      <w:r w:rsidRPr="00A6332F">
        <w:rPr>
          <w:color w:val="1E1E1E"/>
          <w:sz w:val="24"/>
          <w:szCs w:val="24"/>
          <w:shd w:val="clear" w:color="auto" w:fill="FFFFFF"/>
        </w:rPr>
        <w:t>8 COA 136</w:t>
      </w:r>
      <w:r w:rsidR="00891A22">
        <w:rPr>
          <w:color w:val="1E1E1E"/>
          <w:sz w:val="24"/>
          <w:szCs w:val="24"/>
          <w:shd w:val="clear" w:color="auto" w:fill="FFFFFF"/>
        </w:rPr>
        <w:t>,</w:t>
      </w:r>
      <w:r w:rsidRPr="00A6332F">
        <w:rPr>
          <w:color w:val="1E1E1E"/>
          <w:sz w:val="24"/>
          <w:szCs w:val="24"/>
          <w:shd w:val="clear" w:color="auto" w:fill="FFFFFF"/>
        </w:rPr>
        <w:t xml:space="preserve"> ¶ 56</w:t>
      </w:r>
      <w:r>
        <w:rPr>
          <w:color w:val="1E1E1E"/>
          <w:sz w:val="24"/>
          <w:szCs w:val="24"/>
          <w:shd w:val="clear" w:color="auto" w:fill="FFFFFF"/>
        </w:rPr>
        <w:t>, 440 P.3d 1179</w:t>
      </w:r>
      <w:r w:rsidRPr="00A6332F">
        <w:rPr>
          <w:color w:val="1E1E1E"/>
          <w:sz w:val="24"/>
          <w:szCs w:val="24"/>
          <w:shd w:val="clear" w:color="auto" w:fill="FFFFFF"/>
        </w:rPr>
        <w:t xml:space="preserve"> (“when a clear and conspicuous disclaimer informs an employee that he or she cannot reasonably rely on termination procedures or substantive restrictions on termination contained in an employee manual, a claim based on an implied contract claim ordinarily fails as a matter of law”)</w:t>
      </w:r>
      <w:r>
        <w:rPr>
          <w:color w:val="1E1E1E"/>
          <w:sz w:val="24"/>
          <w:szCs w:val="24"/>
          <w:shd w:val="clear" w:color="auto" w:fill="FFFFFF"/>
        </w:rPr>
        <w:t>.</w:t>
      </w:r>
    </w:p>
    <w:p w14:paraId="6465F7F9" w14:textId="5D7D7972" w:rsidR="00F755B7" w:rsidRDefault="00753103" w:rsidP="00F755B7">
      <w:pPr>
        <w:spacing w:after="240"/>
        <w:ind w:firstLine="720"/>
        <w:rPr>
          <w:rFonts w:eastAsia="Times New Roman"/>
          <w:bCs/>
          <w:sz w:val="24"/>
          <w:szCs w:val="24"/>
        </w:rPr>
      </w:pPr>
      <w:r>
        <w:rPr>
          <w:rFonts w:eastAsia="Times New Roman"/>
          <w:bCs/>
          <w:sz w:val="24"/>
          <w:szCs w:val="24"/>
        </w:rPr>
        <w:t>10</w:t>
      </w:r>
      <w:r w:rsidR="00F755B7" w:rsidRPr="00F755B7">
        <w:rPr>
          <w:rFonts w:eastAsia="Times New Roman"/>
          <w:bCs/>
          <w:sz w:val="24"/>
          <w:szCs w:val="24"/>
        </w:rPr>
        <w:t xml:space="preserve">. A contract may be unenforceable in some circumstances when it is so unfair as to be unconscionable. </w:t>
      </w:r>
      <w:r w:rsidR="00F755B7" w:rsidRPr="00F755B7">
        <w:rPr>
          <w:rFonts w:eastAsia="Times New Roman"/>
          <w:b/>
          <w:bCs/>
          <w:sz w:val="24"/>
          <w:szCs w:val="24"/>
        </w:rPr>
        <w:t>Davis v. M.L.G. Corp.</w:t>
      </w:r>
      <w:r w:rsidR="00F755B7" w:rsidRPr="00F755B7">
        <w:rPr>
          <w:rFonts w:eastAsia="Times New Roman"/>
          <w:bCs/>
          <w:sz w:val="24"/>
          <w:szCs w:val="24"/>
        </w:rPr>
        <w:t xml:space="preserve">, 712 P.2d 985 (Colo. 1986) (rental insurance agreement excluding coverage when car used in the commission of a crime unconscionable, based on parties’ expectations and overreaching by rental agency); </w:t>
      </w:r>
      <w:r w:rsidR="00F755B7" w:rsidRPr="00F755B7">
        <w:rPr>
          <w:rFonts w:eastAsia="Times New Roman"/>
          <w:b/>
          <w:bCs/>
          <w:sz w:val="24"/>
          <w:szCs w:val="24"/>
        </w:rPr>
        <w:t>Planned Pethood Plus, Inc. v. KeyCorp, Inc.</w:t>
      </w:r>
      <w:r w:rsidR="00F755B7" w:rsidRPr="00F755B7">
        <w:rPr>
          <w:rFonts w:eastAsia="Times New Roman"/>
          <w:bCs/>
          <w:sz w:val="24"/>
          <w:szCs w:val="24"/>
        </w:rPr>
        <w:t xml:space="preserve">, 228 P.3d 262 (Colo. App. 2010) (prepayment penalty clause in promissory note not unconscionable where amount of penalty was modest and language in note was prominent); </w:t>
      </w:r>
      <w:r w:rsidR="00F755B7" w:rsidRPr="00F755B7">
        <w:rPr>
          <w:rFonts w:eastAsia="Times New Roman"/>
          <w:bCs/>
          <w:i/>
          <w:sz w:val="24"/>
          <w:szCs w:val="24"/>
        </w:rPr>
        <w:t>cf.</w:t>
      </w:r>
      <w:r w:rsidR="00F755B7" w:rsidRPr="00F755B7">
        <w:rPr>
          <w:rFonts w:eastAsia="Times New Roman"/>
          <w:bCs/>
          <w:sz w:val="24"/>
          <w:szCs w:val="24"/>
        </w:rPr>
        <w:t xml:space="preserve"> </w:t>
      </w:r>
      <w:r w:rsidR="00F755B7" w:rsidRPr="00F755B7">
        <w:rPr>
          <w:rFonts w:eastAsia="Times New Roman"/>
          <w:b/>
          <w:bCs/>
          <w:sz w:val="24"/>
          <w:szCs w:val="24"/>
        </w:rPr>
        <w:t>Bailey</w:t>
      </w:r>
      <w:r w:rsidR="00F755B7" w:rsidRPr="00F755B7">
        <w:rPr>
          <w:rFonts w:eastAsia="Times New Roman"/>
          <w:bCs/>
          <w:sz w:val="24"/>
          <w:szCs w:val="24"/>
        </w:rPr>
        <w:t>, 255 P.3d at 1057 (provision in widely used standard rental agreement avoiding coverage when car used in commission of a crime not unconscionable and did not violate the reasonable expectations of the insured).</w:t>
      </w:r>
    </w:p>
    <w:p w14:paraId="31A8E9B9" w14:textId="058C41F9" w:rsidR="0070700B" w:rsidRPr="00F755B7" w:rsidRDefault="0070700B" w:rsidP="00F755B7">
      <w:pPr>
        <w:spacing w:after="240"/>
        <w:ind w:firstLine="720"/>
        <w:rPr>
          <w:rFonts w:eastAsia="Times New Roman"/>
          <w:bCs/>
          <w:sz w:val="24"/>
          <w:szCs w:val="24"/>
        </w:rPr>
      </w:pPr>
      <w:r>
        <w:rPr>
          <w:rFonts w:eastAsia="Times New Roman"/>
          <w:bCs/>
          <w:sz w:val="24"/>
          <w:szCs w:val="24"/>
        </w:rPr>
        <w:t xml:space="preserve">11. Contractual limitations of liability and exculpatory agreements are different in kind.  Ambiguous exculpatory agreements are void; the meaning of ambiguous contractual limitations clauses must be resolved by the trier of fact. </w:t>
      </w:r>
      <w:r w:rsidRPr="002E2D9E">
        <w:rPr>
          <w:rFonts w:eastAsia="Times New Roman"/>
          <w:b/>
          <w:sz w:val="24"/>
          <w:szCs w:val="24"/>
        </w:rPr>
        <w:t>Johnson Nathan Strohe, P.C. v. MEP Eng</w:t>
      </w:r>
      <w:r>
        <w:rPr>
          <w:rFonts w:eastAsia="Times New Roman"/>
          <w:b/>
          <w:sz w:val="24"/>
          <w:szCs w:val="24"/>
        </w:rPr>
        <w:t>’</w:t>
      </w:r>
      <w:r w:rsidRPr="002E2D9E">
        <w:rPr>
          <w:rFonts w:eastAsia="Times New Roman"/>
          <w:b/>
          <w:sz w:val="24"/>
          <w:szCs w:val="24"/>
        </w:rPr>
        <w:t>g, Inc.</w:t>
      </w:r>
      <w:r w:rsidR="00162471">
        <w:rPr>
          <w:rFonts w:eastAsia="Times New Roman"/>
          <w:sz w:val="24"/>
          <w:szCs w:val="24"/>
        </w:rPr>
        <w:t>,</w:t>
      </w:r>
      <w:r>
        <w:rPr>
          <w:rFonts w:eastAsia="Times New Roman"/>
          <w:bCs/>
          <w:sz w:val="24"/>
          <w:szCs w:val="24"/>
        </w:rPr>
        <w:t xml:space="preserve"> 2021 COA 125, ¶¶ 17, 29, 501 P.3d 826, 830, 832 (clause limiting liability to “twice The Engineer’s fee . . . as consequential damages” was ambiguous, but not void).</w:t>
      </w:r>
    </w:p>
    <w:p w14:paraId="36E705F7" w14:textId="5F72AC2B" w:rsidR="00F755B7" w:rsidRPr="00F755B7" w:rsidRDefault="00753103" w:rsidP="00F755B7">
      <w:pPr>
        <w:spacing w:after="240"/>
        <w:ind w:firstLine="720"/>
        <w:rPr>
          <w:rFonts w:eastAsia="Times New Roman"/>
          <w:bCs/>
          <w:sz w:val="24"/>
          <w:szCs w:val="24"/>
        </w:rPr>
      </w:pPr>
      <w:r>
        <w:rPr>
          <w:rFonts w:eastAsia="Times New Roman"/>
          <w:bCs/>
          <w:sz w:val="24"/>
          <w:szCs w:val="24"/>
        </w:rPr>
        <w:t>1</w:t>
      </w:r>
      <w:r w:rsidR="0070700B">
        <w:rPr>
          <w:rFonts w:eastAsia="Times New Roman"/>
          <w:bCs/>
          <w:sz w:val="24"/>
          <w:szCs w:val="24"/>
        </w:rPr>
        <w:t>2</w:t>
      </w:r>
      <w:r w:rsidR="00F755B7" w:rsidRPr="00F755B7">
        <w:rPr>
          <w:rFonts w:eastAsia="Times New Roman"/>
          <w:bCs/>
          <w:sz w:val="24"/>
          <w:szCs w:val="24"/>
        </w:rPr>
        <w:t xml:space="preserve">. A limitation of liability term in a contract is not enforceable where </w:t>
      </w:r>
      <w:r w:rsidR="00716C9E">
        <w:rPr>
          <w:rFonts w:eastAsia="Times New Roman"/>
          <w:bCs/>
          <w:sz w:val="24"/>
          <w:szCs w:val="24"/>
        </w:rPr>
        <w:t>the party seeking to enforce the limitation has willfully and wantonly breached the contract</w:t>
      </w:r>
      <w:r w:rsidR="00F755B7" w:rsidRPr="00F755B7">
        <w:rPr>
          <w:rFonts w:eastAsia="Times New Roman"/>
          <w:bCs/>
          <w:sz w:val="24"/>
          <w:szCs w:val="24"/>
        </w:rPr>
        <w:t xml:space="preserve">. </w:t>
      </w:r>
      <w:r w:rsidR="00F755B7" w:rsidRPr="00F755B7">
        <w:rPr>
          <w:rFonts w:eastAsia="Times New Roman"/>
          <w:b/>
          <w:bCs/>
          <w:sz w:val="24"/>
          <w:szCs w:val="24"/>
        </w:rPr>
        <w:t>Core-Mark Midcontinent, Inc. v. Sonitrol Corp.</w:t>
      </w:r>
      <w:r w:rsidR="00F755B7" w:rsidRPr="00F755B7">
        <w:rPr>
          <w:rFonts w:eastAsia="Times New Roman"/>
          <w:bCs/>
          <w:sz w:val="24"/>
          <w:szCs w:val="24"/>
        </w:rPr>
        <w:t xml:space="preserve">, 2012 COA 120, ¶ 16, 300 P.3d 963 (whether a breach is willful and wanton presents a question of fact for the jury); </w:t>
      </w:r>
      <w:r w:rsidR="00F755B7" w:rsidRPr="00F755B7">
        <w:rPr>
          <w:rFonts w:eastAsia="Times New Roman"/>
          <w:b/>
          <w:bCs/>
          <w:sz w:val="24"/>
          <w:szCs w:val="24"/>
        </w:rPr>
        <w:t>Taylor Morrison of Colo.</w:t>
      </w:r>
      <w:r w:rsidR="00FB29B2">
        <w:rPr>
          <w:rFonts w:eastAsia="Times New Roman"/>
          <w:b/>
          <w:bCs/>
          <w:sz w:val="24"/>
          <w:szCs w:val="24"/>
        </w:rPr>
        <w:t>,</w:t>
      </w:r>
      <w:r w:rsidR="00F755B7" w:rsidRPr="00F755B7">
        <w:rPr>
          <w:rFonts w:eastAsia="Times New Roman"/>
          <w:b/>
          <w:bCs/>
          <w:sz w:val="24"/>
          <w:szCs w:val="24"/>
        </w:rPr>
        <w:t xml:space="preserve"> Inc., v. Terracon Consultants, Inc.</w:t>
      </w:r>
      <w:r w:rsidR="00F755B7" w:rsidRPr="00F755B7">
        <w:rPr>
          <w:rFonts w:eastAsia="Times New Roman"/>
          <w:bCs/>
          <w:sz w:val="24"/>
          <w:szCs w:val="24"/>
        </w:rPr>
        <w:t>, 2017 COA 64, ¶ 10</w:t>
      </w:r>
      <w:r w:rsidR="00F06ADD">
        <w:rPr>
          <w:rFonts w:eastAsia="Times New Roman"/>
          <w:bCs/>
          <w:sz w:val="24"/>
          <w:szCs w:val="24"/>
        </w:rPr>
        <w:t>, 410 P.3d 767</w:t>
      </w:r>
      <w:r w:rsidR="00F755B7" w:rsidRPr="00F755B7">
        <w:rPr>
          <w:rFonts w:eastAsia="Times New Roman"/>
          <w:bCs/>
          <w:sz w:val="24"/>
          <w:szCs w:val="24"/>
        </w:rPr>
        <w:t xml:space="preserve"> (jury concluded that defendant’s conduct was not “willful and wanton” and court enforced clause limiting defendant’s liability for breach).</w:t>
      </w:r>
    </w:p>
    <w:p w14:paraId="57DCADE5" w14:textId="4D43D11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1</w:t>
      </w:r>
      <w:r w:rsidR="0070700B">
        <w:rPr>
          <w:rFonts w:eastAsia="Times New Roman"/>
          <w:bCs/>
          <w:sz w:val="24"/>
          <w:szCs w:val="24"/>
        </w:rPr>
        <w:t>3</w:t>
      </w:r>
      <w:r w:rsidRPr="00F755B7">
        <w:rPr>
          <w:rFonts w:eastAsia="Times New Roman"/>
          <w:bCs/>
          <w:sz w:val="24"/>
          <w:szCs w:val="24"/>
        </w:rPr>
        <w:t xml:space="preserve">. The defense of noncooperation in an insurance context must be pleaded as either an affirmative defense or a failure of condition precedent. </w:t>
      </w:r>
      <w:r w:rsidRPr="00F755B7">
        <w:rPr>
          <w:rFonts w:eastAsia="Times New Roman"/>
          <w:b/>
          <w:bCs/>
          <w:sz w:val="24"/>
          <w:szCs w:val="24"/>
        </w:rPr>
        <w:t>Soicher v. State Farm Mut. Auto. Ins. Co</w:t>
      </w:r>
      <w:r w:rsidRPr="00F755B7">
        <w:rPr>
          <w:rFonts w:eastAsia="Times New Roman"/>
          <w:bCs/>
          <w:sz w:val="24"/>
          <w:szCs w:val="24"/>
        </w:rPr>
        <w:t>., 2015 COA 46, ¶ 2, 351 P.3d 559 (holding that failure to cooperate may not be raised for first time in a proposed verdict form).</w:t>
      </w:r>
    </w:p>
    <w:p w14:paraId="480809E0" w14:textId="77777777" w:rsidR="00184ADB" w:rsidRDefault="00184ADB">
      <w:pPr>
        <w:rPr>
          <w:rFonts w:eastAsia="Times New Roman"/>
          <w:bCs/>
          <w:sz w:val="24"/>
          <w:szCs w:val="24"/>
        </w:rPr>
      </w:pPr>
      <w:r>
        <w:rPr>
          <w:rFonts w:eastAsia="Times New Roman"/>
          <w:bCs/>
          <w:sz w:val="24"/>
          <w:szCs w:val="24"/>
        </w:rPr>
        <w:br w:type="page"/>
      </w:r>
    </w:p>
    <w:p w14:paraId="776FAE7D" w14:textId="77777777" w:rsidR="00184ADB" w:rsidRPr="009E3DA4" w:rsidRDefault="002E1D1B" w:rsidP="00184ADB">
      <w:pPr>
        <w:spacing w:after="240"/>
        <w:ind w:left="720" w:hanging="720"/>
        <w:rPr>
          <w:rFonts w:eastAsia="Times New Roman"/>
          <w:b/>
          <w:sz w:val="24"/>
          <w:szCs w:val="24"/>
        </w:rPr>
      </w:pPr>
      <w:bookmarkStart w:id="19" w:name="a30_18"/>
      <w:bookmarkEnd w:id="19"/>
      <w:r w:rsidRPr="002E1D1B">
        <w:rPr>
          <w:rFonts w:eastAsia="Times New Roman"/>
          <w:b/>
          <w:bCs/>
          <w:sz w:val="24"/>
          <w:szCs w:val="24"/>
        </w:rPr>
        <w:lastRenderedPageBreak/>
        <w:t>30:18</w:t>
      </w:r>
      <w:r w:rsidRPr="002E1D1B">
        <w:rPr>
          <w:rFonts w:eastAsia="Times New Roman"/>
          <w:b/>
          <w:bCs/>
          <w:sz w:val="24"/>
          <w:szCs w:val="24"/>
        </w:rPr>
        <w:tab/>
        <w:t>DEFENSE — FRAUD IN THE INDUCEMENT</w:t>
      </w:r>
    </w:p>
    <w:p w14:paraId="1285E2A1"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 xml:space="preserve">The defendant, </w:t>
      </w:r>
      <w:r w:rsidRPr="002E1D1B">
        <w:rPr>
          <w:rFonts w:eastAsia="Times New Roman"/>
          <w:bCs/>
          <w:i/>
          <w:sz w:val="24"/>
          <w:szCs w:val="24"/>
        </w:rPr>
        <w:t>(name)</w:t>
      </w:r>
      <w:r w:rsidRPr="002E1D1B">
        <w:rPr>
          <w:rFonts w:eastAsia="Times New Roman"/>
          <w:b/>
          <w:bCs/>
          <w:sz w:val="24"/>
          <w:szCs w:val="24"/>
        </w:rPr>
        <w:t xml:space="preserve">, is not legally responsible to the plaintiff, </w:t>
      </w:r>
      <w:r w:rsidRPr="002E1D1B">
        <w:rPr>
          <w:rFonts w:eastAsia="Times New Roman"/>
          <w:bCs/>
          <w:i/>
          <w:sz w:val="24"/>
          <w:szCs w:val="24"/>
        </w:rPr>
        <w:t>(name)</w:t>
      </w:r>
      <w:r w:rsidRPr="002E1D1B">
        <w:rPr>
          <w:rFonts w:eastAsia="Times New Roman"/>
          <w:b/>
          <w:bCs/>
          <w:sz w:val="24"/>
          <w:szCs w:val="24"/>
        </w:rPr>
        <w:t>, on the plaintiff’s claim of breach of contract if the affirmative defense of fraud is proved. This defense is proved if you find all of the following:</w:t>
      </w:r>
    </w:p>
    <w:p w14:paraId="3553FFA6"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1. The plaintiff (concealed a past or present fact) (failed to disclose a past or present fact that the plaintiff had a duty to disclose) (made a false representation of a past or present fact);</w:t>
      </w:r>
    </w:p>
    <w:p w14:paraId="72834FE1"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2. The fact was material;</w:t>
      </w:r>
    </w:p>
    <w:p w14:paraId="329C5D01"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3. The defendant entered into the (claimed) contract relying on the assumption that the ([concealed] [undisclosed] fact did not exist or was different from what it actually was) (falsely stated fact was true);</w:t>
      </w:r>
    </w:p>
    <w:p w14:paraId="33A8C95A"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4. The defendant’s reliance was justified;</w:t>
      </w:r>
    </w:p>
    <w:p w14:paraId="6D41614D" w14:textId="5CCD4CB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 xml:space="preserve">5. The defendant’s reliance caused </w:t>
      </w:r>
      <w:r w:rsidR="00390234" w:rsidRPr="0070684C">
        <w:rPr>
          <w:rFonts w:eastAsia="Times New Roman"/>
          <w:i/>
          <w:iCs/>
          <w:sz w:val="24"/>
          <w:szCs w:val="24"/>
        </w:rPr>
        <w:t>(insert applicable pronoun</w:t>
      </w:r>
      <w:r w:rsidR="00390234">
        <w:rPr>
          <w:rFonts w:eastAsia="Times New Roman"/>
          <w:i/>
          <w:iCs/>
          <w:sz w:val="24"/>
          <w:szCs w:val="24"/>
        </w:rPr>
        <w:t>)</w:t>
      </w:r>
      <w:r w:rsidRPr="002E1D1B">
        <w:rPr>
          <w:rFonts w:eastAsia="Times New Roman"/>
          <w:b/>
          <w:bCs/>
          <w:sz w:val="24"/>
          <w:szCs w:val="24"/>
        </w:rPr>
        <w:t xml:space="preserve"> (damages) (losses); and</w:t>
      </w:r>
    </w:p>
    <w:p w14:paraId="003EBE7D"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 xml:space="preserve">6. The defendant has returned or offered to return to plaintiff </w:t>
      </w:r>
      <w:r w:rsidRPr="002E1D1B">
        <w:rPr>
          <w:rFonts w:eastAsia="Times New Roman"/>
          <w:bCs/>
          <w:i/>
          <w:sz w:val="24"/>
          <w:szCs w:val="24"/>
        </w:rPr>
        <w:t>(describe what, if anything, the defendant would be legally obligated to return to the plaintiff in order to prevent the defendant from being unjustly enriched)</w:t>
      </w:r>
      <w:r w:rsidRPr="002E1D1B">
        <w:rPr>
          <w:rFonts w:eastAsia="Times New Roman"/>
          <w:b/>
          <w:bCs/>
          <w:sz w:val="24"/>
          <w:szCs w:val="24"/>
        </w:rPr>
        <w:t>.</w:t>
      </w:r>
    </w:p>
    <w:p w14:paraId="021E6A1A" w14:textId="77777777" w:rsidR="00184ADB" w:rsidRDefault="00184ADB" w:rsidP="00184ADB">
      <w:pPr>
        <w:jc w:val="center"/>
        <w:rPr>
          <w:rFonts w:eastAsia="Times New Roman"/>
          <w:sz w:val="24"/>
          <w:szCs w:val="24"/>
        </w:rPr>
      </w:pPr>
    </w:p>
    <w:p w14:paraId="63D90CC2" w14:textId="77777777" w:rsidR="00184ADB" w:rsidRPr="0054263B" w:rsidRDefault="00184ADB" w:rsidP="00184ADB">
      <w:pPr>
        <w:keepNext/>
        <w:spacing w:after="240"/>
        <w:jc w:val="center"/>
        <w:rPr>
          <w:rFonts w:eastAsia="Times New Roman"/>
          <w:b/>
          <w:sz w:val="24"/>
          <w:szCs w:val="24"/>
        </w:rPr>
      </w:pPr>
      <w:r w:rsidRPr="0054263B">
        <w:rPr>
          <w:rFonts w:eastAsia="Times New Roman"/>
          <w:b/>
          <w:sz w:val="24"/>
          <w:szCs w:val="24"/>
        </w:rPr>
        <w:t>Notes on Use</w:t>
      </w:r>
    </w:p>
    <w:p w14:paraId="18CB683A"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1. For cases involving contracts for the sale of goods, see section 4-2-721, C.R.S.</w:t>
      </w:r>
    </w:p>
    <w:p w14:paraId="4E6A32FD"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2. Use whichever parenthesized portions are appropriate in light of the evidence in the case.</w:t>
      </w:r>
    </w:p>
    <w:p w14:paraId="5B32FD68"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3. Omit any numbered paragraphs, the facts of which are not in dispute.</w:t>
      </w:r>
    </w:p>
    <w:p w14:paraId="4E307564"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4. If the contract is wholly executory, paragraph 6 of this instruction should be omitted. Also, in certain cases, the defendant may not be under a duty to return what he or she has received from the plaintiff or its value. In those cases, paragraph 6 should be omitted or modified appropriately, depending on the evidence in the case.</w:t>
      </w:r>
    </w:p>
    <w:p w14:paraId="34146BC6"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5. When this instruction is given, those instructions in Chapter 19 as would be appropriate in the light of the evidence in the case should also be given, including Instruction 19:3 (defining false representation).</w:t>
      </w:r>
    </w:p>
    <w:p w14:paraId="0E775ABB" w14:textId="77777777" w:rsidR="00184ADB" w:rsidRPr="0054263B" w:rsidRDefault="00184ADB" w:rsidP="00184ADB">
      <w:pPr>
        <w:keepNext/>
        <w:spacing w:after="240"/>
        <w:jc w:val="center"/>
        <w:rPr>
          <w:rFonts w:eastAsia="Times New Roman"/>
          <w:b/>
          <w:sz w:val="24"/>
          <w:szCs w:val="24"/>
        </w:rPr>
      </w:pPr>
      <w:r>
        <w:rPr>
          <w:rFonts w:eastAsia="Times New Roman"/>
          <w:b/>
          <w:sz w:val="24"/>
          <w:szCs w:val="24"/>
        </w:rPr>
        <w:t>Source and Authority</w:t>
      </w:r>
    </w:p>
    <w:p w14:paraId="13E07C92"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1. This instruction is supported by </w:t>
      </w:r>
      <w:r w:rsidRPr="002E1D1B" w:rsidDel="0080548D">
        <w:rPr>
          <w:rFonts w:eastAsia="Times New Roman"/>
          <w:b/>
          <w:bCs/>
          <w:sz w:val="24"/>
          <w:szCs w:val="24"/>
        </w:rPr>
        <w:t>Trimble v. City &amp; County of Denver</w:t>
      </w:r>
      <w:r w:rsidRPr="002E1D1B" w:rsidDel="0080548D">
        <w:rPr>
          <w:rFonts w:eastAsia="Times New Roman"/>
          <w:bCs/>
          <w:sz w:val="24"/>
          <w:szCs w:val="24"/>
        </w:rPr>
        <w:t>,</w:t>
      </w:r>
      <w:r w:rsidRPr="002E1D1B">
        <w:rPr>
          <w:rFonts w:eastAsia="Times New Roman"/>
          <w:bCs/>
          <w:sz w:val="24"/>
          <w:szCs w:val="24"/>
        </w:rPr>
        <w:t xml:space="preserve"> 697 P.2d 716 (Colo. 1985); </w:t>
      </w:r>
      <w:r w:rsidRPr="002E1D1B">
        <w:rPr>
          <w:rFonts w:eastAsia="Times New Roman"/>
          <w:b/>
          <w:bCs/>
          <w:sz w:val="24"/>
          <w:szCs w:val="24"/>
        </w:rPr>
        <w:t>Sears v. Hicklin</w:t>
      </w:r>
      <w:r w:rsidRPr="002E1D1B">
        <w:rPr>
          <w:rFonts w:eastAsia="Times New Roman"/>
          <w:bCs/>
          <w:sz w:val="24"/>
          <w:szCs w:val="24"/>
        </w:rPr>
        <w:t xml:space="preserve">, 13 Colo. 143, 21 P. 1022 (1889); and </w:t>
      </w:r>
      <w:r w:rsidRPr="002E1D1B">
        <w:rPr>
          <w:rFonts w:eastAsia="Times New Roman"/>
          <w:bCs/>
          <w:smallCaps/>
          <w:sz w:val="24"/>
          <w:szCs w:val="24"/>
        </w:rPr>
        <w:t xml:space="preserve">Restatement (Second) </w:t>
      </w:r>
      <w:r w:rsidRPr="002E1D1B">
        <w:rPr>
          <w:rFonts w:eastAsia="Times New Roman"/>
          <w:bCs/>
          <w:smallCaps/>
          <w:sz w:val="24"/>
          <w:szCs w:val="24"/>
        </w:rPr>
        <w:lastRenderedPageBreak/>
        <w:t>of Contracts</w:t>
      </w:r>
      <w:r w:rsidRPr="002E1D1B">
        <w:rPr>
          <w:rFonts w:eastAsia="Times New Roman"/>
          <w:bCs/>
          <w:sz w:val="24"/>
          <w:szCs w:val="24"/>
        </w:rPr>
        <w:t xml:space="preserve"> §§ 159-173 (1981). </w:t>
      </w:r>
      <w:r w:rsidRPr="002E1D1B">
        <w:rPr>
          <w:rFonts w:eastAsia="Times New Roman"/>
          <w:bCs/>
          <w:i/>
          <w:sz w:val="24"/>
          <w:szCs w:val="24"/>
        </w:rPr>
        <w:t>See also</w:t>
      </w:r>
      <w:r w:rsidRPr="002E1D1B">
        <w:rPr>
          <w:rFonts w:eastAsia="Times New Roman"/>
          <w:bCs/>
          <w:sz w:val="24"/>
          <w:szCs w:val="24"/>
        </w:rPr>
        <w:t xml:space="preserve"> </w:t>
      </w:r>
      <w:r w:rsidRPr="002E1D1B">
        <w:rPr>
          <w:rFonts w:eastAsia="Times New Roman"/>
          <w:b/>
          <w:bCs/>
          <w:sz w:val="24"/>
          <w:szCs w:val="24"/>
        </w:rPr>
        <w:t>Ice v. Benedict Nuclear Pharm., Inc.</w:t>
      </w:r>
      <w:r w:rsidRPr="002E1D1B">
        <w:rPr>
          <w:rFonts w:eastAsia="Times New Roman"/>
          <w:bCs/>
          <w:sz w:val="24"/>
          <w:szCs w:val="24"/>
        </w:rPr>
        <w:t xml:space="preserve">, 797 P.2d 757 (Colo. App. 1990) (unless damages resulted from alleged misrepresentation, plaintiff’s fraud is not a defense to a breach of contract claim). </w:t>
      </w:r>
    </w:p>
    <w:p w14:paraId="2617AF34"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2. For a discussion of rescission of insurance contract by reason of fraud in an insurance application, see </w:t>
      </w:r>
      <w:r w:rsidRPr="002E1D1B">
        <w:rPr>
          <w:rFonts w:eastAsia="Times New Roman"/>
          <w:b/>
          <w:bCs/>
          <w:sz w:val="24"/>
          <w:szCs w:val="24"/>
        </w:rPr>
        <w:t>Silver v. Colorado Casualty Insurance Co.</w:t>
      </w:r>
      <w:r w:rsidRPr="002E1D1B">
        <w:rPr>
          <w:rFonts w:eastAsia="Times New Roman"/>
          <w:bCs/>
          <w:sz w:val="24"/>
          <w:szCs w:val="24"/>
        </w:rPr>
        <w:t>, 219 P.3d 324 (Colo. App. 2009).</w:t>
      </w:r>
    </w:p>
    <w:p w14:paraId="75A92046"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3. When one has been induced to enter into a contract because of a material misrepresentation on the part of the other party, that person may have several courses of action open to him or her, depending on the particular facts. </w:t>
      </w:r>
      <w:r w:rsidRPr="002E1D1B">
        <w:rPr>
          <w:rFonts w:eastAsia="Times New Roman"/>
          <w:bCs/>
          <w:i/>
          <w:sz w:val="24"/>
          <w:szCs w:val="24"/>
        </w:rPr>
        <w:t>See generally</w:t>
      </w:r>
      <w:r w:rsidRPr="002E1D1B">
        <w:rPr>
          <w:rFonts w:eastAsia="Times New Roman"/>
          <w:bCs/>
          <w:sz w:val="24"/>
          <w:szCs w:val="24"/>
        </w:rPr>
        <w:t xml:space="preserve"> </w:t>
      </w:r>
      <w:r w:rsidRPr="002E1D1B">
        <w:rPr>
          <w:rFonts w:eastAsia="Times New Roman"/>
          <w:bCs/>
          <w:smallCaps/>
          <w:sz w:val="24"/>
          <w:szCs w:val="24"/>
        </w:rPr>
        <w:t>W. Page Keeton, et al., Prosser &amp; Keeton on the Law of Torts</w:t>
      </w:r>
      <w:r w:rsidRPr="002E1D1B">
        <w:rPr>
          <w:rFonts w:eastAsia="Times New Roman"/>
          <w:bCs/>
          <w:sz w:val="24"/>
          <w:szCs w:val="24"/>
        </w:rPr>
        <w:t xml:space="preserve"> § 105 (5th ed. 1984). Among other courses of action where both sides have fully performed the contract, the one defrauded may:</w:t>
      </w:r>
    </w:p>
    <w:p w14:paraId="74481B15"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 xml:space="preserve">a. As a plaintiff, affirm the contract, and sue at law for damages in a tort action for deceit, </w:t>
      </w:r>
      <w:r w:rsidRPr="002E1D1B">
        <w:rPr>
          <w:rFonts w:eastAsia="Times New Roman"/>
          <w:bCs/>
          <w:i/>
          <w:sz w:val="24"/>
          <w:szCs w:val="24"/>
        </w:rPr>
        <w:t>see, e.g.</w:t>
      </w:r>
      <w:r w:rsidRPr="002E1D1B">
        <w:rPr>
          <w:rFonts w:eastAsia="Times New Roman"/>
          <w:bCs/>
          <w:sz w:val="24"/>
          <w:szCs w:val="24"/>
        </w:rPr>
        <w:t xml:space="preserve">, </w:t>
      </w:r>
      <w:r w:rsidRPr="002E1D1B">
        <w:rPr>
          <w:rFonts w:eastAsia="Times New Roman"/>
          <w:b/>
          <w:bCs/>
          <w:sz w:val="24"/>
          <w:szCs w:val="24"/>
        </w:rPr>
        <w:t>Club Matrix, LLC v. Nassi</w:t>
      </w:r>
      <w:r w:rsidRPr="002E1D1B">
        <w:rPr>
          <w:rFonts w:eastAsia="Times New Roman"/>
          <w:bCs/>
          <w:sz w:val="24"/>
          <w:szCs w:val="24"/>
        </w:rPr>
        <w:t>, 284 P.3d 93 (Colo. App. 2011), or</w:t>
      </w:r>
    </w:p>
    <w:p w14:paraId="0D43E600"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b. As a plaintiff, disaffirm the contract, tender back what the plaintiff has received, and sue to recover what he or she gave as performance (rescission and restitution), or</w:t>
      </w:r>
    </w:p>
    <w:p w14:paraId="00DB3ABD"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c. As a defendant in a breach of contract action, he or she may take course a or b above as a counterclaim. If the defendant chooses to rescind and seek restitution as a counterclaim, the defendant may also use the fraud as a defense to the plaintiff’s claim for breach of contract. If the defendant chooses to counterclaim for deceit, the fraud may not be used as a defense to the damage claim (except as a counterclaim), since by suing for deceit the defendant affirms the contract and is liable to render to the plaintiff what is due under the contract.</w:t>
      </w:r>
    </w:p>
    <w:p w14:paraId="756902A1"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4</w:t>
      </w:r>
      <w:r w:rsidR="00BC29F9">
        <w:rPr>
          <w:rFonts w:eastAsia="Times New Roman"/>
          <w:bCs/>
          <w:sz w:val="24"/>
          <w:szCs w:val="24"/>
        </w:rPr>
        <w:t xml:space="preserve">. </w:t>
      </w:r>
      <w:r w:rsidRPr="002E1D1B">
        <w:rPr>
          <w:rFonts w:eastAsia="Times New Roman"/>
          <w:bCs/>
          <w:sz w:val="24"/>
          <w:szCs w:val="24"/>
        </w:rPr>
        <w:t>Where the one defrauded has not fully performed, he or she may:</w:t>
      </w:r>
    </w:p>
    <w:p w14:paraId="5896CD81"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 xml:space="preserve">a. As a plaintiff, disaffirm any obligation to perform the contract further, but affirm the contract to the extent he or she has performed it and sue for damages (if any) in a common law action for deceit, </w:t>
      </w:r>
      <w:r w:rsidRPr="002E1D1B">
        <w:rPr>
          <w:rFonts w:eastAsia="Times New Roman"/>
          <w:bCs/>
          <w:i/>
          <w:sz w:val="24"/>
          <w:szCs w:val="24"/>
        </w:rPr>
        <w:t>see, e.g.</w:t>
      </w:r>
      <w:r w:rsidRPr="002E1D1B">
        <w:rPr>
          <w:rFonts w:eastAsia="Times New Roman"/>
          <w:bCs/>
          <w:sz w:val="24"/>
          <w:szCs w:val="24"/>
        </w:rPr>
        <w:t xml:space="preserve">, </w:t>
      </w:r>
      <w:r w:rsidRPr="002E1D1B">
        <w:rPr>
          <w:rFonts w:eastAsia="Times New Roman"/>
          <w:b/>
          <w:bCs/>
          <w:sz w:val="24"/>
          <w:szCs w:val="24"/>
        </w:rPr>
        <w:t>Ackmann v. Merchants Mortg. &amp; Trust Corp.</w:t>
      </w:r>
      <w:r w:rsidRPr="002E1D1B">
        <w:rPr>
          <w:rFonts w:eastAsia="Times New Roman"/>
          <w:bCs/>
          <w:sz w:val="24"/>
          <w:szCs w:val="24"/>
        </w:rPr>
        <w:t xml:space="preserve">, 659 P.2d 697 (Colo. App. 1982), </w:t>
      </w:r>
      <w:r w:rsidRPr="002E1D1B">
        <w:rPr>
          <w:rFonts w:eastAsia="Times New Roman"/>
          <w:bCs/>
          <w:i/>
          <w:sz w:val="24"/>
          <w:szCs w:val="24"/>
        </w:rPr>
        <w:t xml:space="preserve">rev’d on other grounds sub nom. </w:t>
      </w:r>
      <w:r w:rsidRPr="002E1D1B">
        <w:rPr>
          <w:rFonts w:eastAsia="Times New Roman"/>
          <w:b/>
          <w:bCs/>
          <w:sz w:val="24"/>
          <w:szCs w:val="24"/>
        </w:rPr>
        <w:t>Kopeikin v. Merchants Mortg. &amp; Trust Corp.</w:t>
      </w:r>
      <w:r w:rsidRPr="002E1D1B">
        <w:rPr>
          <w:rFonts w:eastAsia="Times New Roman"/>
          <w:bCs/>
          <w:sz w:val="24"/>
          <w:szCs w:val="24"/>
        </w:rPr>
        <w:t>, 679 P.2d 599 (Colo. 1984), or</w:t>
      </w:r>
    </w:p>
    <w:p w14:paraId="2C56AC59"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b. As a plaintiff, disaffirm the contract, tender back what he or she has received, and sue for rescission and restitution as above, or</w:t>
      </w:r>
    </w:p>
    <w:p w14:paraId="141EAE0C"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c. As a defendant in a breach of contract action, counterclaim for a or b above, or, if the contract is totally executory, simply use the fraud as a defense to any damages for breach.</w:t>
      </w:r>
    </w:p>
    <w:p w14:paraId="7807C26C"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5. Many cases have recognized the defrauded person’s basic alternative remedies of rescission and restitution. </w:t>
      </w:r>
      <w:r w:rsidRPr="002E1D1B">
        <w:rPr>
          <w:rFonts w:eastAsia="Times New Roman"/>
          <w:bCs/>
          <w:i/>
          <w:sz w:val="24"/>
          <w:szCs w:val="24"/>
        </w:rPr>
        <w:t>See</w:t>
      </w:r>
      <w:r w:rsidRPr="002E1D1B">
        <w:rPr>
          <w:rFonts w:eastAsia="Times New Roman"/>
          <w:bCs/>
          <w:sz w:val="24"/>
          <w:szCs w:val="24"/>
        </w:rPr>
        <w:t xml:space="preserve"> </w:t>
      </w:r>
      <w:r w:rsidRPr="002E1D1B">
        <w:rPr>
          <w:rFonts w:eastAsia="Times New Roman"/>
          <w:b/>
          <w:bCs/>
          <w:sz w:val="24"/>
          <w:szCs w:val="24"/>
        </w:rPr>
        <w:t>W. Cities Broad., Inc. v. Schueller</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 xml:space="preserve">849 P.2d 44 (Colo. 1993); </w:t>
      </w:r>
      <w:r w:rsidRPr="002E1D1B">
        <w:rPr>
          <w:rFonts w:eastAsia="Times New Roman"/>
          <w:b/>
          <w:bCs/>
          <w:sz w:val="24"/>
          <w:szCs w:val="24"/>
        </w:rPr>
        <w:t>Martinez v. Affordable Housing Network, Inc.</w:t>
      </w:r>
      <w:r w:rsidRPr="002E1D1B">
        <w:rPr>
          <w:rFonts w:eastAsia="Times New Roman"/>
          <w:bCs/>
          <w:sz w:val="24"/>
          <w:szCs w:val="24"/>
        </w:rPr>
        <w:t xml:space="preserve">, 109 P.3d 983 (Colo. App. 2004), </w:t>
      </w:r>
      <w:r w:rsidRPr="002E1D1B">
        <w:rPr>
          <w:rFonts w:eastAsia="Times New Roman"/>
          <w:bCs/>
          <w:i/>
          <w:sz w:val="24"/>
          <w:szCs w:val="24"/>
        </w:rPr>
        <w:t>rev’d on other grounds</w:t>
      </w:r>
      <w:r w:rsidRPr="002E1D1B">
        <w:rPr>
          <w:rFonts w:eastAsia="Times New Roman"/>
          <w:bCs/>
          <w:sz w:val="24"/>
          <w:szCs w:val="24"/>
        </w:rPr>
        <w:t xml:space="preserve">, 123 P.3d 1201 (Colo. 2005); </w:t>
      </w:r>
      <w:r w:rsidRPr="002E1D1B">
        <w:rPr>
          <w:rFonts w:eastAsia="Times New Roman"/>
          <w:b/>
          <w:bCs/>
          <w:sz w:val="24"/>
          <w:szCs w:val="24"/>
        </w:rPr>
        <w:t>Sims v. Sperry</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 xml:space="preserve">835 P.2d 565 (Colo. App. 1992); </w:t>
      </w:r>
      <w:r w:rsidRPr="002E1D1B">
        <w:rPr>
          <w:rFonts w:eastAsia="Times New Roman"/>
          <w:b/>
          <w:bCs/>
          <w:sz w:val="24"/>
          <w:szCs w:val="24"/>
        </w:rPr>
        <w:t>Colo. Interstate Gas Co. v. Chemco, Inc.</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 xml:space="preserve">833 P.2d 786 (Colo. App. 1991), </w:t>
      </w:r>
      <w:r w:rsidRPr="002E1D1B">
        <w:rPr>
          <w:rFonts w:eastAsia="Times New Roman"/>
          <w:bCs/>
          <w:i/>
          <w:sz w:val="24"/>
          <w:szCs w:val="24"/>
        </w:rPr>
        <w:t>aff’d on other grounds</w:t>
      </w:r>
      <w:r w:rsidRPr="002E1D1B">
        <w:rPr>
          <w:rFonts w:eastAsia="Times New Roman"/>
          <w:bCs/>
          <w:sz w:val="24"/>
          <w:szCs w:val="24"/>
        </w:rPr>
        <w:t xml:space="preserve">, 854 P.2d 1232 (Colo. 1993); </w:t>
      </w:r>
      <w:r w:rsidRPr="002E1D1B">
        <w:rPr>
          <w:rFonts w:eastAsia="Times New Roman"/>
          <w:bCs/>
          <w:i/>
          <w:sz w:val="24"/>
          <w:szCs w:val="24"/>
        </w:rPr>
        <w:t>see also</w:t>
      </w:r>
      <w:r w:rsidRPr="002E1D1B">
        <w:rPr>
          <w:rFonts w:eastAsia="Times New Roman"/>
          <w:bCs/>
          <w:sz w:val="24"/>
          <w:szCs w:val="24"/>
        </w:rPr>
        <w:t xml:space="preserve"> </w:t>
      </w:r>
      <w:r w:rsidRPr="002E1D1B">
        <w:rPr>
          <w:rFonts w:eastAsia="Times New Roman"/>
          <w:b/>
          <w:bCs/>
          <w:sz w:val="24"/>
          <w:szCs w:val="24"/>
        </w:rPr>
        <w:t>Trimble</w:t>
      </w:r>
      <w:r w:rsidRPr="002E1D1B">
        <w:rPr>
          <w:rFonts w:eastAsia="Times New Roman"/>
          <w:bCs/>
          <w:sz w:val="24"/>
          <w:szCs w:val="24"/>
        </w:rPr>
        <w:t xml:space="preserve">, 697 P.2d at 723; </w:t>
      </w:r>
      <w:r w:rsidRPr="002E1D1B">
        <w:rPr>
          <w:rFonts w:eastAsia="Times New Roman"/>
          <w:b/>
          <w:bCs/>
          <w:sz w:val="24"/>
          <w:szCs w:val="24"/>
        </w:rPr>
        <w:t>Neiheisel v. Malone</w:t>
      </w:r>
      <w:r w:rsidRPr="002E1D1B">
        <w:rPr>
          <w:rFonts w:eastAsia="Times New Roman"/>
          <w:bCs/>
          <w:sz w:val="24"/>
          <w:szCs w:val="24"/>
        </w:rPr>
        <w:t xml:space="preserve">, 150 Colo. 586, 375 P.2d 197 (1962); </w:t>
      </w:r>
      <w:r w:rsidRPr="002E1D1B">
        <w:rPr>
          <w:rFonts w:eastAsia="Times New Roman"/>
          <w:b/>
          <w:bCs/>
          <w:sz w:val="24"/>
          <w:szCs w:val="24"/>
        </w:rPr>
        <w:t>Aaberg v. H.A. Harman Co.</w:t>
      </w:r>
      <w:r w:rsidRPr="002E1D1B">
        <w:rPr>
          <w:rFonts w:eastAsia="Times New Roman"/>
          <w:bCs/>
          <w:sz w:val="24"/>
          <w:szCs w:val="24"/>
        </w:rPr>
        <w:t xml:space="preserve">, 144 Colo. 579, 358 P.2d 601 </w:t>
      </w:r>
      <w:r w:rsidRPr="002E1D1B">
        <w:rPr>
          <w:rFonts w:eastAsia="Times New Roman"/>
          <w:bCs/>
          <w:sz w:val="24"/>
          <w:szCs w:val="24"/>
        </w:rPr>
        <w:lastRenderedPageBreak/>
        <w:t xml:space="preserve">(1960). On many occasions, the courts have also stated the rule that the defrauded person, having learned of the fraud, must, if that person elects to rescind, give notice promptly of his or her intention to do so. </w:t>
      </w:r>
      <w:r w:rsidRPr="002E1D1B">
        <w:rPr>
          <w:rFonts w:eastAsia="Times New Roman"/>
          <w:bCs/>
          <w:i/>
          <w:sz w:val="24"/>
          <w:szCs w:val="24"/>
        </w:rPr>
        <w:t>See, e.g.</w:t>
      </w:r>
      <w:r w:rsidRPr="002E1D1B">
        <w:rPr>
          <w:rFonts w:eastAsia="Times New Roman"/>
          <w:bCs/>
          <w:sz w:val="24"/>
          <w:szCs w:val="24"/>
        </w:rPr>
        <w:t xml:space="preserve">, </w:t>
      </w:r>
      <w:r w:rsidRPr="002E1D1B">
        <w:rPr>
          <w:rFonts w:eastAsia="Times New Roman"/>
          <w:b/>
          <w:bCs/>
          <w:sz w:val="24"/>
          <w:szCs w:val="24"/>
        </w:rPr>
        <w:t>Gerbaz v. Hulsey</w:t>
      </w:r>
      <w:r w:rsidRPr="002E1D1B">
        <w:rPr>
          <w:rFonts w:eastAsia="Times New Roman"/>
          <w:bCs/>
          <w:sz w:val="24"/>
          <w:szCs w:val="24"/>
        </w:rPr>
        <w:t xml:space="preserve">, 132 Colo. 359, 288 P.2d 357 (1955); </w:t>
      </w:r>
      <w:r w:rsidRPr="002E1D1B">
        <w:rPr>
          <w:rFonts w:eastAsia="Times New Roman"/>
          <w:b/>
          <w:bCs/>
          <w:sz w:val="24"/>
          <w:szCs w:val="24"/>
        </w:rPr>
        <w:t>Tisdel v. Central Sav. Bank &amp; Trust Co.</w:t>
      </w:r>
      <w:r w:rsidRPr="002E1D1B">
        <w:rPr>
          <w:rFonts w:eastAsia="Times New Roman"/>
          <w:bCs/>
          <w:sz w:val="24"/>
          <w:szCs w:val="24"/>
        </w:rPr>
        <w:t xml:space="preserve">, 90 Colo. 114, 6 P.2d 912 (1931); </w:t>
      </w:r>
      <w:r w:rsidRPr="002E1D1B">
        <w:rPr>
          <w:rFonts w:eastAsia="Times New Roman"/>
          <w:b/>
          <w:bCs/>
          <w:sz w:val="24"/>
          <w:szCs w:val="24"/>
        </w:rPr>
        <w:t>Elk River Assocs. v. Huskin</w:t>
      </w:r>
      <w:r w:rsidRPr="002E1D1B">
        <w:rPr>
          <w:rFonts w:eastAsia="Times New Roman"/>
          <w:bCs/>
          <w:sz w:val="24"/>
          <w:szCs w:val="24"/>
        </w:rPr>
        <w:t>, 691 P.2d 1148 (Colo. App. 1984).</w:t>
      </w:r>
    </w:p>
    <w:p w14:paraId="5CBA8EB0"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6. While a party electing to rescind a contract is required to give prompt notice of his or her election, a party who has been induced fraudulently to enter into two related contracts as part of the same general transaction need not elect the same remedy for both contracts. That party may elect to affirm one and sue for damages in deceit, and rescind the other and seek restitution for any consideration paid or rendered. A party should not be required to elect the same remedy for both contracts unless necessary to prevent double recovery or because the assertion of different remedies would be so inconsistent that the assertion of one would necessarily be a repudiation of the other. </w:t>
      </w:r>
      <w:r w:rsidRPr="002E1D1B">
        <w:rPr>
          <w:rFonts w:eastAsia="Times New Roman"/>
          <w:b/>
          <w:bCs/>
          <w:sz w:val="24"/>
          <w:szCs w:val="24"/>
        </w:rPr>
        <w:t>Stewart v. Blanning</w:t>
      </w:r>
      <w:r w:rsidRPr="002E1D1B">
        <w:rPr>
          <w:rFonts w:eastAsia="Times New Roman"/>
          <w:bCs/>
          <w:sz w:val="24"/>
          <w:szCs w:val="24"/>
        </w:rPr>
        <w:t>, 677 P.2d 1382 (Colo. App. 1984).</w:t>
      </w:r>
    </w:p>
    <w:p w14:paraId="7C00CDAD" w14:textId="77777777" w:rsidR="002E1D1B" w:rsidRPr="002E1D1B" w:rsidDel="0080548D" w:rsidRDefault="002E1D1B" w:rsidP="002E1D1B">
      <w:pPr>
        <w:spacing w:after="240"/>
        <w:ind w:firstLine="720"/>
        <w:rPr>
          <w:rFonts w:eastAsia="Times New Roman"/>
          <w:bCs/>
          <w:sz w:val="24"/>
          <w:szCs w:val="24"/>
        </w:rPr>
      </w:pPr>
      <w:r w:rsidRPr="002E1D1B">
        <w:rPr>
          <w:rFonts w:eastAsia="Times New Roman"/>
          <w:bCs/>
          <w:sz w:val="24"/>
          <w:szCs w:val="24"/>
        </w:rPr>
        <w:t xml:space="preserve">7. </w:t>
      </w:r>
      <w:r w:rsidRPr="002E1D1B" w:rsidDel="0080548D">
        <w:rPr>
          <w:rFonts w:eastAsia="Times New Roman"/>
          <w:bCs/>
          <w:sz w:val="24"/>
          <w:szCs w:val="24"/>
        </w:rPr>
        <w:t xml:space="preserve">One who has been induced to enter into a contract with a third person because of the fraud of another may affirm the contract and sue the other for damages in deceit and may also sue the third person for damages for any breach of the contract by the third person. Because these remedies are not inconsistent in that they would not necessarily result in double recovery, the defrauded person need not make an election between the two. </w:t>
      </w:r>
      <w:r w:rsidRPr="002E1D1B" w:rsidDel="0080548D">
        <w:rPr>
          <w:rFonts w:eastAsia="Times New Roman"/>
          <w:b/>
          <w:bCs/>
          <w:sz w:val="24"/>
          <w:szCs w:val="24"/>
        </w:rPr>
        <w:t>Trimble</w:t>
      </w:r>
      <w:r w:rsidRPr="002E1D1B" w:rsidDel="0080548D">
        <w:rPr>
          <w:rFonts w:eastAsia="Times New Roman"/>
          <w:bCs/>
          <w:sz w:val="24"/>
          <w:szCs w:val="24"/>
        </w:rPr>
        <w:t xml:space="preserve">, 697 P.2d </w:t>
      </w:r>
      <w:r w:rsidRPr="002E1D1B">
        <w:rPr>
          <w:rFonts w:eastAsia="Times New Roman"/>
          <w:bCs/>
          <w:sz w:val="24"/>
          <w:szCs w:val="24"/>
        </w:rPr>
        <w:t xml:space="preserve">at </w:t>
      </w:r>
      <w:r w:rsidRPr="002E1D1B" w:rsidDel="0080548D">
        <w:rPr>
          <w:rFonts w:eastAsia="Times New Roman"/>
          <w:bCs/>
          <w:sz w:val="24"/>
          <w:szCs w:val="24"/>
        </w:rPr>
        <w:t>7</w:t>
      </w:r>
      <w:r w:rsidRPr="002E1D1B">
        <w:rPr>
          <w:rFonts w:eastAsia="Times New Roman"/>
          <w:bCs/>
          <w:sz w:val="24"/>
          <w:szCs w:val="24"/>
        </w:rPr>
        <w:t>23-24</w:t>
      </w:r>
      <w:r w:rsidRPr="002E1D1B" w:rsidDel="0080548D">
        <w:rPr>
          <w:rFonts w:eastAsia="Times New Roman"/>
          <w:bCs/>
          <w:sz w:val="24"/>
          <w:szCs w:val="24"/>
        </w:rPr>
        <w:t>.</w:t>
      </w:r>
    </w:p>
    <w:p w14:paraId="45DF5A96"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8. Numbered paragraph 6 of this instruction states the rule of </w:t>
      </w:r>
      <w:r w:rsidRPr="002E1D1B">
        <w:rPr>
          <w:rFonts w:eastAsia="Times New Roman"/>
          <w:b/>
          <w:bCs/>
          <w:sz w:val="24"/>
          <w:szCs w:val="24"/>
        </w:rPr>
        <w:t>Gerbaz</w:t>
      </w:r>
      <w:r w:rsidRPr="002E1D1B">
        <w:rPr>
          <w:rFonts w:eastAsia="Times New Roman"/>
          <w:bCs/>
          <w:sz w:val="24"/>
          <w:szCs w:val="24"/>
        </w:rPr>
        <w:t xml:space="preserve">, 132 Colo. at 363, 288 P.2d at 359. When one uses fraud in the inducement as a defense to a breach of contract action that person is in effect claiming a right to “rescind” the contract and consider himself or herself discharged. The elements of proof of this defense are, therefore, the same as an action for rescission and restitution. The only difference is that if the defendant has not in any way rendered performance under the contract, he or she will not generally seek or be entitled to any restitution. </w:t>
      </w:r>
      <w:r w:rsidRPr="002E1D1B">
        <w:rPr>
          <w:rFonts w:eastAsia="Times New Roman"/>
          <w:bCs/>
          <w:i/>
          <w:sz w:val="24"/>
          <w:szCs w:val="24"/>
        </w:rPr>
        <w:t>But see</w:t>
      </w:r>
      <w:r w:rsidRPr="002E1D1B">
        <w:rPr>
          <w:rFonts w:eastAsia="Times New Roman"/>
          <w:bCs/>
          <w:sz w:val="24"/>
          <w:szCs w:val="24"/>
        </w:rPr>
        <w:t xml:space="preserve"> </w:t>
      </w:r>
      <w:r w:rsidRPr="002E1D1B">
        <w:rPr>
          <w:rFonts w:eastAsia="Times New Roman"/>
          <w:b/>
          <w:bCs/>
          <w:sz w:val="24"/>
          <w:szCs w:val="24"/>
        </w:rPr>
        <w:t>Murray v. Montgomery Ward Life Ins. Co.</w:t>
      </w:r>
      <w:r w:rsidRPr="002E1D1B">
        <w:rPr>
          <w:rFonts w:eastAsia="Times New Roman"/>
          <w:bCs/>
          <w:sz w:val="24"/>
          <w:szCs w:val="24"/>
        </w:rPr>
        <w:t>, 196 Colo. 225, 584 P.2d 78 (1978) (applying these rules and the elements of this instruction to a life insurance contract, but requiring that the misrepresentation or concealment be made “knowingly”).</w:t>
      </w:r>
    </w:p>
    <w:p w14:paraId="24A30655"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9. Even though the defendant may have received some performance from the plaintiff, the defendant is not always under a duty to return what, or the value of what, he or she received. </w:t>
      </w:r>
      <w:r w:rsidRPr="002E1D1B">
        <w:rPr>
          <w:rFonts w:eastAsia="Times New Roman"/>
          <w:bCs/>
          <w:i/>
          <w:sz w:val="24"/>
          <w:szCs w:val="24"/>
        </w:rPr>
        <w:t>See</w:t>
      </w:r>
      <w:r w:rsidRPr="002E1D1B">
        <w:rPr>
          <w:rFonts w:eastAsia="Times New Roman"/>
          <w:bCs/>
          <w:sz w:val="24"/>
          <w:szCs w:val="24"/>
        </w:rPr>
        <w:t xml:space="preserve"> </w:t>
      </w:r>
      <w:r w:rsidRPr="002E1D1B">
        <w:rPr>
          <w:rFonts w:eastAsia="Times New Roman"/>
          <w:bCs/>
          <w:smallCaps/>
          <w:sz w:val="24"/>
          <w:szCs w:val="24"/>
        </w:rPr>
        <w:t>Restatement (Second) of Contracts</w:t>
      </w:r>
      <w:r w:rsidRPr="002E1D1B">
        <w:rPr>
          <w:rFonts w:eastAsia="Times New Roman"/>
          <w:bCs/>
          <w:sz w:val="24"/>
          <w:szCs w:val="24"/>
        </w:rPr>
        <w:t xml:space="preserve"> § 384 (1981). While it “is the general rule that a party seeking to rescind a contract must return the opposite party to the position in which he was prior to entering into the contract . . . [that rule] is not a technical rule, but rather . . . is [an] equitable [one], and requires practicality in readjusting the rights of the parties. . . . The standard [to be] used is ‘substantial restoration of the status quo.’. . . How [that] is to be accomplished, or indeed whether it can, is a matter . . . within the discretion of the trial court, under the facts as [they may be] found to exist by the trier of [facts].” </w:t>
      </w:r>
      <w:r w:rsidRPr="002E1D1B">
        <w:rPr>
          <w:rFonts w:eastAsia="Times New Roman"/>
          <w:b/>
          <w:bCs/>
          <w:sz w:val="24"/>
          <w:szCs w:val="24"/>
        </w:rPr>
        <w:t>Smith v. Huber</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 xml:space="preserve">666 P.2d 1122, 1124-25 (Colo. App. 1983). </w:t>
      </w:r>
    </w:p>
    <w:p w14:paraId="1D36BC8E"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10. Comparing the tort remedy of deceit and the remedy of rescission, whether used as a basis for a restitution action or a defense to a breach of contract action (this instruction), the basic difference in terms of what must be proved appears to be that, in a deceit action, the plaintiff must prove the defendant made the statement without an honest belief in the truth and with the intent that the plaintiff rely on the statement, whereas, in a rescission action, an innocent </w:t>
      </w:r>
      <w:r w:rsidRPr="002E1D1B">
        <w:rPr>
          <w:rFonts w:eastAsia="Times New Roman"/>
          <w:bCs/>
          <w:sz w:val="24"/>
          <w:szCs w:val="24"/>
        </w:rPr>
        <w:lastRenderedPageBreak/>
        <w:t xml:space="preserve">misrepresentation is sufficient. </w:t>
      </w:r>
      <w:r w:rsidRPr="002E1D1B">
        <w:rPr>
          <w:rFonts w:eastAsia="Times New Roman"/>
          <w:bCs/>
          <w:i/>
          <w:sz w:val="24"/>
          <w:szCs w:val="24"/>
        </w:rPr>
        <w:t>See</w:t>
      </w:r>
      <w:r w:rsidRPr="002E1D1B">
        <w:rPr>
          <w:rFonts w:eastAsia="Times New Roman"/>
          <w:bCs/>
          <w:sz w:val="24"/>
          <w:szCs w:val="24"/>
        </w:rPr>
        <w:t xml:space="preserve"> </w:t>
      </w:r>
      <w:r w:rsidRPr="002E1D1B">
        <w:rPr>
          <w:rFonts w:eastAsia="Times New Roman"/>
          <w:b/>
          <w:bCs/>
          <w:sz w:val="24"/>
          <w:szCs w:val="24"/>
        </w:rPr>
        <w:t>Bassford v. Cook</w:t>
      </w:r>
      <w:r w:rsidRPr="002E1D1B">
        <w:rPr>
          <w:rFonts w:eastAsia="Times New Roman"/>
          <w:bCs/>
          <w:sz w:val="24"/>
          <w:szCs w:val="24"/>
        </w:rPr>
        <w:t xml:space="preserve">, 152 Colo. 136, 380 P.2d 907 (1963) (dictum, following what now appears to be the majority rule). </w:t>
      </w:r>
      <w:r w:rsidRPr="002E1D1B">
        <w:rPr>
          <w:rFonts w:eastAsia="Times New Roman"/>
          <w:bCs/>
          <w:i/>
          <w:sz w:val="24"/>
          <w:szCs w:val="24"/>
        </w:rPr>
        <w:t>But see</w:t>
      </w:r>
      <w:r w:rsidRPr="002E1D1B">
        <w:rPr>
          <w:rFonts w:eastAsia="Times New Roman"/>
          <w:bCs/>
          <w:sz w:val="24"/>
          <w:szCs w:val="24"/>
        </w:rPr>
        <w:t xml:space="preserve"> </w:t>
      </w:r>
      <w:r w:rsidRPr="002E1D1B">
        <w:rPr>
          <w:rFonts w:eastAsia="Times New Roman"/>
          <w:b/>
          <w:bCs/>
          <w:sz w:val="24"/>
          <w:szCs w:val="24"/>
        </w:rPr>
        <w:t>Murray</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 xml:space="preserve">196 Colo. at 227-28, 584 P.2d at 80; </w:t>
      </w:r>
      <w:r w:rsidRPr="002E1D1B">
        <w:rPr>
          <w:rFonts w:eastAsia="Times New Roman"/>
          <w:b/>
          <w:bCs/>
          <w:sz w:val="24"/>
          <w:szCs w:val="24"/>
        </w:rPr>
        <w:t>Coon v. Dist. Court</w:t>
      </w:r>
      <w:r w:rsidRPr="002E1D1B">
        <w:rPr>
          <w:rFonts w:eastAsia="Times New Roman"/>
          <w:bCs/>
          <w:sz w:val="24"/>
          <w:szCs w:val="24"/>
        </w:rPr>
        <w:t>, 161 Colo. 211, 420 P.2d 827 (1966).</w:t>
      </w:r>
    </w:p>
    <w:p w14:paraId="57EC469C" w14:textId="77777777" w:rsidR="002E1D1B" w:rsidRDefault="002E1D1B">
      <w:pPr>
        <w:rPr>
          <w:rFonts w:eastAsia="Times New Roman"/>
          <w:bCs/>
          <w:sz w:val="24"/>
          <w:szCs w:val="24"/>
        </w:rPr>
      </w:pPr>
      <w:r>
        <w:rPr>
          <w:rFonts w:eastAsia="Times New Roman"/>
          <w:bCs/>
          <w:sz w:val="24"/>
          <w:szCs w:val="24"/>
        </w:rPr>
        <w:br w:type="page"/>
      </w:r>
    </w:p>
    <w:p w14:paraId="1E5DC343" w14:textId="77777777" w:rsidR="002E1D1B" w:rsidRPr="009E3DA4" w:rsidRDefault="002E1D1B" w:rsidP="002E1D1B">
      <w:pPr>
        <w:spacing w:after="240"/>
        <w:ind w:left="720" w:hanging="720"/>
        <w:rPr>
          <w:rFonts w:eastAsia="Times New Roman"/>
          <w:b/>
          <w:sz w:val="24"/>
          <w:szCs w:val="24"/>
        </w:rPr>
      </w:pPr>
      <w:bookmarkStart w:id="20" w:name="a30_19"/>
      <w:bookmarkEnd w:id="20"/>
      <w:r w:rsidRPr="002E1D1B">
        <w:rPr>
          <w:rFonts w:eastAsia="Times New Roman"/>
          <w:b/>
          <w:bCs/>
          <w:sz w:val="24"/>
          <w:szCs w:val="24"/>
        </w:rPr>
        <w:lastRenderedPageBreak/>
        <w:t>30:19</w:t>
      </w:r>
      <w:r w:rsidRPr="002E1D1B">
        <w:rPr>
          <w:rFonts w:eastAsia="Times New Roman"/>
          <w:b/>
          <w:bCs/>
          <w:sz w:val="24"/>
          <w:szCs w:val="24"/>
        </w:rPr>
        <w:tab/>
        <w:t>DEFENSE — UNDUE INFLUENCE</w:t>
      </w:r>
    </w:p>
    <w:p w14:paraId="0E18AD19"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 xml:space="preserve">The defendant, </w:t>
      </w:r>
      <w:r w:rsidRPr="002E1D1B">
        <w:rPr>
          <w:rFonts w:eastAsia="Times New Roman"/>
          <w:bCs/>
          <w:i/>
          <w:sz w:val="24"/>
          <w:szCs w:val="24"/>
        </w:rPr>
        <w:t>(name)</w:t>
      </w:r>
      <w:r w:rsidRPr="002E1D1B">
        <w:rPr>
          <w:rFonts w:eastAsia="Times New Roman"/>
          <w:b/>
          <w:bCs/>
          <w:sz w:val="24"/>
          <w:szCs w:val="24"/>
        </w:rPr>
        <w:t xml:space="preserve">, is not legally responsible to the plaintiff, </w:t>
      </w:r>
      <w:r w:rsidRPr="002E1D1B">
        <w:rPr>
          <w:rFonts w:eastAsia="Times New Roman"/>
          <w:bCs/>
          <w:i/>
          <w:sz w:val="24"/>
          <w:szCs w:val="24"/>
        </w:rPr>
        <w:t>(name)</w:t>
      </w:r>
      <w:r w:rsidRPr="002E1D1B">
        <w:rPr>
          <w:rFonts w:eastAsia="Times New Roman"/>
          <w:b/>
          <w:bCs/>
          <w:sz w:val="24"/>
          <w:szCs w:val="24"/>
        </w:rPr>
        <w:t>, on the plaintiff’s claim of breach of contract if the affirmative defense of undue influence is proved. This defense is proved if you find both of the following:</w:t>
      </w:r>
    </w:p>
    <w:p w14:paraId="63B53DB2" w14:textId="725479C1"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 xml:space="preserve">1. At the time the defendant entered into the (claimed) contract, the defendant was not acting of </w:t>
      </w:r>
      <w:r w:rsidR="00390234" w:rsidRPr="0070684C">
        <w:rPr>
          <w:rFonts w:eastAsia="Times New Roman"/>
          <w:i/>
          <w:iCs/>
          <w:sz w:val="24"/>
          <w:szCs w:val="24"/>
        </w:rPr>
        <w:t>(insert applicable pronoun</w:t>
      </w:r>
      <w:r w:rsidR="00390234">
        <w:rPr>
          <w:rFonts w:eastAsia="Times New Roman"/>
          <w:i/>
          <w:iCs/>
          <w:sz w:val="24"/>
          <w:szCs w:val="24"/>
        </w:rPr>
        <w:t>)</w:t>
      </w:r>
      <w:r w:rsidRPr="002E1D1B">
        <w:rPr>
          <w:rFonts w:eastAsia="Times New Roman"/>
          <w:b/>
          <w:bCs/>
          <w:sz w:val="24"/>
          <w:szCs w:val="24"/>
        </w:rPr>
        <w:t xml:space="preserve"> own free will; and</w:t>
      </w:r>
    </w:p>
    <w:p w14:paraId="3B0CB68C"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2. The plaintiff caused the defendant’s lack of free will by dominating the defendant through the use of words, conduct, or both.</w:t>
      </w:r>
    </w:p>
    <w:p w14:paraId="71C3ED60"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The mere use of persuasion or argument to cause another to enter into a contract is not undue influence.</w:t>
      </w:r>
    </w:p>
    <w:p w14:paraId="047677E3" w14:textId="77777777" w:rsidR="002E1D1B" w:rsidRDefault="002E1D1B" w:rsidP="002E1D1B">
      <w:pPr>
        <w:jc w:val="center"/>
        <w:rPr>
          <w:rFonts w:eastAsia="Times New Roman"/>
          <w:sz w:val="24"/>
          <w:szCs w:val="24"/>
        </w:rPr>
      </w:pPr>
    </w:p>
    <w:p w14:paraId="4FE1E441" w14:textId="77777777" w:rsidR="002E1D1B" w:rsidRPr="0054263B" w:rsidRDefault="002E1D1B" w:rsidP="002E1D1B">
      <w:pPr>
        <w:keepNext/>
        <w:spacing w:after="240"/>
        <w:jc w:val="center"/>
        <w:rPr>
          <w:rFonts w:eastAsia="Times New Roman"/>
          <w:b/>
          <w:sz w:val="24"/>
          <w:szCs w:val="24"/>
        </w:rPr>
      </w:pPr>
      <w:r w:rsidRPr="0054263B">
        <w:rPr>
          <w:rFonts w:eastAsia="Times New Roman"/>
          <w:b/>
          <w:sz w:val="24"/>
          <w:szCs w:val="24"/>
        </w:rPr>
        <w:t>Notes on Use</w:t>
      </w:r>
    </w:p>
    <w:p w14:paraId="27FE7293"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1. This instruction should not be used in a case involving a confidential or fiduciary relationship. </w:t>
      </w:r>
      <w:r w:rsidRPr="002E1D1B">
        <w:rPr>
          <w:rFonts w:eastAsia="Times New Roman"/>
          <w:bCs/>
          <w:i/>
          <w:sz w:val="24"/>
          <w:szCs w:val="24"/>
        </w:rPr>
        <w:t>See</w:t>
      </w:r>
      <w:r w:rsidRPr="002E1D1B">
        <w:rPr>
          <w:rFonts w:eastAsia="Times New Roman"/>
          <w:bCs/>
          <w:sz w:val="24"/>
          <w:szCs w:val="24"/>
        </w:rPr>
        <w:t xml:space="preserve"> Instructions 26:2, 26:3, and 34:16.</w:t>
      </w:r>
    </w:p>
    <w:p w14:paraId="677E2686"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2. Use whichever parenthesized words are appropriate to the evidence in the case.</w:t>
      </w:r>
    </w:p>
    <w:p w14:paraId="6D98DA90"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3. This instruction must be appropriately modified if the claimed undue influence was that of a third person. </w:t>
      </w:r>
      <w:r w:rsidRPr="002E1D1B">
        <w:rPr>
          <w:rFonts w:eastAsia="Times New Roman"/>
          <w:bCs/>
          <w:i/>
          <w:sz w:val="24"/>
          <w:szCs w:val="24"/>
        </w:rPr>
        <w:t>See</w:t>
      </w:r>
      <w:r w:rsidRPr="002E1D1B">
        <w:rPr>
          <w:rFonts w:eastAsia="Times New Roman"/>
          <w:bCs/>
          <w:sz w:val="24"/>
          <w:szCs w:val="24"/>
        </w:rPr>
        <w:t xml:space="preserve"> </w:t>
      </w:r>
      <w:r w:rsidRPr="002E1D1B">
        <w:rPr>
          <w:rFonts w:eastAsia="Times New Roman"/>
          <w:bCs/>
          <w:smallCaps/>
          <w:sz w:val="24"/>
          <w:szCs w:val="24"/>
        </w:rPr>
        <w:t>Restatement (Second) of Contracts</w:t>
      </w:r>
      <w:r w:rsidRPr="002E1D1B">
        <w:rPr>
          <w:rFonts w:eastAsia="Times New Roman"/>
          <w:bCs/>
          <w:sz w:val="24"/>
          <w:szCs w:val="24"/>
        </w:rPr>
        <w:t xml:space="preserve"> § 177(3) (1981).</w:t>
      </w:r>
    </w:p>
    <w:p w14:paraId="1C05B822"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4. The burdens of pleading and proving undue influence in an arm’s length transaction are on the party asserting it. C.R.C.P. 8(c).</w:t>
      </w:r>
    </w:p>
    <w:p w14:paraId="2275A088" w14:textId="77777777" w:rsidR="002E1D1B" w:rsidRPr="0054263B" w:rsidRDefault="002E1D1B" w:rsidP="002E1D1B">
      <w:pPr>
        <w:keepNext/>
        <w:spacing w:after="240"/>
        <w:jc w:val="center"/>
        <w:rPr>
          <w:rFonts w:eastAsia="Times New Roman"/>
          <w:b/>
          <w:sz w:val="24"/>
          <w:szCs w:val="24"/>
        </w:rPr>
      </w:pPr>
      <w:r>
        <w:rPr>
          <w:rFonts w:eastAsia="Times New Roman"/>
          <w:b/>
          <w:sz w:val="24"/>
          <w:szCs w:val="24"/>
        </w:rPr>
        <w:t>Source and Authority</w:t>
      </w:r>
    </w:p>
    <w:p w14:paraId="159C5361"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This instruction is supported by </w:t>
      </w:r>
      <w:r w:rsidRPr="002E1D1B">
        <w:rPr>
          <w:rFonts w:eastAsia="Times New Roman"/>
          <w:b/>
          <w:bCs/>
          <w:sz w:val="24"/>
          <w:szCs w:val="24"/>
        </w:rPr>
        <w:t>Lighthall v. Moore</w:t>
      </w:r>
      <w:r w:rsidRPr="002E1D1B">
        <w:rPr>
          <w:rFonts w:eastAsia="Times New Roman"/>
          <w:bCs/>
          <w:sz w:val="24"/>
          <w:szCs w:val="24"/>
        </w:rPr>
        <w:t xml:space="preserve">, 2 Colo. App. 554, 31 P. 511 (1892); and </w:t>
      </w:r>
      <w:r w:rsidRPr="002E1D1B">
        <w:rPr>
          <w:rFonts w:eastAsia="Times New Roman"/>
          <w:bCs/>
          <w:smallCaps/>
          <w:sz w:val="24"/>
          <w:szCs w:val="24"/>
        </w:rPr>
        <w:t>Restatement (Second) of Contracts</w:t>
      </w:r>
      <w:r w:rsidRPr="002E1D1B">
        <w:rPr>
          <w:rFonts w:eastAsia="Times New Roman"/>
          <w:bCs/>
          <w:sz w:val="24"/>
          <w:szCs w:val="24"/>
        </w:rPr>
        <w:t xml:space="preserve"> § 177(1) cmt. b (1981). </w:t>
      </w:r>
      <w:r w:rsidRPr="002E1D1B">
        <w:rPr>
          <w:rFonts w:eastAsia="Times New Roman"/>
          <w:bCs/>
          <w:i/>
          <w:sz w:val="24"/>
          <w:szCs w:val="24"/>
        </w:rPr>
        <w:t>See also</w:t>
      </w:r>
      <w:r w:rsidRPr="002E1D1B">
        <w:rPr>
          <w:rFonts w:eastAsia="Times New Roman"/>
          <w:bCs/>
          <w:sz w:val="24"/>
          <w:szCs w:val="24"/>
        </w:rPr>
        <w:t xml:space="preserve"> cases cited in Source and Authority to Instruction 34:14.</w:t>
      </w:r>
    </w:p>
    <w:p w14:paraId="29377F24" w14:textId="77777777" w:rsidR="002E1D1B" w:rsidRDefault="002E1D1B">
      <w:pPr>
        <w:rPr>
          <w:rFonts w:eastAsia="Times New Roman"/>
          <w:bCs/>
          <w:sz w:val="24"/>
          <w:szCs w:val="24"/>
        </w:rPr>
      </w:pPr>
      <w:r>
        <w:rPr>
          <w:rFonts w:eastAsia="Times New Roman"/>
          <w:bCs/>
          <w:sz w:val="24"/>
          <w:szCs w:val="24"/>
        </w:rPr>
        <w:br w:type="page"/>
      </w:r>
    </w:p>
    <w:p w14:paraId="511545D1" w14:textId="77777777" w:rsidR="002E1D1B" w:rsidRPr="009E3DA4" w:rsidRDefault="00BC29F9" w:rsidP="002E1D1B">
      <w:pPr>
        <w:spacing w:after="240"/>
        <w:ind w:left="720" w:hanging="720"/>
        <w:rPr>
          <w:rFonts w:eastAsia="Times New Roman"/>
          <w:b/>
          <w:sz w:val="24"/>
          <w:szCs w:val="24"/>
        </w:rPr>
      </w:pPr>
      <w:bookmarkStart w:id="21" w:name="a30_20"/>
      <w:bookmarkEnd w:id="21"/>
      <w:r w:rsidRPr="00BC29F9">
        <w:rPr>
          <w:rFonts w:eastAsia="Times New Roman"/>
          <w:b/>
          <w:bCs/>
          <w:sz w:val="24"/>
          <w:szCs w:val="24"/>
        </w:rPr>
        <w:lastRenderedPageBreak/>
        <w:t xml:space="preserve">30:20 </w:t>
      </w:r>
      <w:r w:rsidRPr="00BC29F9">
        <w:rPr>
          <w:rFonts w:eastAsia="Times New Roman"/>
          <w:b/>
          <w:bCs/>
          <w:sz w:val="24"/>
          <w:szCs w:val="24"/>
        </w:rPr>
        <w:tab/>
        <w:t>DEFENSE — DURESS</w:t>
      </w:r>
    </w:p>
    <w:p w14:paraId="3824568A"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The defendant, </w:t>
      </w:r>
      <w:r w:rsidRPr="00BC29F9">
        <w:rPr>
          <w:rFonts w:eastAsia="Times New Roman"/>
          <w:bCs/>
          <w:i/>
          <w:sz w:val="24"/>
          <w:szCs w:val="24"/>
        </w:rPr>
        <w:t>(name)</w:t>
      </w:r>
      <w:r w:rsidRPr="00BC29F9">
        <w:rPr>
          <w:rFonts w:eastAsia="Times New Roman"/>
          <w:b/>
          <w:bCs/>
          <w:sz w:val="24"/>
          <w:szCs w:val="24"/>
        </w:rPr>
        <w:t xml:space="preserve">, is not legally responsible to the plaintiff, </w:t>
      </w:r>
      <w:r w:rsidRPr="00BC29F9">
        <w:rPr>
          <w:rFonts w:eastAsia="Times New Roman"/>
          <w:bCs/>
          <w:i/>
          <w:sz w:val="24"/>
          <w:szCs w:val="24"/>
        </w:rPr>
        <w:t>(name)</w:t>
      </w:r>
      <w:r w:rsidRPr="00BC29F9">
        <w:rPr>
          <w:rFonts w:eastAsia="Times New Roman"/>
          <w:b/>
          <w:bCs/>
          <w:sz w:val="24"/>
          <w:szCs w:val="24"/>
        </w:rPr>
        <w:t>, on the plaintiff’s claim of breach of contract if the affirmative defense of duress is proved. This defense is proved if you find both of the following:</w:t>
      </w:r>
    </w:p>
    <w:p w14:paraId="6518D063" w14:textId="5C3724B6"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1. At the time the defendant entered into the (claimed) contract, the defendant was not acting of </w:t>
      </w:r>
      <w:r w:rsidR="00390234" w:rsidRPr="0070684C">
        <w:rPr>
          <w:rFonts w:eastAsia="Times New Roman"/>
          <w:i/>
          <w:iCs/>
          <w:sz w:val="24"/>
          <w:szCs w:val="24"/>
        </w:rPr>
        <w:t>(insert applicable pronoun</w:t>
      </w:r>
      <w:r w:rsidR="00390234">
        <w:rPr>
          <w:rFonts w:eastAsia="Times New Roman"/>
          <w:i/>
          <w:iCs/>
          <w:sz w:val="24"/>
          <w:szCs w:val="24"/>
        </w:rPr>
        <w:t>)</w:t>
      </w:r>
      <w:r w:rsidRPr="00BC29F9">
        <w:rPr>
          <w:rFonts w:eastAsia="Times New Roman"/>
          <w:b/>
          <w:bCs/>
          <w:sz w:val="24"/>
          <w:szCs w:val="24"/>
        </w:rPr>
        <w:t xml:space="preserve"> own free will; and</w:t>
      </w:r>
    </w:p>
    <w:p w14:paraId="03FF4128" w14:textId="77777777" w:rsidR="00BC29F9" w:rsidRPr="00BC29F9" w:rsidRDefault="00BC29F9" w:rsidP="00BC29F9">
      <w:pPr>
        <w:spacing w:after="240"/>
        <w:ind w:firstLine="720"/>
        <w:rPr>
          <w:rFonts w:eastAsia="Times New Roman"/>
          <w:bCs/>
          <w:i/>
          <w:sz w:val="24"/>
          <w:szCs w:val="24"/>
        </w:rPr>
      </w:pPr>
      <w:r w:rsidRPr="00BC29F9">
        <w:rPr>
          <w:rFonts w:eastAsia="Times New Roman"/>
          <w:b/>
          <w:bCs/>
          <w:sz w:val="24"/>
          <w:szCs w:val="24"/>
        </w:rPr>
        <w:t xml:space="preserve">2. The plaintiff caused the defendant’s lack of free will by </w:t>
      </w:r>
      <w:r w:rsidRPr="00BC29F9">
        <w:rPr>
          <w:rFonts w:eastAsia="Times New Roman"/>
          <w:bCs/>
          <w:i/>
          <w:sz w:val="24"/>
          <w:szCs w:val="24"/>
        </w:rPr>
        <w:t>(insert the wrongful act or threat that the court has determined to be legally sufficient to constitute duress).</w:t>
      </w:r>
    </w:p>
    <w:p w14:paraId="7273512D" w14:textId="77777777" w:rsidR="002E1D1B" w:rsidRDefault="002E1D1B" w:rsidP="002E1D1B">
      <w:pPr>
        <w:jc w:val="center"/>
        <w:rPr>
          <w:rFonts w:eastAsia="Times New Roman"/>
          <w:sz w:val="24"/>
          <w:szCs w:val="24"/>
        </w:rPr>
      </w:pPr>
    </w:p>
    <w:p w14:paraId="4CFE2DA6" w14:textId="77777777" w:rsidR="002E1D1B" w:rsidRPr="0054263B" w:rsidRDefault="002E1D1B" w:rsidP="002E1D1B">
      <w:pPr>
        <w:keepNext/>
        <w:spacing w:after="240"/>
        <w:jc w:val="center"/>
        <w:rPr>
          <w:rFonts w:eastAsia="Times New Roman"/>
          <w:b/>
          <w:sz w:val="24"/>
          <w:szCs w:val="24"/>
        </w:rPr>
      </w:pPr>
      <w:r w:rsidRPr="0054263B">
        <w:rPr>
          <w:rFonts w:eastAsia="Times New Roman"/>
          <w:b/>
          <w:sz w:val="24"/>
          <w:szCs w:val="24"/>
        </w:rPr>
        <w:t>Notes on Use</w:t>
      </w:r>
    </w:p>
    <w:p w14:paraId="4E2A0E59"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1. This instruction should not be used in a case involving a confidential or fiduciary relationship. </w:t>
      </w:r>
      <w:r w:rsidRPr="00BC29F9">
        <w:rPr>
          <w:rFonts w:eastAsia="Times New Roman"/>
          <w:bCs/>
          <w:i/>
          <w:sz w:val="24"/>
          <w:szCs w:val="24"/>
        </w:rPr>
        <w:t>See</w:t>
      </w:r>
      <w:r w:rsidRPr="00BC29F9">
        <w:rPr>
          <w:rFonts w:eastAsia="Times New Roman"/>
          <w:bCs/>
          <w:sz w:val="24"/>
          <w:szCs w:val="24"/>
        </w:rPr>
        <w:t xml:space="preserve"> Instructions 26:2, 26:3 and 34:16. </w:t>
      </w:r>
    </w:p>
    <w:p w14:paraId="3E754C64"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2. Appropriate instructions defining other terms used in this instruction must also be given, e.g., an instruction or instructions relating to causation. </w:t>
      </w:r>
      <w:r w:rsidRPr="00BC29F9">
        <w:rPr>
          <w:rFonts w:eastAsia="Times New Roman"/>
          <w:bCs/>
          <w:i/>
          <w:sz w:val="24"/>
          <w:szCs w:val="24"/>
        </w:rPr>
        <w:t>See</w:t>
      </w:r>
      <w:r w:rsidRPr="00BC29F9">
        <w:rPr>
          <w:rFonts w:eastAsia="Times New Roman"/>
          <w:bCs/>
          <w:sz w:val="24"/>
          <w:szCs w:val="24"/>
        </w:rPr>
        <w:t xml:space="preserve"> Instructions 9:18–9:20.</w:t>
      </w:r>
    </w:p>
    <w:p w14:paraId="35006CEC"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3. This instruction must be appropriately modified if the claimed duress was that of a third person. </w:t>
      </w:r>
      <w:r w:rsidRPr="00BC29F9">
        <w:rPr>
          <w:rFonts w:eastAsia="Times New Roman"/>
          <w:bCs/>
          <w:i/>
          <w:sz w:val="24"/>
          <w:szCs w:val="24"/>
        </w:rPr>
        <w:t>See</w:t>
      </w:r>
      <w:r w:rsidRPr="00BC29F9">
        <w:rPr>
          <w:rFonts w:eastAsia="Times New Roman"/>
          <w:bCs/>
          <w:sz w:val="24"/>
          <w:szCs w:val="24"/>
        </w:rPr>
        <w:t xml:space="preserve"> </w:t>
      </w:r>
      <w:r w:rsidRPr="00BC29F9">
        <w:rPr>
          <w:rFonts w:eastAsia="Times New Roman"/>
          <w:bCs/>
          <w:smallCaps/>
          <w:sz w:val="24"/>
          <w:szCs w:val="24"/>
        </w:rPr>
        <w:t>Restatement (Second) of Contracts</w:t>
      </w:r>
      <w:r w:rsidRPr="00BC29F9">
        <w:rPr>
          <w:rFonts w:eastAsia="Times New Roman"/>
          <w:bCs/>
          <w:sz w:val="24"/>
          <w:szCs w:val="24"/>
        </w:rPr>
        <w:t xml:space="preserve"> § 175(2) (1981).</w:t>
      </w:r>
    </w:p>
    <w:p w14:paraId="6C5F7658"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4. The burdens of pleading and proving duress in an arm’s length transaction are on the party asserting it. C.R.C.P. 8(c). For this reason, the appropriate sections of Instruction 3:1 should be given reflecting the evidence in the case.</w:t>
      </w:r>
    </w:p>
    <w:p w14:paraId="254BFB4B"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5. In cases involving the sale of goods, see section 4-2-302, C.R.S., which provides that the determination of unconscionability at the time the contract was made is a matter of law for the court. The parties may present evidence as to the commercial setting, purpose, and effect of the contract to aid the court in making its determination. </w:t>
      </w:r>
    </w:p>
    <w:p w14:paraId="6EF42052" w14:textId="77777777" w:rsidR="002E1D1B" w:rsidRPr="0054263B" w:rsidRDefault="002E1D1B" w:rsidP="002E1D1B">
      <w:pPr>
        <w:keepNext/>
        <w:spacing w:after="240"/>
        <w:jc w:val="center"/>
        <w:rPr>
          <w:rFonts w:eastAsia="Times New Roman"/>
          <w:b/>
          <w:sz w:val="24"/>
          <w:szCs w:val="24"/>
        </w:rPr>
      </w:pPr>
      <w:r>
        <w:rPr>
          <w:rFonts w:eastAsia="Times New Roman"/>
          <w:b/>
          <w:sz w:val="24"/>
          <w:szCs w:val="24"/>
        </w:rPr>
        <w:t>Source and Authority</w:t>
      </w:r>
    </w:p>
    <w:p w14:paraId="2688CCD9" w14:textId="77777777" w:rsidR="00BC29F9" w:rsidRPr="00BC29F9" w:rsidRDefault="00BC29F9" w:rsidP="00BC29F9">
      <w:pPr>
        <w:spacing w:after="240"/>
        <w:ind w:firstLine="720"/>
        <w:rPr>
          <w:rFonts w:eastAsia="Times New Roman"/>
          <w:bCs/>
          <w:sz w:val="24"/>
          <w:szCs w:val="24"/>
        </w:rPr>
      </w:pPr>
      <w:r>
        <w:rPr>
          <w:rFonts w:eastAsia="Times New Roman"/>
          <w:bCs/>
          <w:sz w:val="24"/>
          <w:szCs w:val="24"/>
        </w:rPr>
        <w:t>1.</w:t>
      </w:r>
      <w:r w:rsidRPr="00BC29F9">
        <w:rPr>
          <w:rFonts w:eastAsia="Times New Roman"/>
          <w:bCs/>
          <w:sz w:val="24"/>
          <w:szCs w:val="24"/>
        </w:rPr>
        <w:t xml:space="preserve"> This instruction is supported by </w:t>
      </w:r>
      <w:r w:rsidRPr="00BC29F9">
        <w:rPr>
          <w:rFonts w:eastAsia="Times New Roman"/>
          <w:b/>
          <w:bCs/>
          <w:sz w:val="24"/>
          <w:szCs w:val="24"/>
        </w:rPr>
        <w:t>Barrows v. McMurtry Manufacturing Co.</w:t>
      </w:r>
      <w:r w:rsidRPr="00BC29F9">
        <w:rPr>
          <w:rFonts w:eastAsia="Times New Roman"/>
          <w:bCs/>
          <w:sz w:val="24"/>
          <w:szCs w:val="24"/>
        </w:rPr>
        <w:t xml:space="preserve">, 54 Colo. 432, 131 P. 430 (1913) (no evidence that threats did in fact overcome defendant’s free choice). </w:t>
      </w:r>
      <w:r w:rsidRPr="00BC29F9">
        <w:rPr>
          <w:rFonts w:eastAsia="Times New Roman"/>
          <w:bCs/>
          <w:i/>
          <w:sz w:val="24"/>
          <w:szCs w:val="24"/>
        </w:rPr>
        <w:t>See also</w:t>
      </w:r>
      <w:r w:rsidRPr="00BC29F9">
        <w:rPr>
          <w:rFonts w:eastAsia="Times New Roman"/>
          <w:bCs/>
          <w:sz w:val="24"/>
          <w:szCs w:val="24"/>
        </w:rPr>
        <w:t xml:space="preserve"> </w:t>
      </w:r>
      <w:r w:rsidRPr="00BC29F9">
        <w:rPr>
          <w:rFonts w:eastAsia="Times New Roman"/>
          <w:b/>
          <w:bCs/>
          <w:sz w:val="24"/>
          <w:szCs w:val="24"/>
        </w:rPr>
        <w:t>DeJean v. United Airlines, Inc.</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 xml:space="preserve">839 P.2d 1153 (Colo. 1992) (if airline had legal right to terminate employment of trainee pilots, threat to do so did not constitute duress); </w:t>
      </w:r>
      <w:r w:rsidRPr="00BC29F9">
        <w:rPr>
          <w:rFonts w:eastAsia="Times New Roman"/>
          <w:b/>
          <w:bCs/>
          <w:sz w:val="24"/>
          <w:szCs w:val="24"/>
        </w:rPr>
        <w:t>Heald v. Crump</w:t>
      </w:r>
      <w:r w:rsidRPr="00BC29F9">
        <w:rPr>
          <w:rFonts w:eastAsia="Times New Roman"/>
          <w:bCs/>
          <w:sz w:val="24"/>
          <w:szCs w:val="24"/>
        </w:rPr>
        <w:t xml:space="preserve">, 73 Colo. 251, 215 P. 140 (1923) (a threat to do what one may lawfully do does not constitute duress); </w:t>
      </w:r>
      <w:r w:rsidRPr="00BC29F9">
        <w:rPr>
          <w:rFonts w:eastAsia="Times New Roman"/>
          <w:b/>
          <w:bCs/>
          <w:sz w:val="24"/>
          <w:szCs w:val="24"/>
        </w:rPr>
        <w:t>Miller v. Davis’ Estate</w:t>
      </w:r>
      <w:r w:rsidRPr="00BC29F9">
        <w:rPr>
          <w:rFonts w:eastAsia="Times New Roman"/>
          <w:bCs/>
          <w:sz w:val="24"/>
          <w:szCs w:val="24"/>
        </w:rPr>
        <w:t xml:space="preserve">, 52 Colo. 485, 122 P. 793 (1912) (defense of duress is lost if one accepts the benefits of the contract or remains silent for a considerable length of time after that person has had an opportunity to avoid or rescind the contract); </w:t>
      </w:r>
      <w:r w:rsidRPr="00BC29F9">
        <w:rPr>
          <w:rFonts w:eastAsia="Times New Roman"/>
          <w:b/>
          <w:bCs/>
          <w:sz w:val="24"/>
          <w:szCs w:val="24"/>
        </w:rPr>
        <w:t>McClair v. Wilson</w:t>
      </w:r>
      <w:r w:rsidRPr="00BC29F9">
        <w:rPr>
          <w:rFonts w:eastAsia="Times New Roman"/>
          <w:bCs/>
          <w:sz w:val="24"/>
          <w:szCs w:val="24"/>
        </w:rPr>
        <w:t xml:space="preserve">, 18 Colo. 82, 31 P. 502 (1892); </w:t>
      </w:r>
      <w:r w:rsidRPr="00BC29F9">
        <w:rPr>
          <w:rFonts w:eastAsia="Times New Roman"/>
          <w:b/>
          <w:bCs/>
          <w:sz w:val="24"/>
          <w:szCs w:val="24"/>
        </w:rPr>
        <w:t>Adams v. Schiffer</w:t>
      </w:r>
      <w:r w:rsidRPr="00BC29F9">
        <w:rPr>
          <w:rFonts w:eastAsia="Times New Roman"/>
          <w:bCs/>
          <w:sz w:val="24"/>
          <w:szCs w:val="24"/>
        </w:rPr>
        <w:t xml:space="preserve">, 11 Colo. 15, 17 P. 21 (1888) (duress exists where one person having control or possession of another’s property refuses to surrender it to the owner except upon compliance with a demand that is unlawful); </w:t>
      </w:r>
      <w:r w:rsidRPr="00BC29F9">
        <w:rPr>
          <w:rFonts w:eastAsia="Times New Roman"/>
          <w:b/>
          <w:bCs/>
          <w:sz w:val="24"/>
          <w:szCs w:val="24"/>
        </w:rPr>
        <w:t>Pittman v. Larson Distrib. Co.</w:t>
      </w:r>
      <w:r w:rsidRPr="00BC29F9">
        <w:rPr>
          <w:rFonts w:eastAsia="Times New Roman"/>
          <w:bCs/>
          <w:sz w:val="24"/>
          <w:szCs w:val="24"/>
        </w:rPr>
        <w:t xml:space="preserve">, 724 P.2d 1379, 1384 (Colo. App. 1986) (“The threat of blacklisting an employee in an industry is a form of coercion that constitutes duress as a matter of law[.]”); </w:t>
      </w:r>
      <w:r w:rsidRPr="00BC29F9">
        <w:rPr>
          <w:rFonts w:eastAsia="Times New Roman"/>
          <w:b/>
          <w:bCs/>
          <w:sz w:val="24"/>
          <w:szCs w:val="24"/>
        </w:rPr>
        <w:t>Wiesen v. Short</w:t>
      </w:r>
      <w:r w:rsidRPr="00BC29F9">
        <w:rPr>
          <w:rFonts w:eastAsia="Times New Roman"/>
          <w:bCs/>
          <w:sz w:val="24"/>
          <w:szCs w:val="24"/>
        </w:rPr>
        <w:t xml:space="preserve">, 43 </w:t>
      </w:r>
      <w:r w:rsidRPr="00BC29F9">
        <w:rPr>
          <w:rFonts w:eastAsia="Times New Roman"/>
          <w:bCs/>
          <w:sz w:val="24"/>
          <w:szCs w:val="24"/>
        </w:rPr>
        <w:lastRenderedPageBreak/>
        <w:t xml:space="preserve">Colo. App. 374, 604 P.2d 1191 (1979) (insufficient evidence that any force or threats had actually subjugated the mind and will of the person against whom they were directed); </w:t>
      </w:r>
      <w:r w:rsidRPr="00BC29F9">
        <w:rPr>
          <w:rFonts w:eastAsia="Times New Roman"/>
          <w:bCs/>
          <w:smallCaps/>
          <w:sz w:val="24"/>
          <w:szCs w:val="24"/>
        </w:rPr>
        <w:t>Restatement (Second) of Contracts</w:t>
      </w:r>
      <w:r w:rsidRPr="00BC29F9">
        <w:rPr>
          <w:rFonts w:eastAsia="Times New Roman"/>
          <w:bCs/>
          <w:sz w:val="24"/>
          <w:szCs w:val="24"/>
        </w:rPr>
        <w:t xml:space="preserve"> §§ 174-76 (1981). </w:t>
      </w:r>
    </w:p>
    <w:p w14:paraId="69275967"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2.</w:t>
      </w:r>
      <w:r>
        <w:rPr>
          <w:rFonts w:eastAsia="Times New Roman"/>
          <w:bCs/>
          <w:sz w:val="24"/>
          <w:szCs w:val="24"/>
        </w:rPr>
        <w:t xml:space="preserve"> </w:t>
      </w:r>
      <w:r w:rsidRPr="00BC29F9">
        <w:rPr>
          <w:rFonts w:eastAsia="Times New Roman"/>
          <w:bCs/>
          <w:sz w:val="24"/>
          <w:szCs w:val="24"/>
        </w:rPr>
        <w:t xml:space="preserve">As to what constitutes an improper threat, see </w:t>
      </w:r>
      <w:r w:rsidRPr="00BC29F9">
        <w:rPr>
          <w:rFonts w:eastAsia="Times New Roman"/>
          <w:b/>
          <w:bCs/>
          <w:sz w:val="24"/>
          <w:szCs w:val="24"/>
        </w:rPr>
        <w:t>Vail/Arrowhead, Inc. v. District Court</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 xml:space="preserve">954 P.2d 608 (Colo. 1998) (economic threats may give rise to duress so as to render contract voidable). </w:t>
      </w:r>
      <w:r w:rsidRPr="00BC29F9">
        <w:rPr>
          <w:rFonts w:eastAsia="Times New Roman"/>
          <w:bCs/>
          <w:i/>
          <w:sz w:val="24"/>
          <w:szCs w:val="24"/>
        </w:rPr>
        <w:t xml:space="preserve">See also </w:t>
      </w:r>
      <w:r w:rsidRPr="00BC29F9">
        <w:rPr>
          <w:rFonts w:eastAsia="Times New Roman"/>
          <w:b/>
          <w:bCs/>
          <w:sz w:val="24"/>
          <w:szCs w:val="24"/>
        </w:rPr>
        <w:t>Premier Farm Credit, PCA v. W-Cattle, LLC</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155 P.3d 504 (Colo. App. 2006) (threat by lender to call loan due if not renewed by borrower not cognizable as duress as a matter of law because lender had legal right to call loan due).</w:t>
      </w:r>
    </w:p>
    <w:p w14:paraId="259DA394" w14:textId="77777777" w:rsidR="00BC29F9" w:rsidRDefault="00BC29F9">
      <w:pPr>
        <w:rPr>
          <w:rFonts w:eastAsia="Times New Roman"/>
          <w:bCs/>
          <w:sz w:val="24"/>
          <w:szCs w:val="24"/>
        </w:rPr>
      </w:pPr>
      <w:r>
        <w:rPr>
          <w:rFonts w:eastAsia="Times New Roman"/>
          <w:bCs/>
          <w:sz w:val="24"/>
          <w:szCs w:val="24"/>
        </w:rPr>
        <w:br w:type="page"/>
      </w:r>
    </w:p>
    <w:p w14:paraId="2B993278" w14:textId="77777777" w:rsidR="00BC29F9" w:rsidRPr="009E3DA4" w:rsidRDefault="00BC29F9" w:rsidP="00BC29F9">
      <w:pPr>
        <w:spacing w:after="240"/>
        <w:ind w:left="720" w:hanging="720"/>
        <w:rPr>
          <w:rFonts w:eastAsia="Times New Roman"/>
          <w:b/>
          <w:sz w:val="24"/>
          <w:szCs w:val="24"/>
        </w:rPr>
      </w:pPr>
      <w:bookmarkStart w:id="22" w:name="a30_21"/>
      <w:bookmarkEnd w:id="22"/>
      <w:r w:rsidRPr="00BC29F9">
        <w:rPr>
          <w:rFonts w:eastAsia="Times New Roman"/>
          <w:b/>
          <w:bCs/>
          <w:sz w:val="24"/>
          <w:szCs w:val="24"/>
        </w:rPr>
        <w:lastRenderedPageBreak/>
        <w:t>30:21</w:t>
      </w:r>
      <w:r w:rsidRPr="00BC29F9">
        <w:rPr>
          <w:rFonts w:eastAsia="Times New Roman"/>
          <w:b/>
          <w:bCs/>
          <w:sz w:val="24"/>
          <w:szCs w:val="24"/>
        </w:rPr>
        <w:tab/>
        <w:t>DEFENSE ― MINORITY</w:t>
      </w:r>
    </w:p>
    <w:p w14:paraId="2F31E6EF"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The defendant, </w:t>
      </w:r>
      <w:r w:rsidRPr="00BC29F9">
        <w:rPr>
          <w:rFonts w:eastAsia="Times New Roman"/>
          <w:bCs/>
          <w:i/>
          <w:sz w:val="24"/>
          <w:szCs w:val="24"/>
        </w:rPr>
        <w:t>(name)</w:t>
      </w:r>
      <w:r w:rsidRPr="00BC29F9">
        <w:rPr>
          <w:rFonts w:eastAsia="Times New Roman"/>
          <w:b/>
          <w:bCs/>
          <w:sz w:val="24"/>
          <w:szCs w:val="24"/>
        </w:rPr>
        <w:t xml:space="preserve">, is not legally responsible to the plaintiff, </w:t>
      </w:r>
      <w:r w:rsidRPr="00BC29F9">
        <w:rPr>
          <w:rFonts w:eastAsia="Times New Roman"/>
          <w:bCs/>
          <w:i/>
          <w:sz w:val="24"/>
          <w:szCs w:val="24"/>
        </w:rPr>
        <w:t>(name)</w:t>
      </w:r>
      <w:r w:rsidRPr="00BC29F9">
        <w:rPr>
          <w:rFonts w:eastAsia="Times New Roman"/>
          <w:b/>
          <w:bCs/>
          <w:sz w:val="24"/>
          <w:szCs w:val="24"/>
        </w:rPr>
        <w:t>, on the plaintiff’s claim of breach of contract if the affirmative defense of minority is proved. This defense is proved if you find both of the following:</w:t>
      </w:r>
    </w:p>
    <w:p w14:paraId="2875214A"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1. The defendant was under the age of 18 at the time the (claimed) contract was entered into; and</w:t>
      </w:r>
    </w:p>
    <w:p w14:paraId="308ACBC8"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2. The defendant disaffirmed or rejected the [claimed] contract before becoming 18 or within a reasonable time after becoming 18.</w:t>
      </w:r>
    </w:p>
    <w:p w14:paraId="57B87E76" w14:textId="77777777" w:rsidR="00BC29F9" w:rsidRDefault="00BC29F9" w:rsidP="00BC29F9">
      <w:pPr>
        <w:jc w:val="center"/>
        <w:rPr>
          <w:rFonts w:eastAsia="Times New Roman"/>
          <w:sz w:val="24"/>
          <w:szCs w:val="24"/>
        </w:rPr>
      </w:pPr>
    </w:p>
    <w:p w14:paraId="5BD867A8" w14:textId="77777777" w:rsidR="00BC29F9" w:rsidRPr="0054263B" w:rsidRDefault="00BC29F9" w:rsidP="00BC29F9">
      <w:pPr>
        <w:keepNext/>
        <w:spacing w:after="240"/>
        <w:jc w:val="center"/>
        <w:rPr>
          <w:rFonts w:eastAsia="Times New Roman"/>
          <w:b/>
          <w:sz w:val="24"/>
          <w:szCs w:val="24"/>
        </w:rPr>
      </w:pPr>
      <w:r w:rsidRPr="0054263B">
        <w:rPr>
          <w:rFonts w:eastAsia="Times New Roman"/>
          <w:b/>
          <w:sz w:val="24"/>
          <w:szCs w:val="24"/>
        </w:rPr>
        <w:t>Notes on Use</w:t>
      </w:r>
    </w:p>
    <w:p w14:paraId="180D7C5D"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1. For “any legal contractual obligation,” the age of competence is 18. § 13-22-101(1)(a), C.R.S.</w:t>
      </w:r>
    </w:p>
    <w:p w14:paraId="5868B794"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2. The second numbered paragraph should be omitted if there is no dispute that the defendant is not yet 18 or if the only dispute is whether the defendant was 18 at the time the alleged contract was entered into. </w:t>
      </w:r>
    </w:p>
    <w:p w14:paraId="445780A8"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3. If the contract is wholly executory, the second paragraph may not be applicable. </w:t>
      </w:r>
      <w:r w:rsidRPr="00BC29F9">
        <w:rPr>
          <w:rFonts w:eastAsia="Times New Roman"/>
          <w:bCs/>
          <w:i/>
          <w:sz w:val="24"/>
          <w:szCs w:val="24"/>
        </w:rPr>
        <w:t xml:space="preserve">See </w:t>
      </w:r>
      <w:r w:rsidRPr="00BC29F9">
        <w:rPr>
          <w:rFonts w:eastAsia="Times New Roman"/>
          <w:b/>
          <w:bCs/>
          <w:sz w:val="24"/>
          <w:szCs w:val="24"/>
        </w:rPr>
        <w:t>Sipes v. Sipes</w:t>
      </w:r>
      <w:r w:rsidRPr="00BC29F9">
        <w:rPr>
          <w:rFonts w:eastAsia="Times New Roman"/>
          <w:bCs/>
          <w:sz w:val="24"/>
          <w:szCs w:val="24"/>
        </w:rPr>
        <w:t>, 87 Colo. 301, 287 P. 284 (1930).</w:t>
      </w:r>
    </w:p>
    <w:p w14:paraId="6BEF8957"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4. This instruction should be modified in cases relating to insurance, </w:t>
      </w:r>
      <w:r w:rsidRPr="00BC29F9">
        <w:rPr>
          <w:rFonts w:eastAsia="Times New Roman"/>
          <w:bCs/>
          <w:i/>
          <w:sz w:val="24"/>
          <w:szCs w:val="24"/>
        </w:rPr>
        <w:t>see</w:t>
      </w:r>
      <w:r w:rsidRPr="00BC29F9">
        <w:rPr>
          <w:rFonts w:eastAsia="Times New Roman"/>
          <w:bCs/>
          <w:sz w:val="24"/>
          <w:szCs w:val="24"/>
        </w:rPr>
        <w:t xml:space="preserve"> § 10-4-104, C.R.S., or in cases involving contracts for the acquisition of necessities of life, </w:t>
      </w:r>
      <w:r w:rsidRPr="00BC29F9">
        <w:rPr>
          <w:rFonts w:eastAsia="Times New Roman"/>
          <w:bCs/>
          <w:i/>
          <w:sz w:val="24"/>
          <w:szCs w:val="24"/>
        </w:rPr>
        <w:t xml:space="preserve">see </w:t>
      </w:r>
      <w:r w:rsidRPr="00BC29F9">
        <w:rPr>
          <w:rFonts w:eastAsia="Times New Roman"/>
          <w:b/>
          <w:bCs/>
          <w:sz w:val="24"/>
          <w:szCs w:val="24"/>
        </w:rPr>
        <w:t>Perkins v. Westcoat</w:t>
      </w:r>
      <w:r w:rsidRPr="00BC29F9">
        <w:rPr>
          <w:rFonts w:eastAsia="Times New Roman"/>
          <w:bCs/>
          <w:sz w:val="24"/>
          <w:szCs w:val="24"/>
        </w:rPr>
        <w:t>, 3 Colo. App. 338, 33 P. 139 (1893).</w:t>
      </w:r>
      <w:r w:rsidRPr="00BC29F9" w:rsidDel="006F4BC0">
        <w:rPr>
          <w:rFonts w:eastAsia="Times New Roman"/>
          <w:bCs/>
          <w:sz w:val="24"/>
          <w:szCs w:val="24"/>
        </w:rPr>
        <w:t xml:space="preserve"> </w:t>
      </w:r>
    </w:p>
    <w:p w14:paraId="5F74C66A" w14:textId="77777777" w:rsidR="00BC29F9" w:rsidRPr="0054263B" w:rsidRDefault="00BC29F9" w:rsidP="00BC29F9">
      <w:pPr>
        <w:keepNext/>
        <w:spacing w:after="240"/>
        <w:jc w:val="center"/>
        <w:rPr>
          <w:rFonts w:eastAsia="Times New Roman"/>
          <w:b/>
          <w:sz w:val="24"/>
          <w:szCs w:val="24"/>
        </w:rPr>
      </w:pPr>
      <w:r>
        <w:rPr>
          <w:rFonts w:eastAsia="Times New Roman"/>
          <w:b/>
          <w:sz w:val="24"/>
          <w:szCs w:val="24"/>
        </w:rPr>
        <w:t>Source and Authority</w:t>
      </w:r>
    </w:p>
    <w:p w14:paraId="1DECBB6F"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1. This instruction is supported by </w:t>
      </w:r>
      <w:r w:rsidRPr="00BC29F9">
        <w:rPr>
          <w:rFonts w:eastAsia="Times New Roman"/>
          <w:b/>
          <w:bCs/>
          <w:sz w:val="24"/>
          <w:szCs w:val="24"/>
        </w:rPr>
        <w:t>Keser v. Chagnon</w:t>
      </w:r>
      <w:r w:rsidRPr="00BC29F9">
        <w:rPr>
          <w:rFonts w:eastAsia="Times New Roman"/>
          <w:bCs/>
          <w:sz w:val="24"/>
          <w:szCs w:val="24"/>
        </w:rPr>
        <w:t xml:space="preserve">, 159 Colo. 209, 410 P.2d 637 (1966); and </w:t>
      </w:r>
      <w:r w:rsidRPr="00BC29F9">
        <w:rPr>
          <w:rFonts w:eastAsia="Times New Roman"/>
          <w:b/>
          <w:bCs/>
          <w:sz w:val="24"/>
          <w:szCs w:val="24"/>
        </w:rPr>
        <w:t>Doenges-Long Motors, Inc. v. Gillen</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 xml:space="preserve">138 Colo. 31, 328 P.2d 1077 (1958). </w:t>
      </w:r>
      <w:r w:rsidRPr="00BC29F9">
        <w:rPr>
          <w:rFonts w:eastAsia="Times New Roman"/>
          <w:bCs/>
          <w:i/>
          <w:sz w:val="24"/>
          <w:szCs w:val="24"/>
        </w:rPr>
        <w:t>See also</w:t>
      </w:r>
      <w:r w:rsidRPr="00BC29F9">
        <w:rPr>
          <w:rFonts w:eastAsia="Times New Roman"/>
          <w:bCs/>
          <w:sz w:val="24"/>
          <w:szCs w:val="24"/>
        </w:rPr>
        <w:t xml:space="preserve"> </w:t>
      </w:r>
      <w:r w:rsidRPr="00BC29F9">
        <w:rPr>
          <w:rFonts w:eastAsia="Times New Roman"/>
          <w:b/>
          <w:bCs/>
          <w:sz w:val="24"/>
          <w:szCs w:val="24"/>
        </w:rPr>
        <w:t>Fellows v. Cantrell</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143 Colo. 126, 352 P.2d 289 (1960) (where the plaintiff was seeking to recover on a loan he had made to the defendant, the court held that the defendant’s attempted disaffirmance at the age of 26 was not within a reasonable time after she reached majority).</w:t>
      </w:r>
    </w:p>
    <w:p w14:paraId="1DDF4C85"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2. Although the plaintiff may not be able to recover damages for breach of contract because of the defense of minority, the plaintiff may nonetheless be able to recover some damages on the theory of deceit, </w:t>
      </w:r>
      <w:r w:rsidRPr="00BC29F9">
        <w:rPr>
          <w:rFonts w:eastAsia="Times New Roman"/>
          <w:bCs/>
          <w:i/>
          <w:sz w:val="24"/>
          <w:szCs w:val="24"/>
        </w:rPr>
        <w:t>see</w:t>
      </w:r>
      <w:r w:rsidRPr="00BC29F9">
        <w:rPr>
          <w:rFonts w:eastAsia="Times New Roman"/>
          <w:bCs/>
          <w:sz w:val="24"/>
          <w:szCs w:val="24"/>
        </w:rPr>
        <w:t xml:space="preserve"> Chapter 19, or on the theory of rescission and restitution. </w:t>
      </w:r>
      <w:r w:rsidRPr="00BC29F9">
        <w:rPr>
          <w:rFonts w:eastAsia="Times New Roman"/>
          <w:b/>
          <w:bCs/>
          <w:sz w:val="24"/>
          <w:szCs w:val="24"/>
        </w:rPr>
        <w:t>Doenges-Long Motors, Inc.</w:t>
      </w:r>
      <w:r w:rsidRPr="00BC29F9">
        <w:rPr>
          <w:rFonts w:eastAsia="Times New Roman"/>
          <w:bCs/>
          <w:sz w:val="24"/>
          <w:szCs w:val="24"/>
        </w:rPr>
        <w:t>, 138 Colo. at 38-39, 328 P.2d at 1081.</w:t>
      </w:r>
    </w:p>
    <w:p w14:paraId="1A8750D4" w14:textId="77777777" w:rsidR="00BC29F9" w:rsidRDefault="00BC29F9">
      <w:pPr>
        <w:rPr>
          <w:rFonts w:eastAsia="Times New Roman"/>
          <w:bCs/>
          <w:sz w:val="24"/>
          <w:szCs w:val="24"/>
        </w:rPr>
      </w:pPr>
      <w:r>
        <w:rPr>
          <w:rFonts w:eastAsia="Times New Roman"/>
          <w:bCs/>
          <w:sz w:val="24"/>
          <w:szCs w:val="24"/>
        </w:rPr>
        <w:br w:type="page"/>
      </w:r>
    </w:p>
    <w:p w14:paraId="54348591" w14:textId="77777777" w:rsidR="00BC29F9" w:rsidRPr="009E3DA4" w:rsidRDefault="00BC29F9" w:rsidP="00BC29F9">
      <w:pPr>
        <w:spacing w:after="240"/>
        <w:ind w:left="720" w:hanging="720"/>
        <w:rPr>
          <w:rFonts w:eastAsia="Times New Roman"/>
          <w:b/>
          <w:sz w:val="24"/>
          <w:szCs w:val="24"/>
        </w:rPr>
      </w:pPr>
      <w:bookmarkStart w:id="23" w:name="a30_22"/>
      <w:bookmarkEnd w:id="23"/>
      <w:r w:rsidRPr="00BC29F9">
        <w:rPr>
          <w:rFonts w:eastAsia="Times New Roman"/>
          <w:b/>
          <w:bCs/>
          <w:sz w:val="24"/>
          <w:szCs w:val="24"/>
        </w:rPr>
        <w:lastRenderedPageBreak/>
        <w:t>30:22</w:t>
      </w:r>
      <w:r w:rsidRPr="00BC29F9">
        <w:rPr>
          <w:rFonts w:eastAsia="Times New Roman"/>
          <w:b/>
          <w:bCs/>
          <w:sz w:val="24"/>
          <w:szCs w:val="24"/>
        </w:rPr>
        <w:tab/>
        <w:t>DEFENSE ― MENTAL INCAPACITY</w:t>
      </w:r>
    </w:p>
    <w:p w14:paraId="7DF5007C" w14:textId="20D9F7D3"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The defendant, </w:t>
      </w:r>
      <w:r w:rsidRPr="00BC29F9">
        <w:rPr>
          <w:rFonts w:eastAsia="Times New Roman"/>
          <w:bCs/>
          <w:i/>
          <w:sz w:val="24"/>
          <w:szCs w:val="24"/>
        </w:rPr>
        <w:t>(name)</w:t>
      </w:r>
      <w:r w:rsidRPr="00BC29F9">
        <w:rPr>
          <w:rFonts w:eastAsia="Times New Roman"/>
          <w:b/>
          <w:bCs/>
          <w:sz w:val="24"/>
          <w:szCs w:val="24"/>
        </w:rPr>
        <w:t xml:space="preserve">, is not legally responsible to the plaintiff, </w:t>
      </w:r>
      <w:r w:rsidRPr="00BC29F9">
        <w:rPr>
          <w:rFonts w:eastAsia="Times New Roman"/>
          <w:bCs/>
          <w:i/>
          <w:sz w:val="24"/>
          <w:szCs w:val="24"/>
        </w:rPr>
        <w:t>(name)</w:t>
      </w:r>
      <w:r w:rsidRPr="00BC29F9">
        <w:rPr>
          <w:rFonts w:eastAsia="Times New Roman"/>
          <w:b/>
          <w:bCs/>
          <w:sz w:val="24"/>
          <w:szCs w:val="24"/>
        </w:rPr>
        <w:t xml:space="preserve">, on the plaintiff’s claim of breach of contract if the affirmative defense of lack of mental capacity is proved. This defense is proved if you find at the time the defendant entered into the (claimed) contract, </w:t>
      </w:r>
      <w:r w:rsidR="00390234" w:rsidRPr="0070684C">
        <w:rPr>
          <w:rFonts w:eastAsia="Times New Roman"/>
          <w:i/>
          <w:iCs/>
          <w:sz w:val="24"/>
          <w:szCs w:val="24"/>
        </w:rPr>
        <w:t>(insert applicable pronoun</w:t>
      </w:r>
      <w:r w:rsidR="00390234">
        <w:rPr>
          <w:rFonts w:eastAsia="Times New Roman"/>
          <w:i/>
          <w:iCs/>
          <w:sz w:val="24"/>
          <w:szCs w:val="24"/>
        </w:rPr>
        <w:t>)</w:t>
      </w:r>
      <w:r w:rsidRPr="00BC29F9">
        <w:rPr>
          <w:rFonts w:eastAsia="Times New Roman"/>
          <w:b/>
          <w:bCs/>
          <w:sz w:val="24"/>
          <w:szCs w:val="24"/>
        </w:rPr>
        <w:t xml:space="preserve"> was suffering from an insane delusion that made (him) (her) unable to understand the terms or effect of the contract or to act rationally in the transaction. </w:t>
      </w:r>
    </w:p>
    <w:p w14:paraId="3B209C11" w14:textId="77777777" w:rsidR="00BC29F9" w:rsidRDefault="00BC29F9" w:rsidP="00BC29F9">
      <w:pPr>
        <w:jc w:val="center"/>
        <w:rPr>
          <w:rFonts w:eastAsia="Times New Roman"/>
          <w:sz w:val="24"/>
          <w:szCs w:val="24"/>
        </w:rPr>
      </w:pPr>
    </w:p>
    <w:p w14:paraId="6D101E4D" w14:textId="77777777" w:rsidR="00BC29F9" w:rsidRPr="0054263B" w:rsidRDefault="00BC29F9" w:rsidP="00BC29F9">
      <w:pPr>
        <w:keepNext/>
        <w:spacing w:after="240"/>
        <w:jc w:val="center"/>
        <w:rPr>
          <w:rFonts w:eastAsia="Times New Roman"/>
          <w:b/>
          <w:sz w:val="24"/>
          <w:szCs w:val="24"/>
        </w:rPr>
      </w:pPr>
      <w:r w:rsidRPr="0054263B">
        <w:rPr>
          <w:rFonts w:eastAsia="Times New Roman"/>
          <w:b/>
          <w:sz w:val="24"/>
          <w:szCs w:val="24"/>
        </w:rPr>
        <w:t>Notes on Use</w:t>
      </w:r>
    </w:p>
    <w:p w14:paraId="1E675FEB"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1. The appropriate sections of Instruction 3:1 should be given reflecting the evidence in the case.</w:t>
      </w:r>
    </w:p>
    <w:p w14:paraId="7ED77C3B" w14:textId="650514C5"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2. This instruction should be used with Instruction 34:12, which defines the term “insane delusion.”</w:t>
      </w:r>
    </w:p>
    <w:p w14:paraId="2BC5D6AD" w14:textId="0EFAAF79"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3. This instruction may be given with Instruction 3:5 regarding presumptions. There is always, in civil as well as criminal actions, a presumption of sanity. </w:t>
      </w:r>
      <w:r w:rsidRPr="00BC29F9">
        <w:rPr>
          <w:rFonts w:eastAsia="Times New Roman"/>
          <w:b/>
          <w:bCs/>
          <w:sz w:val="24"/>
          <w:szCs w:val="24"/>
        </w:rPr>
        <w:t>Hanks v. McNeil Coal Corp</w:t>
      </w:r>
      <w:r w:rsidRPr="00BC29F9">
        <w:rPr>
          <w:rFonts w:eastAsia="Times New Roman"/>
          <w:bCs/>
          <w:sz w:val="24"/>
          <w:szCs w:val="24"/>
        </w:rPr>
        <w:t xml:space="preserve">., 114 Colo. 578, 168 P.2d 256 (1946). </w:t>
      </w:r>
    </w:p>
    <w:p w14:paraId="5FC96C69" w14:textId="77777777" w:rsidR="00BC29F9" w:rsidRPr="0054263B" w:rsidRDefault="00BC29F9" w:rsidP="00BC29F9">
      <w:pPr>
        <w:keepNext/>
        <w:spacing w:after="240"/>
        <w:jc w:val="center"/>
        <w:rPr>
          <w:rFonts w:eastAsia="Times New Roman"/>
          <w:b/>
          <w:sz w:val="24"/>
          <w:szCs w:val="24"/>
        </w:rPr>
      </w:pPr>
      <w:r>
        <w:rPr>
          <w:rFonts w:eastAsia="Times New Roman"/>
          <w:b/>
          <w:sz w:val="24"/>
          <w:szCs w:val="24"/>
        </w:rPr>
        <w:t>Source and Authority</w:t>
      </w:r>
    </w:p>
    <w:p w14:paraId="4D50CF83" w14:textId="77777777" w:rsidR="00BC29F9" w:rsidRDefault="00BC29F9" w:rsidP="00BC29F9">
      <w:pPr>
        <w:spacing w:after="240"/>
        <w:ind w:firstLine="720"/>
        <w:rPr>
          <w:rFonts w:eastAsia="Times New Roman"/>
          <w:bCs/>
          <w:sz w:val="24"/>
          <w:szCs w:val="24"/>
        </w:rPr>
      </w:pPr>
      <w:r w:rsidRPr="00BC29F9">
        <w:rPr>
          <w:rFonts w:eastAsia="Times New Roman"/>
          <w:bCs/>
          <w:sz w:val="24"/>
          <w:szCs w:val="24"/>
        </w:rPr>
        <w:t xml:space="preserve">This instruction is supported by </w:t>
      </w:r>
      <w:r w:rsidRPr="00BC29F9">
        <w:rPr>
          <w:rFonts w:eastAsia="Times New Roman"/>
          <w:b/>
          <w:bCs/>
          <w:sz w:val="24"/>
          <w:szCs w:val="24"/>
        </w:rPr>
        <w:t>Hanks</w:t>
      </w:r>
      <w:r w:rsidRPr="00BC29F9">
        <w:rPr>
          <w:rFonts w:eastAsia="Times New Roman"/>
          <w:bCs/>
          <w:sz w:val="24"/>
          <w:szCs w:val="24"/>
        </w:rPr>
        <w:t xml:space="preserve">, 114 Colo. at 588-89, 168 P.2d at 261-62. </w:t>
      </w:r>
      <w:r w:rsidRPr="00BC29F9">
        <w:rPr>
          <w:rFonts w:eastAsia="Times New Roman"/>
          <w:bCs/>
          <w:i/>
          <w:sz w:val="24"/>
          <w:szCs w:val="24"/>
        </w:rPr>
        <w:t>Accord</w:t>
      </w:r>
      <w:r w:rsidRPr="00BC29F9">
        <w:rPr>
          <w:rFonts w:eastAsia="Times New Roman"/>
          <w:bCs/>
          <w:sz w:val="24"/>
          <w:szCs w:val="24"/>
        </w:rPr>
        <w:t xml:space="preserve"> </w:t>
      </w:r>
      <w:r w:rsidRPr="00BC29F9">
        <w:rPr>
          <w:rFonts w:eastAsia="Times New Roman"/>
          <w:b/>
          <w:bCs/>
          <w:sz w:val="24"/>
          <w:szCs w:val="24"/>
        </w:rPr>
        <w:t>Forman v. Brown</w:t>
      </w:r>
      <w:r w:rsidRPr="00BC29F9">
        <w:rPr>
          <w:rFonts w:eastAsia="Times New Roman"/>
          <w:bCs/>
          <w:sz w:val="24"/>
          <w:szCs w:val="24"/>
        </w:rPr>
        <w:t>, 944 P.2d 559 (Colo. App.</w:t>
      </w:r>
      <w:r w:rsidRPr="00BC29F9" w:rsidDel="0091137F">
        <w:rPr>
          <w:rFonts w:eastAsia="Times New Roman"/>
          <w:bCs/>
          <w:sz w:val="24"/>
          <w:szCs w:val="24"/>
        </w:rPr>
        <w:t xml:space="preserve"> </w:t>
      </w:r>
      <w:r w:rsidRPr="00BC29F9">
        <w:rPr>
          <w:rFonts w:eastAsia="Times New Roman"/>
          <w:bCs/>
          <w:sz w:val="24"/>
          <w:szCs w:val="24"/>
        </w:rPr>
        <w:t>1997).</w:t>
      </w:r>
    </w:p>
    <w:p w14:paraId="3035A67D" w14:textId="77777777" w:rsidR="00BC29F9" w:rsidRDefault="00BC29F9">
      <w:pPr>
        <w:rPr>
          <w:rFonts w:eastAsia="Times New Roman"/>
          <w:bCs/>
          <w:sz w:val="24"/>
          <w:szCs w:val="24"/>
        </w:rPr>
      </w:pPr>
      <w:r>
        <w:rPr>
          <w:rFonts w:eastAsia="Times New Roman"/>
          <w:bCs/>
          <w:sz w:val="24"/>
          <w:szCs w:val="24"/>
        </w:rPr>
        <w:br w:type="page"/>
      </w:r>
    </w:p>
    <w:p w14:paraId="1540D158" w14:textId="77777777" w:rsidR="00BC29F9" w:rsidRPr="009E3DA4" w:rsidRDefault="00BC29F9" w:rsidP="00BC29F9">
      <w:pPr>
        <w:spacing w:after="240"/>
        <w:ind w:left="720" w:hanging="720"/>
        <w:rPr>
          <w:rFonts w:eastAsia="Times New Roman"/>
          <w:b/>
          <w:sz w:val="24"/>
          <w:szCs w:val="24"/>
        </w:rPr>
      </w:pPr>
      <w:bookmarkStart w:id="24" w:name="a30_23"/>
      <w:bookmarkEnd w:id="24"/>
      <w:r w:rsidRPr="00BC29F9">
        <w:rPr>
          <w:rFonts w:eastAsia="Times New Roman"/>
          <w:b/>
          <w:bCs/>
          <w:sz w:val="24"/>
          <w:szCs w:val="24"/>
        </w:rPr>
        <w:lastRenderedPageBreak/>
        <w:t>30:23</w:t>
      </w:r>
      <w:r w:rsidRPr="00BC29F9">
        <w:rPr>
          <w:rFonts w:eastAsia="Times New Roman"/>
          <w:b/>
          <w:bCs/>
          <w:sz w:val="24"/>
          <w:szCs w:val="24"/>
        </w:rPr>
        <w:tab/>
      </w:r>
      <w:r w:rsidRPr="00BC29F9">
        <w:rPr>
          <w:rFonts w:eastAsia="Times New Roman"/>
          <w:b/>
          <w:bCs/>
          <w:caps/>
          <w:sz w:val="24"/>
          <w:szCs w:val="24"/>
        </w:rPr>
        <w:t>DEFENSE — Impossibility of Performance</w:t>
      </w:r>
    </w:p>
    <w:p w14:paraId="72ABDED4"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The defendant, </w:t>
      </w:r>
      <w:r w:rsidRPr="00BC29F9">
        <w:rPr>
          <w:rFonts w:eastAsia="Times New Roman"/>
          <w:bCs/>
          <w:i/>
          <w:sz w:val="24"/>
          <w:szCs w:val="24"/>
        </w:rPr>
        <w:t>(name)</w:t>
      </w:r>
      <w:r w:rsidRPr="00BC29F9">
        <w:rPr>
          <w:rFonts w:eastAsia="Times New Roman"/>
          <w:b/>
          <w:bCs/>
          <w:sz w:val="24"/>
          <w:szCs w:val="24"/>
        </w:rPr>
        <w:t xml:space="preserve">, is not legally responsible to the plaintiff, </w:t>
      </w:r>
      <w:r w:rsidRPr="00BC29F9">
        <w:rPr>
          <w:rFonts w:eastAsia="Times New Roman"/>
          <w:bCs/>
          <w:i/>
          <w:sz w:val="24"/>
          <w:szCs w:val="24"/>
        </w:rPr>
        <w:t>(name)</w:t>
      </w:r>
      <w:r w:rsidRPr="00BC29F9">
        <w:rPr>
          <w:rFonts w:eastAsia="Times New Roman"/>
          <w:b/>
          <w:bCs/>
          <w:sz w:val="24"/>
          <w:szCs w:val="24"/>
        </w:rPr>
        <w:t>, on the plaintiff’s claim of breach of contract if the affirmative defense of impossibility of performance is proved. This defense is proved if you find all of the following:</w:t>
      </w:r>
    </w:p>
    <w:p w14:paraId="46905E41"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1. An event, </w:t>
      </w:r>
      <w:r w:rsidRPr="00BC29F9">
        <w:rPr>
          <w:rFonts w:eastAsia="Times New Roman"/>
          <w:bCs/>
          <w:i/>
          <w:sz w:val="24"/>
          <w:szCs w:val="24"/>
        </w:rPr>
        <w:t>(insert an appropriate description of the event, i.e., the Act of God, change of law, death of essential party, etc., on which the defendant relies)</w:t>
      </w:r>
      <w:r w:rsidRPr="00BC29F9">
        <w:rPr>
          <w:rFonts w:eastAsia="Times New Roman"/>
          <w:b/>
          <w:bCs/>
          <w:sz w:val="24"/>
          <w:szCs w:val="24"/>
        </w:rPr>
        <w:t>,</w:t>
      </w:r>
      <w:r w:rsidRPr="00BC29F9">
        <w:rPr>
          <w:rFonts w:eastAsia="Times New Roman"/>
          <w:bCs/>
          <w:i/>
          <w:sz w:val="24"/>
          <w:szCs w:val="24"/>
        </w:rPr>
        <w:t xml:space="preserve"> </w:t>
      </w:r>
      <w:r w:rsidRPr="00BC29F9">
        <w:rPr>
          <w:rFonts w:eastAsia="Times New Roman"/>
          <w:b/>
          <w:bCs/>
          <w:sz w:val="24"/>
          <w:szCs w:val="24"/>
        </w:rPr>
        <w:t>occurred that could not reasonably be anticipated by the plaintiff and the defendant when they entered into the contract; and</w:t>
      </w:r>
    </w:p>
    <w:p w14:paraId="2B7CCB8A"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2. The defendant did not cause the event; and</w:t>
      </w:r>
    </w:p>
    <w:p w14:paraId="6D99447F"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3. The event (made the defendant’s performance of the contract physically impossible) (or) (made the defendant’s performance impracticable because of [a change in law] or an extreme and unreasonable [difficulty,] [expense,] [risk of personal injury,] [or] [loss]).</w:t>
      </w:r>
    </w:p>
    <w:p w14:paraId="2BE5B466" w14:textId="77777777" w:rsidR="00BC29F9" w:rsidRDefault="00BC29F9" w:rsidP="00BC29F9">
      <w:pPr>
        <w:jc w:val="center"/>
        <w:rPr>
          <w:rFonts w:eastAsia="Times New Roman"/>
          <w:sz w:val="24"/>
          <w:szCs w:val="24"/>
        </w:rPr>
      </w:pPr>
    </w:p>
    <w:p w14:paraId="26467510" w14:textId="77777777" w:rsidR="00BC29F9" w:rsidRPr="0054263B" w:rsidRDefault="00BC29F9" w:rsidP="00BC29F9">
      <w:pPr>
        <w:keepNext/>
        <w:spacing w:after="240"/>
        <w:jc w:val="center"/>
        <w:rPr>
          <w:rFonts w:eastAsia="Times New Roman"/>
          <w:b/>
          <w:sz w:val="24"/>
          <w:szCs w:val="24"/>
        </w:rPr>
      </w:pPr>
      <w:r w:rsidRPr="0054263B">
        <w:rPr>
          <w:rFonts w:eastAsia="Times New Roman"/>
          <w:b/>
          <w:sz w:val="24"/>
          <w:szCs w:val="24"/>
        </w:rPr>
        <w:t>Notes on Use</w:t>
      </w:r>
    </w:p>
    <w:p w14:paraId="7805AFA4"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1. Omit any numbered paragraphs, the facts of which are not in dispute.</w:t>
      </w:r>
    </w:p>
    <w:p w14:paraId="0D3015B3" w14:textId="702339ED"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2. </w:t>
      </w:r>
      <w:r w:rsidR="007A6434">
        <w:rPr>
          <w:rFonts w:eastAsia="Times New Roman"/>
          <w:bCs/>
          <w:sz w:val="24"/>
          <w:szCs w:val="24"/>
        </w:rPr>
        <w:t xml:space="preserve">This instruction should not be given when the parties intended to allocate the risk of an event in their agreement, such as through a force-majeure clause. </w:t>
      </w:r>
      <w:r w:rsidR="007A6434" w:rsidRPr="007A6434">
        <w:rPr>
          <w:rFonts w:eastAsia="Times New Roman"/>
          <w:bCs/>
          <w:i/>
          <w:iCs/>
          <w:sz w:val="24"/>
          <w:szCs w:val="24"/>
        </w:rPr>
        <w:t>See</w:t>
      </w:r>
      <w:r w:rsidR="007A6434">
        <w:rPr>
          <w:rFonts w:eastAsia="Times New Roman"/>
          <w:b/>
          <w:sz w:val="24"/>
          <w:szCs w:val="24"/>
        </w:rPr>
        <w:t xml:space="preserve"> </w:t>
      </w:r>
      <w:r w:rsidR="007A6434" w:rsidRPr="00703911">
        <w:rPr>
          <w:rFonts w:eastAsia="Times New Roman"/>
          <w:b/>
          <w:sz w:val="24"/>
          <w:szCs w:val="24"/>
        </w:rPr>
        <w:t>Highlands Broadway OPCO, LLC v. Barre Boss LLC</w:t>
      </w:r>
      <w:r w:rsidR="007A6434">
        <w:rPr>
          <w:rFonts w:eastAsia="Times New Roman"/>
          <w:bCs/>
          <w:sz w:val="24"/>
          <w:szCs w:val="24"/>
        </w:rPr>
        <w:t>, 2023 COA 5, ¶ 14 (“Because the affirmative defenses of impossibility and frustration of purpose are premised on the occurrence of an unanticipated event, neither defense applies when, through their contract, the parties allocated the risk of such an event.”).</w:t>
      </w:r>
      <w:r w:rsidR="007A6434" w:rsidRPr="004816AF">
        <w:rPr>
          <w:rFonts w:eastAsia="Times New Roman"/>
          <w:bCs/>
          <w:sz w:val="24"/>
          <w:szCs w:val="24"/>
        </w:rPr>
        <w:t xml:space="preserve"> </w:t>
      </w:r>
      <w:r w:rsidRPr="00BC29F9" w:rsidDel="004816AF">
        <w:rPr>
          <w:rFonts w:eastAsia="Times New Roman"/>
          <w:bCs/>
          <w:sz w:val="24"/>
          <w:szCs w:val="24"/>
        </w:rPr>
        <w:t>Neither should it be given unless the event that is claimed to have rendered the defendant’s performance impossible would be sufficient for the defense as a matter of law.</w:t>
      </w:r>
    </w:p>
    <w:p w14:paraId="08BD35E5"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3. An instruction or instructions related to causation may be used. </w:t>
      </w:r>
      <w:r w:rsidRPr="00BC29F9">
        <w:rPr>
          <w:rFonts w:eastAsia="Times New Roman"/>
          <w:bCs/>
          <w:i/>
          <w:sz w:val="24"/>
          <w:szCs w:val="24"/>
        </w:rPr>
        <w:t>See</w:t>
      </w:r>
      <w:r w:rsidRPr="00BC29F9">
        <w:rPr>
          <w:rFonts w:eastAsia="Times New Roman"/>
          <w:bCs/>
          <w:sz w:val="24"/>
          <w:szCs w:val="24"/>
        </w:rPr>
        <w:t xml:space="preserve"> Instructions 9:18–9:20.</w:t>
      </w:r>
    </w:p>
    <w:p w14:paraId="5DC938B4"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4. The appropriate sections of Instruction 3:1 should be given reflecting the evidence in the case.</w:t>
      </w:r>
    </w:p>
    <w:p w14:paraId="0B91392B"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5. For cases involving the sale of goods, see sections 4-2-613 to 4-2-616, C.R.S., which deal, </w:t>
      </w:r>
      <w:r w:rsidRPr="00BC29F9">
        <w:rPr>
          <w:rFonts w:eastAsia="Times New Roman"/>
          <w:bCs/>
          <w:i/>
          <w:sz w:val="24"/>
          <w:szCs w:val="24"/>
        </w:rPr>
        <w:t>inter</w:t>
      </w:r>
      <w:r w:rsidRPr="00BC29F9">
        <w:rPr>
          <w:rFonts w:eastAsia="Times New Roman"/>
          <w:bCs/>
          <w:sz w:val="24"/>
          <w:szCs w:val="24"/>
        </w:rPr>
        <w:t xml:space="preserve"> </w:t>
      </w:r>
      <w:r w:rsidRPr="00BC29F9">
        <w:rPr>
          <w:rFonts w:eastAsia="Times New Roman"/>
          <w:bCs/>
          <w:i/>
          <w:sz w:val="24"/>
          <w:szCs w:val="24"/>
        </w:rPr>
        <w:t>alia</w:t>
      </w:r>
      <w:r w:rsidRPr="00BC29F9">
        <w:rPr>
          <w:rFonts w:eastAsia="Times New Roman"/>
          <w:bCs/>
          <w:sz w:val="24"/>
          <w:szCs w:val="24"/>
        </w:rPr>
        <w:t>, with goods that suffer casualty without fault of either party before the risk of loss passes to the buyer; with substitute performance; and with a delay in delivery or nondelivery if performance as agreed upon has been made impracticable by the occurrence of a contingency, the nonoccurrence of which was a basic assumption on which the contract was made, or by compliance in good faith with any applicable foreign or domestic governmental regulation or order whether or not it later proves to be invalid.</w:t>
      </w:r>
    </w:p>
    <w:p w14:paraId="5D4AF00D" w14:textId="77777777" w:rsidR="00BC29F9" w:rsidRPr="0054263B" w:rsidRDefault="00BC29F9" w:rsidP="00BC29F9">
      <w:pPr>
        <w:keepNext/>
        <w:spacing w:after="240"/>
        <w:jc w:val="center"/>
        <w:rPr>
          <w:rFonts w:eastAsia="Times New Roman"/>
          <w:b/>
          <w:sz w:val="24"/>
          <w:szCs w:val="24"/>
        </w:rPr>
      </w:pPr>
      <w:r>
        <w:rPr>
          <w:rFonts w:eastAsia="Times New Roman"/>
          <w:b/>
          <w:sz w:val="24"/>
          <w:szCs w:val="24"/>
        </w:rPr>
        <w:lastRenderedPageBreak/>
        <w:t>Source and Authority</w:t>
      </w:r>
    </w:p>
    <w:p w14:paraId="1EE7FCDD"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1. This instruction is supported by </w:t>
      </w:r>
      <w:r w:rsidRPr="0000321C">
        <w:rPr>
          <w:rFonts w:eastAsia="Times New Roman"/>
          <w:bCs/>
          <w:smallCaps/>
          <w:sz w:val="24"/>
          <w:szCs w:val="24"/>
        </w:rPr>
        <w:t>Restatement (Second) of Contracts</w:t>
      </w:r>
      <w:r w:rsidRPr="0000321C">
        <w:rPr>
          <w:rFonts w:eastAsia="Times New Roman"/>
          <w:bCs/>
          <w:sz w:val="24"/>
          <w:szCs w:val="24"/>
        </w:rPr>
        <w:t xml:space="preserve"> §§ 261-66 (1981); </w:t>
      </w:r>
      <w:r w:rsidRPr="0000321C">
        <w:rPr>
          <w:rFonts w:eastAsia="Times New Roman"/>
          <w:b/>
          <w:bCs/>
          <w:sz w:val="24"/>
          <w:szCs w:val="24"/>
        </w:rPr>
        <w:t>City of Littleton v. Employers Fire Insurance Co.</w:t>
      </w:r>
      <w:r w:rsidRPr="0000321C">
        <w:rPr>
          <w:rFonts w:eastAsia="Times New Roman"/>
          <w:bCs/>
          <w:sz w:val="24"/>
          <w:szCs w:val="24"/>
        </w:rPr>
        <w:t xml:space="preserve">, 169 Colo. 104, 453 P.2d 810 (1969); and </w:t>
      </w:r>
      <w:r w:rsidRPr="0000321C">
        <w:rPr>
          <w:rFonts w:eastAsia="Times New Roman"/>
          <w:b/>
          <w:bCs/>
          <w:sz w:val="24"/>
          <w:szCs w:val="24"/>
        </w:rPr>
        <w:t>Ruff v. Yuma County Transportation Co.</w:t>
      </w:r>
      <w:r w:rsidRPr="0000321C">
        <w:rPr>
          <w:rFonts w:eastAsia="Times New Roman"/>
          <w:bCs/>
          <w:sz w:val="24"/>
          <w:szCs w:val="24"/>
        </w:rPr>
        <w:t xml:space="preserve">, 690 P.2d 1296 (Colo. App. 1984) (impossibility of performance is determined by whether “an unanticipated circumstance has made performance of the promise vitally different from what should reasonably have been within the contemplation of both parties when they entered into the contract.”). </w:t>
      </w:r>
      <w:r w:rsidRPr="0000321C">
        <w:rPr>
          <w:rFonts w:eastAsia="Times New Roman"/>
          <w:bCs/>
          <w:i/>
          <w:sz w:val="24"/>
          <w:szCs w:val="24"/>
        </w:rPr>
        <w:t>See also</w:t>
      </w:r>
      <w:r w:rsidRPr="0000321C">
        <w:rPr>
          <w:rFonts w:eastAsia="Times New Roman"/>
          <w:bCs/>
          <w:sz w:val="24"/>
          <w:szCs w:val="24"/>
        </w:rPr>
        <w:t xml:space="preserve"> </w:t>
      </w:r>
      <w:r w:rsidRPr="0000321C">
        <w:rPr>
          <w:rFonts w:eastAsia="Times New Roman"/>
          <w:b/>
          <w:bCs/>
          <w:sz w:val="24"/>
          <w:szCs w:val="24"/>
        </w:rPr>
        <w:t>Town of Fraser v. Davis</w:t>
      </w:r>
      <w:r w:rsidRPr="0000321C">
        <w:rPr>
          <w:rFonts w:eastAsia="Times New Roman"/>
          <w:bCs/>
          <w:sz w:val="24"/>
          <w:szCs w:val="24"/>
        </w:rPr>
        <w:t xml:space="preserve">, 644 P.2d 100 (Colo. App. 1982) (quoting and </w:t>
      </w:r>
      <w:r w:rsidR="009D5D97">
        <w:rPr>
          <w:rFonts w:eastAsia="Times New Roman"/>
          <w:bCs/>
          <w:sz w:val="24"/>
          <w:szCs w:val="24"/>
        </w:rPr>
        <w:t>applying</w:t>
      </w:r>
      <w:r w:rsidR="009D5D97" w:rsidRPr="0000321C">
        <w:rPr>
          <w:rFonts w:eastAsia="Times New Roman"/>
          <w:bCs/>
          <w:sz w:val="24"/>
          <w:szCs w:val="24"/>
        </w:rPr>
        <w:t xml:space="preserve"> </w:t>
      </w:r>
      <w:r w:rsidRPr="0000321C">
        <w:rPr>
          <w:rFonts w:eastAsia="Times New Roman"/>
          <w:bCs/>
          <w:smallCaps/>
          <w:sz w:val="24"/>
          <w:szCs w:val="24"/>
        </w:rPr>
        <w:t>Restatement (Second) of Contracts</w:t>
      </w:r>
      <w:r w:rsidRPr="0000321C">
        <w:rPr>
          <w:rFonts w:eastAsia="Times New Roman"/>
          <w:bCs/>
          <w:sz w:val="24"/>
          <w:szCs w:val="24"/>
        </w:rPr>
        <w:t xml:space="preserve"> § 266(2) (1981)); </w:t>
      </w:r>
      <w:r w:rsidRPr="0000321C">
        <w:rPr>
          <w:rFonts w:eastAsia="Times New Roman"/>
          <w:b/>
          <w:bCs/>
          <w:sz w:val="24"/>
          <w:szCs w:val="24"/>
        </w:rPr>
        <w:t>Breeden v. Dailey</w:t>
      </w:r>
      <w:r w:rsidRPr="0000321C">
        <w:rPr>
          <w:rFonts w:eastAsia="Times New Roman"/>
          <w:bCs/>
          <w:sz w:val="24"/>
          <w:szCs w:val="24"/>
        </w:rPr>
        <w:t xml:space="preserve">, 40 Colo. App. 70, 574 P.2d 508 (1977) (death of party); </w:t>
      </w:r>
      <w:r w:rsidRPr="0000321C">
        <w:rPr>
          <w:rFonts w:eastAsia="Times New Roman"/>
          <w:bCs/>
          <w:i/>
          <w:sz w:val="24"/>
          <w:szCs w:val="24"/>
        </w:rPr>
        <w:t>see generally</w:t>
      </w:r>
      <w:r w:rsidRPr="0000321C">
        <w:rPr>
          <w:rFonts w:eastAsia="Times New Roman"/>
          <w:bCs/>
          <w:sz w:val="24"/>
          <w:szCs w:val="24"/>
        </w:rPr>
        <w:t xml:space="preserve">, 14 </w:t>
      </w:r>
      <w:r w:rsidRPr="0000321C">
        <w:rPr>
          <w:rFonts w:eastAsia="Times New Roman"/>
          <w:bCs/>
          <w:smallCaps/>
          <w:sz w:val="24"/>
          <w:szCs w:val="24"/>
        </w:rPr>
        <w:t>James P. Nehf, Corbin on Contracts</w:t>
      </w:r>
      <w:r w:rsidRPr="0000321C">
        <w:rPr>
          <w:rFonts w:eastAsia="Times New Roman"/>
          <w:bCs/>
          <w:sz w:val="24"/>
          <w:szCs w:val="24"/>
        </w:rPr>
        <w:t xml:space="preserve"> § 74.1 (Joseph M. Perillo ed., rev. ed. 2001).</w:t>
      </w:r>
    </w:p>
    <w:p w14:paraId="44DC7178"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Impossibility does not mean literal or strict impossibility but includes as well “impracticability because of extreme and unreasonable difficulty, expense, injury or loss involved.” </w:t>
      </w:r>
      <w:r w:rsidRPr="0000321C">
        <w:rPr>
          <w:rFonts w:eastAsia="Times New Roman"/>
          <w:b/>
          <w:bCs/>
          <w:sz w:val="24"/>
          <w:szCs w:val="24"/>
        </w:rPr>
        <w:t>City of Littleton v. Employers Fire Ins. Co.</w:t>
      </w:r>
      <w:r w:rsidRPr="0000321C">
        <w:rPr>
          <w:rFonts w:eastAsia="Times New Roman"/>
          <w:bCs/>
          <w:sz w:val="24"/>
          <w:szCs w:val="24"/>
        </w:rPr>
        <w:t xml:space="preserve">, 169 Colo. 104, 108, 453 P.2d 810, 812 (1969), specifically </w:t>
      </w:r>
      <w:r w:rsidR="009D5D97">
        <w:rPr>
          <w:rFonts w:eastAsia="Times New Roman"/>
          <w:bCs/>
          <w:sz w:val="24"/>
          <w:szCs w:val="24"/>
        </w:rPr>
        <w:t>applying</w:t>
      </w:r>
      <w:r w:rsidR="009D5D97" w:rsidRPr="0000321C">
        <w:rPr>
          <w:rFonts w:eastAsia="Times New Roman"/>
          <w:bCs/>
          <w:sz w:val="24"/>
          <w:szCs w:val="24"/>
        </w:rPr>
        <w:t xml:space="preserve"> </w:t>
      </w:r>
      <w:r w:rsidRPr="0000321C">
        <w:rPr>
          <w:rFonts w:eastAsia="Times New Roman"/>
          <w:bCs/>
          <w:sz w:val="24"/>
          <w:szCs w:val="24"/>
        </w:rPr>
        <w:t xml:space="preserve">the </w:t>
      </w:r>
      <w:r w:rsidRPr="0000321C">
        <w:rPr>
          <w:rFonts w:eastAsia="Times New Roman"/>
          <w:bCs/>
          <w:smallCaps/>
          <w:sz w:val="24"/>
          <w:szCs w:val="24"/>
        </w:rPr>
        <w:t>Restatement of Contracts</w:t>
      </w:r>
      <w:r w:rsidRPr="0000321C">
        <w:rPr>
          <w:rFonts w:eastAsia="Times New Roman"/>
          <w:bCs/>
          <w:sz w:val="24"/>
          <w:szCs w:val="24"/>
        </w:rPr>
        <w:t xml:space="preserve"> § 454 (1932), definition of impossibility.</w:t>
      </w:r>
    </w:p>
    <w:p w14:paraId="57F9D17F"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3. A change in economic conditions, reducing the value of a contract to a party, is not sufficient to constitute the defense of impossibility, particularly when the changed circumstances are not so unforeseeable as to be outside the scope of the risks assumed by the party when entering into the contract. </w:t>
      </w:r>
      <w:r w:rsidRPr="0000321C">
        <w:rPr>
          <w:rFonts w:eastAsia="Times New Roman"/>
          <w:b/>
          <w:bCs/>
          <w:sz w:val="24"/>
          <w:szCs w:val="24"/>
        </w:rPr>
        <w:t>Magnetic Copy Servs., Inc. v. Seismic Specialists, Inc.</w:t>
      </w:r>
      <w:r w:rsidRPr="0000321C">
        <w:rPr>
          <w:rFonts w:eastAsia="Times New Roman"/>
          <w:bCs/>
          <w:sz w:val="24"/>
          <w:szCs w:val="24"/>
        </w:rPr>
        <w:t xml:space="preserve">, 805 P.2d 1161 (Colo. App. 1990); </w:t>
      </w:r>
      <w:r w:rsidRPr="0000321C">
        <w:rPr>
          <w:rFonts w:eastAsia="Times New Roman"/>
          <w:b/>
          <w:bCs/>
          <w:sz w:val="24"/>
          <w:szCs w:val="24"/>
        </w:rPr>
        <w:t>Ruff</w:t>
      </w:r>
      <w:r w:rsidRPr="0000321C">
        <w:rPr>
          <w:rFonts w:eastAsia="Times New Roman"/>
          <w:bCs/>
          <w:sz w:val="24"/>
          <w:szCs w:val="24"/>
        </w:rPr>
        <w:t xml:space="preserve">, 690 P.2d at 1298. Intervening governmental regulatory action that does not prohibit performance or require the issuance of a permit that is unobtainable, but rather is one that only renders performance more costly, does not constitute impossibility. </w:t>
      </w:r>
      <w:r w:rsidRPr="0000321C">
        <w:rPr>
          <w:rFonts w:eastAsia="Times New Roman"/>
          <w:b/>
          <w:bCs/>
          <w:sz w:val="24"/>
          <w:szCs w:val="24"/>
        </w:rPr>
        <w:t>Seago v. Fellet</w:t>
      </w:r>
      <w:r w:rsidRPr="0000321C">
        <w:rPr>
          <w:rFonts w:eastAsia="Times New Roman"/>
          <w:bCs/>
          <w:sz w:val="24"/>
          <w:szCs w:val="24"/>
        </w:rPr>
        <w:t xml:space="preserve">, 676 P.2d 1224, 1227 (Colo. App. 1983) (“[I]ncreased costs are not grounds for rescission of a contract.”); </w:t>
      </w:r>
      <w:r w:rsidRPr="0000321C">
        <w:rPr>
          <w:rFonts w:eastAsia="Times New Roman"/>
          <w:bCs/>
          <w:i/>
          <w:sz w:val="24"/>
          <w:szCs w:val="24"/>
        </w:rPr>
        <w:t>see</w:t>
      </w:r>
      <w:r w:rsidRPr="0000321C">
        <w:rPr>
          <w:rFonts w:eastAsia="Times New Roman"/>
          <w:bCs/>
          <w:sz w:val="24"/>
          <w:szCs w:val="24"/>
        </w:rPr>
        <w:t xml:space="preserve"> </w:t>
      </w:r>
      <w:r w:rsidRPr="0000321C">
        <w:rPr>
          <w:rFonts w:eastAsia="Times New Roman"/>
          <w:b/>
          <w:bCs/>
          <w:sz w:val="24"/>
          <w:szCs w:val="24"/>
        </w:rPr>
        <w:t>Colo. Performance Corp. v. Mariposa Assocs.</w:t>
      </w:r>
      <w:r w:rsidRPr="0000321C">
        <w:rPr>
          <w:rFonts w:eastAsia="Times New Roman"/>
          <w:bCs/>
          <w:sz w:val="24"/>
          <w:szCs w:val="24"/>
        </w:rPr>
        <w:t xml:space="preserve">, 754 P.2d 401 (Colo. App. 1987) (same). However, governmental action that makes the performance of a contract illegal constitutes impossibility of performance. </w:t>
      </w:r>
      <w:r w:rsidRPr="0000321C">
        <w:rPr>
          <w:rFonts w:eastAsia="Times New Roman"/>
          <w:b/>
          <w:bCs/>
          <w:sz w:val="24"/>
          <w:szCs w:val="24"/>
        </w:rPr>
        <w:t>Barrack v. City of Lafayette</w:t>
      </w:r>
      <w:r w:rsidRPr="0000321C">
        <w:rPr>
          <w:rFonts w:eastAsia="Times New Roman"/>
          <w:bCs/>
          <w:sz w:val="24"/>
          <w:szCs w:val="24"/>
        </w:rPr>
        <w:t xml:space="preserve">, 829 P.2d 424 (Colo. App. 1991) (city was discharged from whatever contractual obligations it might have had to deliver untreated water when untreated water could no longer be legally supplied because of public health regulations), </w:t>
      </w:r>
      <w:r w:rsidRPr="0000321C">
        <w:rPr>
          <w:rFonts w:eastAsia="Times New Roman"/>
          <w:bCs/>
          <w:i/>
          <w:sz w:val="24"/>
          <w:szCs w:val="24"/>
        </w:rPr>
        <w:t>rev’d on other grounds</w:t>
      </w:r>
      <w:r w:rsidRPr="0000321C">
        <w:rPr>
          <w:rFonts w:eastAsia="Times New Roman"/>
          <w:bCs/>
          <w:sz w:val="24"/>
          <w:szCs w:val="24"/>
        </w:rPr>
        <w:t>, 847 P.2d 136 (Colo. 1993).</w:t>
      </w:r>
    </w:p>
    <w:p w14:paraId="25E6EB3A"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4. Concerning the destruction of the subject matter of the contract or a thing upon which the performance of a party depends, see </w:t>
      </w:r>
      <w:r w:rsidRPr="0000321C">
        <w:rPr>
          <w:rFonts w:eastAsia="Times New Roman"/>
          <w:bCs/>
          <w:smallCaps/>
          <w:sz w:val="24"/>
          <w:szCs w:val="24"/>
        </w:rPr>
        <w:t>Restatement (Second) of Contracts</w:t>
      </w:r>
      <w:r w:rsidRPr="0000321C">
        <w:rPr>
          <w:rFonts w:eastAsia="Times New Roman"/>
          <w:bCs/>
          <w:sz w:val="24"/>
          <w:szCs w:val="24"/>
        </w:rPr>
        <w:t xml:space="preserve"> sections 262 through 263 (1981); and </w:t>
      </w:r>
      <w:r w:rsidRPr="0000321C">
        <w:rPr>
          <w:rFonts w:eastAsia="Times New Roman"/>
          <w:bCs/>
          <w:smallCaps/>
          <w:sz w:val="24"/>
          <w:szCs w:val="24"/>
        </w:rPr>
        <w:t>Corbin on Contracts</w:t>
      </w:r>
      <w:r w:rsidRPr="0000321C">
        <w:rPr>
          <w:rFonts w:eastAsia="Times New Roman"/>
          <w:bCs/>
          <w:sz w:val="24"/>
          <w:szCs w:val="24"/>
        </w:rPr>
        <w:t xml:space="preserve">, </w:t>
      </w:r>
      <w:r w:rsidRPr="0000321C">
        <w:rPr>
          <w:rFonts w:eastAsia="Times New Roman"/>
          <w:bCs/>
          <w:i/>
          <w:sz w:val="24"/>
          <w:szCs w:val="24"/>
        </w:rPr>
        <w:t>supra</w:t>
      </w:r>
      <w:r w:rsidRPr="0000321C">
        <w:rPr>
          <w:rFonts w:eastAsia="Times New Roman"/>
          <w:bCs/>
          <w:sz w:val="24"/>
          <w:szCs w:val="24"/>
        </w:rPr>
        <w:t>, at sections 75.4-75.7.</w:t>
      </w:r>
    </w:p>
    <w:p w14:paraId="489EDF4C" w14:textId="348C0AF8" w:rsidR="006676DA" w:rsidRPr="0000321C" w:rsidRDefault="0000321C" w:rsidP="007A6434">
      <w:pPr>
        <w:spacing w:after="240"/>
        <w:ind w:firstLine="720"/>
        <w:rPr>
          <w:rFonts w:eastAsia="Times New Roman"/>
          <w:bCs/>
          <w:sz w:val="24"/>
          <w:szCs w:val="24"/>
        </w:rPr>
      </w:pPr>
      <w:r w:rsidRPr="0000321C">
        <w:rPr>
          <w:rFonts w:eastAsia="Times New Roman"/>
          <w:bCs/>
          <w:sz w:val="24"/>
          <w:szCs w:val="24"/>
        </w:rPr>
        <w:t xml:space="preserve">5. The defense of impossibility of performance may be waived by the conduct of the parties. </w:t>
      </w:r>
      <w:r w:rsidRPr="0000321C">
        <w:rPr>
          <w:rFonts w:eastAsia="Times New Roman"/>
          <w:b/>
          <w:bCs/>
          <w:sz w:val="24"/>
          <w:szCs w:val="24"/>
        </w:rPr>
        <w:t>Cornerstone Grp. XXII, L.L.C. v. Wheat Ridge Urban Renewal Auth.</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151 P.3d 601 (Colo. App. 2006), </w:t>
      </w:r>
      <w:r w:rsidRPr="0000321C">
        <w:rPr>
          <w:rFonts w:eastAsia="Times New Roman"/>
          <w:bCs/>
          <w:i/>
          <w:sz w:val="24"/>
          <w:szCs w:val="24"/>
        </w:rPr>
        <w:t>rev’d on other grounds</w:t>
      </w:r>
      <w:r w:rsidRPr="0000321C">
        <w:rPr>
          <w:rFonts w:eastAsia="Times New Roman"/>
          <w:bCs/>
          <w:sz w:val="24"/>
          <w:szCs w:val="24"/>
        </w:rPr>
        <w:t>, 176 P.3d 737 (Colo. 2007).</w:t>
      </w:r>
    </w:p>
    <w:p w14:paraId="331391F2" w14:textId="77777777" w:rsidR="0000321C" w:rsidRDefault="0000321C">
      <w:pPr>
        <w:rPr>
          <w:rFonts w:eastAsia="Times New Roman"/>
          <w:bCs/>
          <w:sz w:val="24"/>
          <w:szCs w:val="24"/>
        </w:rPr>
      </w:pPr>
      <w:r>
        <w:rPr>
          <w:rFonts w:eastAsia="Times New Roman"/>
          <w:bCs/>
          <w:sz w:val="24"/>
          <w:szCs w:val="24"/>
        </w:rPr>
        <w:br w:type="page"/>
      </w:r>
    </w:p>
    <w:p w14:paraId="10D2B2EE" w14:textId="77777777" w:rsidR="0000321C" w:rsidRPr="009E3DA4" w:rsidRDefault="0000321C" w:rsidP="0000321C">
      <w:pPr>
        <w:spacing w:after="240"/>
        <w:ind w:left="720" w:hanging="720"/>
        <w:rPr>
          <w:rFonts w:eastAsia="Times New Roman"/>
          <w:b/>
          <w:sz w:val="24"/>
          <w:szCs w:val="24"/>
        </w:rPr>
      </w:pPr>
      <w:bookmarkStart w:id="25" w:name="a30_24"/>
      <w:bookmarkEnd w:id="25"/>
      <w:r w:rsidRPr="0000321C">
        <w:rPr>
          <w:rFonts w:eastAsia="Times New Roman"/>
          <w:b/>
          <w:bCs/>
          <w:sz w:val="24"/>
          <w:szCs w:val="24"/>
        </w:rPr>
        <w:lastRenderedPageBreak/>
        <w:t>30:24</w:t>
      </w:r>
      <w:r w:rsidRPr="0000321C">
        <w:rPr>
          <w:rFonts w:eastAsia="Times New Roman"/>
          <w:b/>
          <w:bCs/>
          <w:sz w:val="24"/>
          <w:szCs w:val="24"/>
        </w:rPr>
        <w:tab/>
        <w:t>DEFENSE — INDUCING A BREACH BY WORDS OR CONDUCT</w:t>
      </w:r>
    </w:p>
    <w:p w14:paraId="7E2708E8"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The defendant, </w:t>
      </w:r>
      <w:r w:rsidRPr="0000321C">
        <w:rPr>
          <w:rFonts w:eastAsia="Times New Roman"/>
          <w:bCs/>
          <w:i/>
          <w:sz w:val="24"/>
          <w:szCs w:val="24"/>
        </w:rPr>
        <w:t>(name)</w:t>
      </w:r>
      <w:r w:rsidRPr="0000321C">
        <w:rPr>
          <w:rFonts w:eastAsia="Times New Roman"/>
          <w:b/>
          <w:bCs/>
          <w:sz w:val="24"/>
          <w:szCs w:val="24"/>
        </w:rPr>
        <w:t xml:space="preserve">, is not legally responsible to the plaintiff, </w:t>
      </w:r>
      <w:r w:rsidRPr="0000321C">
        <w:rPr>
          <w:rFonts w:eastAsia="Times New Roman"/>
          <w:bCs/>
          <w:i/>
          <w:sz w:val="24"/>
          <w:szCs w:val="24"/>
        </w:rPr>
        <w:t>(name)</w:t>
      </w:r>
      <w:r w:rsidRPr="0000321C">
        <w:rPr>
          <w:rFonts w:eastAsia="Times New Roman"/>
          <w:b/>
          <w:bCs/>
          <w:sz w:val="24"/>
          <w:szCs w:val="24"/>
        </w:rPr>
        <w:t>, on the plaintiff’s claim of breach of contract if the affirmative defense of inducing a breach of contract is proved. This affirmative defense is proved if you find both of the following:</w:t>
      </w:r>
    </w:p>
    <w:p w14:paraId="3A8DB22E" w14:textId="604B371C"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1. By words or conduct, or both, the plaintiff caused the defendant not to perform </w:t>
      </w:r>
      <w:r w:rsidR="00390234" w:rsidRPr="0070684C">
        <w:rPr>
          <w:rFonts w:eastAsia="Times New Roman"/>
          <w:i/>
          <w:iCs/>
          <w:sz w:val="24"/>
          <w:szCs w:val="24"/>
        </w:rPr>
        <w:t>(insert applicable pronoun</w:t>
      </w:r>
      <w:r w:rsidR="00390234">
        <w:rPr>
          <w:rFonts w:eastAsia="Times New Roman"/>
          <w:i/>
          <w:iCs/>
          <w:sz w:val="24"/>
          <w:szCs w:val="24"/>
        </w:rPr>
        <w:t>)</w:t>
      </w:r>
      <w:r w:rsidRPr="0000321C">
        <w:rPr>
          <w:rFonts w:eastAsia="Times New Roman"/>
          <w:b/>
          <w:bCs/>
          <w:sz w:val="24"/>
          <w:szCs w:val="24"/>
        </w:rPr>
        <w:t xml:space="preserve"> obligation as required by the (claimed) contract; and</w:t>
      </w:r>
    </w:p>
    <w:p w14:paraId="68F958F6" w14:textId="40EBB4D2"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2. The plaintiff actually knew, or knew there was a substantial likelihood, </w:t>
      </w:r>
      <w:r w:rsidR="00390234" w:rsidRPr="0070684C">
        <w:rPr>
          <w:rFonts w:eastAsia="Times New Roman"/>
          <w:i/>
          <w:iCs/>
          <w:sz w:val="24"/>
          <w:szCs w:val="24"/>
        </w:rPr>
        <w:t>(insert applicable pronoun</w:t>
      </w:r>
      <w:r w:rsidR="00390234">
        <w:rPr>
          <w:rFonts w:eastAsia="Times New Roman"/>
          <w:i/>
          <w:iCs/>
          <w:sz w:val="24"/>
          <w:szCs w:val="24"/>
        </w:rPr>
        <w:t>)</w:t>
      </w:r>
      <w:r w:rsidRPr="0000321C">
        <w:rPr>
          <w:rFonts w:eastAsia="Times New Roman"/>
          <w:b/>
          <w:bCs/>
          <w:sz w:val="24"/>
          <w:szCs w:val="24"/>
        </w:rPr>
        <w:t xml:space="preserve"> words or conduct, or both, would have that result.</w:t>
      </w:r>
    </w:p>
    <w:p w14:paraId="40D6D5CB" w14:textId="77777777" w:rsidR="0000321C" w:rsidRDefault="0000321C" w:rsidP="0000321C">
      <w:pPr>
        <w:jc w:val="center"/>
        <w:rPr>
          <w:rFonts w:eastAsia="Times New Roman"/>
          <w:sz w:val="24"/>
          <w:szCs w:val="24"/>
        </w:rPr>
      </w:pPr>
    </w:p>
    <w:p w14:paraId="0CD4B354" w14:textId="77777777" w:rsidR="0000321C" w:rsidRPr="0054263B" w:rsidRDefault="0000321C" w:rsidP="0000321C">
      <w:pPr>
        <w:keepNext/>
        <w:spacing w:after="240"/>
        <w:jc w:val="center"/>
        <w:rPr>
          <w:rFonts w:eastAsia="Times New Roman"/>
          <w:b/>
          <w:sz w:val="24"/>
          <w:szCs w:val="24"/>
        </w:rPr>
      </w:pPr>
      <w:r w:rsidRPr="0054263B">
        <w:rPr>
          <w:rFonts w:eastAsia="Times New Roman"/>
          <w:b/>
          <w:sz w:val="24"/>
          <w:szCs w:val="24"/>
        </w:rPr>
        <w:t>Notes on Use</w:t>
      </w:r>
    </w:p>
    <w:p w14:paraId="56F0442D"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1. The appropriate sections of Instruction 3:1 should be given reflecting the evidence in the case.</w:t>
      </w:r>
    </w:p>
    <w:p w14:paraId="5A74680F"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For cases involving the sale of goods, see section 4-2-209, C.R.S., which provides that a party that has made a waiver affecting an executory portion of the contract may retract the waiver upon reasonable notification that strict performance will be required, unless the retraction would be unjust in view of a material change of position in reliance on the waiver. </w:t>
      </w:r>
    </w:p>
    <w:p w14:paraId="3EC8EF00" w14:textId="77777777" w:rsidR="0000321C" w:rsidRPr="0054263B" w:rsidRDefault="0000321C" w:rsidP="0000321C">
      <w:pPr>
        <w:keepNext/>
        <w:spacing w:after="240"/>
        <w:jc w:val="center"/>
        <w:rPr>
          <w:rFonts w:eastAsia="Times New Roman"/>
          <w:b/>
          <w:sz w:val="24"/>
          <w:szCs w:val="24"/>
        </w:rPr>
      </w:pPr>
      <w:r>
        <w:rPr>
          <w:rFonts w:eastAsia="Times New Roman"/>
          <w:b/>
          <w:sz w:val="24"/>
          <w:szCs w:val="24"/>
        </w:rPr>
        <w:t>Source and Authority</w:t>
      </w:r>
    </w:p>
    <w:p w14:paraId="3D85ADE3"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This instruction is supported by </w:t>
      </w:r>
      <w:r w:rsidRPr="0000321C">
        <w:rPr>
          <w:rFonts w:eastAsia="Times New Roman"/>
          <w:b/>
          <w:bCs/>
          <w:sz w:val="24"/>
          <w:szCs w:val="24"/>
        </w:rPr>
        <w:t>Dreier v. Sherwood</w:t>
      </w:r>
      <w:r w:rsidRPr="0000321C">
        <w:rPr>
          <w:rFonts w:eastAsia="Times New Roman"/>
          <w:bCs/>
          <w:sz w:val="24"/>
          <w:szCs w:val="24"/>
        </w:rPr>
        <w:t xml:space="preserve">, 77 Colo. 539, 238 P. 38 (1925). </w:t>
      </w:r>
      <w:r w:rsidRPr="0000321C">
        <w:rPr>
          <w:rFonts w:eastAsia="Times New Roman"/>
          <w:bCs/>
          <w:i/>
          <w:sz w:val="24"/>
          <w:szCs w:val="24"/>
        </w:rPr>
        <w:t>See also</w:t>
      </w:r>
      <w:r w:rsidRPr="0000321C">
        <w:rPr>
          <w:rFonts w:eastAsia="Times New Roman"/>
          <w:bCs/>
          <w:sz w:val="24"/>
          <w:szCs w:val="24"/>
        </w:rPr>
        <w:t xml:space="preserve"> </w:t>
      </w:r>
      <w:r w:rsidRPr="0000321C">
        <w:rPr>
          <w:rFonts w:eastAsia="Times New Roman"/>
          <w:b/>
          <w:bCs/>
          <w:sz w:val="24"/>
          <w:szCs w:val="24"/>
        </w:rPr>
        <w:t>Jones v. Adkins</w:t>
      </w:r>
      <w:r w:rsidRPr="0000321C">
        <w:rPr>
          <w:rFonts w:eastAsia="Times New Roman"/>
          <w:bCs/>
          <w:sz w:val="24"/>
          <w:szCs w:val="24"/>
        </w:rPr>
        <w:t xml:space="preserve">, 34 Colo. App. 196, 526 P.2d 153 (1974); 13 </w:t>
      </w:r>
      <w:r w:rsidRPr="0000321C">
        <w:rPr>
          <w:rFonts w:eastAsia="Times New Roman"/>
          <w:bCs/>
          <w:smallCaps/>
          <w:sz w:val="24"/>
          <w:szCs w:val="24"/>
        </w:rPr>
        <w:t>Sarah Howard Jenkins, Corbin on Contracts</w:t>
      </w:r>
      <w:r w:rsidRPr="0000321C">
        <w:rPr>
          <w:rFonts w:eastAsia="Times New Roman"/>
          <w:bCs/>
          <w:sz w:val="24"/>
          <w:szCs w:val="24"/>
        </w:rPr>
        <w:t xml:space="preserve"> § 68.7 (Joseph M. Perillo ed., rev. ed. 2003).</w:t>
      </w:r>
    </w:p>
    <w:p w14:paraId="4C6CC3F7" w14:textId="77777777" w:rsidR="0000321C" w:rsidRDefault="0000321C">
      <w:pPr>
        <w:rPr>
          <w:rFonts w:eastAsia="Times New Roman"/>
          <w:bCs/>
          <w:sz w:val="24"/>
          <w:szCs w:val="24"/>
        </w:rPr>
      </w:pPr>
      <w:r>
        <w:rPr>
          <w:rFonts w:eastAsia="Times New Roman"/>
          <w:bCs/>
          <w:sz w:val="24"/>
          <w:szCs w:val="24"/>
        </w:rPr>
        <w:br w:type="page"/>
      </w:r>
    </w:p>
    <w:p w14:paraId="03A6C728" w14:textId="77777777" w:rsidR="0000321C" w:rsidRPr="009E3DA4" w:rsidRDefault="0000321C" w:rsidP="0000321C">
      <w:pPr>
        <w:spacing w:after="240"/>
        <w:ind w:left="720" w:hanging="720"/>
        <w:rPr>
          <w:rFonts w:eastAsia="Times New Roman"/>
          <w:b/>
          <w:sz w:val="24"/>
          <w:szCs w:val="24"/>
        </w:rPr>
      </w:pPr>
      <w:bookmarkStart w:id="26" w:name="a30_25"/>
      <w:bookmarkEnd w:id="26"/>
      <w:r w:rsidRPr="0000321C">
        <w:rPr>
          <w:rFonts w:eastAsia="Times New Roman"/>
          <w:b/>
          <w:bCs/>
          <w:sz w:val="24"/>
          <w:szCs w:val="24"/>
        </w:rPr>
        <w:lastRenderedPageBreak/>
        <w:t>30:25</w:t>
      </w:r>
      <w:r w:rsidRPr="0000321C">
        <w:rPr>
          <w:rFonts w:eastAsia="Times New Roman"/>
          <w:b/>
          <w:bCs/>
          <w:sz w:val="24"/>
          <w:szCs w:val="24"/>
        </w:rPr>
        <w:tab/>
        <w:t>DEFENSE — WAIVER</w:t>
      </w:r>
    </w:p>
    <w:p w14:paraId="3032F6A4"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The defendant, </w:t>
      </w:r>
      <w:r w:rsidRPr="0000321C">
        <w:rPr>
          <w:rFonts w:eastAsia="Times New Roman"/>
          <w:bCs/>
          <w:i/>
          <w:sz w:val="24"/>
          <w:szCs w:val="24"/>
        </w:rPr>
        <w:t>(name)</w:t>
      </w:r>
      <w:r w:rsidRPr="0000321C">
        <w:rPr>
          <w:rFonts w:eastAsia="Times New Roman"/>
          <w:b/>
          <w:bCs/>
          <w:sz w:val="24"/>
          <w:szCs w:val="24"/>
        </w:rPr>
        <w:t xml:space="preserve">, is not legally responsible to the plaintiff, </w:t>
      </w:r>
      <w:r w:rsidRPr="0000321C">
        <w:rPr>
          <w:rFonts w:eastAsia="Times New Roman"/>
          <w:bCs/>
          <w:i/>
          <w:sz w:val="24"/>
          <w:szCs w:val="24"/>
        </w:rPr>
        <w:t>(name)</w:t>
      </w:r>
      <w:r w:rsidRPr="0000321C">
        <w:rPr>
          <w:rFonts w:eastAsia="Times New Roman"/>
          <w:b/>
          <w:bCs/>
          <w:sz w:val="24"/>
          <w:szCs w:val="24"/>
        </w:rPr>
        <w:t>, on the plaintiff’s claim of breach of contract if the affirmative defense of waiver is proved. This defense is proved if you find all of the following:</w:t>
      </w:r>
    </w:p>
    <w:p w14:paraId="2E2CB264" w14:textId="34758198"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1. The plaintiff knew that the defendant (was required to perform) (had not performed) </w:t>
      </w:r>
      <w:r w:rsidR="004F22EF" w:rsidRPr="0070684C">
        <w:rPr>
          <w:rFonts w:eastAsia="Times New Roman"/>
          <w:i/>
          <w:iCs/>
          <w:sz w:val="24"/>
          <w:szCs w:val="24"/>
        </w:rPr>
        <w:t>(insert applicable pronoun</w:t>
      </w:r>
      <w:r w:rsidR="004F22EF">
        <w:rPr>
          <w:rFonts w:eastAsia="Times New Roman"/>
          <w:i/>
          <w:iCs/>
          <w:sz w:val="24"/>
          <w:szCs w:val="24"/>
        </w:rPr>
        <w:t>)</w:t>
      </w:r>
      <w:r w:rsidRPr="0000321C">
        <w:rPr>
          <w:rFonts w:eastAsia="Times New Roman"/>
          <w:b/>
          <w:bCs/>
          <w:sz w:val="24"/>
          <w:szCs w:val="24"/>
        </w:rPr>
        <w:t xml:space="preserve"> contractual promise to </w:t>
      </w:r>
      <w:r w:rsidRPr="0000321C">
        <w:rPr>
          <w:rFonts w:eastAsia="Times New Roman"/>
          <w:bCs/>
          <w:i/>
          <w:sz w:val="24"/>
          <w:szCs w:val="24"/>
        </w:rPr>
        <w:t>(insert appropriate description, e.g., “repair the car within 15 days”)</w:t>
      </w:r>
      <w:r w:rsidRPr="0000321C">
        <w:rPr>
          <w:rFonts w:eastAsia="Times New Roman"/>
          <w:b/>
          <w:bCs/>
          <w:sz w:val="24"/>
          <w:szCs w:val="24"/>
        </w:rPr>
        <w:t>;</w:t>
      </w:r>
    </w:p>
    <w:p w14:paraId="03C484BE" w14:textId="1946444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2. The plaintiff knew that failure of the defendant to perform this contractual promise gave </w:t>
      </w:r>
      <w:r w:rsidR="004F22EF" w:rsidRPr="0070684C">
        <w:rPr>
          <w:rFonts w:eastAsia="Times New Roman"/>
          <w:i/>
          <w:iCs/>
          <w:sz w:val="24"/>
          <w:szCs w:val="24"/>
        </w:rPr>
        <w:t>(insert applicable pronoun</w:t>
      </w:r>
      <w:r w:rsidR="004F22EF">
        <w:rPr>
          <w:rFonts w:eastAsia="Times New Roman"/>
          <w:i/>
          <w:iCs/>
          <w:sz w:val="24"/>
          <w:szCs w:val="24"/>
        </w:rPr>
        <w:t>)</w:t>
      </w:r>
      <w:r w:rsidRPr="0000321C">
        <w:rPr>
          <w:rFonts w:eastAsia="Times New Roman"/>
          <w:b/>
          <w:bCs/>
          <w:sz w:val="24"/>
          <w:szCs w:val="24"/>
        </w:rPr>
        <w:t xml:space="preserve"> the right to </w:t>
      </w:r>
      <w:r w:rsidRPr="0000321C">
        <w:rPr>
          <w:rFonts w:eastAsia="Times New Roman"/>
          <w:bCs/>
          <w:i/>
          <w:sz w:val="24"/>
          <w:szCs w:val="24"/>
        </w:rPr>
        <w:t>(insert appropriate description, e.g., “sue the defendant for damages”)</w:t>
      </w:r>
      <w:r w:rsidRPr="0000321C">
        <w:rPr>
          <w:rFonts w:eastAsia="Times New Roman"/>
          <w:b/>
          <w:bCs/>
          <w:sz w:val="24"/>
          <w:szCs w:val="24"/>
        </w:rPr>
        <w:t>;</w:t>
      </w:r>
    </w:p>
    <w:p w14:paraId="25251B68"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3. The plaintiff intended to give up this right; and</w:t>
      </w:r>
    </w:p>
    <w:p w14:paraId="1B9928F8"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4. The plaintiff voluntarily gave up this right.</w:t>
      </w:r>
    </w:p>
    <w:p w14:paraId="5DC570CF" w14:textId="77777777" w:rsidR="0000321C" w:rsidRDefault="0000321C" w:rsidP="0000321C">
      <w:pPr>
        <w:jc w:val="center"/>
        <w:rPr>
          <w:rFonts w:eastAsia="Times New Roman"/>
          <w:sz w:val="24"/>
          <w:szCs w:val="24"/>
        </w:rPr>
      </w:pPr>
    </w:p>
    <w:p w14:paraId="7A85904F" w14:textId="77777777" w:rsidR="0000321C" w:rsidRPr="0054263B" w:rsidRDefault="0000321C" w:rsidP="0000321C">
      <w:pPr>
        <w:keepNext/>
        <w:spacing w:after="240"/>
        <w:jc w:val="center"/>
        <w:rPr>
          <w:rFonts w:eastAsia="Times New Roman"/>
          <w:b/>
          <w:sz w:val="24"/>
          <w:szCs w:val="24"/>
        </w:rPr>
      </w:pPr>
      <w:r w:rsidRPr="0054263B">
        <w:rPr>
          <w:rFonts w:eastAsia="Times New Roman"/>
          <w:b/>
          <w:sz w:val="24"/>
          <w:szCs w:val="24"/>
        </w:rPr>
        <w:t>Notes on Use</w:t>
      </w:r>
    </w:p>
    <w:p w14:paraId="70FE221A"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1. The appropriate sections of Instruction 3:1 should be given reflecting the evidence in the case.</w:t>
      </w:r>
    </w:p>
    <w:p w14:paraId="606F45F1"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2. Whenever this instruction is given, Instruction 30:31 (parties’ intent), appropriately modified, should also be given.</w:t>
      </w:r>
    </w:p>
    <w:p w14:paraId="27DB0A31"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3. For cases involving the sale of goods, see sections 4-2-209, 4-2-605 to 4-2-608, and 4-2-720, C.R.S., which deal, </w:t>
      </w:r>
      <w:r w:rsidRPr="0000321C">
        <w:rPr>
          <w:rFonts w:eastAsia="Times New Roman"/>
          <w:bCs/>
          <w:i/>
          <w:sz w:val="24"/>
          <w:szCs w:val="24"/>
        </w:rPr>
        <w:t>inter alia</w:t>
      </w:r>
      <w:r w:rsidRPr="0000321C">
        <w:rPr>
          <w:rFonts w:eastAsia="Times New Roman"/>
          <w:bCs/>
          <w:sz w:val="24"/>
          <w:szCs w:val="24"/>
        </w:rPr>
        <w:t xml:space="preserve">, with modification, rescission, waiver, the acceptance of goods, and the revocation of acceptance. </w:t>
      </w:r>
    </w:p>
    <w:p w14:paraId="1922B2E6"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4. An effective waiver may be made by an authorized agent. </w:t>
      </w:r>
      <w:r w:rsidRPr="0000321C">
        <w:rPr>
          <w:rFonts w:eastAsia="Times New Roman"/>
          <w:b/>
          <w:bCs/>
          <w:sz w:val="24"/>
          <w:szCs w:val="24"/>
        </w:rPr>
        <w:t>Stewart v. Breckenridge</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69 Colo. 108, 169 P. 543 (1917). In such circumstances, this instruction must be modified appropriately. See Chapter 7 instructions as appropriate.</w:t>
      </w:r>
    </w:p>
    <w:p w14:paraId="6335E4C3" w14:textId="77777777" w:rsidR="0000321C" w:rsidRPr="0054263B" w:rsidRDefault="0000321C" w:rsidP="0000321C">
      <w:pPr>
        <w:keepNext/>
        <w:spacing w:after="240"/>
        <w:jc w:val="center"/>
        <w:rPr>
          <w:rFonts w:eastAsia="Times New Roman"/>
          <w:b/>
          <w:sz w:val="24"/>
          <w:szCs w:val="24"/>
        </w:rPr>
      </w:pPr>
      <w:r>
        <w:rPr>
          <w:rFonts w:eastAsia="Times New Roman"/>
          <w:b/>
          <w:sz w:val="24"/>
          <w:szCs w:val="24"/>
        </w:rPr>
        <w:t>Source and Authority</w:t>
      </w:r>
    </w:p>
    <w:p w14:paraId="25960A6C" w14:textId="6AEEB3CB"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1. The basic requirements of a waiver as set out in this instruction are supported by </w:t>
      </w:r>
      <w:r w:rsidRPr="0000321C">
        <w:rPr>
          <w:rFonts w:eastAsia="Times New Roman"/>
          <w:b/>
          <w:bCs/>
          <w:sz w:val="24"/>
          <w:szCs w:val="24"/>
        </w:rPr>
        <w:t>Associates of San Lazaro v. San Lazaro Park Properties</w:t>
      </w:r>
      <w:r w:rsidRPr="0000321C">
        <w:rPr>
          <w:rFonts w:eastAsia="Times New Roman"/>
          <w:bCs/>
          <w:sz w:val="24"/>
          <w:szCs w:val="24"/>
        </w:rPr>
        <w:t xml:space="preserve">, 864 P.2d 111 (Colo. 1993); </w:t>
      </w:r>
      <w:r w:rsidRPr="0000321C">
        <w:rPr>
          <w:rFonts w:eastAsia="Times New Roman"/>
          <w:b/>
          <w:bCs/>
          <w:sz w:val="24"/>
          <w:szCs w:val="24"/>
        </w:rPr>
        <w:t>Ewing v. Colorado Farm Mutual Casualty Co.</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133 Colo. 447, 296 P.2d 1040 (1956); </w:t>
      </w:r>
      <w:r w:rsidRPr="0000321C">
        <w:rPr>
          <w:rFonts w:eastAsia="Times New Roman"/>
          <w:b/>
          <w:bCs/>
          <w:sz w:val="24"/>
          <w:szCs w:val="24"/>
        </w:rPr>
        <w:t>General Accident Fire &amp; Life Assurance Corp. v. Mitchell</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128 Colo. 11, 259 P.2d 862 (1953); </w:t>
      </w:r>
      <w:r w:rsidRPr="0000321C">
        <w:rPr>
          <w:rFonts w:eastAsia="Times New Roman"/>
          <w:b/>
          <w:bCs/>
          <w:sz w:val="24"/>
          <w:szCs w:val="24"/>
        </w:rPr>
        <w:t>Melssen v. Auto-Owners Insurance Co.</w:t>
      </w:r>
      <w:r w:rsidRPr="0000321C">
        <w:rPr>
          <w:rFonts w:eastAsia="Times New Roman"/>
          <w:bCs/>
          <w:sz w:val="24"/>
          <w:szCs w:val="24"/>
        </w:rPr>
        <w:t xml:space="preserve">, 2012 COA 102, ¶ 39, 285 P.3d 328; </w:t>
      </w:r>
      <w:r w:rsidRPr="0000321C">
        <w:rPr>
          <w:rFonts w:eastAsia="Times New Roman"/>
          <w:b/>
          <w:bCs/>
          <w:sz w:val="24"/>
          <w:szCs w:val="24"/>
        </w:rPr>
        <w:t>People ex rel. Metzger v. Watrous</w:t>
      </w:r>
      <w:r w:rsidRPr="0000321C">
        <w:rPr>
          <w:rFonts w:eastAsia="Times New Roman"/>
          <w:bCs/>
          <w:sz w:val="24"/>
          <w:szCs w:val="24"/>
        </w:rPr>
        <w:t xml:space="preserve">, 121 Colo. 282, 215 P.2d 344 (1950); </w:t>
      </w:r>
      <w:r w:rsidRPr="0000321C">
        <w:rPr>
          <w:rFonts w:eastAsia="Times New Roman"/>
          <w:b/>
          <w:bCs/>
          <w:sz w:val="24"/>
          <w:szCs w:val="24"/>
        </w:rPr>
        <w:t>Glover v. Innis</w:t>
      </w:r>
      <w:r w:rsidRPr="0000321C">
        <w:rPr>
          <w:rFonts w:eastAsia="Times New Roman"/>
          <w:bCs/>
          <w:sz w:val="24"/>
          <w:szCs w:val="24"/>
        </w:rPr>
        <w:t xml:space="preserve">, 252 P.3d 1204 (Colo. App. 2011); </w:t>
      </w:r>
      <w:r w:rsidRPr="0000321C">
        <w:rPr>
          <w:rFonts w:eastAsia="Times New Roman"/>
          <w:b/>
          <w:bCs/>
          <w:sz w:val="24"/>
          <w:szCs w:val="24"/>
        </w:rPr>
        <w:t>Universal Resources Corp. v. Ledford</w:t>
      </w:r>
      <w:r w:rsidRPr="0000321C">
        <w:rPr>
          <w:rFonts w:eastAsia="Times New Roman"/>
          <w:bCs/>
          <w:sz w:val="24"/>
          <w:szCs w:val="24"/>
        </w:rPr>
        <w:t xml:space="preserve">, 961 P.2d 593 (Colo. App. 1998); </w:t>
      </w:r>
      <w:r w:rsidRPr="0000321C">
        <w:rPr>
          <w:rFonts w:eastAsia="Times New Roman"/>
          <w:b/>
          <w:bCs/>
          <w:sz w:val="24"/>
          <w:szCs w:val="24"/>
        </w:rPr>
        <w:t>Tarco, Inc. v. Conifer Metropolitan District</w:t>
      </w:r>
      <w:r w:rsidRPr="0000321C">
        <w:rPr>
          <w:rFonts w:eastAsia="Times New Roman"/>
          <w:bCs/>
          <w:sz w:val="24"/>
          <w:szCs w:val="24"/>
        </w:rPr>
        <w:t xml:space="preserve">, 2013 COA 60, ¶ 36, 316 P.3d 82 (bond requirement could not be waived by special district); </w:t>
      </w:r>
      <w:r w:rsidRPr="0000321C">
        <w:rPr>
          <w:rFonts w:eastAsia="Times New Roman"/>
          <w:b/>
          <w:bCs/>
          <w:sz w:val="24"/>
          <w:szCs w:val="24"/>
        </w:rPr>
        <w:t>James H. Moore &amp; Associates Realty, Inc. v. Arrowhead at Vail</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892 P.2d 367 (Colo. App. 1994); </w:t>
      </w:r>
      <w:r w:rsidRPr="0000321C">
        <w:rPr>
          <w:rFonts w:eastAsia="Times New Roman"/>
          <w:b/>
          <w:bCs/>
          <w:sz w:val="24"/>
          <w:szCs w:val="24"/>
        </w:rPr>
        <w:t>Lookout Mountain Paradise Hills Homeowners’ Ass’n v. Viewpoint Associates</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867 P.2d 70 (Colo. App. 1993); </w:t>
      </w:r>
      <w:r w:rsidRPr="0000321C">
        <w:rPr>
          <w:rFonts w:eastAsia="Times New Roman"/>
          <w:b/>
          <w:bCs/>
          <w:sz w:val="24"/>
          <w:szCs w:val="24"/>
        </w:rPr>
        <w:t xml:space="preserve">Tripp v. </w:t>
      </w:r>
      <w:r w:rsidRPr="0000321C">
        <w:rPr>
          <w:rFonts w:eastAsia="Times New Roman"/>
          <w:b/>
          <w:bCs/>
          <w:sz w:val="24"/>
          <w:szCs w:val="24"/>
        </w:rPr>
        <w:lastRenderedPageBreak/>
        <w:t>Parga</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847 P.2d 165 (Colo. App. 1992) (waiver may be implied from conduct of party); </w:t>
      </w:r>
      <w:r w:rsidRPr="0000321C">
        <w:rPr>
          <w:rFonts w:eastAsia="Times New Roman"/>
          <w:b/>
          <w:bCs/>
          <w:sz w:val="24"/>
          <w:szCs w:val="24"/>
        </w:rPr>
        <w:t>Grimm Construction Co. v. Denver Board of Water Commissioners</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835 P.2d 599 (Colo. App. 1992); </w:t>
      </w:r>
      <w:r w:rsidRPr="0000321C">
        <w:rPr>
          <w:rFonts w:eastAsia="Times New Roman"/>
          <w:b/>
          <w:bCs/>
          <w:sz w:val="24"/>
          <w:szCs w:val="24"/>
        </w:rPr>
        <w:t>Western Cities Broadcasting, Inc. v. Schueller</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830 P.2d 1074 (Colo. App. 1991) (no waiver of breach of lease provision), </w:t>
      </w:r>
      <w:r w:rsidRPr="0000321C">
        <w:rPr>
          <w:rFonts w:eastAsia="Times New Roman"/>
          <w:bCs/>
          <w:i/>
          <w:sz w:val="24"/>
          <w:szCs w:val="24"/>
        </w:rPr>
        <w:t>aff’d on other grounds</w:t>
      </w:r>
      <w:r w:rsidRPr="0000321C">
        <w:rPr>
          <w:rFonts w:eastAsia="Times New Roman"/>
          <w:bCs/>
          <w:sz w:val="24"/>
          <w:szCs w:val="24"/>
        </w:rPr>
        <w:t xml:space="preserve">, 849 P.2d 44 (Colo. 1993); </w:t>
      </w:r>
      <w:r w:rsidRPr="0000321C">
        <w:rPr>
          <w:rFonts w:eastAsia="Times New Roman"/>
          <w:b/>
          <w:bCs/>
          <w:sz w:val="24"/>
          <w:szCs w:val="24"/>
        </w:rPr>
        <w:t>Ebrahimi v. E.F. Hutton &amp; Co.</w:t>
      </w:r>
      <w:r w:rsidRPr="0000321C">
        <w:rPr>
          <w:rFonts w:eastAsia="Times New Roman"/>
          <w:bCs/>
          <w:sz w:val="24"/>
          <w:szCs w:val="24"/>
        </w:rPr>
        <w:t xml:space="preserve">, 794 P.2d 1015 (Colo. App. 1989) (waiver of interest on promissory note); </w:t>
      </w:r>
      <w:r w:rsidRPr="0000321C">
        <w:rPr>
          <w:rFonts w:eastAsia="Times New Roman"/>
          <w:b/>
          <w:bCs/>
          <w:sz w:val="24"/>
          <w:szCs w:val="24"/>
        </w:rPr>
        <w:t>Richmond v. Grabowski</w:t>
      </w:r>
      <w:r w:rsidRPr="0000321C">
        <w:rPr>
          <w:rFonts w:eastAsia="Times New Roman"/>
          <w:bCs/>
          <w:sz w:val="24"/>
          <w:szCs w:val="24"/>
        </w:rPr>
        <w:t xml:space="preserve">, 781 P.2d 192 (Colo. App. 1989) (conduct not sufficiently free from ambiguity nor a clear enough manifestation of an intent to waive a benefit for there to have been a waiver as a matter of law); </w:t>
      </w:r>
      <w:r w:rsidRPr="0000321C">
        <w:rPr>
          <w:rFonts w:eastAsia="Times New Roman"/>
          <w:b/>
          <w:bCs/>
          <w:sz w:val="24"/>
          <w:szCs w:val="24"/>
        </w:rPr>
        <w:t>Magliocco v. Olson</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762 P.2d 681 (Colo. App. 1987) (waiver by tenant of right to receive certain notice under lease; intent to waive may be shown by conduct); </w:t>
      </w:r>
      <w:r w:rsidRPr="0000321C">
        <w:rPr>
          <w:rFonts w:eastAsia="Times New Roman"/>
          <w:b/>
          <w:bCs/>
          <w:sz w:val="24"/>
          <w:szCs w:val="24"/>
        </w:rPr>
        <w:t>Vogel v. Carolina International, Inc.</w:t>
      </w:r>
      <w:r w:rsidRPr="0000321C">
        <w:rPr>
          <w:rFonts w:eastAsia="Times New Roman"/>
          <w:bCs/>
          <w:sz w:val="24"/>
          <w:szCs w:val="24"/>
        </w:rPr>
        <w:t>, 711 P.2d 708 (Colo. App. 1985) (waiver of right to repossess collateral)</w:t>
      </w:r>
      <w:r w:rsidR="005E7146">
        <w:rPr>
          <w:rFonts w:eastAsia="Times New Roman"/>
          <w:bCs/>
          <w:sz w:val="24"/>
          <w:szCs w:val="24"/>
        </w:rPr>
        <w:t>;</w:t>
      </w:r>
      <w:r w:rsidRPr="0000321C">
        <w:rPr>
          <w:rFonts w:eastAsia="Times New Roman"/>
          <w:bCs/>
          <w:sz w:val="24"/>
          <w:szCs w:val="24"/>
        </w:rPr>
        <w:t xml:space="preserve"> </w:t>
      </w:r>
      <w:r w:rsidRPr="0000321C">
        <w:rPr>
          <w:rFonts w:eastAsia="Times New Roman"/>
          <w:b/>
          <w:bCs/>
          <w:sz w:val="24"/>
          <w:szCs w:val="24"/>
        </w:rPr>
        <w:t>Barker v. Jeremiasen</w:t>
      </w:r>
      <w:r w:rsidRPr="0000321C">
        <w:rPr>
          <w:rFonts w:eastAsia="Times New Roman"/>
          <w:bCs/>
          <w:sz w:val="24"/>
          <w:szCs w:val="24"/>
        </w:rPr>
        <w:t xml:space="preserve">, 676 P.2d 1259 (Colo. App. 1984); and </w:t>
      </w:r>
      <w:r w:rsidRPr="0000321C">
        <w:rPr>
          <w:rFonts w:eastAsia="Times New Roman"/>
          <w:b/>
          <w:bCs/>
          <w:sz w:val="24"/>
          <w:szCs w:val="24"/>
        </w:rPr>
        <w:t>World of Sleep, Inc. v. Seidenfeld</w:t>
      </w:r>
      <w:r w:rsidRPr="0000321C">
        <w:rPr>
          <w:rFonts w:eastAsia="Times New Roman"/>
          <w:bCs/>
          <w:sz w:val="24"/>
          <w:szCs w:val="24"/>
        </w:rPr>
        <w:t>, 674 P.2d 1005 (Colo. App. 1983).</w:t>
      </w:r>
    </w:p>
    <w:p w14:paraId="081A9533"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Other cases recognizing the defense of waiver to an action for breach of contract are </w:t>
      </w:r>
      <w:r w:rsidRPr="0000321C">
        <w:rPr>
          <w:rFonts w:eastAsia="Times New Roman"/>
          <w:b/>
          <w:bCs/>
          <w:sz w:val="24"/>
          <w:szCs w:val="24"/>
        </w:rPr>
        <w:t>Seale v. Bates</w:t>
      </w:r>
      <w:r w:rsidRPr="0000321C">
        <w:rPr>
          <w:rFonts w:eastAsia="Times New Roman"/>
          <w:bCs/>
          <w:sz w:val="24"/>
          <w:szCs w:val="24"/>
        </w:rPr>
        <w:t xml:space="preserve">, 145 Colo. 430, 359 P.2d 356 (1961); </w:t>
      </w:r>
      <w:r w:rsidRPr="0000321C">
        <w:rPr>
          <w:rFonts w:eastAsia="Times New Roman"/>
          <w:b/>
          <w:bCs/>
          <w:sz w:val="24"/>
          <w:szCs w:val="24"/>
        </w:rPr>
        <w:t>Gillett v. Young</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45 Colo. 562, 101 P. 766 (1909); </w:t>
      </w:r>
      <w:r w:rsidRPr="0000321C">
        <w:rPr>
          <w:rFonts w:eastAsia="Times New Roman"/>
          <w:b/>
          <w:bCs/>
          <w:sz w:val="24"/>
          <w:szCs w:val="24"/>
        </w:rPr>
        <w:t>McIntire v. Barnes</w:t>
      </w:r>
      <w:r w:rsidRPr="0000321C">
        <w:rPr>
          <w:rFonts w:eastAsia="Times New Roman"/>
          <w:bCs/>
          <w:sz w:val="24"/>
          <w:szCs w:val="24"/>
        </w:rPr>
        <w:t xml:space="preserve">, 4 Colo. 285 (1878); and </w:t>
      </w:r>
      <w:r w:rsidRPr="0000321C">
        <w:rPr>
          <w:rFonts w:eastAsia="Times New Roman"/>
          <w:b/>
          <w:bCs/>
          <w:sz w:val="24"/>
          <w:szCs w:val="24"/>
        </w:rPr>
        <w:t>Widner v. Walsh</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3 Colo. 548 (1877). </w:t>
      </w:r>
      <w:r w:rsidRPr="0000321C">
        <w:rPr>
          <w:rFonts w:eastAsia="Times New Roman"/>
          <w:bCs/>
          <w:i/>
          <w:sz w:val="24"/>
          <w:szCs w:val="24"/>
        </w:rPr>
        <w:t>See also</w:t>
      </w:r>
      <w:r w:rsidRPr="0000321C">
        <w:rPr>
          <w:rFonts w:eastAsia="Times New Roman"/>
          <w:bCs/>
          <w:sz w:val="24"/>
          <w:szCs w:val="24"/>
        </w:rPr>
        <w:t xml:space="preserve"> </w:t>
      </w:r>
      <w:r w:rsidRPr="0000321C">
        <w:rPr>
          <w:rFonts w:eastAsia="Times New Roman"/>
          <w:b/>
          <w:bCs/>
          <w:sz w:val="24"/>
          <w:szCs w:val="24"/>
        </w:rPr>
        <w:t>Sung v. McCullough</w:t>
      </w:r>
      <w:r w:rsidRPr="0000321C">
        <w:rPr>
          <w:rFonts w:eastAsia="Times New Roman"/>
          <w:bCs/>
          <w:sz w:val="24"/>
          <w:szCs w:val="24"/>
        </w:rPr>
        <w:t>, 651 P.2d 447 (Colo. App. 1982) (dealing with waiver of right to terminate a lease upon happening of certain condition).</w:t>
      </w:r>
    </w:p>
    <w:p w14:paraId="7EDA6F55" w14:textId="66874739"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3. </w:t>
      </w:r>
      <w:r w:rsidR="00260CCC" w:rsidRPr="004C3FF2">
        <w:rPr>
          <w:rFonts w:eastAsia="Times New Roman"/>
          <w:bCs/>
          <w:sz w:val="24"/>
          <w:szCs w:val="24"/>
        </w:rPr>
        <w:t xml:space="preserve">A party may waive a provision that was included in a contract for that party’s sole benefit, but may not waive a term that would deprive the nonwaiving party of some benefit. </w:t>
      </w:r>
      <w:r w:rsidR="00260CCC" w:rsidRPr="004C3FF2">
        <w:rPr>
          <w:rFonts w:eastAsia="Times New Roman"/>
          <w:b/>
          <w:bCs/>
          <w:sz w:val="24"/>
          <w:szCs w:val="24"/>
        </w:rPr>
        <w:t>Avicanna Inc. v. Mewhinney</w:t>
      </w:r>
      <w:r w:rsidR="00260CCC" w:rsidRPr="004C3FF2">
        <w:rPr>
          <w:rFonts w:eastAsia="Times New Roman"/>
          <w:bCs/>
          <w:sz w:val="24"/>
          <w:szCs w:val="24"/>
        </w:rPr>
        <w:t>, 2019 COA 129, ¶ 13</w:t>
      </w:r>
      <w:r w:rsidR="006459DB">
        <w:rPr>
          <w:rFonts w:eastAsia="Times New Roman"/>
          <w:bCs/>
          <w:sz w:val="24"/>
          <w:szCs w:val="24"/>
        </w:rPr>
        <w:t>, 487 P.3d 1110</w:t>
      </w:r>
      <w:r w:rsidR="00260CCC" w:rsidRPr="004C3FF2">
        <w:rPr>
          <w:rFonts w:eastAsia="Times New Roman"/>
          <w:bCs/>
          <w:sz w:val="24"/>
          <w:szCs w:val="24"/>
        </w:rPr>
        <w:t xml:space="preserve"> (enforcing unambiguous forum selection clause</w:t>
      </w:r>
      <w:r w:rsidR="00260CCC" w:rsidRPr="004C3FF2">
        <w:rPr>
          <w:sz w:val="24"/>
          <w:szCs w:val="24"/>
        </w:rPr>
        <w:t xml:space="preserve">); </w:t>
      </w:r>
      <w:r w:rsidR="00260CCC" w:rsidRPr="004C3FF2">
        <w:rPr>
          <w:rFonts w:eastAsia="Times New Roman"/>
          <w:b/>
          <w:bCs/>
          <w:sz w:val="24"/>
          <w:szCs w:val="24"/>
        </w:rPr>
        <w:t>Fravert v. Fesler</w:t>
      </w:r>
      <w:r w:rsidR="008F7C04">
        <w:rPr>
          <w:rFonts w:eastAsia="Times New Roman"/>
          <w:bCs/>
          <w:sz w:val="24"/>
          <w:szCs w:val="24"/>
        </w:rPr>
        <w:t>,</w:t>
      </w:r>
      <w:r w:rsidR="00260CCC" w:rsidRPr="004C3FF2">
        <w:rPr>
          <w:rFonts w:eastAsia="Times New Roman"/>
          <w:bCs/>
          <w:sz w:val="24"/>
          <w:szCs w:val="24"/>
        </w:rPr>
        <w:t xml:space="preserve"> 11 Colo. App. 387, 53 P. 288 (1898)</w:t>
      </w:r>
      <w:r w:rsidR="00260CCC" w:rsidRPr="004C3FF2">
        <w:rPr>
          <w:sz w:val="24"/>
          <w:szCs w:val="24"/>
        </w:rPr>
        <w:t>.</w:t>
      </w:r>
    </w:p>
    <w:p w14:paraId="1CEE1DB8"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4. Parties may agree to waive statutory rights or benefits, in the absence of statutory prohibitions or countervailing public policy. </w:t>
      </w:r>
      <w:r w:rsidRPr="0000321C">
        <w:rPr>
          <w:rFonts w:eastAsia="Times New Roman"/>
          <w:b/>
          <w:bCs/>
          <w:sz w:val="24"/>
          <w:szCs w:val="24"/>
        </w:rPr>
        <w:t>Armed Forces Bank, N.A. v. Hicks</w:t>
      </w:r>
      <w:r w:rsidRPr="0000321C">
        <w:rPr>
          <w:rFonts w:eastAsia="Times New Roman"/>
          <w:bCs/>
          <w:sz w:val="24"/>
          <w:szCs w:val="24"/>
        </w:rPr>
        <w:t>, 2014 COA 74, ¶ 28, 365 P.3d 378.</w:t>
      </w:r>
    </w:p>
    <w:p w14:paraId="75F6EFD6" w14:textId="77777777" w:rsidR="0000321C" w:rsidRDefault="0000321C">
      <w:pPr>
        <w:rPr>
          <w:rFonts w:eastAsia="Times New Roman"/>
          <w:bCs/>
          <w:sz w:val="24"/>
          <w:szCs w:val="24"/>
        </w:rPr>
      </w:pPr>
      <w:r>
        <w:rPr>
          <w:rFonts w:eastAsia="Times New Roman"/>
          <w:bCs/>
          <w:sz w:val="24"/>
          <w:szCs w:val="24"/>
        </w:rPr>
        <w:br w:type="page"/>
      </w:r>
    </w:p>
    <w:p w14:paraId="1D5BD656" w14:textId="77777777" w:rsidR="0000321C" w:rsidRPr="009E3DA4" w:rsidRDefault="0000321C" w:rsidP="0000321C">
      <w:pPr>
        <w:spacing w:after="240"/>
        <w:ind w:left="720" w:hanging="720"/>
        <w:rPr>
          <w:rFonts w:eastAsia="Times New Roman"/>
          <w:b/>
          <w:sz w:val="24"/>
          <w:szCs w:val="24"/>
        </w:rPr>
      </w:pPr>
      <w:bookmarkStart w:id="27" w:name="a30_26"/>
      <w:bookmarkEnd w:id="27"/>
      <w:r w:rsidRPr="0000321C">
        <w:rPr>
          <w:rFonts w:eastAsia="Times New Roman"/>
          <w:b/>
          <w:bCs/>
          <w:sz w:val="24"/>
          <w:szCs w:val="24"/>
        </w:rPr>
        <w:lastRenderedPageBreak/>
        <w:t>30:26</w:t>
      </w:r>
      <w:r w:rsidRPr="0000321C">
        <w:rPr>
          <w:rFonts w:eastAsia="Times New Roman"/>
          <w:b/>
          <w:bCs/>
          <w:sz w:val="24"/>
          <w:szCs w:val="24"/>
        </w:rPr>
        <w:tab/>
        <w:t>DEFENSE — STATUTE OF LIMITATIONS</w:t>
      </w:r>
    </w:p>
    <w:p w14:paraId="673A62CD"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The defendant, </w:t>
      </w:r>
      <w:r w:rsidRPr="0000321C">
        <w:rPr>
          <w:rFonts w:eastAsia="Times New Roman"/>
          <w:bCs/>
          <w:i/>
          <w:sz w:val="24"/>
          <w:szCs w:val="24"/>
        </w:rPr>
        <w:t>(name)</w:t>
      </w:r>
      <w:r w:rsidRPr="0000321C">
        <w:rPr>
          <w:rFonts w:eastAsia="Times New Roman"/>
          <w:b/>
          <w:bCs/>
          <w:sz w:val="24"/>
          <w:szCs w:val="24"/>
        </w:rPr>
        <w:t xml:space="preserve">, is not legally responsible to the plaintiff, </w:t>
      </w:r>
      <w:r w:rsidRPr="0000321C">
        <w:rPr>
          <w:rFonts w:eastAsia="Times New Roman"/>
          <w:bCs/>
          <w:i/>
          <w:sz w:val="24"/>
          <w:szCs w:val="24"/>
        </w:rPr>
        <w:t>(name)</w:t>
      </w:r>
      <w:r w:rsidRPr="0000321C">
        <w:rPr>
          <w:rFonts w:eastAsia="Times New Roman"/>
          <w:b/>
          <w:bCs/>
          <w:sz w:val="24"/>
          <w:szCs w:val="24"/>
        </w:rPr>
        <w:t>, on the plaintiff’s claim of breach of contract if the affirmative defense of the expiration of the statute of limitations is proved. This defense is proved if you find both of the following:</w:t>
      </w:r>
    </w:p>
    <w:p w14:paraId="45ED5034"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1. </w:t>
      </w:r>
      <w:r w:rsidRPr="0000321C">
        <w:rPr>
          <w:rFonts w:eastAsia="Times New Roman"/>
          <w:bCs/>
          <w:i/>
          <w:sz w:val="24"/>
          <w:szCs w:val="24"/>
        </w:rPr>
        <w:t>(Describe the events that constituted the claimed breach)</w:t>
      </w:r>
      <w:r w:rsidRPr="0000321C">
        <w:rPr>
          <w:rFonts w:eastAsia="Times New Roman"/>
          <w:b/>
          <w:bCs/>
          <w:sz w:val="24"/>
          <w:szCs w:val="24"/>
        </w:rPr>
        <w:t xml:space="preserve"> occurred before </w:t>
      </w:r>
      <w:r w:rsidRPr="0000321C">
        <w:rPr>
          <w:rFonts w:eastAsia="Times New Roman"/>
          <w:bCs/>
          <w:i/>
          <w:sz w:val="24"/>
          <w:szCs w:val="24"/>
        </w:rPr>
        <w:t>(insert the appropriate date)</w:t>
      </w:r>
      <w:r w:rsidRPr="0000321C">
        <w:rPr>
          <w:rFonts w:eastAsia="Times New Roman"/>
          <w:b/>
          <w:bCs/>
          <w:sz w:val="24"/>
          <w:szCs w:val="24"/>
        </w:rPr>
        <w:t>; and</w:t>
      </w:r>
    </w:p>
    <w:p w14:paraId="3C2AACCA"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2. Plaintiff knew, or should have known, with the exercise of reasonable diligence, of the existence of the (claimed) breach before </w:t>
      </w:r>
      <w:r w:rsidRPr="0000321C">
        <w:rPr>
          <w:rFonts w:eastAsia="Times New Roman"/>
          <w:bCs/>
          <w:i/>
          <w:sz w:val="24"/>
          <w:szCs w:val="24"/>
        </w:rPr>
        <w:t>(insert the appropriate</w:t>
      </w:r>
      <w:r w:rsidRPr="0000321C">
        <w:rPr>
          <w:rFonts w:eastAsia="Times New Roman"/>
          <w:bCs/>
          <w:sz w:val="24"/>
          <w:szCs w:val="24"/>
        </w:rPr>
        <w:t xml:space="preserve"> </w:t>
      </w:r>
      <w:r w:rsidRPr="0000321C">
        <w:rPr>
          <w:rFonts w:eastAsia="Times New Roman"/>
          <w:bCs/>
          <w:i/>
          <w:sz w:val="24"/>
          <w:szCs w:val="24"/>
        </w:rPr>
        <w:t>date)</w:t>
      </w:r>
      <w:r w:rsidRPr="0000321C">
        <w:rPr>
          <w:rFonts w:eastAsia="Times New Roman"/>
          <w:b/>
          <w:bCs/>
          <w:sz w:val="24"/>
          <w:szCs w:val="24"/>
        </w:rPr>
        <w:t>.</w:t>
      </w:r>
    </w:p>
    <w:p w14:paraId="4C338950" w14:textId="77777777" w:rsidR="0000321C" w:rsidRDefault="0000321C" w:rsidP="0000321C">
      <w:pPr>
        <w:jc w:val="center"/>
        <w:rPr>
          <w:rFonts w:eastAsia="Times New Roman"/>
          <w:sz w:val="24"/>
          <w:szCs w:val="24"/>
        </w:rPr>
      </w:pPr>
    </w:p>
    <w:p w14:paraId="7027AA49" w14:textId="77777777" w:rsidR="0000321C" w:rsidRPr="0054263B" w:rsidRDefault="0000321C" w:rsidP="0000321C">
      <w:pPr>
        <w:keepNext/>
        <w:spacing w:after="240"/>
        <w:jc w:val="center"/>
        <w:rPr>
          <w:rFonts w:eastAsia="Times New Roman"/>
          <w:b/>
          <w:sz w:val="24"/>
          <w:szCs w:val="24"/>
        </w:rPr>
      </w:pPr>
      <w:r w:rsidRPr="0054263B">
        <w:rPr>
          <w:rFonts w:eastAsia="Times New Roman"/>
          <w:b/>
          <w:sz w:val="24"/>
          <w:szCs w:val="24"/>
        </w:rPr>
        <w:t>Notes on Use</w:t>
      </w:r>
    </w:p>
    <w:p w14:paraId="3CBCA5C3"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1. This instruction should only be given if there is a disputed question of fact that would be proper to submit to the jury, e.g., when the alleged breach occurred. However, when the material facts are undisputed and reasonable persons could not disagree about their import, the questions of when a claim accrues and, consequently, whether a claim is barred by the statute of limitations may be decided by the court as a matter of law. </w:t>
      </w:r>
      <w:r w:rsidRPr="0000321C">
        <w:rPr>
          <w:rFonts w:eastAsia="Times New Roman"/>
          <w:b/>
          <w:bCs/>
          <w:sz w:val="24"/>
          <w:szCs w:val="24"/>
        </w:rPr>
        <w:t>Jackson v. Am. Family Mut. Ins. Co.</w:t>
      </w:r>
      <w:r w:rsidRPr="0000321C">
        <w:rPr>
          <w:rFonts w:eastAsia="Times New Roman"/>
          <w:bCs/>
          <w:sz w:val="24"/>
          <w:szCs w:val="24"/>
        </w:rPr>
        <w:t>, 258 P.3d 328 (Colo. App. 2011).</w:t>
      </w:r>
    </w:p>
    <w:p w14:paraId="2C2FEB67"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If an event is claimed to have occurred that would toll the applicable statute and the facts are disputed, this instruction should be appropriately modified. </w:t>
      </w:r>
      <w:r w:rsidRPr="0000321C">
        <w:rPr>
          <w:rFonts w:eastAsia="Times New Roman"/>
          <w:bCs/>
          <w:i/>
          <w:sz w:val="24"/>
          <w:szCs w:val="24"/>
        </w:rPr>
        <w:t>See, e.g.</w:t>
      </w:r>
      <w:r w:rsidRPr="0000321C">
        <w:rPr>
          <w:rFonts w:eastAsia="Times New Roman"/>
          <w:bCs/>
          <w:sz w:val="24"/>
          <w:szCs w:val="24"/>
        </w:rPr>
        <w:t xml:space="preserve">, </w:t>
      </w:r>
      <w:r w:rsidRPr="0000321C">
        <w:rPr>
          <w:rFonts w:eastAsia="Times New Roman"/>
          <w:b/>
          <w:bCs/>
          <w:sz w:val="24"/>
          <w:szCs w:val="24"/>
        </w:rPr>
        <w:t>First Interstate Bank of Denver, N.A. v. Berenbaum</w:t>
      </w:r>
      <w:r w:rsidRPr="0000321C">
        <w:rPr>
          <w:rFonts w:eastAsia="Times New Roman"/>
          <w:bCs/>
          <w:sz w:val="24"/>
          <w:szCs w:val="24"/>
        </w:rPr>
        <w:t>, 872 P.2d 1297 (Colo. App. 1993) (burden on plaintiff to show that statute had been tolled).</w:t>
      </w:r>
    </w:p>
    <w:p w14:paraId="4566A5C9" w14:textId="77777777" w:rsidR="0000321C" w:rsidRPr="0054263B" w:rsidRDefault="0000321C" w:rsidP="0000321C">
      <w:pPr>
        <w:keepNext/>
        <w:spacing w:after="240"/>
        <w:jc w:val="center"/>
        <w:rPr>
          <w:rFonts w:eastAsia="Times New Roman"/>
          <w:b/>
          <w:sz w:val="24"/>
          <w:szCs w:val="24"/>
        </w:rPr>
      </w:pPr>
      <w:r>
        <w:rPr>
          <w:rFonts w:eastAsia="Times New Roman"/>
          <w:b/>
          <w:sz w:val="24"/>
          <w:szCs w:val="24"/>
        </w:rPr>
        <w:t>Source and Authority</w:t>
      </w:r>
    </w:p>
    <w:p w14:paraId="0DF2E1EB"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1. This instruction is supported by section 13-80-108, C.R.S.; </w:t>
      </w:r>
      <w:r w:rsidRPr="0000321C">
        <w:rPr>
          <w:rFonts w:eastAsia="Times New Roman"/>
          <w:b/>
          <w:bCs/>
          <w:sz w:val="24"/>
          <w:szCs w:val="24"/>
        </w:rPr>
        <w:t>Stice v. Peterson</w:t>
      </w:r>
      <w:r w:rsidRPr="0000321C">
        <w:rPr>
          <w:rFonts w:eastAsia="Times New Roman"/>
          <w:bCs/>
          <w:sz w:val="24"/>
          <w:szCs w:val="24"/>
        </w:rPr>
        <w:t xml:space="preserve">, 144 Colo. 219, 355 P.2d 948 (1960); and </w:t>
      </w:r>
      <w:r w:rsidRPr="0000321C">
        <w:rPr>
          <w:rFonts w:eastAsia="Times New Roman"/>
          <w:b/>
          <w:bCs/>
          <w:sz w:val="24"/>
          <w:szCs w:val="24"/>
        </w:rPr>
        <w:t>Koon v. Barmettler</w:t>
      </w:r>
      <w:r w:rsidRPr="0000321C">
        <w:rPr>
          <w:rFonts w:eastAsia="Times New Roman"/>
          <w:bCs/>
          <w:sz w:val="24"/>
          <w:szCs w:val="24"/>
        </w:rPr>
        <w:t>, 134 Colo. 221, 301 P.2d 713 (1956).</w:t>
      </w:r>
    </w:p>
    <w:p w14:paraId="39D1BC4E"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Generally, in breach of contract actions, the statute of limitations is three years. § 13-80-101(1)(a), C.R.S.; </w:t>
      </w:r>
      <w:r w:rsidRPr="0000321C">
        <w:rPr>
          <w:rFonts w:eastAsia="Times New Roman"/>
          <w:bCs/>
          <w:i/>
          <w:sz w:val="24"/>
          <w:szCs w:val="24"/>
        </w:rPr>
        <w:t xml:space="preserve">see </w:t>
      </w:r>
      <w:r w:rsidRPr="0000321C">
        <w:rPr>
          <w:rFonts w:eastAsia="Times New Roman"/>
          <w:b/>
          <w:bCs/>
          <w:sz w:val="24"/>
          <w:szCs w:val="24"/>
        </w:rPr>
        <w:t>Hersh Cos. Inc. v. Highline Village Assocs.</w:t>
      </w:r>
      <w:r w:rsidRPr="0000321C">
        <w:rPr>
          <w:rFonts w:eastAsia="Times New Roman"/>
          <w:bCs/>
          <w:sz w:val="24"/>
          <w:szCs w:val="24"/>
        </w:rPr>
        <w:t xml:space="preserve">, 30 P.3d 221 (Colo. 2001) (breach of express warranty governed by three year statute for contracts); </w:t>
      </w:r>
      <w:r w:rsidRPr="0000321C">
        <w:rPr>
          <w:rFonts w:eastAsia="Times New Roman"/>
          <w:b/>
          <w:bCs/>
          <w:sz w:val="24"/>
          <w:szCs w:val="24"/>
        </w:rPr>
        <w:t>Neuromonitoring Assocs. v. Centura Health Corp.</w:t>
      </w:r>
      <w:r w:rsidRPr="0000321C">
        <w:rPr>
          <w:rFonts w:eastAsia="Times New Roman"/>
          <w:bCs/>
          <w:sz w:val="24"/>
          <w:szCs w:val="24"/>
        </w:rPr>
        <w:t xml:space="preserve">, 2012 COA 136, ¶ 20, 351 P.3d 486 (claim for amounts not liquidated or determinable within the meaning of § 13-80-103.5(1)(a) governed by the three year statute); </w:t>
      </w:r>
      <w:r w:rsidRPr="0000321C">
        <w:rPr>
          <w:rFonts w:eastAsia="Times New Roman"/>
          <w:b/>
          <w:bCs/>
          <w:sz w:val="24"/>
          <w:szCs w:val="24"/>
        </w:rPr>
        <w:t>CAMAS Colo., Inc. v. Bd. of Cty. Comm’rs</w:t>
      </w:r>
      <w:r w:rsidRPr="0000321C">
        <w:rPr>
          <w:rFonts w:eastAsia="Times New Roman"/>
          <w:bCs/>
          <w:sz w:val="24"/>
          <w:szCs w:val="24"/>
        </w:rPr>
        <w:t xml:space="preserve">, 36 P.3d 135 (Colo. App. 2001) (contractor’s claims for breach of contract, </w:t>
      </w:r>
      <w:r w:rsidRPr="0000321C">
        <w:rPr>
          <w:rFonts w:eastAsia="Times New Roman"/>
          <w:bCs/>
          <w:i/>
          <w:sz w:val="24"/>
          <w:szCs w:val="24"/>
        </w:rPr>
        <w:t>quantum meruit</w:t>
      </w:r>
      <w:r w:rsidRPr="0000321C">
        <w:rPr>
          <w:rFonts w:eastAsia="Times New Roman"/>
          <w:bCs/>
          <w:sz w:val="24"/>
          <w:szCs w:val="24"/>
        </w:rPr>
        <w:t xml:space="preserve">, rescission and restitution for mistake were all governed by three year statute of limitations for contracts). </w:t>
      </w:r>
      <w:r w:rsidRPr="0000321C">
        <w:rPr>
          <w:rFonts w:eastAsia="Times New Roman"/>
          <w:bCs/>
          <w:i/>
          <w:sz w:val="24"/>
          <w:szCs w:val="24"/>
        </w:rPr>
        <w:t>But see</w:t>
      </w:r>
      <w:r w:rsidRPr="0000321C">
        <w:rPr>
          <w:rFonts w:eastAsia="Times New Roman"/>
          <w:bCs/>
          <w:sz w:val="24"/>
          <w:szCs w:val="24"/>
        </w:rPr>
        <w:t xml:space="preserve"> </w:t>
      </w:r>
      <w:r w:rsidRPr="0000321C">
        <w:rPr>
          <w:rFonts w:eastAsia="Times New Roman"/>
          <w:b/>
          <w:bCs/>
          <w:sz w:val="24"/>
          <w:szCs w:val="24"/>
        </w:rPr>
        <w:t>Portercare Adventist Health Sys. v. Lego</w:t>
      </w:r>
      <w:r w:rsidRPr="0000321C">
        <w:rPr>
          <w:rFonts w:eastAsia="Times New Roman"/>
          <w:bCs/>
          <w:sz w:val="24"/>
          <w:szCs w:val="24"/>
        </w:rPr>
        <w:t xml:space="preserve">, 2012 CO 58, ¶ 19, 286 P.3d 525 (six year statute regarding liquidated debt applied to action for unpaid balance for medical services); </w:t>
      </w:r>
      <w:r w:rsidRPr="0000321C">
        <w:rPr>
          <w:rFonts w:eastAsia="Times New Roman"/>
          <w:b/>
          <w:bCs/>
          <w:sz w:val="24"/>
          <w:szCs w:val="24"/>
        </w:rPr>
        <w:t>BP Am. Prod. Co. v. Patterson</w:t>
      </w:r>
      <w:r w:rsidRPr="0000321C">
        <w:rPr>
          <w:rFonts w:eastAsia="Times New Roman"/>
          <w:bCs/>
          <w:sz w:val="24"/>
          <w:szCs w:val="24"/>
        </w:rPr>
        <w:t xml:space="preserve">, 185 P.3d 811 (Colo. 2008) (six year limit applies to royalty obligations due under contract, and claim accrues on date the debt is due, not the date breach is discovered); </w:t>
      </w:r>
      <w:r w:rsidRPr="0000321C">
        <w:rPr>
          <w:rFonts w:eastAsia="Times New Roman"/>
          <w:b/>
          <w:bCs/>
          <w:sz w:val="24"/>
          <w:szCs w:val="24"/>
        </w:rPr>
        <w:t>Jackson</w:t>
      </w:r>
      <w:r w:rsidRPr="0000321C">
        <w:rPr>
          <w:rFonts w:eastAsia="Times New Roman"/>
          <w:bCs/>
          <w:sz w:val="24"/>
          <w:szCs w:val="24"/>
        </w:rPr>
        <w:t xml:space="preserve">, 258 P.3d at 331 (equitable action for reformation of a contract governed by the three year statute). The statute of limitations for contracts involving the sale of goods is the same. </w:t>
      </w:r>
      <w:r w:rsidRPr="0000321C">
        <w:rPr>
          <w:rFonts w:eastAsia="Times New Roman"/>
          <w:bCs/>
          <w:i/>
          <w:sz w:val="24"/>
          <w:szCs w:val="24"/>
        </w:rPr>
        <w:t>See</w:t>
      </w:r>
      <w:r w:rsidRPr="0000321C">
        <w:rPr>
          <w:rFonts w:eastAsia="Times New Roman"/>
          <w:bCs/>
          <w:sz w:val="24"/>
          <w:szCs w:val="24"/>
        </w:rPr>
        <w:t xml:space="preserve"> </w:t>
      </w:r>
      <w:r w:rsidRPr="0000321C">
        <w:rPr>
          <w:rFonts w:eastAsia="Times New Roman"/>
          <w:bCs/>
          <w:sz w:val="24"/>
          <w:szCs w:val="24"/>
        </w:rPr>
        <w:lastRenderedPageBreak/>
        <w:t xml:space="preserve">§ 4-2-725(1), C.R.S. (incorporating the period of limitation set out in section 13-80-101(1)(a), C.R.S.). </w:t>
      </w:r>
    </w:p>
    <w:p w14:paraId="3E31BE33"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3. The defense of statute of limitations is an affirmative defense and the party asserting it has the burdens of pleading and proof. C.R.C.P. 8(c). </w:t>
      </w:r>
      <w:r w:rsidRPr="0000321C">
        <w:rPr>
          <w:rFonts w:eastAsia="Times New Roman"/>
          <w:bCs/>
          <w:i/>
          <w:sz w:val="24"/>
          <w:szCs w:val="24"/>
        </w:rPr>
        <w:t>But see</w:t>
      </w:r>
      <w:r w:rsidRPr="0000321C">
        <w:rPr>
          <w:rFonts w:eastAsia="Times New Roman"/>
          <w:bCs/>
          <w:sz w:val="24"/>
          <w:szCs w:val="24"/>
        </w:rPr>
        <w:t xml:space="preserve"> </w:t>
      </w:r>
      <w:r w:rsidRPr="0000321C">
        <w:rPr>
          <w:rFonts w:eastAsia="Times New Roman"/>
          <w:b/>
          <w:bCs/>
          <w:sz w:val="24"/>
          <w:szCs w:val="24"/>
        </w:rPr>
        <w:t>Berenbaum</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872 P.2d at 1300-01 (when complaint shows on its face that a claim for fraud was brought more than three years after the alleged fraud and defendant has affirmatively pled the statute of limitations, the burden is on the plaintiff to sho</w:t>
      </w:r>
      <w:r w:rsidR="00555B52">
        <w:rPr>
          <w:rFonts w:eastAsia="Times New Roman"/>
          <w:bCs/>
          <w:sz w:val="24"/>
          <w:szCs w:val="24"/>
        </w:rPr>
        <w:t>w the statute has been tolled).</w:t>
      </w:r>
    </w:p>
    <w:p w14:paraId="155A7768" w14:textId="1EC4431C" w:rsidR="0000321C" w:rsidRPr="0000321C" w:rsidRDefault="003333C4" w:rsidP="0000321C">
      <w:pPr>
        <w:spacing w:after="240"/>
        <w:ind w:firstLine="720"/>
        <w:rPr>
          <w:rFonts w:eastAsia="Times New Roman"/>
          <w:bCs/>
          <w:sz w:val="24"/>
          <w:szCs w:val="24"/>
        </w:rPr>
      </w:pPr>
      <w:r>
        <w:rPr>
          <w:rFonts w:eastAsia="Times New Roman"/>
          <w:bCs/>
          <w:sz w:val="24"/>
          <w:szCs w:val="24"/>
        </w:rPr>
        <w:t xml:space="preserve">4. </w:t>
      </w:r>
      <w:r w:rsidR="0000321C" w:rsidRPr="0000321C">
        <w:rPr>
          <w:rFonts w:eastAsia="Times New Roman"/>
          <w:bCs/>
          <w:sz w:val="24"/>
          <w:szCs w:val="24"/>
        </w:rPr>
        <w:t xml:space="preserve">A new promise to pay may remove a defense based on the statute of limitations. “Since early common law, it has been universally accepted that a new promise to pay effectively removes the bar of any applicable statute of limitations by creating a new debt, with a new due date, and that a partial payment constitutes an implicit promise to pay.” </w:t>
      </w:r>
      <w:r w:rsidR="0000321C" w:rsidRPr="0000321C">
        <w:rPr>
          <w:rFonts w:eastAsia="Times New Roman"/>
          <w:b/>
          <w:bCs/>
          <w:sz w:val="24"/>
          <w:szCs w:val="24"/>
        </w:rPr>
        <w:t>Hutchins v. La Plata Mountain Res., Inc</w:t>
      </w:r>
      <w:r w:rsidR="0000321C" w:rsidRPr="0000321C">
        <w:rPr>
          <w:rFonts w:eastAsia="Times New Roman"/>
          <w:bCs/>
          <w:sz w:val="24"/>
          <w:szCs w:val="24"/>
        </w:rPr>
        <w:t xml:space="preserve">. 2016 CO 45, ¶ 10, 373 P.3d 582, 585; </w:t>
      </w:r>
      <w:r w:rsidR="0000321C" w:rsidRPr="0000321C">
        <w:rPr>
          <w:rFonts w:eastAsia="Times New Roman"/>
          <w:bCs/>
          <w:i/>
          <w:sz w:val="24"/>
          <w:szCs w:val="24"/>
        </w:rPr>
        <w:t>see also</w:t>
      </w:r>
      <w:r w:rsidR="0000321C" w:rsidRPr="0000321C">
        <w:rPr>
          <w:rFonts w:eastAsia="Times New Roman"/>
          <w:bCs/>
          <w:sz w:val="24"/>
          <w:szCs w:val="24"/>
        </w:rPr>
        <w:t xml:space="preserve"> </w:t>
      </w:r>
      <w:r w:rsidR="0000321C" w:rsidRPr="0000321C">
        <w:rPr>
          <w:rFonts w:eastAsia="Times New Roman"/>
          <w:b/>
          <w:bCs/>
          <w:sz w:val="24"/>
          <w:szCs w:val="24"/>
        </w:rPr>
        <w:t>Van Diest v. Towle</w:t>
      </w:r>
      <w:r w:rsidR="0000321C" w:rsidRPr="0000321C">
        <w:rPr>
          <w:rFonts w:eastAsia="Times New Roman"/>
          <w:bCs/>
          <w:sz w:val="24"/>
          <w:szCs w:val="24"/>
        </w:rPr>
        <w:t>, 116 Colo. 204, 179 P.2d 984 (1947).</w:t>
      </w:r>
    </w:p>
    <w:p w14:paraId="002C5199" w14:textId="77777777" w:rsidR="00555B52" w:rsidRDefault="00555B52">
      <w:pPr>
        <w:rPr>
          <w:rFonts w:eastAsia="Times New Roman"/>
          <w:bCs/>
          <w:sz w:val="24"/>
          <w:szCs w:val="24"/>
        </w:rPr>
      </w:pPr>
      <w:r>
        <w:rPr>
          <w:rFonts w:eastAsia="Times New Roman"/>
          <w:bCs/>
          <w:sz w:val="24"/>
          <w:szCs w:val="24"/>
        </w:rPr>
        <w:br w:type="page"/>
      </w:r>
    </w:p>
    <w:p w14:paraId="3F430E5C" w14:textId="77777777" w:rsidR="00555B52" w:rsidRPr="009E3DA4" w:rsidRDefault="00E43BF9" w:rsidP="00555B52">
      <w:pPr>
        <w:spacing w:after="240"/>
        <w:ind w:left="720" w:hanging="720"/>
        <w:rPr>
          <w:rFonts w:eastAsia="Times New Roman"/>
          <w:b/>
          <w:sz w:val="24"/>
          <w:szCs w:val="24"/>
        </w:rPr>
      </w:pPr>
      <w:bookmarkStart w:id="28" w:name="a30_27"/>
      <w:bookmarkEnd w:id="28"/>
      <w:r w:rsidRPr="00E43BF9">
        <w:rPr>
          <w:rFonts w:eastAsia="Times New Roman"/>
          <w:b/>
          <w:bCs/>
          <w:sz w:val="24"/>
          <w:szCs w:val="24"/>
        </w:rPr>
        <w:lastRenderedPageBreak/>
        <w:t>30:27</w:t>
      </w:r>
      <w:r w:rsidRPr="00E43BF9">
        <w:rPr>
          <w:rFonts w:eastAsia="Times New Roman"/>
          <w:b/>
          <w:bCs/>
          <w:sz w:val="24"/>
          <w:szCs w:val="24"/>
        </w:rPr>
        <w:tab/>
        <w:t>DEFENSE — CANCELLATION BY AGREEMENT</w:t>
      </w:r>
    </w:p>
    <w:p w14:paraId="0A8AA69C"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 xml:space="preserve">The defendant, </w:t>
      </w:r>
      <w:r w:rsidRPr="00E43BF9">
        <w:rPr>
          <w:rFonts w:eastAsia="Times New Roman"/>
          <w:bCs/>
          <w:i/>
          <w:sz w:val="24"/>
          <w:szCs w:val="24"/>
        </w:rPr>
        <w:t>(name)</w:t>
      </w:r>
      <w:r w:rsidRPr="00E43BF9">
        <w:rPr>
          <w:rFonts w:eastAsia="Times New Roman"/>
          <w:b/>
          <w:bCs/>
          <w:sz w:val="24"/>
          <w:szCs w:val="24"/>
        </w:rPr>
        <w:t xml:space="preserve">, is not legally responsible to the plaintiff, </w:t>
      </w:r>
      <w:r w:rsidRPr="00E43BF9">
        <w:rPr>
          <w:rFonts w:eastAsia="Times New Roman"/>
          <w:bCs/>
          <w:i/>
          <w:sz w:val="24"/>
          <w:szCs w:val="24"/>
        </w:rPr>
        <w:t>(name)</w:t>
      </w:r>
      <w:r w:rsidRPr="00E43BF9">
        <w:rPr>
          <w:rFonts w:eastAsia="Times New Roman"/>
          <w:b/>
          <w:bCs/>
          <w:sz w:val="24"/>
          <w:szCs w:val="24"/>
        </w:rPr>
        <w:t>, on the plaintiff’s claim of breach of contract if the affirmative defense of cancellation by agreement is proved. This defense is proved if you find both of the following:</w:t>
      </w:r>
    </w:p>
    <w:p w14:paraId="04265F9B"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1. The plaintiff and the defendant had entered into a contract; and</w:t>
      </w:r>
    </w:p>
    <w:p w14:paraId="4F2E61DF" w14:textId="00501E41"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 xml:space="preserve">2. Before any party to the contract fully performed all </w:t>
      </w:r>
      <w:r w:rsidR="004F22EF" w:rsidRPr="0070684C">
        <w:rPr>
          <w:rFonts w:eastAsia="Times New Roman"/>
          <w:i/>
          <w:iCs/>
          <w:sz w:val="24"/>
          <w:szCs w:val="24"/>
        </w:rPr>
        <w:t>(insert applicable pronoun</w:t>
      </w:r>
      <w:r w:rsidR="004F22EF">
        <w:rPr>
          <w:rFonts w:eastAsia="Times New Roman"/>
          <w:i/>
          <w:iCs/>
          <w:sz w:val="24"/>
          <w:szCs w:val="24"/>
        </w:rPr>
        <w:t>)</w:t>
      </w:r>
      <w:r w:rsidRPr="00E43BF9">
        <w:rPr>
          <w:rFonts w:eastAsia="Times New Roman"/>
          <w:b/>
          <w:bCs/>
          <w:sz w:val="24"/>
          <w:szCs w:val="24"/>
        </w:rPr>
        <w:t xml:space="preserve"> obligations under the contract, (the plaintiff and the defendant) (all the parties to the contract) agreed to cancel the contract.</w:t>
      </w:r>
    </w:p>
    <w:p w14:paraId="416D9A6D"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An agreement to cancel a contract may be oral or in writing, or it may be implied from conduct of the parties.</w:t>
      </w:r>
    </w:p>
    <w:p w14:paraId="24CA2F73" w14:textId="77777777" w:rsidR="00555B52" w:rsidRDefault="00555B52" w:rsidP="00555B52">
      <w:pPr>
        <w:jc w:val="center"/>
        <w:rPr>
          <w:rFonts w:eastAsia="Times New Roman"/>
          <w:sz w:val="24"/>
          <w:szCs w:val="24"/>
        </w:rPr>
      </w:pPr>
    </w:p>
    <w:p w14:paraId="7B8B1F2C" w14:textId="77777777" w:rsidR="00555B52" w:rsidRPr="0054263B" w:rsidRDefault="00555B52" w:rsidP="00555B52">
      <w:pPr>
        <w:keepNext/>
        <w:spacing w:after="240"/>
        <w:jc w:val="center"/>
        <w:rPr>
          <w:rFonts w:eastAsia="Times New Roman"/>
          <w:b/>
          <w:sz w:val="24"/>
          <w:szCs w:val="24"/>
        </w:rPr>
      </w:pPr>
      <w:r w:rsidRPr="0054263B">
        <w:rPr>
          <w:rFonts w:eastAsia="Times New Roman"/>
          <w:b/>
          <w:sz w:val="24"/>
          <w:szCs w:val="24"/>
        </w:rPr>
        <w:t>Notes on Use</w:t>
      </w:r>
    </w:p>
    <w:p w14:paraId="2337D75E"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This instruction should not be used when one party has fully performed or the contract is unilateral (promise for an act), rather than bilateral (mutual promises).</w:t>
      </w:r>
    </w:p>
    <w:p w14:paraId="304DF8B5"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2. Use whichever parenthesized words are appropriate.</w:t>
      </w:r>
    </w:p>
    <w:p w14:paraId="3A4AFD23"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3. This instruction must be appropriately modified if either the plaintiff or the defendant was not an original party to the contract. Also, appropriate modifications must be made if the contract involved third-party beneficiaries. </w:t>
      </w:r>
      <w:r w:rsidRPr="00E43BF9">
        <w:rPr>
          <w:rFonts w:eastAsia="Times New Roman"/>
          <w:bCs/>
          <w:i/>
          <w:sz w:val="24"/>
          <w:szCs w:val="24"/>
        </w:rPr>
        <w:t xml:space="preserve">See </w:t>
      </w:r>
      <w:r w:rsidRPr="00E43BF9">
        <w:rPr>
          <w:rFonts w:eastAsia="Times New Roman"/>
          <w:bCs/>
          <w:sz w:val="24"/>
          <w:szCs w:val="24"/>
        </w:rPr>
        <w:t xml:space="preserve">13 </w:t>
      </w:r>
      <w:r w:rsidRPr="00E43BF9">
        <w:rPr>
          <w:rFonts w:eastAsia="Times New Roman"/>
          <w:bCs/>
          <w:smallCaps/>
          <w:sz w:val="24"/>
          <w:szCs w:val="24"/>
        </w:rPr>
        <w:t>Sarah Howard Jenkins, Corbin on Contracts</w:t>
      </w:r>
      <w:r w:rsidRPr="00E43BF9">
        <w:rPr>
          <w:rFonts w:eastAsia="Times New Roman"/>
          <w:bCs/>
          <w:sz w:val="24"/>
          <w:szCs w:val="24"/>
        </w:rPr>
        <w:t xml:space="preserve"> § 67.8 (Joseph M. Perillo ed., rev. ed. 2003).</w:t>
      </w:r>
    </w:p>
    <w:p w14:paraId="69DE0932"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4. A rescission by mutual consent may be established by showing that the parties, by their conduct, impliedly agreed to abandon their contract. When there is sufficient evidence of such an implied agreement, this instruction should be appropriately modified. For abandonment, the acts and conduct of the parties must be positive, unequivocal, and inconsistent with any intent to continue to be bound by the contract, for example, by one party’s regularly acquiescing in acts of the other party that are inconsistent with the continued existence of the contract. </w:t>
      </w:r>
      <w:r w:rsidRPr="00E43BF9">
        <w:rPr>
          <w:rFonts w:eastAsia="Times New Roman"/>
          <w:b/>
          <w:bCs/>
          <w:sz w:val="24"/>
          <w:szCs w:val="24"/>
        </w:rPr>
        <w:t>In re Marriage of Young</w:t>
      </w:r>
      <w:r w:rsidRPr="00E43BF9">
        <w:rPr>
          <w:rFonts w:eastAsia="Times New Roman"/>
          <w:bCs/>
          <w:sz w:val="24"/>
          <w:szCs w:val="24"/>
        </w:rPr>
        <w:t xml:space="preserve">, 682 P.2d 1233 (Colo. App. 1984) (discussing earlier cases and holding that the rules of abandonment are as applicable to antenuptial agreements as they are to other contracts); </w:t>
      </w:r>
      <w:r w:rsidRPr="00E43BF9">
        <w:rPr>
          <w:rFonts w:eastAsia="Times New Roman"/>
          <w:bCs/>
          <w:i/>
          <w:sz w:val="24"/>
          <w:szCs w:val="24"/>
        </w:rPr>
        <w:t>see also</w:t>
      </w:r>
      <w:r w:rsidRPr="00E43BF9">
        <w:rPr>
          <w:rFonts w:eastAsia="Times New Roman"/>
          <w:bCs/>
          <w:sz w:val="24"/>
          <w:szCs w:val="24"/>
        </w:rPr>
        <w:t xml:space="preserve"> </w:t>
      </w:r>
      <w:r w:rsidRPr="00E43BF9">
        <w:rPr>
          <w:rFonts w:eastAsia="Times New Roman"/>
          <w:b/>
          <w:bCs/>
          <w:sz w:val="24"/>
          <w:szCs w:val="24"/>
        </w:rPr>
        <w:t>Harrison v. Albright</w:t>
      </w:r>
      <w:r w:rsidRPr="00E43BF9">
        <w:rPr>
          <w:rFonts w:eastAsia="Times New Roman"/>
          <w:bCs/>
          <w:sz w:val="24"/>
          <w:szCs w:val="24"/>
        </w:rPr>
        <w:t>, 40 Colo. App. 227, 577 P.2d 302 (1977) (evidence of abandonment insufficient; parties’ conduct consistent with the continued existence of their contract).</w:t>
      </w:r>
    </w:p>
    <w:p w14:paraId="0613A912" w14:textId="77777777" w:rsidR="00555B52" w:rsidRPr="0054263B" w:rsidRDefault="00555B52" w:rsidP="00555B52">
      <w:pPr>
        <w:keepNext/>
        <w:spacing w:after="240"/>
        <w:jc w:val="center"/>
        <w:rPr>
          <w:rFonts w:eastAsia="Times New Roman"/>
          <w:b/>
          <w:sz w:val="24"/>
          <w:szCs w:val="24"/>
        </w:rPr>
      </w:pPr>
      <w:r>
        <w:rPr>
          <w:rFonts w:eastAsia="Times New Roman"/>
          <w:b/>
          <w:sz w:val="24"/>
          <w:szCs w:val="24"/>
        </w:rPr>
        <w:t>Source and Authority</w:t>
      </w:r>
    </w:p>
    <w:p w14:paraId="3B49CC37"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This instruction is supported by</w:t>
      </w:r>
      <w:r w:rsidRPr="00E43BF9">
        <w:rPr>
          <w:rFonts w:eastAsia="Times New Roman"/>
          <w:b/>
          <w:bCs/>
          <w:sz w:val="24"/>
          <w:szCs w:val="24"/>
        </w:rPr>
        <w:t xml:space="preserve"> Western Air Lines v. Hollenbeck</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 xml:space="preserve">124 Colo. 130, 235 P.2d 792 (1951) (citing earlier cases); and </w:t>
      </w:r>
      <w:r w:rsidRPr="00E43BF9">
        <w:rPr>
          <w:rFonts w:eastAsia="Times New Roman"/>
          <w:b/>
          <w:bCs/>
          <w:sz w:val="24"/>
          <w:szCs w:val="24"/>
        </w:rPr>
        <w:t>Wallick v. Eaton</w:t>
      </w:r>
      <w:r w:rsidRPr="00E43BF9">
        <w:rPr>
          <w:rFonts w:eastAsia="Times New Roman"/>
          <w:bCs/>
          <w:sz w:val="24"/>
          <w:szCs w:val="24"/>
        </w:rPr>
        <w:t xml:space="preserve">, 110 Colo. 358, 134 P.2d 727 (1943) (the discharge by one party of the other’s obligation under a contract is sufficient consideration for the other’s promise to discharge him). </w:t>
      </w:r>
      <w:r w:rsidRPr="00E43BF9">
        <w:rPr>
          <w:rFonts w:eastAsia="Times New Roman"/>
          <w:bCs/>
          <w:i/>
          <w:sz w:val="24"/>
          <w:szCs w:val="24"/>
        </w:rPr>
        <w:t>See also</w:t>
      </w:r>
      <w:r w:rsidRPr="00E43BF9">
        <w:rPr>
          <w:rFonts w:eastAsia="Times New Roman"/>
          <w:bCs/>
          <w:sz w:val="24"/>
          <w:szCs w:val="24"/>
        </w:rPr>
        <w:t xml:space="preserve"> </w:t>
      </w:r>
      <w:r w:rsidRPr="00E43BF9">
        <w:rPr>
          <w:rFonts w:eastAsia="Times New Roman"/>
          <w:b/>
          <w:bCs/>
          <w:sz w:val="24"/>
          <w:szCs w:val="24"/>
        </w:rPr>
        <w:t>Esecson v. Bushnell</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 xml:space="preserve">663 P.2d 258, 261 (Colo. App. 1983) (“Mutual rescission requires assent . . . by </w:t>
      </w:r>
      <w:r w:rsidRPr="00E43BF9">
        <w:rPr>
          <w:rFonts w:eastAsia="Times New Roman"/>
          <w:bCs/>
          <w:i/>
          <w:sz w:val="24"/>
          <w:szCs w:val="24"/>
        </w:rPr>
        <w:t>both</w:t>
      </w:r>
      <w:r w:rsidRPr="00E43BF9">
        <w:rPr>
          <w:rFonts w:eastAsia="Times New Roman"/>
          <w:bCs/>
          <w:sz w:val="24"/>
          <w:szCs w:val="24"/>
        </w:rPr>
        <w:t xml:space="preserve"> parties. . . . One party to an executory contract, in the absence of fraud or a special reason, cannot rescind. . . . [A]n agreement to rescind . . . requires a ‘meeting of the minds’ with ‘the clear knowledge and </w:t>
      </w:r>
      <w:r w:rsidRPr="00E43BF9">
        <w:rPr>
          <w:rFonts w:eastAsia="Times New Roman"/>
          <w:bCs/>
          <w:sz w:val="24"/>
          <w:szCs w:val="24"/>
        </w:rPr>
        <w:lastRenderedPageBreak/>
        <w:t xml:space="preserve">understanding of the parties’. . . . Where mutual rescission is founded on the acts and conduct of the parties, . . . such acts must be ‘inconsistent with the existence of the contract.’” (quoting </w:t>
      </w:r>
      <w:r w:rsidRPr="00E43BF9">
        <w:rPr>
          <w:rFonts w:eastAsia="Times New Roman"/>
          <w:b/>
          <w:bCs/>
          <w:sz w:val="24"/>
          <w:szCs w:val="24"/>
        </w:rPr>
        <w:t>Western Air Lines</w:t>
      </w:r>
      <w:r w:rsidRPr="00E43BF9">
        <w:rPr>
          <w:rFonts w:eastAsia="Times New Roman"/>
          <w:bCs/>
          <w:sz w:val="24"/>
          <w:szCs w:val="24"/>
        </w:rPr>
        <w:t xml:space="preserve">, 124 Colo. at 137-38, 235 P.2d at 796, and </w:t>
      </w:r>
      <w:r w:rsidRPr="00E43BF9">
        <w:rPr>
          <w:rFonts w:eastAsia="Times New Roman"/>
          <w:b/>
          <w:bCs/>
          <w:sz w:val="24"/>
          <w:szCs w:val="24"/>
        </w:rPr>
        <w:t>Cruse v. Clawson</w:t>
      </w:r>
      <w:r w:rsidRPr="00E43BF9">
        <w:rPr>
          <w:rFonts w:eastAsia="Times New Roman"/>
          <w:bCs/>
          <w:sz w:val="24"/>
          <w:szCs w:val="24"/>
        </w:rPr>
        <w:t>, 352 P.2d 989, 994 (Mont. 1960))).</w:t>
      </w:r>
    </w:p>
    <w:p w14:paraId="192C280F"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2. In determining whether there is an agreement to rescind a contract, a meeting of the minds to rescind is evidenced by the objective acts, conduct and words of the parties and the subjective intent of the parties is immaterial. </w:t>
      </w:r>
      <w:r w:rsidRPr="00E43BF9">
        <w:rPr>
          <w:rFonts w:eastAsia="Times New Roman"/>
          <w:b/>
          <w:bCs/>
          <w:sz w:val="24"/>
          <w:szCs w:val="24"/>
        </w:rPr>
        <w:t>Avemco Ins. Co. v. N. Colo. Air Charter, Inc.</w:t>
      </w:r>
      <w:r w:rsidRPr="00E43BF9">
        <w:rPr>
          <w:rFonts w:eastAsia="Times New Roman"/>
          <w:bCs/>
          <w:sz w:val="24"/>
          <w:szCs w:val="24"/>
        </w:rPr>
        <w:t xml:space="preserve">, 38 P.3d 555 (Colo. 2002) (where insured voluntarily cashed premium check with knowledge that purpose of check was to effectuate a rescission of insurance policy, the subjective intent of insured not to rescind policy was immaterial and a rescission of the policy occurred); </w:t>
      </w:r>
      <w:r w:rsidRPr="00E43BF9">
        <w:rPr>
          <w:rFonts w:eastAsia="Times New Roman"/>
          <w:bCs/>
          <w:i/>
          <w:sz w:val="24"/>
          <w:szCs w:val="24"/>
        </w:rPr>
        <w:t>see also</w:t>
      </w:r>
      <w:r w:rsidRPr="00E43BF9">
        <w:rPr>
          <w:rFonts w:eastAsia="Times New Roman"/>
          <w:bCs/>
          <w:sz w:val="24"/>
          <w:szCs w:val="24"/>
        </w:rPr>
        <w:t xml:space="preserve"> </w:t>
      </w:r>
      <w:r w:rsidRPr="00E43BF9">
        <w:rPr>
          <w:rFonts w:eastAsia="Times New Roman"/>
          <w:b/>
          <w:bCs/>
          <w:sz w:val="24"/>
          <w:szCs w:val="24"/>
        </w:rPr>
        <w:t>Equitable Life Ins. Co. of Iowa v. Verploeg</w:t>
      </w:r>
      <w:r w:rsidRPr="00E43BF9">
        <w:rPr>
          <w:rFonts w:eastAsia="Times New Roman"/>
          <w:bCs/>
          <w:sz w:val="24"/>
          <w:szCs w:val="24"/>
        </w:rPr>
        <w:t>, 123 Colo. 246, 227 P.2d 333 (1951).</w:t>
      </w:r>
    </w:p>
    <w:p w14:paraId="4E098544"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3. For cases involving the sale of goods, see sections 4-2-209 (rescission, modification, and waiver) and 4-2-720, C.R.S. (effect of “cancellation” or “rescission” on claims for antecedent breach).</w:t>
      </w:r>
    </w:p>
    <w:p w14:paraId="5E4A55EC"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4. An agreement of rescission is an affirmative defense for which the party asserting it has the burdens of pleading and proof. C.R.C.P. 8(c).</w:t>
      </w:r>
    </w:p>
    <w:p w14:paraId="64CF1EDE"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5. For special requirements for a claim of renunciation of negotiable instruments, see </w:t>
      </w:r>
      <w:r w:rsidRPr="00E43BF9">
        <w:rPr>
          <w:rFonts w:eastAsia="Times New Roman"/>
          <w:b/>
          <w:bCs/>
          <w:sz w:val="24"/>
          <w:szCs w:val="24"/>
        </w:rPr>
        <w:t>Glover v. Innis</w:t>
      </w:r>
      <w:r w:rsidRPr="00E43BF9">
        <w:rPr>
          <w:rFonts w:eastAsia="Times New Roman"/>
          <w:bCs/>
          <w:sz w:val="24"/>
          <w:szCs w:val="24"/>
        </w:rPr>
        <w:t xml:space="preserve">, 252 P.3d 1204 (Colo. App. 2011) (defense of renunciation of a negotiable instrument under section 4-3-604, C.R.S., includes elements similar to but not the same as those of the affirmative defense of waiver). </w:t>
      </w:r>
    </w:p>
    <w:p w14:paraId="78E00635" w14:textId="77777777" w:rsidR="00E43BF9" w:rsidRDefault="00E43BF9">
      <w:pPr>
        <w:rPr>
          <w:rFonts w:eastAsia="Times New Roman"/>
          <w:bCs/>
          <w:sz w:val="24"/>
          <w:szCs w:val="24"/>
        </w:rPr>
      </w:pPr>
      <w:r>
        <w:rPr>
          <w:rFonts w:eastAsia="Times New Roman"/>
          <w:bCs/>
          <w:sz w:val="24"/>
          <w:szCs w:val="24"/>
        </w:rPr>
        <w:br w:type="page"/>
      </w:r>
    </w:p>
    <w:p w14:paraId="455B1E1C" w14:textId="77777777" w:rsidR="00E43BF9" w:rsidRPr="009E3DA4" w:rsidRDefault="00E43BF9" w:rsidP="00E43BF9">
      <w:pPr>
        <w:spacing w:after="240"/>
        <w:ind w:left="720" w:hanging="720"/>
        <w:rPr>
          <w:rFonts w:eastAsia="Times New Roman"/>
          <w:b/>
          <w:sz w:val="24"/>
          <w:szCs w:val="24"/>
        </w:rPr>
      </w:pPr>
      <w:bookmarkStart w:id="29" w:name="a30_28"/>
      <w:bookmarkEnd w:id="29"/>
      <w:r w:rsidRPr="00E43BF9">
        <w:rPr>
          <w:rFonts w:eastAsia="Times New Roman"/>
          <w:b/>
          <w:bCs/>
          <w:sz w:val="24"/>
          <w:szCs w:val="24"/>
        </w:rPr>
        <w:lastRenderedPageBreak/>
        <w:t>30:28</w:t>
      </w:r>
      <w:r w:rsidRPr="00E43BF9">
        <w:rPr>
          <w:rFonts w:eastAsia="Times New Roman"/>
          <w:b/>
          <w:bCs/>
          <w:sz w:val="24"/>
          <w:szCs w:val="24"/>
        </w:rPr>
        <w:tab/>
        <w:t>DEFENSE — ACCORD AND SATISFACTION (LATER CONTRACT)</w:t>
      </w:r>
    </w:p>
    <w:p w14:paraId="539EDF94"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 xml:space="preserve">The defendant, </w:t>
      </w:r>
      <w:r w:rsidRPr="00E43BF9">
        <w:rPr>
          <w:rFonts w:eastAsia="Times New Roman"/>
          <w:bCs/>
          <w:i/>
          <w:sz w:val="24"/>
          <w:szCs w:val="24"/>
        </w:rPr>
        <w:t>(name)</w:t>
      </w:r>
      <w:r w:rsidRPr="00E43BF9">
        <w:rPr>
          <w:rFonts w:eastAsia="Times New Roman"/>
          <w:b/>
          <w:bCs/>
          <w:sz w:val="24"/>
          <w:szCs w:val="24"/>
        </w:rPr>
        <w:t xml:space="preserve">, is not legally responsible to the plaintiff, </w:t>
      </w:r>
      <w:r w:rsidRPr="00E43BF9">
        <w:rPr>
          <w:rFonts w:eastAsia="Times New Roman"/>
          <w:bCs/>
          <w:i/>
          <w:sz w:val="24"/>
          <w:szCs w:val="24"/>
        </w:rPr>
        <w:t>(name)</w:t>
      </w:r>
      <w:r w:rsidRPr="00E43BF9">
        <w:rPr>
          <w:rFonts w:eastAsia="Times New Roman"/>
          <w:b/>
          <w:bCs/>
          <w:sz w:val="24"/>
          <w:szCs w:val="24"/>
        </w:rPr>
        <w:t>, on the plaintiff’s claim of breach of contract if the affirmative defense of accord and satisfaction (“later contract”) is proved. This defense is proved if you find all of the following:</w:t>
      </w:r>
    </w:p>
    <w:p w14:paraId="10F40E94"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1. After the defendant and the plaintiff had entered into the (claimed) contract in this case, they entered into a later contract;</w:t>
      </w:r>
    </w:p>
    <w:p w14:paraId="7DE0071F"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2. The plaintiff and the defendant knew or reasonably should have known that the later contract cancelled or changed their remaining rights and duties under the (claimed) earlier contract(s); and</w:t>
      </w:r>
    </w:p>
    <w:p w14:paraId="167E3BC8" w14:textId="0F7C4B40"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 xml:space="preserve">3. The defendant has fully performed the (duty) (duties) </w:t>
      </w:r>
      <w:r w:rsidR="004F22EF" w:rsidRPr="0070684C">
        <w:rPr>
          <w:rFonts w:eastAsia="Times New Roman"/>
          <w:i/>
          <w:iCs/>
          <w:sz w:val="24"/>
          <w:szCs w:val="24"/>
        </w:rPr>
        <w:t>(insert applicable pronoun</w:t>
      </w:r>
      <w:r w:rsidR="004F22EF">
        <w:rPr>
          <w:rFonts w:eastAsia="Times New Roman"/>
          <w:i/>
          <w:iCs/>
          <w:sz w:val="24"/>
          <w:szCs w:val="24"/>
        </w:rPr>
        <w:t>)</w:t>
      </w:r>
      <w:r w:rsidRPr="00E43BF9">
        <w:rPr>
          <w:rFonts w:eastAsia="Times New Roman"/>
          <w:b/>
          <w:bCs/>
          <w:sz w:val="24"/>
          <w:szCs w:val="24"/>
        </w:rPr>
        <w:t xml:space="preserve"> agreed to perform under the later contract.</w:t>
      </w:r>
    </w:p>
    <w:p w14:paraId="03C82387" w14:textId="77777777" w:rsidR="00E43BF9" w:rsidRDefault="00E43BF9" w:rsidP="00E43BF9">
      <w:pPr>
        <w:jc w:val="center"/>
        <w:rPr>
          <w:rFonts w:eastAsia="Times New Roman"/>
          <w:sz w:val="24"/>
          <w:szCs w:val="24"/>
        </w:rPr>
      </w:pPr>
    </w:p>
    <w:p w14:paraId="3007AA8A" w14:textId="77777777" w:rsidR="00E43BF9" w:rsidRPr="0054263B" w:rsidRDefault="00E43BF9" w:rsidP="00E43BF9">
      <w:pPr>
        <w:keepNext/>
        <w:spacing w:after="240"/>
        <w:jc w:val="center"/>
        <w:rPr>
          <w:rFonts w:eastAsia="Times New Roman"/>
          <w:b/>
          <w:sz w:val="24"/>
          <w:szCs w:val="24"/>
        </w:rPr>
      </w:pPr>
      <w:r w:rsidRPr="0054263B">
        <w:rPr>
          <w:rFonts w:eastAsia="Times New Roman"/>
          <w:b/>
          <w:sz w:val="24"/>
          <w:szCs w:val="24"/>
        </w:rPr>
        <w:t>Notes on Use</w:t>
      </w:r>
    </w:p>
    <w:p w14:paraId="31264853"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Use whichever parenthesized words are appropriate to the evidence in the case.</w:t>
      </w:r>
    </w:p>
    <w:p w14:paraId="24B169FA"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2. Accord and satisfaction is an affirmative defense for which the party asserting it has the burdens of pleading and proof. C.R.C.P. 8(c). For ease of jury understanding of the affirmative defense of accord and satisfaction, the term “later contract” is suggested by the Committee. </w:t>
      </w:r>
    </w:p>
    <w:p w14:paraId="453B5CC8"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3. Other instructions closely related to the subject matter of this instruction that may also be applicable or be more appropriate in certain cases are Instructions 30:8 (modification); 30:24 (inducing breach); 30:25 (waiver); and 30:27 (cancellation by agreement).</w:t>
      </w:r>
    </w:p>
    <w:p w14:paraId="11635101"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4. An executory accord, that is, a situation where the satisfaction promised under the new contract has not been rendered, does not bar recovery on the original obligation unless there is specific wording to that effect in the new contract. </w:t>
      </w:r>
      <w:r w:rsidRPr="00E43BF9">
        <w:rPr>
          <w:rFonts w:eastAsia="Times New Roman"/>
          <w:b/>
          <w:bCs/>
          <w:sz w:val="24"/>
          <w:szCs w:val="24"/>
        </w:rPr>
        <w:t>Hinkle v. Basic Chem. Corp.</w:t>
      </w:r>
      <w:r w:rsidRPr="00E43BF9">
        <w:rPr>
          <w:rFonts w:eastAsia="Times New Roman"/>
          <w:bCs/>
          <w:sz w:val="24"/>
          <w:szCs w:val="24"/>
        </w:rPr>
        <w:t xml:space="preserve">, 163 Colo. 408, 431 P.2d 14 (1967); </w:t>
      </w:r>
      <w:r w:rsidRPr="00E43BF9">
        <w:rPr>
          <w:rFonts w:eastAsia="Times New Roman"/>
          <w:b/>
          <w:bCs/>
          <w:sz w:val="24"/>
          <w:szCs w:val="24"/>
        </w:rPr>
        <w:t>Bakehouse &amp; Assocs., Inc. v. Wilkins</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 xml:space="preserve">689 P.2d 1166, 1168 (Colo. App. 1984) (“An agreement to modify an existing agreement, i.e., an executory accord, does not extinguish the original obligation, but suspends performance of that obligation until the accord is breached or satisfied.”). Consequently, in those cases, this instruction should not be given unless the instruction is appropriately modified, and, as modified, there is sufficient supporting evidence. </w:t>
      </w:r>
      <w:r w:rsidRPr="00E43BF9">
        <w:rPr>
          <w:rFonts w:eastAsia="Times New Roman"/>
          <w:bCs/>
          <w:i/>
          <w:sz w:val="24"/>
          <w:szCs w:val="24"/>
        </w:rPr>
        <w:t>But see</w:t>
      </w:r>
      <w:r w:rsidRPr="00E43BF9">
        <w:rPr>
          <w:rFonts w:eastAsia="Times New Roman"/>
          <w:bCs/>
          <w:sz w:val="24"/>
          <w:szCs w:val="24"/>
        </w:rPr>
        <w:t xml:space="preserve"> </w:t>
      </w:r>
      <w:r w:rsidRPr="00E43BF9">
        <w:rPr>
          <w:rFonts w:eastAsia="Times New Roman"/>
          <w:b/>
          <w:bCs/>
          <w:sz w:val="24"/>
          <w:szCs w:val="24"/>
        </w:rPr>
        <w:t>Caldwell v. Armstrong</w:t>
      </w:r>
      <w:r w:rsidRPr="00E43BF9">
        <w:rPr>
          <w:rFonts w:eastAsia="Times New Roman"/>
          <w:bCs/>
          <w:sz w:val="24"/>
          <w:szCs w:val="24"/>
        </w:rPr>
        <w:t xml:space="preserve">, 642 P.2d 47 (Colo. App. 1981) (because accord and satisfaction substantially performed, plaintiff only entitled to damages for remaining part of performance due under the accord). “The general rule is that the underlying duty or debt is not discharged until there is satisfaction on the accord. That is, the accord is executory.” </w:t>
      </w:r>
      <w:r w:rsidRPr="00E43BF9">
        <w:rPr>
          <w:rFonts w:eastAsia="Times New Roman"/>
          <w:bCs/>
          <w:i/>
          <w:sz w:val="24"/>
          <w:szCs w:val="24"/>
        </w:rPr>
        <w:t>Id.</w:t>
      </w:r>
      <w:r w:rsidRPr="00E43BF9">
        <w:rPr>
          <w:rFonts w:eastAsia="Times New Roman"/>
          <w:bCs/>
          <w:sz w:val="24"/>
          <w:szCs w:val="24"/>
        </w:rPr>
        <w:t xml:space="preserve"> at 49.</w:t>
      </w:r>
    </w:p>
    <w:p w14:paraId="2A275FDE"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5. This instruction has been drafted to cover the defense of accord and satisfaction generally. In many cases, however (see, e.g., cases cited below in Source and Authority), the situation will be one where it is claimed that the defendant made a payment to the plaintiff with the parties’ understanding that it was to be in full satisfaction of the contractual claim the plaintiff was asserting against the defendant. In those cases the more specific instruction, </w:t>
      </w:r>
      <w:r w:rsidRPr="00E43BF9">
        <w:rPr>
          <w:rFonts w:eastAsia="Times New Roman"/>
          <w:bCs/>
          <w:sz w:val="24"/>
          <w:szCs w:val="24"/>
        </w:rPr>
        <w:lastRenderedPageBreak/>
        <w:t xml:space="preserve">appropriately modified if necessary, approved by the court in </w:t>
      </w:r>
      <w:r w:rsidRPr="00E43BF9">
        <w:rPr>
          <w:rFonts w:eastAsia="Times New Roman"/>
          <w:b/>
          <w:bCs/>
          <w:sz w:val="24"/>
          <w:szCs w:val="24"/>
        </w:rPr>
        <w:t>Gardner v. Mid-Continent Coal &amp; Coke Co.</w:t>
      </w:r>
      <w:r w:rsidRPr="00E43BF9">
        <w:rPr>
          <w:rFonts w:eastAsia="Times New Roman"/>
          <w:bCs/>
          <w:sz w:val="24"/>
          <w:szCs w:val="24"/>
        </w:rPr>
        <w:t>, 149 Colo. 122, 368 P.2d 204 (1962), should be used rather than this instruction.</w:t>
      </w:r>
    </w:p>
    <w:p w14:paraId="43958C95"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6. This instruction is not applicable where the claim allegedly satisfied was for a liquidated debt and the only thing given in accord was a lesser sum of money. </w:t>
      </w:r>
      <w:r w:rsidRPr="00E43BF9">
        <w:rPr>
          <w:rFonts w:eastAsia="Times New Roman"/>
          <w:bCs/>
          <w:i/>
          <w:sz w:val="24"/>
          <w:szCs w:val="24"/>
        </w:rPr>
        <w:t>See</w:t>
      </w:r>
      <w:r w:rsidRPr="00E43BF9">
        <w:rPr>
          <w:rFonts w:eastAsia="Times New Roman"/>
          <w:bCs/>
          <w:sz w:val="24"/>
          <w:szCs w:val="24"/>
        </w:rPr>
        <w:t xml:space="preserve"> 13 </w:t>
      </w:r>
      <w:r w:rsidRPr="00E43BF9">
        <w:rPr>
          <w:rFonts w:eastAsia="Times New Roman"/>
          <w:bCs/>
          <w:smallCaps/>
          <w:sz w:val="24"/>
          <w:szCs w:val="24"/>
        </w:rPr>
        <w:t>Sarah Howard Jenkins, Corbin on Contracts</w:t>
      </w:r>
      <w:r w:rsidRPr="00E43BF9">
        <w:rPr>
          <w:rFonts w:eastAsia="Times New Roman"/>
          <w:bCs/>
          <w:sz w:val="24"/>
          <w:szCs w:val="24"/>
        </w:rPr>
        <w:t xml:space="preserve"> § 69.1 (Joseph M. Perillo ed., rev. ed. 2003).</w:t>
      </w:r>
    </w:p>
    <w:p w14:paraId="5B3F0E2A" w14:textId="77777777" w:rsidR="00E43BF9" w:rsidRPr="0054263B" w:rsidRDefault="00E43BF9" w:rsidP="00E43BF9">
      <w:pPr>
        <w:keepNext/>
        <w:spacing w:after="240"/>
        <w:jc w:val="center"/>
        <w:rPr>
          <w:rFonts w:eastAsia="Times New Roman"/>
          <w:b/>
          <w:sz w:val="24"/>
          <w:szCs w:val="24"/>
        </w:rPr>
      </w:pPr>
      <w:r>
        <w:rPr>
          <w:rFonts w:eastAsia="Times New Roman"/>
          <w:b/>
          <w:sz w:val="24"/>
          <w:szCs w:val="24"/>
        </w:rPr>
        <w:t>Source and Authority</w:t>
      </w:r>
    </w:p>
    <w:p w14:paraId="1D0F3987"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1. This instruction is supported by </w:t>
      </w:r>
      <w:r w:rsidR="00B7181F" w:rsidRPr="0083713B">
        <w:rPr>
          <w:rFonts w:eastAsia="Times New Roman"/>
          <w:b/>
          <w:bCs/>
          <w:sz w:val="24"/>
          <w:szCs w:val="24"/>
        </w:rPr>
        <w:t>United States Welding, Inc. v. Advance</w:t>
      </w:r>
      <w:r w:rsidR="00454EE8">
        <w:rPr>
          <w:rFonts w:eastAsia="Times New Roman"/>
          <w:b/>
          <w:bCs/>
          <w:sz w:val="24"/>
          <w:szCs w:val="24"/>
        </w:rPr>
        <w:t>d</w:t>
      </w:r>
      <w:r w:rsidR="00B7181F" w:rsidRPr="0083713B">
        <w:rPr>
          <w:rFonts w:eastAsia="Times New Roman"/>
          <w:b/>
          <w:bCs/>
          <w:sz w:val="24"/>
          <w:szCs w:val="24"/>
        </w:rPr>
        <w:t xml:space="preserve"> Circuits</w:t>
      </w:r>
      <w:r w:rsidR="00454EE8">
        <w:rPr>
          <w:rFonts w:eastAsia="Times New Roman"/>
          <w:b/>
          <w:bCs/>
          <w:sz w:val="24"/>
          <w:szCs w:val="24"/>
        </w:rPr>
        <w:t>, Inc.</w:t>
      </w:r>
      <w:r w:rsidR="00B7181F">
        <w:rPr>
          <w:rFonts w:eastAsia="Times New Roman"/>
          <w:bCs/>
          <w:sz w:val="24"/>
          <w:szCs w:val="24"/>
        </w:rPr>
        <w:t xml:space="preserve">, 2018 CO 56, </w:t>
      </w:r>
      <w:r w:rsidR="00B7181F" w:rsidRPr="00716A38">
        <w:rPr>
          <w:rFonts w:eastAsia="Times New Roman"/>
          <w:bCs/>
          <w:sz w:val="24"/>
          <w:szCs w:val="24"/>
        </w:rPr>
        <w:t>¶</w:t>
      </w:r>
      <w:r w:rsidR="00B7181F">
        <w:rPr>
          <w:rFonts w:eastAsia="Times New Roman"/>
          <w:bCs/>
          <w:sz w:val="24"/>
          <w:szCs w:val="24"/>
        </w:rPr>
        <w:t xml:space="preserve"> 11, 420 P.3d 278, 281 (“A party to a contract may, of course, make an offer for an accord which, if accepted and satisfied, would absolve it of its obligations under the original contract.”); </w:t>
      </w:r>
      <w:r w:rsidRPr="00E43BF9">
        <w:rPr>
          <w:rFonts w:eastAsia="Times New Roman"/>
          <w:b/>
          <w:bCs/>
          <w:sz w:val="24"/>
          <w:szCs w:val="24"/>
        </w:rPr>
        <w:t>Hudson v. American Founders Life Insurance Co.</w:t>
      </w:r>
      <w:r w:rsidRPr="00E43BF9">
        <w:rPr>
          <w:rFonts w:eastAsia="Times New Roman"/>
          <w:bCs/>
          <w:sz w:val="24"/>
          <w:szCs w:val="24"/>
        </w:rPr>
        <w:t xml:space="preserve">, 151 Colo. 54, 377 P.2d 391 (1962) (citing earlier cases); </w:t>
      </w:r>
      <w:r w:rsidRPr="00E43BF9">
        <w:rPr>
          <w:rFonts w:eastAsia="Times New Roman"/>
          <w:b/>
          <w:bCs/>
          <w:sz w:val="24"/>
          <w:szCs w:val="24"/>
        </w:rPr>
        <w:t>Pospicil v. Hammers</w:t>
      </w:r>
      <w:r w:rsidRPr="00E43BF9">
        <w:rPr>
          <w:rFonts w:eastAsia="Times New Roman"/>
          <w:bCs/>
          <w:sz w:val="24"/>
          <w:szCs w:val="24"/>
        </w:rPr>
        <w:t>, 148 Colo. 207, 365 P.2d 228 (1961)</w:t>
      </w:r>
      <w:r w:rsidR="00B7181F">
        <w:rPr>
          <w:rFonts w:eastAsia="Times New Roman"/>
          <w:bCs/>
          <w:sz w:val="24"/>
          <w:szCs w:val="24"/>
        </w:rPr>
        <w:t>;</w:t>
      </w:r>
      <w:r w:rsidRPr="00E43BF9">
        <w:rPr>
          <w:rFonts w:eastAsia="Times New Roman"/>
          <w:bCs/>
          <w:sz w:val="24"/>
          <w:szCs w:val="24"/>
        </w:rPr>
        <w:t xml:space="preserve"> </w:t>
      </w:r>
      <w:r w:rsidR="00B7181F">
        <w:rPr>
          <w:rFonts w:eastAsia="Times New Roman"/>
          <w:bCs/>
          <w:sz w:val="24"/>
          <w:szCs w:val="24"/>
        </w:rPr>
        <w:t xml:space="preserve">and </w:t>
      </w:r>
      <w:r w:rsidRPr="00E43BF9">
        <w:rPr>
          <w:rFonts w:eastAsia="Times New Roman"/>
          <w:b/>
          <w:bCs/>
          <w:sz w:val="24"/>
          <w:szCs w:val="24"/>
        </w:rPr>
        <w:t>Pitts v. National Independent Fisheries Co.</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 xml:space="preserve">71 Colo. 316, 318, 206 P. 571, 571 (1922) </w:t>
      </w:r>
      <w:r w:rsidR="00B7181F">
        <w:rPr>
          <w:rFonts w:eastAsia="Times New Roman"/>
          <w:bCs/>
          <w:sz w:val="24"/>
          <w:szCs w:val="24"/>
        </w:rPr>
        <w:t>(</w:t>
      </w:r>
      <w:r w:rsidRPr="00E43BF9">
        <w:rPr>
          <w:rFonts w:eastAsia="Times New Roman"/>
          <w:bCs/>
          <w:sz w:val="24"/>
          <w:szCs w:val="24"/>
        </w:rPr>
        <w:t>“In order to constitute an accord and satisfaction, it is necessary that the money should be offered in full satisfaction of the demand, and be accompanied by such acts and declarations as amount to a condition that the money, if accepted, is accepted in satisfaction; and it must be such that the party to whom it is offered is bound to understand therefrom that, if he takes it, he takes it subject to such conditions.”</w:t>
      </w:r>
      <w:r w:rsidR="00B7181F">
        <w:rPr>
          <w:rFonts w:eastAsia="Times New Roman"/>
          <w:bCs/>
          <w:sz w:val="24"/>
          <w:szCs w:val="24"/>
        </w:rPr>
        <w:t>).</w:t>
      </w:r>
      <w:r w:rsidRPr="00E43BF9">
        <w:rPr>
          <w:rFonts w:eastAsia="Times New Roman"/>
          <w:bCs/>
          <w:sz w:val="24"/>
          <w:szCs w:val="24"/>
        </w:rPr>
        <w:t xml:space="preserve"> </w:t>
      </w:r>
      <w:r w:rsidRPr="00E43BF9">
        <w:rPr>
          <w:rFonts w:eastAsia="Times New Roman"/>
          <w:bCs/>
          <w:i/>
          <w:sz w:val="24"/>
          <w:szCs w:val="24"/>
        </w:rPr>
        <w:t>See also</w:t>
      </w:r>
      <w:r w:rsidRPr="00E43BF9">
        <w:rPr>
          <w:rFonts w:eastAsia="Times New Roman"/>
          <w:bCs/>
          <w:sz w:val="24"/>
          <w:szCs w:val="24"/>
        </w:rPr>
        <w:t xml:space="preserve"> </w:t>
      </w:r>
      <w:r w:rsidRPr="00E43BF9">
        <w:rPr>
          <w:rFonts w:eastAsia="Times New Roman"/>
          <w:b/>
          <w:bCs/>
          <w:sz w:val="24"/>
          <w:szCs w:val="24"/>
        </w:rPr>
        <w:t>Anderson v. Rosebrook</w:t>
      </w:r>
      <w:r w:rsidRPr="00E43BF9">
        <w:rPr>
          <w:rFonts w:eastAsia="Times New Roman"/>
          <w:bCs/>
          <w:sz w:val="24"/>
          <w:szCs w:val="24"/>
        </w:rPr>
        <w:t xml:space="preserve">, 737 P.2d 417 (Colo. 1987) (holding that section 4-1-207, C.R.S., of the Uniform Commercial Code, dealing with reservation of rights, does not alter the common-law rule of accord and satisfaction quoted above); </w:t>
      </w:r>
      <w:r w:rsidRPr="00E43BF9">
        <w:rPr>
          <w:rFonts w:eastAsia="Times New Roman"/>
          <w:b/>
          <w:bCs/>
          <w:sz w:val="24"/>
          <w:szCs w:val="24"/>
        </w:rPr>
        <w:t>R.A. Reither Constr., Inc. v. Wheatland Rural Elec. Ass’n</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680 P.2d 1342 (Colo. App. 1984) (same).</w:t>
      </w:r>
    </w:p>
    <w:p w14:paraId="6C1EA278"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2. This instruction is also supported by </w:t>
      </w:r>
      <w:r w:rsidRPr="00E43BF9">
        <w:rPr>
          <w:rFonts w:eastAsia="Times New Roman"/>
          <w:bCs/>
          <w:smallCaps/>
          <w:sz w:val="24"/>
          <w:szCs w:val="24"/>
        </w:rPr>
        <w:t>Corbin on Contracts</w:t>
      </w:r>
      <w:r w:rsidRPr="00E43BF9">
        <w:rPr>
          <w:rFonts w:eastAsia="Times New Roman"/>
          <w:bCs/>
          <w:sz w:val="24"/>
          <w:szCs w:val="24"/>
        </w:rPr>
        <w:t xml:space="preserve">, </w:t>
      </w:r>
      <w:r w:rsidRPr="00E43BF9">
        <w:rPr>
          <w:rFonts w:eastAsia="Times New Roman"/>
          <w:bCs/>
          <w:i/>
          <w:sz w:val="24"/>
          <w:szCs w:val="24"/>
        </w:rPr>
        <w:t>supra</w:t>
      </w:r>
      <w:r w:rsidRPr="00E43BF9">
        <w:rPr>
          <w:rFonts w:eastAsia="Times New Roman"/>
          <w:bCs/>
          <w:sz w:val="24"/>
          <w:szCs w:val="24"/>
        </w:rPr>
        <w:t xml:space="preserve">, at § 69; and </w:t>
      </w:r>
      <w:r w:rsidRPr="00E43BF9">
        <w:rPr>
          <w:rFonts w:eastAsia="Times New Roman"/>
          <w:bCs/>
          <w:smallCaps/>
          <w:sz w:val="24"/>
          <w:szCs w:val="24"/>
        </w:rPr>
        <w:t>Restatement (Second) of Contracts</w:t>
      </w:r>
      <w:r w:rsidRPr="00E43BF9">
        <w:rPr>
          <w:rFonts w:eastAsia="Times New Roman"/>
          <w:bCs/>
          <w:sz w:val="24"/>
          <w:szCs w:val="24"/>
        </w:rPr>
        <w:t xml:space="preserve"> § 281 (1981).</w:t>
      </w:r>
    </w:p>
    <w:p w14:paraId="6E4BB8CC"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3. An accord and satisfaction based on a mistaken belief as to a material fact is not effective. </w:t>
      </w:r>
      <w:r w:rsidRPr="00E43BF9">
        <w:rPr>
          <w:rFonts w:eastAsia="Times New Roman"/>
          <w:b/>
          <w:bCs/>
          <w:sz w:val="24"/>
          <w:szCs w:val="24"/>
        </w:rPr>
        <w:t>Metro. State Bank v. Cox</w:t>
      </w:r>
      <w:r w:rsidRPr="00E43BF9">
        <w:rPr>
          <w:rFonts w:eastAsia="Times New Roman"/>
          <w:bCs/>
          <w:sz w:val="24"/>
          <w:szCs w:val="24"/>
        </w:rPr>
        <w:t>, 134 Colo. 260, 302 P.2d 188 (1956).</w:t>
      </w:r>
    </w:p>
    <w:p w14:paraId="69FD56D4"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4. For cases involving the sale of goods, see sections 4-2-209 (modification, rescission, and waiver) and 4-2-720, C.R.S. (effect of “cancellation” or “rescission” on claims for antecedent breach).</w:t>
      </w:r>
    </w:p>
    <w:p w14:paraId="36F8F26F" w14:textId="77777777" w:rsidR="00E43BF9" w:rsidRDefault="00E43BF9">
      <w:pPr>
        <w:rPr>
          <w:rFonts w:eastAsia="Times New Roman"/>
          <w:bCs/>
          <w:sz w:val="24"/>
          <w:szCs w:val="24"/>
        </w:rPr>
      </w:pPr>
      <w:r>
        <w:rPr>
          <w:rFonts w:eastAsia="Times New Roman"/>
          <w:bCs/>
          <w:sz w:val="24"/>
          <w:szCs w:val="24"/>
        </w:rPr>
        <w:br w:type="page"/>
      </w:r>
    </w:p>
    <w:p w14:paraId="077969FD" w14:textId="77777777" w:rsidR="00E43BF9" w:rsidRPr="009E3DA4" w:rsidRDefault="00E43BF9" w:rsidP="00E43BF9">
      <w:pPr>
        <w:spacing w:after="240"/>
        <w:ind w:left="720" w:hanging="720"/>
        <w:rPr>
          <w:rFonts w:eastAsia="Times New Roman"/>
          <w:b/>
          <w:sz w:val="24"/>
          <w:szCs w:val="24"/>
        </w:rPr>
      </w:pPr>
      <w:bookmarkStart w:id="30" w:name="a30_29"/>
      <w:bookmarkEnd w:id="30"/>
      <w:r w:rsidRPr="00E43BF9">
        <w:rPr>
          <w:rFonts w:eastAsia="Times New Roman"/>
          <w:b/>
          <w:bCs/>
          <w:sz w:val="24"/>
          <w:szCs w:val="24"/>
        </w:rPr>
        <w:lastRenderedPageBreak/>
        <w:t>30:29</w:t>
      </w:r>
      <w:r w:rsidRPr="00E43BF9">
        <w:rPr>
          <w:rFonts w:eastAsia="Times New Roman"/>
          <w:b/>
          <w:bCs/>
          <w:sz w:val="24"/>
          <w:szCs w:val="24"/>
        </w:rPr>
        <w:tab/>
      </w:r>
      <w:r w:rsidRPr="00E43BF9">
        <w:rPr>
          <w:rFonts w:eastAsia="Times New Roman"/>
          <w:b/>
          <w:bCs/>
          <w:caps/>
          <w:sz w:val="24"/>
          <w:szCs w:val="24"/>
        </w:rPr>
        <w:t>Defense — Novation</w:t>
      </w:r>
    </w:p>
    <w:p w14:paraId="57E3C455"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A novation is a new (valid) contract that replaces (a previous valid contract) (an existing obligation with a new obligation) (an original party with a new party). For there to be a novation, the original (obligation) (party) must be completely replaced.</w:t>
      </w:r>
    </w:p>
    <w:p w14:paraId="57EFDE46" w14:textId="77777777" w:rsidR="00E43BF9" w:rsidRDefault="00E43BF9" w:rsidP="00E43BF9">
      <w:pPr>
        <w:jc w:val="center"/>
        <w:rPr>
          <w:rFonts w:eastAsia="Times New Roman"/>
          <w:sz w:val="24"/>
          <w:szCs w:val="24"/>
        </w:rPr>
      </w:pPr>
    </w:p>
    <w:p w14:paraId="282F04C3" w14:textId="77777777" w:rsidR="00E43BF9" w:rsidRPr="0054263B" w:rsidRDefault="00E43BF9" w:rsidP="00E43BF9">
      <w:pPr>
        <w:keepNext/>
        <w:spacing w:after="240"/>
        <w:jc w:val="center"/>
        <w:rPr>
          <w:rFonts w:eastAsia="Times New Roman"/>
          <w:b/>
          <w:sz w:val="24"/>
          <w:szCs w:val="24"/>
        </w:rPr>
      </w:pPr>
      <w:r w:rsidRPr="0054263B">
        <w:rPr>
          <w:rFonts w:eastAsia="Times New Roman"/>
          <w:b/>
          <w:sz w:val="24"/>
          <w:szCs w:val="24"/>
        </w:rPr>
        <w:t>Notes on Use</w:t>
      </w:r>
    </w:p>
    <w:p w14:paraId="2ED684CF"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Use whichever parenthesized words are appropriate to the evidence in the case.</w:t>
      </w:r>
      <w:r w:rsidRPr="00E43BF9" w:rsidDel="0076376C">
        <w:rPr>
          <w:rFonts w:eastAsia="Times New Roman"/>
          <w:bCs/>
          <w:sz w:val="24"/>
          <w:szCs w:val="24"/>
        </w:rPr>
        <w:t xml:space="preserve"> </w:t>
      </w:r>
    </w:p>
    <w:p w14:paraId="76B1B61D"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2. Other instructions closely related to the subject matter of this instruction that may also be applicable or be more appropriate in certain cases are Instructions 30:8 (modification), 30:24 (inducing breach), 30:25 (waiver), and 30:27 (cancellation by agreement).</w:t>
      </w:r>
    </w:p>
    <w:p w14:paraId="1AA46A3A" w14:textId="77777777" w:rsidR="00E43BF9" w:rsidRPr="0054263B" w:rsidRDefault="00E43BF9" w:rsidP="00E43BF9">
      <w:pPr>
        <w:keepNext/>
        <w:spacing w:after="240"/>
        <w:jc w:val="center"/>
        <w:rPr>
          <w:rFonts w:eastAsia="Times New Roman"/>
          <w:b/>
          <w:sz w:val="24"/>
          <w:szCs w:val="24"/>
        </w:rPr>
      </w:pPr>
      <w:r>
        <w:rPr>
          <w:rFonts w:eastAsia="Times New Roman"/>
          <w:b/>
          <w:sz w:val="24"/>
          <w:szCs w:val="24"/>
        </w:rPr>
        <w:t>Source and Authority</w:t>
      </w:r>
    </w:p>
    <w:p w14:paraId="308BF7EE"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This instruction is supported by</w:t>
      </w:r>
      <w:r w:rsidRPr="00E43BF9">
        <w:rPr>
          <w:rFonts w:eastAsia="Times New Roman"/>
          <w:b/>
          <w:bCs/>
          <w:sz w:val="24"/>
          <w:szCs w:val="24"/>
        </w:rPr>
        <w:t xml:space="preserve"> Phoenix Power Partners, L.P. v. Colorado Public Utilities Commission</w:t>
      </w:r>
      <w:r w:rsidRPr="00E43BF9">
        <w:rPr>
          <w:rFonts w:eastAsia="Times New Roman"/>
          <w:bCs/>
          <w:sz w:val="24"/>
          <w:szCs w:val="24"/>
        </w:rPr>
        <w:t xml:space="preserve">, 952 P.2d 359 (Colo. 1998); </w:t>
      </w:r>
      <w:r w:rsidRPr="00E43BF9">
        <w:rPr>
          <w:rFonts w:eastAsia="Times New Roman"/>
          <w:b/>
          <w:bCs/>
          <w:sz w:val="24"/>
          <w:szCs w:val="24"/>
        </w:rPr>
        <w:t>Moffat County State Bank v. Told</w:t>
      </w:r>
      <w:r w:rsidRPr="00E43BF9">
        <w:rPr>
          <w:rFonts w:eastAsia="Times New Roman"/>
          <w:bCs/>
          <w:sz w:val="24"/>
          <w:szCs w:val="24"/>
        </w:rPr>
        <w:t xml:space="preserve">, 800 P.2d 1320 (Colo. 1990); </w:t>
      </w:r>
      <w:r w:rsidRPr="00E43BF9">
        <w:rPr>
          <w:rFonts w:eastAsia="Times New Roman"/>
          <w:b/>
          <w:bCs/>
          <w:sz w:val="24"/>
          <w:szCs w:val="24"/>
        </w:rPr>
        <w:t>Haan v. Traylor</w:t>
      </w:r>
      <w:r w:rsidRPr="00E43BF9">
        <w:rPr>
          <w:rFonts w:eastAsia="Times New Roman"/>
          <w:bCs/>
          <w:sz w:val="24"/>
          <w:szCs w:val="24"/>
        </w:rPr>
        <w:t>, 79 P.3d 114 (Colo. App. 2003);</w:t>
      </w:r>
      <w:r w:rsidRPr="00E43BF9">
        <w:rPr>
          <w:rFonts w:eastAsia="Times New Roman"/>
          <w:b/>
          <w:bCs/>
          <w:sz w:val="24"/>
          <w:szCs w:val="24"/>
        </w:rPr>
        <w:t xml:space="preserve"> </w:t>
      </w:r>
      <w:r w:rsidRPr="00E43BF9">
        <w:rPr>
          <w:rFonts w:eastAsia="Times New Roman"/>
          <w:bCs/>
          <w:sz w:val="24"/>
          <w:szCs w:val="24"/>
        </w:rPr>
        <w:t xml:space="preserve">and </w:t>
      </w:r>
      <w:r w:rsidRPr="00E43BF9">
        <w:rPr>
          <w:rFonts w:eastAsia="Times New Roman"/>
          <w:b/>
          <w:bCs/>
          <w:sz w:val="24"/>
          <w:szCs w:val="24"/>
        </w:rPr>
        <w:t>In re Buwana</w:t>
      </w:r>
      <w:r w:rsidRPr="00E43BF9">
        <w:rPr>
          <w:rFonts w:eastAsia="Times New Roman"/>
          <w:bCs/>
          <w:sz w:val="24"/>
          <w:szCs w:val="24"/>
        </w:rPr>
        <w:t xml:space="preserve">, 338 B.R. 441 (Bankr. D. Colo. 2004). </w:t>
      </w:r>
    </w:p>
    <w:p w14:paraId="04B33C88"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2. Modification of a contract without the intent to replace the previous contract or obligation is not enough for novation. </w:t>
      </w:r>
      <w:r w:rsidRPr="00E43BF9">
        <w:rPr>
          <w:rFonts w:eastAsia="Times New Roman"/>
          <w:b/>
          <w:bCs/>
          <w:sz w:val="24"/>
          <w:szCs w:val="24"/>
        </w:rPr>
        <w:t>Told</w:t>
      </w:r>
      <w:r w:rsidRPr="00E43BF9">
        <w:rPr>
          <w:rFonts w:eastAsia="Times New Roman"/>
          <w:bCs/>
          <w:sz w:val="24"/>
          <w:szCs w:val="24"/>
        </w:rPr>
        <w:t>, 800 P.2d at 1323.</w:t>
      </w:r>
    </w:p>
    <w:p w14:paraId="6B25E36D"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3. The parties need not expressly manifest their intent to accomplish novation, but novation may be inferred from facts and circumstances surrounding transaction. “It is not necessary that all these elements be established in writing or evidenced by express words but they may be proved as inferences from the acts and conduct of the parties and from other acts and circumstances.” </w:t>
      </w:r>
      <w:r w:rsidRPr="00E43BF9">
        <w:rPr>
          <w:rFonts w:eastAsia="Times New Roman"/>
          <w:b/>
          <w:bCs/>
          <w:sz w:val="24"/>
          <w:szCs w:val="24"/>
        </w:rPr>
        <w:t>Cardwell Inv. Co. v. United Supply &amp; Mfg. Co.</w:t>
      </w:r>
      <w:r w:rsidRPr="00E43BF9">
        <w:rPr>
          <w:rFonts w:eastAsia="Times New Roman"/>
          <w:bCs/>
          <w:sz w:val="24"/>
          <w:szCs w:val="24"/>
        </w:rPr>
        <w:t>, 268 F.2d 857, 859 (10th Cir. 1959).</w:t>
      </w:r>
    </w:p>
    <w:p w14:paraId="2792CB61" w14:textId="77777777" w:rsidR="00C91B1F" w:rsidRDefault="00C91B1F">
      <w:pPr>
        <w:rPr>
          <w:rFonts w:eastAsia="Times New Roman"/>
          <w:bCs/>
          <w:sz w:val="24"/>
          <w:szCs w:val="24"/>
        </w:rPr>
      </w:pPr>
      <w:r>
        <w:rPr>
          <w:rFonts w:eastAsia="Times New Roman"/>
          <w:bCs/>
          <w:sz w:val="24"/>
          <w:szCs w:val="24"/>
        </w:rPr>
        <w:br w:type="page"/>
      </w:r>
    </w:p>
    <w:p w14:paraId="4591089A" w14:textId="77777777" w:rsidR="00C63547" w:rsidRDefault="00C63547" w:rsidP="00C63547">
      <w:pPr>
        <w:spacing w:after="240"/>
        <w:jc w:val="center"/>
        <w:rPr>
          <w:rFonts w:eastAsia="Times New Roman"/>
          <w:b/>
          <w:sz w:val="24"/>
          <w:szCs w:val="24"/>
        </w:rPr>
      </w:pPr>
      <w:r w:rsidRPr="00C63547">
        <w:rPr>
          <w:rFonts w:eastAsia="Times New Roman"/>
          <w:b/>
          <w:sz w:val="24"/>
          <w:szCs w:val="24"/>
        </w:rPr>
        <w:lastRenderedPageBreak/>
        <w:t>D. CONTRACT INTERPRETATION</w:t>
      </w:r>
    </w:p>
    <w:p w14:paraId="6803D6E8" w14:textId="77777777" w:rsidR="00C63547" w:rsidRPr="0054263B" w:rsidRDefault="00C63547" w:rsidP="00C63547">
      <w:pPr>
        <w:keepNext/>
        <w:spacing w:after="240"/>
        <w:jc w:val="center"/>
        <w:rPr>
          <w:rFonts w:eastAsia="Times New Roman"/>
          <w:b/>
          <w:sz w:val="24"/>
          <w:szCs w:val="24"/>
        </w:rPr>
      </w:pPr>
      <w:bookmarkStart w:id="31" w:name="IntroNoteD"/>
      <w:bookmarkEnd w:id="31"/>
      <w:r w:rsidRPr="00F755B7">
        <w:rPr>
          <w:rFonts w:eastAsia="Times New Roman"/>
          <w:b/>
          <w:sz w:val="24"/>
          <w:szCs w:val="24"/>
        </w:rPr>
        <w:t>Introductory Note</w:t>
      </w:r>
    </w:p>
    <w:p w14:paraId="773B3753" w14:textId="29E1E777" w:rsidR="00753103" w:rsidRDefault="00C63547" w:rsidP="00C63547">
      <w:pPr>
        <w:spacing w:after="240"/>
        <w:ind w:firstLine="720"/>
        <w:rPr>
          <w:rFonts w:eastAsia="Times New Roman"/>
          <w:bCs/>
          <w:sz w:val="24"/>
          <w:szCs w:val="24"/>
        </w:rPr>
      </w:pPr>
      <w:r w:rsidRPr="00C63547">
        <w:rPr>
          <w:rFonts w:eastAsia="Times New Roman"/>
          <w:bCs/>
          <w:sz w:val="24"/>
          <w:szCs w:val="24"/>
        </w:rPr>
        <w:t xml:space="preserve">1. Generally, the interpretation of a written contract is a question of law for the court. </w:t>
      </w:r>
      <w:r w:rsidR="006B7995" w:rsidRPr="004A6200">
        <w:rPr>
          <w:rFonts w:eastAsia="Times New Roman"/>
          <w:b/>
          <w:sz w:val="24"/>
          <w:szCs w:val="24"/>
        </w:rPr>
        <w:t>People ex rel. Rein  v. Jacobs</w:t>
      </w:r>
      <w:r w:rsidR="006B7995">
        <w:rPr>
          <w:rFonts w:eastAsia="Times New Roman"/>
          <w:bCs/>
          <w:sz w:val="24"/>
          <w:szCs w:val="24"/>
        </w:rPr>
        <w:t xml:space="preserve">, 2020 CO 50, ¶ 43, 465 P.3d 1; </w:t>
      </w:r>
      <w:r w:rsidR="00753103">
        <w:rPr>
          <w:rFonts w:eastAsia="Times New Roman"/>
          <w:b/>
          <w:bCs/>
          <w:sz w:val="24"/>
          <w:szCs w:val="24"/>
        </w:rPr>
        <w:t xml:space="preserve">Klun v. Klun, </w:t>
      </w:r>
      <w:r w:rsidR="00753103" w:rsidRPr="00A6332F">
        <w:rPr>
          <w:rFonts w:eastAsia="Times New Roman"/>
          <w:bCs/>
          <w:sz w:val="24"/>
          <w:szCs w:val="24"/>
        </w:rPr>
        <w:t>2019 CO 46</w:t>
      </w:r>
      <w:r w:rsidR="00753103">
        <w:rPr>
          <w:rFonts w:eastAsia="Times New Roman"/>
          <w:bCs/>
          <w:sz w:val="24"/>
          <w:szCs w:val="24"/>
        </w:rPr>
        <w:t>,</w:t>
      </w:r>
      <w:r w:rsidR="00753103" w:rsidRPr="00A6332F">
        <w:rPr>
          <w:rFonts w:eastAsia="Times New Roman"/>
          <w:bCs/>
          <w:sz w:val="24"/>
          <w:szCs w:val="24"/>
        </w:rPr>
        <w:t xml:space="preserve"> ¶ 18</w:t>
      </w:r>
      <w:r w:rsidR="00753103">
        <w:rPr>
          <w:rFonts w:eastAsia="Times New Roman"/>
          <w:bCs/>
          <w:sz w:val="24"/>
          <w:szCs w:val="24"/>
        </w:rPr>
        <w:t>, 442 P.3d 88, 92 (“contract interpretation presents a question of law that we review de novo”)</w:t>
      </w:r>
      <w:r w:rsidR="00753103" w:rsidRPr="00E048FF">
        <w:rPr>
          <w:rFonts w:eastAsia="Times New Roman"/>
          <w:bCs/>
          <w:sz w:val="24"/>
          <w:szCs w:val="24"/>
        </w:rPr>
        <w:t xml:space="preserve">; </w:t>
      </w:r>
      <w:r w:rsidR="00753103" w:rsidRPr="002D0621">
        <w:rPr>
          <w:rFonts w:eastAsia="Times New Roman"/>
          <w:b/>
          <w:bCs/>
          <w:sz w:val="24"/>
          <w:szCs w:val="24"/>
        </w:rPr>
        <w:t>Sch. Dist. No. 1</w:t>
      </w:r>
      <w:r w:rsidR="00753103">
        <w:rPr>
          <w:rFonts w:eastAsia="Times New Roman"/>
          <w:b/>
          <w:bCs/>
          <w:sz w:val="24"/>
          <w:szCs w:val="24"/>
        </w:rPr>
        <w:t xml:space="preserve"> v. </w:t>
      </w:r>
      <w:r w:rsidR="00753103" w:rsidRPr="002D0621">
        <w:rPr>
          <w:rFonts w:eastAsia="Times New Roman"/>
          <w:b/>
          <w:bCs/>
          <w:sz w:val="24"/>
          <w:szCs w:val="24"/>
        </w:rPr>
        <w:t>Denver Classroom Teachers Ass’n</w:t>
      </w:r>
      <w:r w:rsidR="00753103" w:rsidRPr="002D0621">
        <w:rPr>
          <w:rFonts w:eastAsia="Times New Roman"/>
          <w:bCs/>
          <w:sz w:val="24"/>
          <w:szCs w:val="24"/>
        </w:rPr>
        <w:t xml:space="preserve">, 2019 CO 5, ¶ </w:t>
      </w:r>
      <w:r w:rsidR="00753103" w:rsidRPr="00A6332F">
        <w:rPr>
          <w:rFonts w:eastAsia="Times New Roman"/>
          <w:bCs/>
          <w:sz w:val="24"/>
          <w:szCs w:val="24"/>
        </w:rPr>
        <w:t>14</w:t>
      </w:r>
      <w:r w:rsidR="00753103">
        <w:rPr>
          <w:rFonts w:eastAsia="Times New Roman"/>
          <w:bCs/>
          <w:sz w:val="24"/>
          <w:szCs w:val="24"/>
        </w:rPr>
        <w:t>, 433 P.3d 38, 41</w:t>
      </w:r>
      <w:r w:rsidR="00753103" w:rsidRPr="00A6332F">
        <w:rPr>
          <w:rFonts w:eastAsia="Times New Roman"/>
          <w:bCs/>
          <w:sz w:val="24"/>
          <w:szCs w:val="24"/>
        </w:rPr>
        <w:t xml:space="preserve"> (</w:t>
      </w:r>
      <w:r w:rsidR="00753103" w:rsidRPr="00695DD0">
        <w:rPr>
          <w:rFonts w:eastAsia="Times New Roman"/>
          <w:bCs/>
          <w:sz w:val="24"/>
          <w:szCs w:val="24"/>
        </w:rPr>
        <w:t>“</w:t>
      </w:r>
      <w:r w:rsidR="00753103" w:rsidRPr="00A6332F">
        <w:rPr>
          <w:color w:val="1E1E1E"/>
          <w:sz w:val="24"/>
          <w:szCs w:val="24"/>
          <w:shd w:val="clear" w:color="auto" w:fill="FFFFFF"/>
        </w:rPr>
        <w:t>If the contract is complete and free from ambiguity, we d</w:t>
      </w:r>
      <w:r w:rsidR="00247DD6">
        <w:rPr>
          <w:color w:val="1E1E1E"/>
          <w:sz w:val="24"/>
          <w:szCs w:val="24"/>
          <w:shd w:val="clear" w:color="auto" w:fill="FFFFFF"/>
        </w:rPr>
        <w:t>eem it to represent the parties’</w:t>
      </w:r>
      <w:r w:rsidR="00753103" w:rsidRPr="00A6332F">
        <w:rPr>
          <w:color w:val="1E1E1E"/>
          <w:sz w:val="24"/>
          <w:szCs w:val="24"/>
          <w:shd w:val="clear" w:color="auto" w:fill="FFFFFF"/>
        </w:rPr>
        <w:t xml:space="preserve"> intent and enforce it based on the plain and generally accepted meaning of the words used</w:t>
      </w:r>
      <w:r w:rsidR="00753103">
        <w:rPr>
          <w:color w:val="1E1E1E"/>
          <w:sz w:val="24"/>
          <w:szCs w:val="24"/>
          <w:shd w:val="clear" w:color="auto" w:fill="FFFFFF"/>
        </w:rPr>
        <w:t>.</w:t>
      </w:r>
      <w:r w:rsidR="00753103" w:rsidRPr="00A6332F">
        <w:rPr>
          <w:color w:val="1E1E1E"/>
          <w:sz w:val="24"/>
          <w:szCs w:val="24"/>
          <w:shd w:val="clear" w:color="auto" w:fill="FFFFFF"/>
        </w:rPr>
        <w:t>”)</w:t>
      </w:r>
      <w:r w:rsidR="00753103" w:rsidRPr="00695DD0">
        <w:rPr>
          <w:rFonts w:eastAsia="Times New Roman"/>
          <w:bCs/>
          <w:sz w:val="24"/>
          <w:szCs w:val="24"/>
        </w:rPr>
        <w:t>;</w:t>
      </w:r>
      <w:r w:rsidR="00753103" w:rsidRPr="00A6332F">
        <w:rPr>
          <w:rFonts w:eastAsia="Times New Roman"/>
          <w:b/>
          <w:bCs/>
          <w:sz w:val="24"/>
          <w:szCs w:val="24"/>
        </w:rPr>
        <w:t xml:space="preserve"> </w:t>
      </w:r>
      <w:r w:rsidR="00753103" w:rsidRPr="00A6332F">
        <w:rPr>
          <w:b/>
          <w:iCs/>
          <w:color w:val="1E1E1E"/>
          <w:sz w:val="24"/>
          <w:szCs w:val="24"/>
          <w:shd w:val="clear" w:color="auto" w:fill="FFFFFF"/>
        </w:rPr>
        <w:t>Rocky Mountain Expl</w:t>
      </w:r>
      <w:r w:rsidR="00753103">
        <w:rPr>
          <w:b/>
          <w:iCs/>
          <w:color w:val="1E1E1E"/>
          <w:sz w:val="24"/>
          <w:szCs w:val="24"/>
          <w:shd w:val="clear" w:color="auto" w:fill="FFFFFF"/>
        </w:rPr>
        <w:t>.</w:t>
      </w:r>
      <w:r w:rsidR="00753103" w:rsidRPr="00A6332F">
        <w:rPr>
          <w:b/>
          <w:iCs/>
          <w:color w:val="1E1E1E"/>
          <w:sz w:val="24"/>
          <w:szCs w:val="24"/>
          <w:shd w:val="clear" w:color="auto" w:fill="FFFFFF"/>
        </w:rPr>
        <w:t>, Inc. v. Davis Graham &amp; Stubbs LLP</w:t>
      </w:r>
      <w:r w:rsidR="00753103" w:rsidRPr="00695DD0">
        <w:rPr>
          <w:iCs/>
          <w:color w:val="1E1E1E"/>
          <w:sz w:val="24"/>
          <w:szCs w:val="24"/>
          <w:shd w:val="clear" w:color="auto" w:fill="FFFFFF"/>
        </w:rPr>
        <w:t>,</w:t>
      </w:r>
      <w:r w:rsidR="00753103">
        <w:rPr>
          <w:iCs/>
          <w:color w:val="1E1E1E"/>
          <w:sz w:val="24"/>
          <w:szCs w:val="24"/>
          <w:shd w:val="clear" w:color="auto" w:fill="FFFFFF"/>
        </w:rPr>
        <w:t xml:space="preserve"> </w:t>
      </w:r>
      <w:r w:rsidR="00753103" w:rsidRPr="00A6332F">
        <w:rPr>
          <w:color w:val="1E1E1E"/>
          <w:sz w:val="24"/>
          <w:szCs w:val="24"/>
          <w:shd w:val="clear" w:color="auto" w:fill="FFFFFF"/>
        </w:rPr>
        <w:t>2018 CO 54, ¶ 59</w:t>
      </w:r>
      <w:r w:rsidR="00753103">
        <w:rPr>
          <w:color w:val="1E1E1E"/>
          <w:sz w:val="24"/>
          <w:szCs w:val="24"/>
          <w:shd w:val="clear" w:color="auto" w:fill="FFFFFF"/>
        </w:rPr>
        <w:t xml:space="preserve">, 420 P.3d 223; </w:t>
      </w:r>
      <w:r w:rsidRPr="00C63547">
        <w:rPr>
          <w:rFonts w:eastAsia="Times New Roman"/>
          <w:b/>
          <w:bCs/>
          <w:sz w:val="24"/>
          <w:szCs w:val="24"/>
        </w:rPr>
        <w:t>Ad Two, Inc. v. City &amp; County of Denver</w:t>
      </w:r>
      <w:r w:rsidRPr="00C63547">
        <w:rPr>
          <w:rFonts w:eastAsia="Times New Roman"/>
          <w:bCs/>
          <w:sz w:val="24"/>
          <w:szCs w:val="24"/>
        </w:rPr>
        <w:t xml:space="preserve">, 9 P.3d 373 (Colo. 2000); </w:t>
      </w:r>
      <w:r w:rsidRPr="00C63547">
        <w:rPr>
          <w:rFonts w:eastAsia="Times New Roman"/>
          <w:b/>
          <w:bCs/>
          <w:sz w:val="24"/>
          <w:szCs w:val="24"/>
        </w:rPr>
        <w:t>Radiology Prof’l Corp. v. Trinidad Area Health Ass’n</w:t>
      </w:r>
      <w:r w:rsidRPr="00C63547">
        <w:rPr>
          <w:rFonts w:eastAsia="Times New Roman"/>
          <w:bCs/>
          <w:sz w:val="24"/>
          <w:szCs w:val="24"/>
        </w:rPr>
        <w:t xml:space="preserve">, 195 Colo. 253, 577 P.2d 748 (1978). The primary goal of interpreting a contract is to determine and give effect to the intent of the parties. </w:t>
      </w:r>
      <w:r w:rsidRPr="00C63547">
        <w:rPr>
          <w:rFonts w:eastAsia="Times New Roman"/>
          <w:b/>
          <w:bCs/>
          <w:sz w:val="24"/>
          <w:szCs w:val="24"/>
        </w:rPr>
        <w:t>USI Props. East, Inc. v. Simpson</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 xml:space="preserve">938 P.2d 168 (Colo. 1997). Where possible, the intent of the parties is to be determined from the language of the written contract itself. </w:t>
      </w:r>
      <w:r w:rsidRPr="00C63547">
        <w:rPr>
          <w:rFonts w:eastAsia="Times New Roman"/>
          <w:bCs/>
          <w:i/>
          <w:sz w:val="24"/>
          <w:szCs w:val="24"/>
        </w:rPr>
        <w:t>Id.</w:t>
      </w:r>
    </w:p>
    <w:p w14:paraId="46B6783B" w14:textId="68BF5781" w:rsidR="00753103" w:rsidRDefault="00753103" w:rsidP="00934CAE">
      <w:pPr>
        <w:spacing w:after="240"/>
        <w:ind w:firstLine="720"/>
        <w:rPr>
          <w:rFonts w:eastAsia="Times New Roman"/>
          <w:bCs/>
          <w:sz w:val="24"/>
          <w:szCs w:val="24"/>
        </w:rPr>
      </w:pPr>
      <w:r>
        <w:rPr>
          <w:rFonts w:eastAsia="Times New Roman"/>
          <w:bCs/>
          <w:sz w:val="24"/>
          <w:szCs w:val="24"/>
        </w:rPr>
        <w:t xml:space="preserve">2. </w:t>
      </w:r>
      <w:r w:rsidR="00C63547" w:rsidRPr="00C63547">
        <w:rPr>
          <w:rFonts w:eastAsia="Times New Roman"/>
          <w:bCs/>
          <w:sz w:val="24"/>
          <w:szCs w:val="24"/>
        </w:rPr>
        <w:t xml:space="preserve">However, extrinsic evidence may be conditionally admitted to determine whether a contract is ambiguous. </w:t>
      </w:r>
      <w:r w:rsidR="00C63547" w:rsidRPr="00C63547">
        <w:rPr>
          <w:rFonts w:eastAsia="Times New Roman"/>
          <w:b/>
          <w:bCs/>
          <w:sz w:val="24"/>
          <w:szCs w:val="24"/>
        </w:rPr>
        <w:t>Lazy Dog Ranch v. Telluray Ranch Corp.</w:t>
      </w:r>
      <w:r w:rsidR="00C63547" w:rsidRPr="00C63547">
        <w:rPr>
          <w:rFonts w:eastAsia="Times New Roman"/>
          <w:bCs/>
          <w:sz w:val="24"/>
          <w:szCs w:val="24"/>
        </w:rPr>
        <w:t xml:space="preserve">, 965 P.2d 1229 (Colo. 1998) (rejecting rigid application of “four corners” rule); </w:t>
      </w:r>
      <w:r w:rsidR="00C63547" w:rsidRPr="00C63547">
        <w:rPr>
          <w:rFonts w:eastAsia="Times New Roman"/>
          <w:bCs/>
          <w:i/>
          <w:sz w:val="24"/>
          <w:szCs w:val="24"/>
        </w:rPr>
        <w:t>accord</w:t>
      </w:r>
      <w:r w:rsidR="00C63547" w:rsidRPr="00C63547">
        <w:rPr>
          <w:rFonts w:eastAsia="Times New Roman"/>
          <w:bCs/>
          <w:sz w:val="24"/>
          <w:szCs w:val="24"/>
        </w:rPr>
        <w:t xml:space="preserve"> </w:t>
      </w:r>
      <w:r w:rsidR="00C63547" w:rsidRPr="00C63547">
        <w:rPr>
          <w:rFonts w:eastAsia="Times New Roman"/>
          <w:b/>
          <w:bCs/>
          <w:sz w:val="24"/>
          <w:szCs w:val="24"/>
        </w:rPr>
        <w:t>East Ridge of Fort Collins, LLC v. Larimer &amp; Weld Irrigation Co.</w:t>
      </w:r>
      <w:r w:rsidR="00C63547" w:rsidRPr="00C63547">
        <w:rPr>
          <w:rFonts w:eastAsia="Times New Roman"/>
          <w:bCs/>
          <w:sz w:val="24"/>
          <w:szCs w:val="24"/>
        </w:rPr>
        <w:t xml:space="preserve">, 109 P.3d 969 (Colo. 2005); </w:t>
      </w:r>
      <w:r w:rsidR="00C63547" w:rsidRPr="00C63547">
        <w:rPr>
          <w:rFonts w:eastAsia="Times New Roman"/>
          <w:b/>
          <w:bCs/>
          <w:sz w:val="24"/>
          <w:szCs w:val="24"/>
        </w:rPr>
        <w:t>Lobato v. Taylor</w:t>
      </w:r>
      <w:r w:rsidR="00C63547" w:rsidRPr="00C63547">
        <w:rPr>
          <w:rFonts w:eastAsia="Times New Roman"/>
          <w:bCs/>
          <w:sz w:val="24"/>
          <w:szCs w:val="24"/>
        </w:rPr>
        <w:t xml:space="preserve">, 71 P.3d 938 (Colo. 2002) (fact that extrinsic evidence may reveal ambiguities in contract is especially true when interpreting ancient document). Moreover, a contract must be interpreted in light of the context and circumstances of the transaction. </w:t>
      </w:r>
      <w:r w:rsidR="00C63547" w:rsidRPr="00C63547">
        <w:rPr>
          <w:rFonts w:eastAsia="Times New Roman"/>
          <w:b/>
          <w:bCs/>
          <w:sz w:val="24"/>
          <w:szCs w:val="24"/>
        </w:rPr>
        <w:t>First Christian Assembly of God v. City &amp; County of Denver</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1</w:t>
      </w:r>
      <w:r w:rsidR="00FA605C">
        <w:rPr>
          <w:rFonts w:eastAsia="Times New Roman"/>
          <w:bCs/>
          <w:sz w:val="24"/>
          <w:szCs w:val="24"/>
        </w:rPr>
        <w:t>22 P.3d 1089 (Colo. App. 2005).</w:t>
      </w:r>
    </w:p>
    <w:p w14:paraId="76586FC0" w14:textId="5E121D92" w:rsidR="00C63547" w:rsidRPr="00C63547" w:rsidRDefault="00753103" w:rsidP="00934CAE">
      <w:pPr>
        <w:spacing w:after="240"/>
        <w:ind w:firstLine="720"/>
        <w:rPr>
          <w:rFonts w:eastAsia="Times New Roman"/>
          <w:bCs/>
          <w:sz w:val="24"/>
          <w:szCs w:val="24"/>
        </w:rPr>
      </w:pPr>
      <w:r>
        <w:rPr>
          <w:rFonts w:eastAsia="Times New Roman"/>
          <w:bCs/>
          <w:sz w:val="24"/>
          <w:szCs w:val="24"/>
        </w:rPr>
        <w:t xml:space="preserve">3. </w:t>
      </w:r>
      <w:r w:rsidR="00C63547" w:rsidRPr="00C63547">
        <w:rPr>
          <w:rFonts w:eastAsia="Times New Roman"/>
          <w:bCs/>
          <w:sz w:val="24"/>
          <w:szCs w:val="24"/>
        </w:rPr>
        <w:t xml:space="preserve">An insurance policy is a contract, and courts must enforce the plain language of a policy if it is unambiguous. </w:t>
      </w:r>
      <w:r w:rsidR="00C63547" w:rsidRPr="00C63547">
        <w:rPr>
          <w:rFonts w:eastAsia="Times New Roman"/>
          <w:b/>
          <w:bCs/>
          <w:sz w:val="24"/>
          <w:szCs w:val="24"/>
        </w:rPr>
        <w:t>Craft v. Philadelphia Indem. Ins. Co</w:t>
      </w:r>
      <w:r w:rsidR="00C63547" w:rsidRPr="00C63547">
        <w:rPr>
          <w:rFonts w:eastAsia="Times New Roman"/>
          <w:bCs/>
          <w:sz w:val="24"/>
          <w:szCs w:val="24"/>
        </w:rPr>
        <w:t>., 2015 CO 11, ¶ 34, 343 P.3d 951</w:t>
      </w:r>
      <w:r w:rsidR="006E1A5A">
        <w:rPr>
          <w:rFonts w:eastAsia="Times New Roman"/>
          <w:bCs/>
          <w:sz w:val="24"/>
          <w:szCs w:val="24"/>
        </w:rPr>
        <w:t>.</w:t>
      </w:r>
      <w:r>
        <w:rPr>
          <w:rFonts w:eastAsia="Times New Roman"/>
          <w:bCs/>
          <w:sz w:val="24"/>
          <w:szCs w:val="24"/>
        </w:rPr>
        <w:t xml:space="preserve"> </w:t>
      </w:r>
      <w:r w:rsidR="006E1A5A">
        <w:rPr>
          <w:rFonts w:eastAsia="Times New Roman"/>
          <w:bCs/>
          <w:sz w:val="24"/>
          <w:szCs w:val="24"/>
        </w:rPr>
        <w:t>B</w:t>
      </w:r>
      <w:r>
        <w:rPr>
          <w:rFonts w:eastAsia="Times New Roman"/>
          <w:bCs/>
          <w:sz w:val="24"/>
          <w:szCs w:val="24"/>
        </w:rPr>
        <w:t xml:space="preserve">ut ambiguous language must be construed in favor of the insured. </w:t>
      </w:r>
      <w:r w:rsidRPr="00695DD0">
        <w:rPr>
          <w:rFonts w:eastAsia="Times New Roman"/>
          <w:b/>
          <w:bCs/>
          <w:sz w:val="24"/>
          <w:szCs w:val="24"/>
        </w:rPr>
        <w:t>Renfandt v. N</w:t>
      </w:r>
      <w:r>
        <w:rPr>
          <w:rFonts w:eastAsia="Times New Roman"/>
          <w:b/>
          <w:bCs/>
          <w:sz w:val="24"/>
          <w:szCs w:val="24"/>
        </w:rPr>
        <w:t>.</w:t>
      </w:r>
      <w:r w:rsidRPr="00695DD0">
        <w:rPr>
          <w:rFonts w:eastAsia="Times New Roman"/>
          <w:b/>
          <w:bCs/>
          <w:sz w:val="24"/>
          <w:szCs w:val="24"/>
        </w:rPr>
        <w:t>Y</w:t>
      </w:r>
      <w:r>
        <w:rPr>
          <w:rFonts w:eastAsia="Times New Roman"/>
          <w:b/>
          <w:bCs/>
          <w:sz w:val="24"/>
          <w:szCs w:val="24"/>
        </w:rPr>
        <w:t>.</w:t>
      </w:r>
      <w:r w:rsidRPr="00695DD0">
        <w:rPr>
          <w:rFonts w:eastAsia="Times New Roman"/>
          <w:b/>
          <w:bCs/>
          <w:sz w:val="24"/>
          <w:szCs w:val="24"/>
        </w:rPr>
        <w:t xml:space="preserve"> Life Ins. Co</w:t>
      </w:r>
      <w:r w:rsidRPr="00124328">
        <w:rPr>
          <w:rFonts w:eastAsia="Times New Roman"/>
          <w:b/>
          <w:bCs/>
          <w:sz w:val="24"/>
          <w:szCs w:val="24"/>
        </w:rPr>
        <w:t>.</w:t>
      </w:r>
      <w:r>
        <w:rPr>
          <w:rFonts w:eastAsia="Times New Roman"/>
          <w:bCs/>
          <w:sz w:val="24"/>
          <w:szCs w:val="24"/>
        </w:rPr>
        <w:t xml:space="preserve">, 2018 CO 49, </w:t>
      </w:r>
      <w:r w:rsidRPr="00A6740C">
        <w:rPr>
          <w:rFonts w:eastAsia="Times New Roman"/>
          <w:bCs/>
          <w:sz w:val="24"/>
          <w:szCs w:val="24"/>
        </w:rPr>
        <w:t>¶</w:t>
      </w:r>
      <w:r>
        <w:rPr>
          <w:rFonts w:eastAsia="Times New Roman"/>
          <w:bCs/>
          <w:sz w:val="24"/>
          <w:szCs w:val="24"/>
        </w:rPr>
        <w:t xml:space="preserve"> 18, 419 P.3d 576, 580 (“Where general language in an insurance contract is ambiguous, we construe it against the insurer.”)</w:t>
      </w:r>
      <w:r w:rsidR="00C63547" w:rsidRPr="00C63547">
        <w:rPr>
          <w:rFonts w:eastAsia="Times New Roman"/>
          <w:bCs/>
          <w:sz w:val="24"/>
          <w:szCs w:val="24"/>
        </w:rPr>
        <w:t>.</w:t>
      </w:r>
    </w:p>
    <w:p w14:paraId="39C4010D" w14:textId="78BF8C82" w:rsidR="00C63547" w:rsidRPr="00C63547" w:rsidRDefault="00753103" w:rsidP="00C63547">
      <w:pPr>
        <w:spacing w:after="240"/>
        <w:ind w:firstLine="720"/>
        <w:rPr>
          <w:rFonts w:eastAsia="Times New Roman"/>
          <w:bCs/>
          <w:sz w:val="24"/>
          <w:szCs w:val="24"/>
        </w:rPr>
      </w:pPr>
      <w:r>
        <w:rPr>
          <w:rFonts w:eastAsia="Times New Roman"/>
          <w:bCs/>
          <w:sz w:val="24"/>
          <w:szCs w:val="24"/>
        </w:rPr>
        <w:t>4</w:t>
      </w:r>
      <w:r w:rsidR="00C63547" w:rsidRPr="00C63547">
        <w:rPr>
          <w:rFonts w:eastAsia="Times New Roman"/>
          <w:bCs/>
          <w:sz w:val="24"/>
          <w:szCs w:val="24"/>
        </w:rPr>
        <w:t xml:space="preserve">. </w:t>
      </w:r>
      <w:r w:rsidR="006B7995">
        <w:rPr>
          <w:rFonts w:eastAsia="Times New Roman"/>
          <w:bCs/>
          <w:sz w:val="24"/>
          <w:szCs w:val="24"/>
        </w:rPr>
        <w:t>Determining</w:t>
      </w:r>
      <w:r w:rsidR="006B7995" w:rsidRPr="00C63547">
        <w:rPr>
          <w:rFonts w:eastAsia="Times New Roman"/>
          <w:bCs/>
          <w:sz w:val="24"/>
          <w:szCs w:val="24"/>
        </w:rPr>
        <w:t xml:space="preserve"> </w:t>
      </w:r>
      <w:r w:rsidR="00C63547" w:rsidRPr="00C63547">
        <w:rPr>
          <w:rFonts w:eastAsia="Times New Roman"/>
          <w:bCs/>
          <w:sz w:val="24"/>
          <w:szCs w:val="24"/>
        </w:rPr>
        <w:t xml:space="preserve">whether an ambiguity exists in a written contract is a question of law for the court. </w:t>
      </w:r>
      <w:r w:rsidR="006B7995" w:rsidRPr="006D0BA6">
        <w:rPr>
          <w:rFonts w:eastAsia="Times New Roman"/>
          <w:b/>
          <w:sz w:val="24"/>
          <w:szCs w:val="24"/>
        </w:rPr>
        <w:t>Jacobs</w:t>
      </w:r>
      <w:r w:rsidR="006B7995">
        <w:rPr>
          <w:rFonts w:eastAsia="Times New Roman"/>
          <w:bCs/>
          <w:sz w:val="24"/>
          <w:szCs w:val="24"/>
        </w:rPr>
        <w:t>, 2020 CO 50, ¶ 49, 465 P.3d at 12 (“</w:t>
      </w:r>
      <w:r w:rsidR="00B15998">
        <w:rPr>
          <w:rFonts w:eastAsia="Times New Roman"/>
          <w:bCs/>
          <w:sz w:val="24"/>
          <w:szCs w:val="24"/>
        </w:rPr>
        <w:t>[W]</w:t>
      </w:r>
      <w:r w:rsidR="006B7995">
        <w:rPr>
          <w:rFonts w:eastAsia="Times New Roman"/>
          <w:bCs/>
          <w:sz w:val="24"/>
          <w:szCs w:val="24"/>
        </w:rPr>
        <w:t>e conclude, as a matter of law, that the Inclusion Agreement did not provide Jacobs with a legal fill and re-fill source for the ponds</w:t>
      </w:r>
      <w:r w:rsidR="00B15998">
        <w:rPr>
          <w:rFonts w:eastAsia="Times New Roman"/>
          <w:bCs/>
          <w:sz w:val="24"/>
          <w:szCs w:val="24"/>
        </w:rPr>
        <w:t>.</w:t>
      </w:r>
      <w:r w:rsidR="006B7995">
        <w:rPr>
          <w:rFonts w:eastAsia="Times New Roman"/>
          <w:bCs/>
          <w:sz w:val="24"/>
          <w:szCs w:val="24"/>
        </w:rPr>
        <w:t xml:space="preserve">”); </w:t>
      </w:r>
      <w:r w:rsidR="00C63547" w:rsidRPr="00C63547">
        <w:rPr>
          <w:rFonts w:eastAsia="Times New Roman"/>
          <w:b/>
          <w:bCs/>
          <w:sz w:val="24"/>
          <w:szCs w:val="24"/>
        </w:rPr>
        <w:t>Nat’l Cas. Co. v. Great Sw. Fire Ins. Co.</w:t>
      </w:r>
      <w:r w:rsidR="00C63547" w:rsidRPr="00C63547">
        <w:rPr>
          <w:rFonts w:eastAsia="Times New Roman"/>
          <w:bCs/>
          <w:sz w:val="24"/>
          <w:szCs w:val="24"/>
        </w:rPr>
        <w:t>, 833 P.2d 741 (Colo. 1992)</w:t>
      </w:r>
      <w:r w:rsidR="006B7995">
        <w:rPr>
          <w:rFonts w:eastAsia="Times New Roman"/>
          <w:bCs/>
          <w:sz w:val="24"/>
          <w:szCs w:val="24"/>
        </w:rPr>
        <w:t xml:space="preserve">; </w:t>
      </w:r>
      <w:r w:rsidR="006B7995" w:rsidRPr="00DF4635">
        <w:rPr>
          <w:rFonts w:eastAsia="Times New Roman"/>
          <w:b/>
          <w:sz w:val="24"/>
          <w:szCs w:val="24"/>
        </w:rPr>
        <w:t>Hess v. Hobart</w:t>
      </w:r>
      <w:r w:rsidR="006B7995">
        <w:rPr>
          <w:rFonts w:eastAsia="Times New Roman"/>
          <w:bCs/>
          <w:sz w:val="24"/>
          <w:szCs w:val="24"/>
        </w:rPr>
        <w:t>, 2020 COA 139M2, ¶ 10, 477 P.3d 771, 774 (“</w:t>
      </w:r>
      <w:r w:rsidR="00B15998">
        <w:rPr>
          <w:rFonts w:eastAsia="Times New Roman"/>
          <w:bCs/>
          <w:sz w:val="24"/>
          <w:szCs w:val="24"/>
        </w:rPr>
        <w:t>[W]</w:t>
      </w:r>
      <w:r w:rsidR="006B7995">
        <w:rPr>
          <w:rFonts w:eastAsia="Times New Roman"/>
          <w:bCs/>
          <w:sz w:val="24"/>
          <w:szCs w:val="24"/>
        </w:rPr>
        <w:t>e conclude that the phrase reserving ‘a life estate in all mineral rights’ unambiguously conveys a life estate” without any sharing of income with the fee holder</w:t>
      </w:r>
      <w:r w:rsidR="00B15998">
        <w:rPr>
          <w:rFonts w:eastAsia="Times New Roman"/>
          <w:bCs/>
          <w:sz w:val="24"/>
          <w:szCs w:val="24"/>
        </w:rPr>
        <w:t>.</w:t>
      </w:r>
      <w:r w:rsidR="006B7995">
        <w:rPr>
          <w:rFonts w:eastAsia="Times New Roman"/>
          <w:bCs/>
          <w:sz w:val="24"/>
          <w:szCs w:val="24"/>
        </w:rPr>
        <w:t>)</w:t>
      </w:r>
      <w:r w:rsidR="00C63547" w:rsidRPr="00C63547">
        <w:rPr>
          <w:rFonts w:eastAsia="Times New Roman"/>
          <w:bCs/>
          <w:sz w:val="24"/>
          <w:szCs w:val="24"/>
        </w:rPr>
        <w:t xml:space="preserve">. The provisions of a contract are ambiguous when they are susceptible to more than one reasonable interpretation. </w:t>
      </w:r>
      <w:r w:rsidR="00C63547" w:rsidRPr="00C63547">
        <w:rPr>
          <w:rFonts w:eastAsia="Times New Roman"/>
          <w:b/>
          <w:bCs/>
          <w:sz w:val="24"/>
          <w:szCs w:val="24"/>
        </w:rPr>
        <w:t>Am. Family Mut. Ins. Co. v. Hansen</w:t>
      </w:r>
      <w:r w:rsidR="00C63547" w:rsidRPr="00C63547">
        <w:rPr>
          <w:rFonts w:eastAsia="Times New Roman"/>
          <w:bCs/>
          <w:sz w:val="24"/>
          <w:szCs w:val="24"/>
        </w:rPr>
        <w:t xml:space="preserve">, 2016 CO 46, ¶ 23, 375 P.3d 115 (listing of names of insureds on declarations page was unambiguous); </w:t>
      </w:r>
      <w:r w:rsidR="00C63547" w:rsidRPr="00C63547">
        <w:rPr>
          <w:rFonts w:eastAsia="Times New Roman"/>
          <w:b/>
          <w:bCs/>
          <w:sz w:val="24"/>
          <w:szCs w:val="24"/>
        </w:rPr>
        <w:t>Union Ins. Co. v. Houtz</w:t>
      </w:r>
      <w:r w:rsidR="00C63547" w:rsidRPr="00C63547">
        <w:rPr>
          <w:rFonts w:eastAsia="Times New Roman"/>
          <w:bCs/>
          <w:sz w:val="24"/>
          <w:szCs w:val="24"/>
        </w:rPr>
        <w:t xml:space="preserve">, 883 P.2d 1057 (Colo. 1994); </w:t>
      </w:r>
      <w:r w:rsidR="00C63547" w:rsidRPr="00C63547">
        <w:rPr>
          <w:rFonts w:eastAsia="Times New Roman"/>
          <w:b/>
          <w:bCs/>
          <w:sz w:val="24"/>
          <w:szCs w:val="24"/>
        </w:rPr>
        <w:t>Ballow v. PHICO Ins. Co.</w:t>
      </w:r>
      <w:r w:rsidR="00C63547" w:rsidRPr="00C63547">
        <w:rPr>
          <w:rFonts w:eastAsia="Times New Roman"/>
          <w:bCs/>
          <w:sz w:val="24"/>
          <w:szCs w:val="24"/>
        </w:rPr>
        <w:t xml:space="preserve">, 875 P.2d 1354 (Colo. 1993). The fact that the parties may </w:t>
      </w:r>
      <w:r w:rsidR="00934CAE">
        <w:rPr>
          <w:rFonts w:eastAsia="Times New Roman"/>
          <w:bCs/>
          <w:sz w:val="24"/>
          <w:szCs w:val="24"/>
        </w:rPr>
        <w:t xml:space="preserve">disagree about </w:t>
      </w:r>
      <w:r w:rsidR="00C63547" w:rsidRPr="00C63547">
        <w:rPr>
          <w:rFonts w:eastAsia="Times New Roman"/>
          <w:bCs/>
          <w:sz w:val="24"/>
          <w:szCs w:val="24"/>
        </w:rPr>
        <w:t xml:space="preserve">the </w:t>
      </w:r>
      <w:r w:rsidR="00934CAE">
        <w:rPr>
          <w:rFonts w:eastAsia="Times New Roman"/>
          <w:bCs/>
          <w:sz w:val="24"/>
          <w:szCs w:val="24"/>
        </w:rPr>
        <w:t>meaning</w:t>
      </w:r>
      <w:r w:rsidR="00C63547" w:rsidRPr="00C63547">
        <w:rPr>
          <w:rFonts w:eastAsia="Times New Roman"/>
          <w:bCs/>
          <w:sz w:val="24"/>
          <w:szCs w:val="24"/>
        </w:rPr>
        <w:t xml:space="preserve"> of a </w:t>
      </w:r>
      <w:r w:rsidR="00934CAE">
        <w:rPr>
          <w:rFonts w:eastAsia="Times New Roman"/>
          <w:bCs/>
          <w:sz w:val="24"/>
          <w:szCs w:val="24"/>
        </w:rPr>
        <w:t>term</w:t>
      </w:r>
      <w:r w:rsidR="00C63547" w:rsidRPr="00C63547">
        <w:rPr>
          <w:rFonts w:eastAsia="Times New Roman"/>
          <w:bCs/>
          <w:sz w:val="24"/>
          <w:szCs w:val="24"/>
        </w:rPr>
        <w:t xml:space="preserve"> does not </w:t>
      </w:r>
      <w:r w:rsidR="00934CAE">
        <w:rPr>
          <w:rFonts w:eastAsia="Times New Roman"/>
          <w:bCs/>
          <w:sz w:val="24"/>
          <w:szCs w:val="24"/>
        </w:rPr>
        <w:t>create an ambiguity.</w:t>
      </w:r>
      <w:r w:rsidR="004D74F2">
        <w:rPr>
          <w:rFonts w:eastAsia="Times New Roman"/>
          <w:bCs/>
          <w:sz w:val="24"/>
          <w:szCs w:val="24"/>
        </w:rPr>
        <w:t xml:space="preserve"> </w:t>
      </w:r>
      <w:r w:rsidR="004D74F2" w:rsidRPr="00934CAE">
        <w:rPr>
          <w:b/>
          <w:sz w:val="24"/>
          <w:szCs w:val="24"/>
        </w:rPr>
        <w:t>Morley v. U</w:t>
      </w:r>
      <w:r w:rsidR="009A0224">
        <w:rPr>
          <w:b/>
          <w:sz w:val="24"/>
          <w:szCs w:val="24"/>
        </w:rPr>
        <w:t>nited</w:t>
      </w:r>
      <w:r w:rsidR="004D74F2" w:rsidRPr="00934CAE">
        <w:rPr>
          <w:b/>
          <w:sz w:val="24"/>
          <w:szCs w:val="24"/>
        </w:rPr>
        <w:t xml:space="preserve"> Servs. Auto. Ass’n</w:t>
      </w:r>
      <w:r w:rsidR="004D74F2">
        <w:rPr>
          <w:sz w:val="24"/>
          <w:szCs w:val="24"/>
        </w:rPr>
        <w:t>, 2019 COA 169, ¶ 16</w:t>
      </w:r>
      <w:r w:rsidR="009A0224">
        <w:rPr>
          <w:sz w:val="24"/>
          <w:szCs w:val="24"/>
        </w:rPr>
        <w:t>, 465 P.3d 71</w:t>
      </w:r>
      <w:r w:rsidR="004D74F2">
        <w:rPr>
          <w:sz w:val="24"/>
          <w:szCs w:val="24"/>
        </w:rPr>
        <w:t xml:space="preserve">; </w:t>
      </w:r>
      <w:r w:rsidRPr="00B01305">
        <w:rPr>
          <w:b/>
          <w:bCs/>
          <w:sz w:val="24"/>
          <w:szCs w:val="24"/>
        </w:rPr>
        <w:t>Filatov v. Turnage</w:t>
      </w:r>
      <w:r w:rsidRPr="00B01305">
        <w:rPr>
          <w:sz w:val="24"/>
          <w:szCs w:val="24"/>
        </w:rPr>
        <w:t>, 2019 COA 120, ¶ 14</w:t>
      </w:r>
      <w:r w:rsidR="009A0224">
        <w:rPr>
          <w:sz w:val="24"/>
          <w:szCs w:val="24"/>
        </w:rPr>
        <w:t>, 451 P.3d 1263, 1266</w:t>
      </w:r>
      <w:r w:rsidRPr="00B01305">
        <w:rPr>
          <w:sz w:val="24"/>
          <w:szCs w:val="24"/>
        </w:rPr>
        <w:t xml:space="preserve"> (“While the parties agree that these provisions are unambiguous, they disagree as to how they should be interpreted.”);</w:t>
      </w:r>
      <w:r w:rsidRPr="00B01305">
        <w:t xml:space="preserve"> </w:t>
      </w:r>
      <w:r w:rsidR="00C63547" w:rsidRPr="00C63547">
        <w:rPr>
          <w:rFonts w:eastAsia="Times New Roman"/>
          <w:b/>
          <w:bCs/>
          <w:sz w:val="24"/>
          <w:szCs w:val="24"/>
        </w:rPr>
        <w:t>Mashburn v. Wilson</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701 P.2d 67 (Colo. App. 1984)</w:t>
      </w:r>
      <w:r w:rsidR="00934CAE">
        <w:rPr>
          <w:rFonts w:eastAsia="Times New Roman"/>
          <w:bCs/>
          <w:sz w:val="24"/>
          <w:szCs w:val="24"/>
        </w:rPr>
        <w:t>.</w:t>
      </w:r>
      <w:r w:rsidR="00C63547" w:rsidRPr="00C63547">
        <w:rPr>
          <w:rFonts w:eastAsia="Times New Roman"/>
          <w:bCs/>
          <w:sz w:val="24"/>
          <w:szCs w:val="24"/>
        </w:rPr>
        <w:t xml:space="preserve"> </w:t>
      </w:r>
      <w:r w:rsidR="00934CAE">
        <w:rPr>
          <w:rFonts w:eastAsia="Times New Roman"/>
          <w:bCs/>
          <w:sz w:val="24"/>
          <w:szCs w:val="24"/>
        </w:rPr>
        <w:t>B</w:t>
      </w:r>
      <w:r w:rsidR="00C63547" w:rsidRPr="00C63547">
        <w:rPr>
          <w:rFonts w:eastAsia="Times New Roman"/>
          <w:bCs/>
          <w:sz w:val="24"/>
          <w:szCs w:val="24"/>
        </w:rPr>
        <w:t xml:space="preserve">ut the court may conclude that a contract is ambiguous even if the </w:t>
      </w:r>
      <w:r w:rsidR="00C63547" w:rsidRPr="00C63547">
        <w:rPr>
          <w:rFonts w:eastAsia="Times New Roman"/>
          <w:bCs/>
          <w:sz w:val="24"/>
          <w:szCs w:val="24"/>
        </w:rPr>
        <w:lastRenderedPageBreak/>
        <w:t>parties d</w:t>
      </w:r>
      <w:r w:rsidR="00934CAE">
        <w:rPr>
          <w:rFonts w:eastAsia="Times New Roman"/>
          <w:bCs/>
          <w:sz w:val="24"/>
          <w:szCs w:val="24"/>
        </w:rPr>
        <w:t>o</w:t>
      </w:r>
      <w:r w:rsidR="00C63547" w:rsidRPr="00C63547">
        <w:rPr>
          <w:rFonts w:eastAsia="Times New Roman"/>
          <w:bCs/>
          <w:sz w:val="24"/>
          <w:szCs w:val="24"/>
        </w:rPr>
        <w:t xml:space="preserve"> not so argue. </w:t>
      </w:r>
      <w:r w:rsidR="00C63547" w:rsidRPr="00C63547">
        <w:rPr>
          <w:rFonts w:eastAsia="Times New Roman"/>
          <w:b/>
          <w:bCs/>
          <w:sz w:val="24"/>
          <w:szCs w:val="24"/>
        </w:rPr>
        <w:t>Gagne v. Gagne</w:t>
      </w:r>
      <w:r w:rsidR="00C63547" w:rsidRPr="00C63547">
        <w:rPr>
          <w:rFonts w:eastAsia="Times New Roman"/>
          <w:bCs/>
          <w:sz w:val="24"/>
          <w:szCs w:val="24"/>
        </w:rPr>
        <w:t>, 2014 COA 127, ¶¶ 50, 60, 338 P.3d 1152 (holding that terms in a contract were subject to “a myriad of reasonable interpretations”).</w:t>
      </w:r>
    </w:p>
    <w:p w14:paraId="2F692392" w14:textId="6E5B8E53" w:rsidR="00C63547" w:rsidRPr="00C63547" w:rsidRDefault="00753103" w:rsidP="00C63547">
      <w:pPr>
        <w:spacing w:after="240"/>
        <w:ind w:firstLine="720"/>
        <w:rPr>
          <w:rFonts w:eastAsia="Times New Roman"/>
          <w:bCs/>
          <w:sz w:val="24"/>
          <w:szCs w:val="24"/>
        </w:rPr>
      </w:pPr>
      <w:r>
        <w:rPr>
          <w:rFonts w:eastAsia="Times New Roman"/>
          <w:bCs/>
          <w:sz w:val="24"/>
          <w:szCs w:val="24"/>
        </w:rPr>
        <w:t>5</w:t>
      </w:r>
      <w:r w:rsidR="00C63547" w:rsidRPr="00C63547">
        <w:rPr>
          <w:rFonts w:eastAsia="Times New Roman"/>
          <w:bCs/>
          <w:sz w:val="24"/>
          <w:szCs w:val="24"/>
        </w:rPr>
        <w:t xml:space="preserve">. Consequently, the instructions in this Part D apply only in cases involving written contracts that are ambiguous, where reasonable persons might reasonably differ as to how the ambiguity should be resolved, or where the provisions of an oral contract are in dispute. Once a contract term is found to be ambiguous, its meaning is a question of fact to be determined in the same manner as other questions of fact. </w:t>
      </w:r>
      <w:r w:rsidRPr="00812A4B">
        <w:rPr>
          <w:rFonts w:eastAsia="Times New Roman"/>
          <w:b/>
          <w:bCs/>
          <w:sz w:val="24"/>
          <w:szCs w:val="24"/>
        </w:rPr>
        <w:t>Sch. Dist. No. 1</w:t>
      </w:r>
      <w:r w:rsidRPr="00812A4B">
        <w:rPr>
          <w:rFonts w:eastAsia="Times New Roman"/>
          <w:bCs/>
          <w:sz w:val="24"/>
          <w:szCs w:val="24"/>
        </w:rPr>
        <w:t>, ¶ 14</w:t>
      </w:r>
      <w:r w:rsidR="00275682">
        <w:rPr>
          <w:rFonts w:eastAsia="Times New Roman"/>
          <w:bCs/>
          <w:sz w:val="24"/>
          <w:szCs w:val="24"/>
        </w:rPr>
        <w:t>, 433 P.3d at 41</w:t>
      </w:r>
      <w:r w:rsidRPr="00812A4B">
        <w:rPr>
          <w:rFonts w:eastAsia="Times New Roman"/>
          <w:bCs/>
          <w:sz w:val="24"/>
          <w:szCs w:val="24"/>
        </w:rPr>
        <w:t xml:space="preserve"> (</w:t>
      </w:r>
      <w:r w:rsidR="00A61589">
        <w:rPr>
          <w:color w:val="1E1E1E"/>
          <w:sz w:val="24"/>
          <w:szCs w:val="24"/>
          <w:shd w:val="clear" w:color="auto" w:fill="FFFFFF"/>
        </w:rPr>
        <w:t>“‘[I]</w:t>
      </w:r>
      <w:r w:rsidRPr="00812A4B">
        <w:rPr>
          <w:color w:val="1E1E1E"/>
          <w:sz w:val="24"/>
          <w:szCs w:val="24"/>
          <w:shd w:val="clear" w:color="auto" w:fill="FFFFFF"/>
        </w:rPr>
        <w:t>f it is fairly susceptible to more than one interpretation,’</w:t>
      </w:r>
      <w:r w:rsidR="00F75F0D">
        <w:rPr>
          <w:color w:val="1E1E1E"/>
          <w:sz w:val="24"/>
          <w:szCs w:val="24"/>
          <w:shd w:val="clear" w:color="auto" w:fill="FFFFFF"/>
        </w:rPr>
        <w:t xml:space="preserve"> </w:t>
      </w:r>
      <w:r w:rsidRPr="00812A4B">
        <w:rPr>
          <w:color w:val="1E1E1E"/>
          <w:sz w:val="24"/>
          <w:szCs w:val="24"/>
          <w:shd w:val="clear" w:color="auto" w:fill="FFFFFF"/>
        </w:rPr>
        <w:t>[a] contract is ambiguous and ‘the meaning of its terms is generally an issue of fact to be determined in the same manner as other disputed factual issues.’</w:t>
      </w:r>
      <w:r>
        <w:rPr>
          <w:color w:val="1E1E1E"/>
          <w:sz w:val="24"/>
          <w:szCs w:val="24"/>
          <w:shd w:val="clear" w:color="auto" w:fill="FFFFFF"/>
        </w:rPr>
        <w:t>”</w:t>
      </w:r>
      <w:r w:rsidR="00A61589">
        <w:rPr>
          <w:color w:val="1E1E1E"/>
          <w:sz w:val="24"/>
          <w:szCs w:val="24"/>
          <w:shd w:val="clear" w:color="auto" w:fill="FFFFFF"/>
        </w:rPr>
        <w:t xml:space="preserve"> </w:t>
      </w:r>
      <w:r w:rsidRPr="00812A4B">
        <w:rPr>
          <w:color w:val="1E1E1E"/>
          <w:sz w:val="24"/>
          <w:szCs w:val="24"/>
          <w:shd w:val="clear" w:color="auto" w:fill="FFFFFF"/>
        </w:rPr>
        <w:t>(quot</w:t>
      </w:r>
      <w:r>
        <w:rPr>
          <w:color w:val="1E1E1E"/>
          <w:sz w:val="24"/>
          <w:szCs w:val="24"/>
          <w:shd w:val="clear" w:color="auto" w:fill="FFFFFF"/>
        </w:rPr>
        <w:t xml:space="preserve">ing </w:t>
      </w:r>
      <w:r w:rsidRPr="00C63547">
        <w:rPr>
          <w:rFonts w:eastAsia="Times New Roman"/>
          <w:b/>
          <w:bCs/>
          <w:sz w:val="24"/>
          <w:szCs w:val="24"/>
        </w:rPr>
        <w:t>Dorman v. Petrol Aspen, Inc.</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914 P.2d 909</w:t>
      </w:r>
      <w:r>
        <w:rPr>
          <w:rFonts w:eastAsia="Times New Roman"/>
          <w:bCs/>
          <w:sz w:val="24"/>
          <w:szCs w:val="24"/>
        </w:rPr>
        <w:t>, 912</w:t>
      </w:r>
      <w:r w:rsidRPr="00C63547">
        <w:rPr>
          <w:rFonts w:eastAsia="Times New Roman"/>
          <w:bCs/>
          <w:sz w:val="24"/>
          <w:szCs w:val="24"/>
        </w:rPr>
        <w:t xml:space="preserve"> (Colo. 1996)</w:t>
      </w:r>
      <w:r w:rsidR="00A61589">
        <w:rPr>
          <w:rFonts w:eastAsia="Times New Roman"/>
          <w:bCs/>
          <w:sz w:val="24"/>
          <w:szCs w:val="24"/>
        </w:rPr>
        <w:t>)</w:t>
      </w:r>
      <w:r w:rsidRPr="00812A4B">
        <w:rPr>
          <w:color w:val="1E1E1E"/>
          <w:sz w:val="24"/>
          <w:szCs w:val="24"/>
          <w:shd w:val="clear" w:color="auto" w:fill="FFFFFF"/>
        </w:rPr>
        <w:t>)</w:t>
      </w:r>
      <w:r>
        <w:rPr>
          <w:color w:val="1E1E1E"/>
          <w:sz w:val="24"/>
          <w:szCs w:val="24"/>
          <w:shd w:val="clear" w:color="auto" w:fill="FFFFFF"/>
        </w:rPr>
        <w:t>;</w:t>
      </w:r>
      <w:r w:rsidRPr="00C63547">
        <w:rPr>
          <w:rFonts w:eastAsia="Times New Roman"/>
          <w:bCs/>
          <w:sz w:val="24"/>
          <w:szCs w:val="24"/>
        </w:rPr>
        <w:t xml:space="preserve"> </w:t>
      </w:r>
      <w:r w:rsidR="00C63547" w:rsidRPr="00C63547">
        <w:rPr>
          <w:rFonts w:eastAsia="Times New Roman"/>
          <w:b/>
          <w:bCs/>
          <w:sz w:val="24"/>
          <w:szCs w:val="24"/>
        </w:rPr>
        <w:t>Dorman</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 xml:space="preserve">914 P.2d </w:t>
      </w:r>
      <w:r>
        <w:rPr>
          <w:rFonts w:eastAsia="Times New Roman"/>
          <w:bCs/>
          <w:sz w:val="24"/>
          <w:szCs w:val="24"/>
        </w:rPr>
        <w:t xml:space="preserve">at </w:t>
      </w:r>
      <w:r w:rsidR="00C63547" w:rsidRPr="00C63547">
        <w:rPr>
          <w:rFonts w:eastAsia="Times New Roman"/>
          <w:bCs/>
          <w:sz w:val="24"/>
          <w:szCs w:val="24"/>
        </w:rPr>
        <w:t>9</w:t>
      </w:r>
      <w:r>
        <w:rPr>
          <w:rFonts w:eastAsia="Times New Roman"/>
          <w:bCs/>
          <w:sz w:val="24"/>
          <w:szCs w:val="24"/>
        </w:rPr>
        <w:t>12</w:t>
      </w:r>
      <w:r w:rsidR="00C63547" w:rsidRPr="00C63547">
        <w:rPr>
          <w:rFonts w:eastAsia="Times New Roman"/>
          <w:bCs/>
          <w:sz w:val="24"/>
          <w:szCs w:val="24"/>
        </w:rPr>
        <w:t xml:space="preserve">; </w:t>
      </w:r>
      <w:r w:rsidR="00C63547" w:rsidRPr="00C63547">
        <w:rPr>
          <w:rFonts w:eastAsia="Times New Roman"/>
          <w:b/>
          <w:bCs/>
          <w:sz w:val="24"/>
          <w:szCs w:val="24"/>
        </w:rPr>
        <w:t>Preserve at the Fort, Ltd. v. Prudential Huntoon Paige Assocs.</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 xml:space="preserve">129 P.3d 1015 (Colo. App. 2004); </w:t>
      </w:r>
      <w:r w:rsidR="00C63547" w:rsidRPr="00C63547">
        <w:rPr>
          <w:rFonts w:eastAsia="Times New Roman"/>
          <w:b/>
          <w:bCs/>
          <w:sz w:val="24"/>
          <w:szCs w:val="24"/>
        </w:rPr>
        <w:t>D.C. Concrete Mgmt., Inc. v. Mid-Century Ins. Co.</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39 P.3d 1205 (Colo. App. 2001). In those cases, it is the court’s function to determine what legal significance should be given to the various possible reasonable meanings from which the jury might determine the correct one, and the court should inform the jury in other instructions what they are to do if they find that the parties meant one interpretation as opposed to another.</w:t>
      </w:r>
    </w:p>
    <w:p w14:paraId="6F865554" w14:textId="1F9437B2" w:rsidR="00C63547" w:rsidRPr="00C63547" w:rsidRDefault="00753103" w:rsidP="00C63547">
      <w:pPr>
        <w:spacing w:after="240"/>
        <w:ind w:firstLine="720"/>
        <w:rPr>
          <w:rFonts w:eastAsia="Times New Roman"/>
          <w:bCs/>
          <w:sz w:val="24"/>
          <w:szCs w:val="24"/>
        </w:rPr>
      </w:pPr>
      <w:r>
        <w:rPr>
          <w:rFonts w:eastAsia="Times New Roman"/>
          <w:bCs/>
          <w:sz w:val="24"/>
          <w:szCs w:val="24"/>
        </w:rPr>
        <w:t>6</w:t>
      </w:r>
      <w:r w:rsidR="00C63547" w:rsidRPr="00C63547">
        <w:rPr>
          <w:rFonts w:eastAsia="Times New Roman"/>
          <w:bCs/>
          <w:sz w:val="24"/>
          <w:szCs w:val="24"/>
        </w:rPr>
        <w:t xml:space="preserve">. The primary aim in contract interpretation is to determine what the parties intended, and every word in an instrument is to be given meaning if at all possible. </w:t>
      </w:r>
      <w:r w:rsidR="0070700B" w:rsidRPr="003D18F5">
        <w:rPr>
          <w:rFonts w:eastAsia="Times New Roman"/>
          <w:b/>
          <w:sz w:val="24"/>
          <w:szCs w:val="24"/>
        </w:rPr>
        <w:t>French v. Centura Health Corp</w:t>
      </w:r>
      <w:r w:rsidR="0070700B" w:rsidRPr="00721341">
        <w:rPr>
          <w:rFonts w:eastAsia="Times New Roman"/>
          <w:b/>
          <w:bCs/>
          <w:sz w:val="24"/>
          <w:szCs w:val="24"/>
        </w:rPr>
        <w:t>.</w:t>
      </w:r>
      <w:r w:rsidR="0070700B">
        <w:rPr>
          <w:rFonts w:eastAsia="Times New Roman"/>
          <w:bCs/>
          <w:sz w:val="24"/>
          <w:szCs w:val="24"/>
        </w:rPr>
        <w:t xml:space="preserve">, 2022 CO 20, ¶ 25, 509 P.3d 443, 449 (“In interpreting a contract, our primary goal is to give effect to the parties’ intent.”); </w:t>
      </w:r>
      <w:r w:rsidR="00C63547" w:rsidRPr="00C63547">
        <w:rPr>
          <w:rFonts w:eastAsia="Times New Roman"/>
          <w:b/>
          <w:bCs/>
          <w:sz w:val="24"/>
          <w:szCs w:val="24"/>
        </w:rPr>
        <w:t>Fed. Deposit Ins. Corp. v. Fisher</w:t>
      </w:r>
      <w:r w:rsidR="00C63547" w:rsidRPr="00C63547">
        <w:rPr>
          <w:rFonts w:eastAsia="Times New Roman"/>
          <w:bCs/>
          <w:sz w:val="24"/>
          <w:szCs w:val="24"/>
        </w:rPr>
        <w:t>, 2013 CO 5, ¶ 11, 292 P.3d 934.</w:t>
      </w:r>
    </w:p>
    <w:p w14:paraId="0F8467B0" w14:textId="39FA2BBB" w:rsidR="00C63547" w:rsidRPr="00C63547" w:rsidRDefault="00753103" w:rsidP="00C63547">
      <w:pPr>
        <w:spacing w:after="240"/>
        <w:ind w:firstLine="720"/>
        <w:rPr>
          <w:rFonts w:eastAsia="Times New Roman"/>
          <w:bCs/>
          <w:sz w:val="24"/>
          <w:szCs w:val="24"/>
        </w:rPr>
      </w:pPr>
      <w:r>
        <w:rPr>
          <w:rFonts w:eastAsia="Times New Roman"/>
          <w:bCs/>
          <w:sz w:val="24"/>
          <w:szCs w:val="24"/>
        </w:rPr>
        <w:t>7</w:t>
      </w:r>
      <w:r w:rsidR="00C63547" w:rsidRPr="00C63547">
        <w:rPr>
          <w:rFonts w:eastAsia="Times New Roman"/>
          <w:bCs/>
          <w:sz w:val="24"/>
          <w:szCs w:val="24"/>
        </w:rPr>
        <w:t xml:space="preserve">. For a discussion as to whether an objective or subjective standard should be applied to a contract that is to be completed to the satisfaction of one of the parties, see </w:t>
      </w:r>
      <w:r w:rsidR="00C63547" w:rsidRPr="00C63547">
        <w:rPr>
          <w:rFonts w:eastAsia="Times New Roman"/>
          <w:b/>
          <w:bCs/>
          <w:sz w:val="24"/>
          <w:szCs w:val="24"/>
        </w:rPr>
        <w:t>Crum v. April Corp.</w:t>
      </w:r>
      <w:r w:rsidR="00C63547" w:rsidRPr="00C63547">
        <w:rPr>
          <w:rFonts w:eastAsia="Times New Roman"/>
          <w:bCs/>
          <w:sz w:val="24"/>
          <w:szCs w:val="24"/>
        </w:rPr>
        <w:t>, 62 P.3d 1039 (Colo. App. 2002).</w:t>
      </w:r>
    </w:p>
    <w:p w14:paraId="658A7B44" w14:textId="7B112205" w:rsidR="00C63547" w:rsidRDefault="00753103" w:rsidP="00C63547">
      <w:pPr>
        <w:spacing w:after="240"/>
        <w:ind w:firstLine="720"/>
        <w:rPr>
          <w:rFonts w:eastAsia="Times New Roman"/>
          <w:bCs/>
          <w:sz w:val="24"/>
          <w:szCs w:val="24"/>
        </w:rPr>
      </w:pPr>
      <w:r>
        <w:rPr>
          <w:rFonts w:eastAsia="Times New Roman"/>
          <w:bCs/>
          <w:sz w:val="24"/>
          <w:szCs w:val="24"/>
        </w:rPr>
        <w:t>8</w:t>
      </w:r>
      <w:r w:rsidR="00C63547" w:rsidRPr="00C63547">
        <w:rPr>
          <w:rFonts w:eastAsia="Times New Roman"/>
          <w:bCs/>
          <w:sz w:val="24"/>
          <w:szCs w:val="24"/>
        </w:rPr>
        <w:t xml:space="preserve">. </w:t>
      </w:r>
      <w:r w:rsidR="00655FDA">
        <w:rPr>
          <w:rFonts w:eastAsia="Times New Roman"/>
          <w:bCs/>
          <w:sz w:val="24"/>
          <w:szCs w:val="24"/>
        </w:rPr>
        <w:t>Statutory law</w:t>
      </w:r>
      <w:r w:rsidR="0019543E">
        <w:rPr>
          <w:rFonts w:eastAsia="Times New Roman"/>
          <w:bCs/>
          <w:sz w:val="24"/>
          <w:szCs w:val="24"/>
        </w:rPr>
        <w:t xml:space="preserve">, existing at the time a contract is made, and </w:t>
      </w:r>
      <w:r w:rsidR="00655FDA">
        <w:rPr>
          <w:rFonts w:eastAsia="Times New Roman"/>
          <w:bCs/>
          <w:sz w:val="24"/>
          <w:szCs w:val="24"/>
        </w:rPr>
        <w:t>which pertains to the terms of a contract</w:t>
      </w:r>
      <w:r w:rsidR="0019543E">
        <w:rPr>
          <w:rFonts w:eastAsia="Times New Roman"/>
          <w:bCs/>
          <w:sz w:val="24"/>
          <w:szCs w:val="24"/>
        </w:rPr>
        <w:t>, is part of the parties’ agreement.</w:t>
      </w:r>
      <w:r w:rsidR="00655FDA">
        <w:rPr>
          <w:rFonts w:eastAsia="Times New Roman"/>
          <w:bCs/>
          <w:sz w:val="24"/>
          <w:szCs w:val="24"/>
        </w:rPr>
        <w:t xml:space="preserve"> </w:t>
      </w:r>
      <w:r w:rsidR="00655FDA" w:rsidRPr="00C15B88">
        <w:rPr>
          <w:rFonts w:eastAsia="Times New Roman"/>
          <w:b/>
          <w:sz w:val="24"/>
          <w:szCs w:val="24"/>
        </w:rPr>
        <w:t>Alderman v. Bd</w:t>
      </w:r>
      <w:r w:rsidR="00C15B88">
        <w:rPr>
          <w:rFonts w:eastAsia="Times New Roman"/>
          <w:b/>
          <w:sz w:val="24"/>
          <w:szCs w:val="24"/>
        </w:rPr>
        <w:t>.</w:t>
      </w:r>
      <w:r w:rsidR="00655FDA" w:rsidRPr="00C15B88">
        <w:rPr>
          <w:rFonts w:eastAsia="Times New Roman"/>
          <w:b/>
          <w:sz w:val="24"/>
          <w:szCs w:val="24"/>
        </w:rPr>
        <w:t xml:space="preserve"> of Governors</w:t>
      </w:r>
      <w:r w:rsidR="006D5DE4" w:rsidRPr="00C15B88">
        <w:rPr>
          <w:rFonts w:eastAsia="Times New Roman"/>
          <w:b/>
          <w:sz w:val="24"/>
          <w:szCs w:val="24"/>
        </w:rPr>
        <w:t xml:space="preserve"> of Colo</w:t>
      </w:r>
      <w:r w:rsidR="00C15B88">
        <w:rPr>
          <w:rFonts w:eastAsia="Times New Roman"/>
          <w:b/>
          <w:sz w:val="24"/>
          <w:szCs w:val="24"/>
        </w:rPr>
        <w:t>.</w:t>
      </w:r>
      <w:r w:rsidR="006D5DE4" w:rsidRPr="00C15B88">
        <w:rPr>
          <w:rFonts w:eastAsia="Times New Roman"/>
          <w:b/>
          <w:sz w:val="24"/>
          <w:szCs w:val="24"/>
        </w:rPr>
        <w:t xml:space="preserve"> State Univ</w:t>
      </w:r>
      <w:r w:rsidR="00C15B88">
        <w:rPr>
          <w:rFonts w:eastAsia="Times New Roman"/>
          <w:b/>
          <w:sz w:val="24"/>
          <w:szCs w:val="24"/>
        </w:rPr>
        <w:t>.</w:t>
      </w:r>
      <w:r w:rsidR="006D5DE4">
        <w:rPr>
          <w:rFonts w:eastAsia="Times New Roman"/>
          <w:bCs/>
          <w:sz w:val="24"/>
          <w:szCs w:val="24"/>
        </w:rPr>
        <w:t>, 2023 COA 61, ¶</w:t>
      </w:r>
      <w:r w:rsidR="00C15B88">
        <w:rPr>
          <w:rFonts w:eastAsia="Times New Roman"/>
          <w:bCs/>
          <w:sz w:val="24"/>
          <w:szCs w:val="24"/>
        </w:rPr>
        <w:t>¶</w:t>
      </w:r>
      <w:r w:rsidR="006D5DE4">
        <w:rPr>
          <w:rFonts w:eastAsia="Times New Roman"/>
          <w:bCs/>
          <w:sz w:val="24"/>
          <w:szCs w:val="24"/>
        </w:rPr>
        <w:t xml:space="preserve"> </w:t>
      </w:r>
      <w:r w:rsidR="00C15B88">
        <w:rPr>
          <w:rFonts w:eastAsia="Times New Roman"/>
          <w:bCs/>
          <w:sz w:val="24"/>
          <w:szCs w:val="24"/>
        </w:rPr>
        <w:t xml:space="preserve">6, </w:t>
      </w:r>
      <w:r w:rsidR="006D5DE4">
        <w:rPr>
          <w:rFonts w:eastAsia="Times New Roman"/>
          <w:bCs/>
          <w:sz w:val="24"/>
          <w:szCs w:val="24"/>
        </w:rPr>
        <w:t>15 (statutory provision that allow</w:t>
      </w:r>
      <w:r w:rsidR="006A1932">
        <w:rPr>
          <w:rFonts w:eastAsia="Times New Roman"/>
          <w:bCs/>
          <w:sz w:val="24"/>
          <w:szCs w:val="24"/>
        </w:rPr>
        <w:t>s</w:t>
      </w:r>
      <w:r w:rsidR="006D5DE4">
        <w:rPr>
          <w:rFonts w:eastAsia="Times New Roman"/>
          <w:bCs/>
          <w:sz w:val="24"/>
          <w:szCs w:val="24"/>
        </w:rPr>
        <w:t xml:space="preserve"> the </w:t>
      </w:r>
      <w:r w:rsidR="0019543E">
        <w:rPr>
          <w:rFonts w:eastAsia="Times New Roman"/>
          <w:bCs/>
          <w:sz w:val="24"/>
          <w:szCs w:val="24"/>
        </w:rPr>
        <w:t>B</w:t>
      </w:r>
      <w:r w:rsidR="006D5DE4">
        <w:rPr>
          <w:rFonts w:eastAsia="Times New Roman"/>
          <w:bCs/>
          <w:sz w:val="24"/>
          <w:szCs w:val="24"/>
        </w:rPr>
        <w:t>oard to “</w:t>
      </w:r>
      <w:r w:rsidR="0019543E">
        <w:rPr>
          <w:rFonts w:eastAsia="Times New Roman"/>
          <w:bCs/>
          <w:sz w:val="24"/>
          <w:szCs w:val="24"/>
        </w:rPr>
        <w:t>temporarily</w:t>
      </w:r>
      <w:r w:rsidR="006D5DE4">
        <w:rPr>
          <w:rFonts w:eastAsia="Times New Roman"/>
          <w:bCs/>
          <w:sz w:val="24"/>
          <w:szCs w:val="24"/>
        </w:rPr>
        <w:t xml:space="preserve"> suspend a university in case of . . .</w:t>
      </w:r>
      <w:r w:rsidR="00C15B88">
        <w:rPr>
          <w:rFonts w:eastAsia="Times New Roman"/>
          <w:bCs/>
          <w:sz w:val="24"/>
          <w:szCs w:val="24"/>
        </w:rPr>
        <w:t xml:space="preserve"> </w:t>
      </w:r>
      <w:r w:rsidR="006D5DE4">
        <w:rPr>
          <w:rFonts w:eastAsia="Times New Roman"/>
          <w:bCs/>
          <w:sz w:val="24"/>
          <w:szCs w:val="24"/>
        </w:rPr>
        <w:t xml:space="preserve">the prevalence of fatal diseases” </w:t>
      </w:r>
      <w:r w:rsidR="006A1932">
        <w:rPr>
          <w:rFonts w:eastAsia="Times New Roman"/>
          <w:bCs/>
          <w:sz w:val="24"/>
          <w:szCs w:val="24"/>
        </w:rPr>
        <w:t>is</w:t>
      </w:r>
      <w:r w:rsidR="006D5DE4">
        <w:rPr>
          <w:rFonts w:eastAsia="Times New Roman"/>
          <w:bCs/>
          <w:sz w:val="24"/>
          <w:szCs w:val="24"/>
        </w:rPr>
        <w:t xml:space="preserve"> </w:t>
      </w:r>
      <w:r w:rsidR="006A1932">
        <w:rPr>
          <w:rFonts w:eastAsia="Times New Roman"/>
          <w:bCs/>
          <w:sz w:val="24"/>
          <w:szCs w:val="24"/>
        </w:rPr>
        <w:t>part of</w:t>
      </w:r>
      <w:r w:rsidR="006D5DE4">
        <w:rPr>
          <w:rFonts w:eastAsia="Times New Roman"/>
          <w:bCs/>
          <w:sz w:val="24"/>
          <w:szCs w:val="24"/>
        </w:rPr>
        <w:t xml:space="preserve"> the </w:t>
      </w:r>
      <w:r w:rsidR="006A1932">
        <w:rPr>
          <w:rFonts w:eastAsia="Times New Roman"/>
          <w:bCs/>
          <w:sz w:val="24"/>
          <w:szCs w:val="24"/>
        </w:rPr>
        <w:t>contract between a student and the university</w:t>
      </w:r>
      <w:r w:rsidR="006D5DE4">
        <w:rPr>
          <w:rFonts w:eastAsia="Times New Roman"/>
          <w:bCs/>
          <w:sz w:val="24"/>
          <w:szCs w:val="24"/>
        </w:rPr>
        <w:t>)</w:t>
      </w:r>
      <w:r w:rsidR="006A1932">
        <w:rPr>
          <w:rFonts w:eastAsia="Times New Roman"/>
          <w:bCs/>
          <w:sz w:val="24"/>
          <w:szCs w:val="24"/>
        </w:rPr>
        <w:t xml:space="preserve">; </w:t>
      </w:r>
      <w:r w:rsidR="006A1932" w:rsidRPr="00C15B88">
        <w:rPr>
          <w:rFonts w:eastAsia="Times New Roman"/>
          <w:b/>
          <w:sz w:val="24"/>
          <w:szCs w:val="24"/>
        </w:rPr>
        <w:t>Keelan v. Van Waters &amp; Rogers, Inc</w:t>
      </w:r>
      <w:r w:rsidR="006A1932" w:rsidRPr="00D82193">
        <w:rPr>
          <w:rFonts w:eastAsia="Times New Roman"/>
          <w:b/>
          <w:sz w:val="24"/>
          <w:szCs w:val="24"/>
        </w:rPr>
        <w:t>.</w:t>
      </w:r>
      <w:r w:rsidR="006A1932">
        <w:rPr>
          <w:rFonts w:eastAsia="Times New Roman"/>
          <w:bCs/>
          <w:sz w:val="24"/>
          <w:szCs w:val="24"/>
        </w:rPr>
        <w:t>, 820 P.</w:t>
      </w:r>
      <w:r w:rsidR="00C15B88">
        <w:rPr>
          <w:rFonts w:eastAsia="Times New Roman"/>
          <w:bCs/>
          <w:sz w:val="24"/>
          <w:szCs w:val="24"/>
        </w:rPr>
        <w:t xml:space="preserve">2d </w:t>
      </w:r>
      <w:r w:rsidR="006A1932">
        <w:rPr>
          <w:rFonts w:eastAsia="Times New Roman"/>
          <w:bCs/>
          <w:sz w:val="24"/>
          <w:szCs w:val="24"/>
        </w:rPr>
        <w:t xml:space="preserve">1145 (Colo. App 1991); </w:t>
      </w:r>
      <w:r w:rsidR="006A1932" w:rsidRPr="00C15B88">
        <w:rPr>
          <w:rFonts w:eastAsia="Times New Roman"/>
          <w:b/>
          <w:sz w:val="24"/>
          <w:szCs w:val="24"/>
        </w:rPr>
        <w:t>Colo</w:t>
      </w:r>
      <w:r w:rsidR="00FB33C7">
        <w:rPr>
          <w:rFonts w:eastAsia="Times New Roman"/>
          <w:b/>
          <w:sz w:val="24"/>
          <w:szCs w:val="24"/>
        </w:rPr>
        <w:t>.</w:t>
      </w:r>
      <w:r w:rsidR="006A1932" w:rsidRPr="00C15B88">
        <w:rPr>
          <w:rFonts w:eastAsia="Times New Roman"/>
          <w:b/>
          <w:sz w:val="24"/>
          <w:szCs w:val="24"/>
        </w:rPr>
        <w:t xml:space="preserve"> Inv</w:t>
      </w:r>
      <w:r w:rsidR="00FB33C7">
        <w:rPr>
          <w:rFonts w:eastAsia="Times New Roman"/>
          <w:b/>
          <w:sz w:val="24"/>
          <w:szCs w:val="24"/>
        </w:rPr>
        <w:t>.</w:t>
      </w:r>
      <w:r w:rsidR="006A1932" w:rsidRPr="00C15B88">
        <w:rPr>
          <w:rFonts w:eastAsia="Times New Roman"/>
          <w:b/>
          <w:sz w:val="24"/>
          <w:szCs w:val="24"/>
        </w:rPr>
        <w:t xml:space="preserve"> Servs</w:t>
      </w:r>
      <w:r w:rsidR="00FB33C7">
        <w:rPr>
          <w:rFonts w:eastAsia="Times New Roman"/>
          <w:b/>
          <w:sz w:val="24"/>
          <w:szCs w:val="24"/>
        </w:rPr>
        <w:t>.</w:t>
      </w:r>
      <w:r w:rsidR="006A1932" w:rsidRPr="00C15B88">
        <w:rPr>
          <w:rFonts w:eastAsia="Times New Roman"/>
          <w:b/>
          <w:sz w:val="24"/>
          <w:szCs w:val="24"/>
        </w:rPr>
        <w:t xml:space="preserve">, Inc. v. </w:t>
      </w:r>
      <w:r w:rsidR="00FB33C7">
        <w:rPr>
          <w:rFonts w:eastAsia="Times New Roman"/>
          <w:b/>
          <w:sz w:val="24"/>
          <w:szCs w:val="24"/>
        </w:rPr>
        <w:t xml:space="preserve">City of </w:t>
      </w:r>
      <w:r w:rsidR="006A1932" w:rsidRPr="00C15B88">
        <w:rPr>
          <w:rFonts w:eastAsia="Times New Roman"/>
          <w:b/>
          <w:sz w:val="24"/>
          <w:szCs w:val="24"/>
        </w:rPr>
        <w:t>Westminster</w:t>
      </w:r>
      <w:r w:rsidR="006A1932">
        <w:rPr>
          <w:rFonts w:eastAsia="Times New Roman"/>
          <w:bCs/>
          <w:sz w:val="24"/>
          <w:szCs w:val="24"/>
        </w:rPr>
        <w:t>, 636 P.2d 1316 (Colo. App. 1981)</w:t>
      </w:r>
      <w:r w:rsidR="00FB33C7">
        <w:rPr>
          <w:rFonts w:eastAsia="Times New Roman"/>
          <w:bCs/>
          <w:sz w:val="24"/>
          <w:szCs w:val="24"/>
        </w:rPr>
        <w:t>.</w:t>
      </w:r>
    </w:p>
    <w:p w14:paraId="0CA7BF9D" w14:textId="77777777" w:rsidR="00C63547" w:rsidRDefault="00C63547" w:rsidP="00C63547">
      <w:pPr>
        <w:spacing w:after="240"/>
        <w:ind w:firstLine="720"/>
        <w:rPr>
          <w:rFonts w:eastAsia="Times New Roman"/>
          <w:bCs/>
          <w:sz w:val="24"/>
          <w:szCs w:val="24"/>
        </w:rPr>
      </w:pPr>
      <w:r>
        <w:rPr>
          <w:rFonts w:eastAsia="Times New Roman"/>
          <w:bCs/>
          <w:sz w:val="24"/>
          <w:szCs w:val="24"/>
        </w:rPr>
        <w:br w:type="page"/>
      </w:r>
    </w:p>
    <w:p w14:paraId="1A6EB0B2" w14:textId="77777777" w:rsidR="00C91B1F" w:rsidRPr="009E3DA4" w:rsidRDefault="00C63547" w:rsidP="00C91B1F">
      <w:pPr>
        <w:spacing w:after="240"/>
        <w:ind w:left="720" w:hanging="720"/>
        <w:rPr>
          <w:rFonts w:eastAsia="Times New Roman"/>
          <w:b/>
          <w:sz w:val="24"/>
          <w:szCs w:val="24"/>
        </w:rPr>
      </w:pPr>
      <w:bookmarkStart w:id="32" w:name="a30_30"/>
      <w:bookmarkEnd w:id="32"/>
      <w:r w:rsidRPr="00C63547">
        <w:rPr>
          <w:rFonts w:eastAsia="Times New Roman"/>
          <w:b/>
          <w:bCs/>
          <w:sz w:val="24"/>
          <w:szCs w:val="24"/>
        </w:rPr>
        <w:lastRenderedPageBreak/>
        <w:t>30:30</w:t>
      </w:r>
      <w:r w:rsidRPr="00C63547">
        <w:rPr>
          <w:rFonts w:eastAsia="Times New Roman"/>
          <w:b/>
          <w:bCs/>
          <w:sz w:val="24"/>
          <w:szCs w:val="24"/>
        </w:rPr>
        <w:tab/>
        <w:t>CONTRACT INTERPRETATION — DISPUTED TERM</w:t>
      </w:r>
    </w:p>
    <w:p w14:paraId="237D5B28" w14:textId="77777777" w:rsidR="00C63547" w:rsidRPr="00C63547" w:rsidRDefault="00C63547" w:rsidP="00C63547">
      <w:pPr>
        <w:spacing w:after="240"/>
        <w:ind w:firstLine="720"/>
        <w:rPr>
          <w:rFonts w:eastAsia="Times New Roman"/>
          <w:b/>
          <w:bCs/>
          <w:sz w:val="24"/>
          <w:szCs w:val="24"/>
        </w:rPr>
      </w:pPr>
      <w:r w:rsidRPr="00C63547">
        <w:rPr>
          <w:rFonts w:eastAsia="Times New Roman"/>
          <w:b/>
          <w:bCs/>
          <w:sz w:val="24"/>
          <w:szCs w:val="24"/>
        </w:rPr>
        <w:t>(Plaintiff) (Defendant) disputes the meaning of the following term contained in the contract:</w:t>
      </w:r>
    </w:p>
    <w:p w14:paraId="1B1ED3BE" w14:textId="77777777" w:rsidR="00C63547" w:rsidRPr="00C63547" w:rsidRDefault="00C63547" w:rsidP="00C63547">
      <w:pPr>
        <w:spacing w:after="240"/>
        <w:ind w:left="1440"/>
        <w:rPr>
          <w:rFonts w:eastAsia="Times New Roman"/>
          <w:bCs/>
          <w:sz w:val="24"/>
          <w:szCs w:val="24"/>
        </w:rPr>
      </w:pPr>
      <w:r w:rsidRPr="00C63547">
        <w:rPr>
          <w:rFonts w:eastAsia="Times New Roman"/>
          <w:bCs/>
          <w:i/>
          <w:sz w:val="24"/>
          <w:szCs w:val="24"/>
        </w:rPr>
        <w:t>(</w:t>
      </w:r>
      <w:r w:rsidRPr="00C63547">
        <w:rPr>
          <w:rFonts w:eastAsia="Times New Roman"/>
          <w:bCs/>
          <w:i/>
          <w:iCs/>
          <w:sz w:val="24"/>
          <w:szCs w:val="24"/>
        </w:rPr>
        <w:t>insert text of the term)</w:t>
      </w:r>
    </w:p>
    <w:p w14:paraId="08ADDB12" w14:textId="77777777" w:rsidR="00C63547" w:rsidRPr="00C63547" w:rsidRDefault="00C63547" w:rsidP="00C63547">
      <w:pPr>
        <w:spacing w:after="240"/>
        <w:ind w:firstLine="720"/>
        <w:rPr>
          <w:rFonts w:eastAsia="Times New Roman"/>
          <w:b/>
          <w:bCs/>
          <w:sz w:val="24"/>
          <w:szCs w:val="24"/>
        </w:rPr>
      </w:pPr>
      <w:r w:rsidRPr="00C63547">
        <w:rPr>
          <w:rFonts w:eastAsia="Times New Roman"/>
          <w:b/>
          <w:bCs/>
          <w:sz w:val="24"/>
          <w:szCs w:val="24"/>
        </w:rPr>
        <w:t>(</w:t>
      </w:r>
      <w:r w:rsidRPr="00C63547">
        <w:rPr>
          <w:rFonts w:eastAsia="Times New Roman"/>
          <w:b/>
          <w:bCs/>
          <w:iCs/>
          <w:sz w:val="24"/>
          <w:szCs w:val="24"/>
        </w:rPr>
        <w:t>Plaintiff) (Defendant)</w:t>
      </w:r>
      <w:r w:rsidRPr="00C63547">
        <w:rPr>
          <w:rFonts w:eastAsia="Times New Roman"/>
          <w:b/>
          <w:bCs/>
          <w:sz w:val="24"/>
          <w:szCs w:val="24"/>
        </w:rPr>
        <w:t xml:space="preserve"> claims that the term means </w:t>
      </w:r>
      <w:r w:rsidRPr="00C63547">
        <w:rPr>
          <w:rFonts w:eastAsia="Times New Roman"/>
          <w:bCs/>
          <w:i/>
          <w:sz w:val="24"/>
          <w:szCs w:val="24"/>
        </w:rPr>
        <w:t>(</w:t>
      </w:r>
      <w:r w:rsidRPr="00C63547">
        <w:rPr>
          <w:rFonts w:eastAsia="Times New Roman"/>
          <w:bCs/>
          <w:i/>
          <w:iCs/>
          <w:sz w:val="24"/>
          <w:szCs w:val="24"/>
        </w:rPr>
        <w:t>insert proposed interpretation of the term)</w:t>
      </w:r>
      <w:r w:rsidRPr="00C63547">
        <w:rPr>
          <w:rFonts w:eastAsia="Times New Roman"/>
          <w:b/>
          <w:bCs/>
          <w:sz w:val="24"/>
          <w:szCs w:val="24"/>
        </w:rPr>
        <w:t xml:space="preserve">. On the other hand, (plaintiff) (defendant) claims that the term means </w:t>
      </w:r>
      <w:r w:rsidRPr="00C63547">
        <w:rPr>
          <w:rFonts w:eastAsia="Times New Roman"/>
          <w:bCs/>
          <w:i/>
          <w:sz w:val="24"/>
          <w:szCs w:val="24"/>
        </w:rPr>
        <w:t>(</w:t>
      </w:r>
      <w:r w:rsidRPr="00C63547">
        <w:rPr>
          <w:rFonts w:eastAsia="Times New Roman"/>
          <w:bCs/>
          <w:i/>
          <w:iCs/>
          <w:sz w:val="24"/>
          <w:szCs w:val="24"/>
        </w:rPr>
        <w:t>insert proposed interpretation of the term)</w:t>
      </w:r>
      <w:r w:rsidRPr="00C63547">
        <w:rPr>
          <w:rFonts w:eastAsia="Times New Roman"/>
          <w:b/>
          <w:bCs/>
          <w:i/>
          <w:iCs/>
          <w:sz w:val="24"/>
          <w:szCs w:val="24"/>
        </w:rPr>
        <w:t>.</w:t>
      </w:r>
      <w:r w:rsidRPr="00C63547">
        <w:rPr>
          <w:rFonts w:eastAsia="Times New Roman"/>
          <w:b/>
          <w:bCs/>
          <w:sz w:val="24"/>
          <w:szCs w:val="24"/>
        </w:rPr>
        <w:t xml:space="preserve"> </w:t>
      </w:r>
    </w:p>
    <w:p w14:paraId="10B9FA1D" w14:textId="77777777" w:rsidR="00C91B1F" w:rsidRDefault="00C91B1F" w:rsidP="00C91B1F">
      <w:pPr>
        <w:jc w:val="center"/>
        <w:rPr>
          <w:rFonts w:eastAsia="Times New Roman"/>
          <w:sz w:val="24"/>
          <w:szCs w:val="24"/>
        </w:rPr>
      </w:pPr>
    </w:p>
    <w:p w14:paraId="49BCE355" w14:textId="77777777" w:rsidR="00C91B1F" w:rsidRPr="0054263B" w:rsidRDefault="00C91B1F" w:rsidP="00C91B1F">
      <w:pPr>
        <w:keepNext/>
        <w:spacing w:after="240"/>
        <w:jc w:val="center"/>
        <w:rPr>
          <w:rFonts w:eastAsia="Times New Roman"/>
          <w:b/>
          <w:sz w:val="24"/>
          <w:szCs w:val="24"/>
        </w:rPr>
      </w:pPr>
      <w:r w:rsidRPr="0054263B">
        <w:rPr>
          <w:rFonts w:eastAsia="Times New Roman"/>
          <w:b/>
          <w:sz w:val="24"/>
          <w:szCs w:val="24"/>
        </w:rPr>
        <w:t>Notes on Use</w:t>
      </w:r>
    </w:p>
    <w:p w14:paraId="6E6A0194"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1. When the court has determined the contract term is ambiguous or there is an oral contract where the terms are disputed, this instruction should be used. </w:t>
      </w:r>
      <w:r w:rsidRPr="00C63547">
        <w:rPr>
          <w:rFonts w:eastAsia="Times New Roman"/>
          <w:bCs/>
          <w:i/>
          <w:sz w:val="24"/>
          <w:szCs w:val="24"/>
        </w:rPr>
        <w:t>See</w:t>
      </w:r>
      <w:r w:rsidRPr="00C63547">
        <w:rPr>
          <w:rFonts w:eastAsia="Times New Roman"/>
          <w:bCs/>
          <w:sz w:val="24"/>
          <w:szCs w:val="24"/>
        </w:rPr>
        <w:t xml:space="preserve"> Introductory Note to Part D of this Chapter; </w:t>
      </w:r>
      <w:r w:rsidRPr="00C63547">
        <w:rPr>
          <w:rFonts w:eastAsia="Times New Roman"/>
          <w:bCs/>
          <w:i/>
          <w:sz w:val="24"/>
          <w:szCs w:val="24"/>
        </w:rPr>
        <w:t>see also</w:t>
      </w:r>
      <w:r w:rsidRPr="00C63547">
        <w:rPr>
          <w:rFonts w:eastAsia="Times New Roman"/>
          <w:bCs/>
          <w:sz w:val="24"/>
          <w:szCs w:val="24"/>
        </w:rPr>
        <w:t xml:space="preserve"> C.R.C.P. 38(a) (“all issues of fact shall be tried by a jury”).</w:t>
      </w:r>
    </w:p>
    <w:p w14:paraId="73CB7277"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2. This instruction supplements Instruction 2:1 in that it provides an introduction to the specific issues of the disputed terms of the contract and introduces the instructions to the jury for deciding those issues.</w:t>
      </w:r>
    </w:p>
    <w:p w14:paraId="5EF3280E"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3. Instruction 30:31 (parties’ intent), must be given with this Instruction. Other instructions contained in Part D of this Chapter should be considered and used as necessary to instruct on the interpretation of the contract.</w:t>
      </w:r>
    </w:p>
    <w:p w14:paraId="31547F6C" w14:textId="77777777" w:rsidR="00C91B1F" w:rsidRPr="0054263B" w:rsidRDefault="00C91B1F" w:rsidP="00C91B1F">
      <w:pPr>
        <w:keepNext/>
        <w:spacing w:after="240"/>
        <w:jc w:val="center"/>
        <w:rPr>
          <w:rFonts w:eastAsia="Times New Roman"/>
          <w:b/>
          <w:sz w:val="24"/>
          <w:szCs w:val="24"/>
        </w:rPr>
      </w:pPr>
      <w:r>
        <w:rPr>
          <w:rFonts w:eastAsia="Times New Roman"/>
          <w:b/>
          <w:sz w:val="24"/>
          <w:szCs w:val="24"/>
        </w:rPr>
        <w:t>Source and Authority</w:t>
      </w:r>
    </w:p>
    <w:p w14:paraId="11A92003" w14:textId="2C57FE48" w:rsidR="00C63547" w:rsidRDefault="00C63547" w:rsidP="00C63547">
      <w:pPr>
        <w:spacing w:after="240"/>
        <w:ind w:firstLine="720"/>
        <w:rPr>
          <w:rFonts w:eastAsia="Times New Roman"/>
          <w:bCs/>
          <w:sz w:val="24"/>
          <w:szCs w:val="24"/>
        </w:rPr>
      </w:pPr>
      <w:r w:rsidRPr="00C63547">
        <w:rPr>
          <w:rFonts w:eastAsia="Times New Roman"/>
          <w:bCs/>
          <w:sz w:val="24"/>
          <w:szCs w:val="24"/>
        </w:rPr>
        <w:t xml:space="preserve">This instruction is supported by </w:t>
      </w:r>
      <w:r w:rsidRPr="00C63547">
        <w:rPr>
          <w:rFonts w:eastAsia="Times New Roman"/>
          <w:b/>
          <w:bCs/>
          <w:sz w:val="24"/>
          <w:szCs w:val="24"/>
        </w:rPr>
        <w:t>Sch</w:t>
      </w:r>
      <w:r w:rsidR="00753103">
        <w:rPr>
          <w:rFonts w:eastAsia="Times New Roman"/>
          <w:b/>
          <w:bCs/>
          <w:sz w:val="24"/>
          <w:szCs w:val="24"/>
        </w:rPr>
        <w:t>ool</w:t>
      </w:r>
      <w:r w:rsidRPr="00C63547">
        <w:rPr>
          <w:rFonts w:eastAsia="Times New Roman"/>
          <w:b/>
          <w:bCs/>
          <w:sz w:val="24"/>
          <w:szCs w:val="24"/>
        </w:rPr>
        <w:t xml:space="preserve"> Dist</w:t>
      </w:r>
      <w:r w:rsidR="00753103">
        <w:rPr>
          <w:rFonts w:eastAsia="Times New Roman"/>
          <w:b/>
          <w:bCs/>
          <w:sz w:val="24"/>
          <w:szCs w:val="24"/>
        </w:rPr>
        <w:t>rict</w:t>
      </w:r>
      <w:r w:rsidRPr="00C63547">
        <w:rPr>
          <w:rFonts w:eastAsia="Times New Roman"/>
          <w:b/>
          <w:bCs/>
          <w:sz w:val="24"/>
          <w:szCs w:val="24"/>
        </w:rPr>
        <w:t xml:space="preserve"> No. 1</w:t>
      </w:r>
      <w:r w:rsidR="00753103">
        <w:rPr>
          <w:rFonts w:eastAsia="Times New Roman"/>
          <w:b/>
          <w:bCs/>
          <w:sz w:val="24"/>
          <w:szCs w:val="24"/>
        </w:rPr>
        <w:t xml:space="preserve"> v. Classroom Teachers Ass’n</w:t>
      </w:r>
      <w:r w:rsidRPr="00C63547">
        <w:rPr>
          <w:rFonts w:eastAsia="Times New Roman"/>
          <w:bCs/>
          <w:sz w:val="24"/>
          <w:szCs w:val="24"/>
        </w:rPr>
        <w:t>, 201</w:t>
      </w:r>
      <w:r w:rsidR="00753103">
        <w:rPr>
          <w:rFonts w:eastAsia="Times New Roman"/>
          <w:bCs/>
          <w:sz w:val="24"/>
          <w:szCs w:val="24"/>
        </w:rPr>
        <w:t>9</w:t>
      </w:r>
      <w:r w:rsidRPr="00C63547">
        <w:rPr>
          <w:rFonts w:eastAsia="Times New Roman"/>
          <w:bCs/>
          <w:sz w:val="24"/>
          <w:szCs w:val="24"/>
        </w:rPr>
        <w:t xml:space="preserve"> CO </w:t>
      </w:r>
      <w:r w:rsidR="00753103">
        <w:rPr>
          <w:rFonts w:eastAsia="Times New Roman"/>
          <w:bCs/>
          <w:sz w:val="24"/>
          <w:szCs w:val="24"/>
        </w:rPr>
        <w:t>5</w:t>
      </w:r>
      <w:r w:rsidRPr="00C63547">
        <w:rPr>
          <w:rFonts w:eastAsia="Times New Roman"/>
          <w:bCs/>
          <w:sz w:val="24"/>
          <w:szCs w:val="24"/>
        </w:rPr>
        <w:t xml:space="preserve">, ¶ </w:t>
      </w:r>
      <w:r w:rsidR="00753103">
        <w:rPr>
          <w:rFonts w:eastAsia="Times New Roman"/>
          <w:bCs/>
          <w:sz w:val="24"/>
          <w:szCs w:val="24"/>
        </w:rPr>
        <w:t>23</w:t>
      </w:r>
      <w:r w:rsidR="00676566">
        <w:rPr>
          <w:rFonts w:eastAsia="Times New Roman"/>
          <w:bCs/>
          <w:sz w:val="24"/>
          <w:szCs w:val="24"/>
        </w:rPr>
        <w:t>, 43</w:t>
      </w:r>
      <w:r w:rsidR="00753103">
        <w:rPr>
          <w:rFonts w:eastAsia="Times New Roman"/>
          <w:bCs/>
          <w:sz w:val="24"/>
          <w:szCs w:val="24"/>
        </w:rPr>
        <w:t>3</w:t>
      </w:r>
      <w:r w:rsidR="00676566">
        <w:rPr>
          <w:rFonts w:eastAsia="Times New Roman"/>
          <w:bCs/>
          <w:sz w:val="24"/>
          <w:szCs w:val="24"/>
        </w:rPr>
        <w:t xml:space="preserve"> P.3d </w:t>
      </w:r>
      <w:r w:rsidR="00753103">
        <w:rPr>
          <w:rFonts w:eastAsia="Times New Roman"/>
          <w:bCs/>
          <w:sz w:val="24"/>
          <w:szCs w:val="24"/>
        </w:rPr>
        <w:t>38, 43</w:t>
      </w:r>
      <w:r w:rsidRPr="00C63547">
        <w:rPr>
          <w:rFonts w:eastAsia="Times New Roman"/>
          <w:bCs/>
          <w:sz w:val="24"/>
          <w:szCs w:val="24"/>
        </w:rPr>
        <w:t xml:space="preserve"> (“We conclude that the </w:t>
      </w:r>
      <w:r w:rsidR="00753103" w:rsidRPr="00EF62AA">
        <w:rPr>
          <w:color w:val="1E1E1E"/>
          <w:sz w:val="24"/>
          <w:szCs w:val="24"/>
          <w:shd w:val="clear" w:color="auto" w:fill="FFFFFF"/>
        </w:rPr>
        <w:t>court of appeals correctly decided that it was proper to submit the interpretation of the CBAs as an issue of fact to the jury because the CBAs are ambiguous reg</w:t>
      </w:r>
      <w:r w:rsidR="00753103">
        <w:rPr>
          <w:color w:val="1E1E1E"/>
          <w:sz w:val="24"/>
          <w:szCs w:val="24"/>
          <w:shd w:val="clear" w:color="auto" w:fill="FFFFFF"/>
        </w:rPr>
        <w:t>arding payment for ELA training</w:t>
      </w:r>
      <w:r w:rsidRPr="00C63547">
        <w:rPr>
          <w:rFonts w:eastAsia="Times New Roman"/>
          <w:bCs/>
          <w:sz w:val="24"/>
          <w:szCs w:val="24"/>
        </w:rPr>
        <w:t>.”)</w:t>
      </w:r>
      <w:r w:rsidR="00753103">
        <w:rPr>
          <w:rFonts w:eastAsia="Times New Roman"/>
          <w:bCs/>
          <w:sz w:val="24"/>
          <w:szCs w:val="24"/>
        </w:rPr>
        <w:t>;</w:t>
      </w:r>
      <w:r w:rsidR="00753103" w:rsidRPr="00753103">
        <w:rPr>
          <w:rFonts w:eastAsia="Times New Roman"/>
          <w:b/>
          <w:bCs/>
          <w:sz w:val="24"/>
          <w:szCs w:val="24"/>
        </w:rPr>
        <w:t xml:space="preserve"> </w:t>
      </w:r>
      <w:r w:rsidR="00753103" w:rsidRPr="00753103">
        <w:rPr>
          <w:rFonts w:eastAsia="Times New Roman"/>
          <w:bCs/>
          <w:sz w:val="24"/>
          <w:szCs w:val="24"/>
        </w:rPr>
        <w:t>and</w:t>
      </w:r>
      <w:r w:rsidR="00753103">
        <w:rPr>
          <w:rFonts w:eastAsia="Times New Roman"/>
          <w:b/>
          <w:bCs/>
          <w:sz w:val="24"/>
          <w:szCs w:val="24"/>
        </w:rPr>
        <w:t xml:space="preserve"> </w:t>
      </w:r>
      <w:r w:rsidR="00753103" w:rsidRPr="00C63547">
        <w:rPr>
          <w:rFonts w:eastAsia="Times New Roman"/>
          <w:b/>
          <w:bCs/>
          <w:sz w:val="24"/>
          <w:szCs w:val="24"/>
        </w:rPr>
        <w:t>Dorman v. Petrol Aspen, Inc.</w:t>
      </w:r>
      <w:r w:rsidR="00753103" w:rsidRPr="002032E9">
        <w:rPr>
          <w:rFonts w:eastAsia="Times New Roman"/>
          <w:bCs/>
          <w:sz w:val="24"/>
          <w:szCs w:val="24"/>
        </w:rPr>
        <w:t>,</w:t>
      </w:r>
      <w:r w:rsidR="00753103" w:rsidRPr="00C63547">
        <w:rPr>
          <w:rFonts w:eastAsia="Times New Roman"/>
          <w:bCs/>
          <w:sz w:val="24"/>
          <w:szCs w:val="24"/>
        </w:rPr>
        <w:t xml:space="preserve"> 914 P.2d 909 (Colo. 1996) (the meaning of ambiguous contractual terms is generally an issue of fact)</w:t>
      </w:r>
      <w:r w:rsidR="00753103">
        <w:rPr>
          <w:rFonts w:eastAsia="Times New Roman"/>
          <w:bCs/>
          <w:sz w:val="24"/>
          <w:szCs w:val="24"/>
        </w:rPr>
        <w:t>.</w:t>
      </w:r>
    </w:p>
    <w:p w14:paraId="203DDB66" w14:textId="77777777" w:rsidR="00C63547" w:rsidRDefault="00C63547">
      <w:pPr>
        <w:rPr>
          <w:rFonts w:eastAsia="Times New Roman"/>
          <w:bCs/>
          <w:sz w:val="24"/>
          <w:szCs w:val="24"/>
        </w:rPr>
      </w:pPr>
      <w:r>
        <w:rPr>
          <w:rFonts w:eastAsia="Times New Roman"/>
          <w:bCs/>
          <w:sz w:val="24"/>
          <w:szCs w:val="24"/>
        </w:rPr>
        <w:br w:type="page"/>
      </w:r>
    </w:p>
    <w:p w14:paraId="00169666" w14:textId="77777777" w:rsidR="00C63547" w:rsidRPr="009E3DA4" w:rsidRDefault="00C63547" w:rsidP="00C63547">
      <w:pPr>
        <w:spacing w:after="240"/>
        <w:ind w:left="720" w:hanging="720"/>
        <w:rPr>
          <w:rFonts w:eastAsia="Times New Roman"/>
          <w:b/>
          <w:sz w:val="24"/>
          <w:szCs w:val="24"/>
        </w:rPr>
      </w:pPr>
      <w:bookmarkStart w:id="33" w:name="a30_31"/>
      <w:bookmarkEnd w:id="33"/>
      <w:r w:rsidRPr="00C63547">
        <w:rPr>
          <w:rFonts w:eastAsia="Times New Roman"/>
          <w:b/>
          <w:bCs/>
          <w:sz w:val="24"/>
          <w:szCs w:val="24"/>
        </w:rPr>
        <w:lastRenderedPageBreak/>
        <w:t>30:31</w:t>
      </w:r>
      <w:r w:rsidRPr="00C63547">
        <w:rPr>
          <w:rFonts w:eastAsia="Times New Roman"/>
          <w:b/>
          <w:bCs/>
          <w:sz w:val="24"/>
          <w:szCs w:val="24"/>
        </w:rPr>
        <w:tab/>
        <w:t>CONTRACT INTERPRETATION — PARTIES’ INTENT</w:t>
      </w:r>
    </w:p>
    <w:p w14:paraId="7D947F53" w14:textId="77777777" w:rsidR="00C63547" w:rsidRPr="00C63547" w:rsidRDefault="00C63547" w:rsidP="00C63547">
      <w:pPr>
        <w:spacing w:after="240"/>
        <w:ind w:firstLine="720"/>
        <w:rPr>
          <w:rFonts w:eastAsia="Times New Roman"/>
          <w:b/>
          <w:bCs/>
          <w:sz w:val="24"/>
          <w:szCs w:val="24"/>
        </w:rPr>
      </w:pPr>
      <w:r w:rsidRPr="00C63547">
        <w:rPr>
          <w:rFonts w:eastAsia="Times New Roman"/>
          <w:b/>
          <w:bCs/>
          <w:sz w:val="24"/>
          <w:szCs w:val="24"/>
        </w:rPr>
        <w:t xml:space="preserve">The statements or conduct of the parties before any dispute arose between them is an indication of what the parties intended at the time the contract was formed. </w:t>
      </w:r>
    </w:p>
    <w:p w14:paraId="44E57CCD" w14:textId="77777777" w:rsidR="00C63547" w:rsidRPr="00C63547" w:rsidRDefault="00C63547" w:rsidP="00C63547">
      <w:pPr>
        <w:spacing w:after="240"/>
        <w:ind w:firstLine="720"/>
        <w:rPr>
          <w:rFonts w:eastAsia="Times New Roman"/>
          <w:b/>
          <w:bCs/>
          <w:sz w:val="24"/>
          <w:szCs w:val="24"/>
        </w:rPr>
      </w:pPr>
      <w:r w:rsidRPr="00C63547">
        <w:rPr>
          <w:rFonts w:eastAsia="Times New Roman"/>
          <w:b/>
          <w:bCs/>
          <w:sz w:val="24"/>
          <w:szCs w:val="24"/>
        </w:rPr>
        <w:t>To determine what the parties intended the terms of the contract to mean, you may also consider the language of the written agreement, the parties’ negotiations of the contract, any earlier dealings between the parties, any reasonable expectations the parties may have had because of the promises or conduct of the other party, and any other facts or circumstances that existed at the time that the contract was formed.</w:t>
      </w:r>
    </w:p>
    <w:p w14:paraId="32F1B072" w14:textId="77777777" w:rsidR="00C63547" w:rsidRDefault="00C63547" w:rsidP="00C63547">
      <w:pPr>
        <w:jc w:val="center"/>
        <w:rPr>
          <w:rFonts w:eastAsia="Times New Roman"/>
          <w:sz w:val="24"/>
          <w:szCs w:val="24"/>
        </w:rPr>
      </w:pPr>
    </w:p>
    <w:p w14:paraId="7D0AD56F" w14:textId="77777777" w:rsidR="00C63547" w:rsidRPr="0054263B" w:rsidRDefault="00C63547" w:rsidP="00C63547">
      <w:pPr>
        <w:keepNext/>
        <w:spacing w:after="240"/>
        <w:jc w:val="center"/>
        <w:rPr>
          <w:rFonts w:eastAsia="Times New Roman"/>
          <w:b/>
          <w:sz w:val="24"/>
          <w:szCs w:val="24"/>
        </w:rPr>
      </w:pPr>
      <w:r w:rsidRPr="0054263B">
        <w:rPr>
          <w:rFonts w:eastAsia="Times New Roman"/>
          <w:b/>
          <w:sz w:val="24"/>
          <w:szCs w:val="24"/>
        </w:rPr>
        <w:t>Notes on Use</w:t>
      </w:r>
    </w:p>
    <w:p w14:paraId="23AB033B"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1. When the court has determined that a contract term is ambiguous or there is an oral contract where the terms are in dispute, contract interpretation is a jury issue and this instruction should be used. </w:t>
      </w:r>
      <w:r w:rsidRPr="00C63547">
        <w:rPr>
          <w:rFonts w:eastAsia="Times New Roman"/>
          <w:bCs/>
          <w:i/>
          <w:sz w:val="24"/>
          <w:szCs w:val="24"/>
        </w:rPr>
        <w:t>See</w:t>
      </w:r>
      <w:r w:rsidRPr="00C63547">
        <w:rPr>
          <w:rFonts w:eastAsia="Times New Roman"/>
          <w:bCs/>
          <w:sz w:val="24"/>
          <w:szCs w:val="24"/>
        </w:rPr>
        <w:t xml:space="preserve"> Introductory Note to Part D of this Chapter.</w:t>
      </w:r>
    </w:p>
    <w:p w14:paraId="72A7A44E"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2. If there is evidence in the case on other issues that would be improper for the jury to consider on the issue of interpretation, this instruction must be appropriately modified. </w:t>
      </w:r>
    </w:p>
    <w:p w14:paraId="2457352E" w14:textId="77777777" w:rsidR="00C63547" w:rsidRPr="0054263B" w:rsidRDefault="00C63547" w:rsidP="00C63547">
      <w:pPr>
        <w:keepNext/>
        <w:spacing w:after="240"/>
        <w:jc w:val="center"/>
        <w:rPr>
          <w:rFonts w:eastAsia="Times New Roman"/>
          <w:b/>
          <w:sz w:val="24"/>
          <w:szCs w:val="24"/>
        </w:rPr>
      </w:pPr>
      <w:r>
        <w:rPr>
          <w:rFonts w:eastAsia="Times New Roman"/>
          <w:b/>
          <w:sz w:val="24"/>
          <w:szCs w:val="24"/>
        </w:rPr>
        <w:t>Source and Authority</w:t>
      </w:r>
    </w:p>
    <w:p w14:paraId="409FEE77"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1. This instruction is supported by </w:t>
      </w:r>
      <w:r w:rsidRPr="00C63547">
        <w:rPr>
          <w:rFonts w:eastAsia="Times New Roman"/>
          <w:b/>
          <w:bCs/>
          <w:sz w:val="24"/>
          <w:szCs w:val="24"/>
        </w:rPr>
        <w:t>Condo v. Conners</w:t>
      </w:r>
      <w:r w:rsidRPr="00C63547">
        <w:rPr>
          <w:rFonts w:eastAsia="Times New Roman"/>
          <w:bCs/>
          <w:sz w:val="24"/>
          <w:szCs w:val="24"/>
        </w:rPr>
        <w:t xml:space="preserve">, 266 P.3d 1110 (Colo. 2011) (in interpreting a contract the court’s primary goal is to determine and effectuate the reasonable expectations of the parties); and </w:t>
      </w:r>
      <w:r w:rsidRPr="00C63547">
        <w:rPr>
          <w:rFonts w:eastAsia="Times New Roman"/>
          <w:b/>
          <w:bCs/>
          <w:sz w:val="24"/>
          <w:szCs w:val="24"/>
        </w:rPr>
        <w:t>Draper v. DeFrenchi-Gordineer</w:t>
      </w:r>
      <w:r w:rsidRPr="00C63547">
        <w:rPr>
          <w:rFonts w:eastAsia="Times New Roman"/>
          <w:bCs/>
          <w:sz w:val="24"/>
          <w:szCs w:val="24"/>
        </w:rPr>
        <w:t xml:space="preserve">, 282 P.3d 489 (Colo. App. 2011) (the primary goal of contract interpretation is to give effect to the intent of the parties, which is to be determined primarily from the language of the agreement). </w:t>
      </w:r>
      <w:r w:rsidRPr="00C63547">
        <w:rPr>
          <w:rFonts w:eastAsia="Times New Roman"/>
          <w:bCs/>
          <w:i/>
          <w:sz w:val="24"/>
          <w:szCs w:val="24"/>
        </w:rPr>
        <w:t>See also</w:t>
      </w:r>
      <w:r w:rsidRPr="00C63547">
        <w:rPr>
          <w:rFonts w:eastAsia="Times New Roman"/>
          <w:bCs/>
          <w:sz w:val="24"/>
          <w:szCs w:val="24"/>
        </w:rPr>
        <w:t xml:space="preserve"> </w:t>
      </w:r>
      <w:r w:rsidRPr="00C63547">
        <w:rPr>
          <w:rFonts w:eastAsia="Times New Roman"/>
          <w:b/>
          <w:bCs/>
          <w:sz w:val="24"/>
          <w:szCs w:val="24"/>
        </w:rPr>
        <w:t>Nahring v. City &amp; County of Denver</w:t>
      </w:r>
      <w:r w:rsidRPr="00C63547">
        <w:rPr>
          <w:rFonts w:eastAsia="Times New Roman"/>
          <w:bCs/>
          <w:sz w:val="24"/>
          <w:szCs w:val="24"/>
        </w:rPr>
        <w:t xml:space="preserve">, 174 Colo. 548, 484 P.2d 1235 (1971); </w:t>
      </w:r>
      <w:r w:rsidRPr="00C63547">
        <w:rPr>
          <w:rFonts w:eastAsia="Times New Roman"/>
          <w:b/>
          <w:bCs/>
          <w:sz w:val="24"/>
          <w:szCs w:val="24"/>
        </w:rPr>
        <w:t>Thompson v. McCormick</w:t>
      </w:r>
      <w:r w:rsidRPr="00C63547">
        <w:rPr>
          <w:rFonts w:eastAsia="Times New Roman"/>
          <w:bCs/>
          <w:sz w:val="24"/>
          <w:szCs w:val="24"/>
        </w:rPr>
        <w:t xml:space="preserve">, 149 Colo. 465, 370 P.2d 442 (1962); </w:t>
      </w:r>
      <w:r w:rsidRPr="00C63547">
        <w:rPr>
          <w:rFonts w:eastAsia="Times New Roman"/>
          <w:b/>
          <w:bCs/>
          <w:sz w:val="24"/>
          <w:szCs w:val="24"/>
        </w:rPr>
        <w:t>Hammond v. Caton</w:t>
      </w:r>
      <w:r w:rsidRPr="00C63547">
        <w:rPr>
          <w:rFonts w:eastAsia="Times New Roman"/>
          <w:bCs/>
          <w:sz w:val="24"/>
          <w:szCs w:val="24"/>
        </w:rPr>
        <w:t xml:space="preserve">, 121 Colo. 7, 212 P.2d 845 (1949) (any evidence showing the parties’ intent is important in interpreting their contract); </w:t>
      </w:r>
      <w:r w:rsidRPr="00C63547">
        <w:rPr>
          <w:rFonts w:eastAsia="Times New Roman"/>
          <w:b/>
          <w:bCs/>
          <w:sz w:val="24"/>
          <w:szCs w:val="24"/>
        </w:rPr>
        <w:t>Cohen v. Clayton Coal Co.</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 xml:space="preserve">86 Colo. 270, 281 P. 111 (1929); </w:t>
      </w:r>
      <w:r w:rsidRPr="00C63547">
        <w:rPr>
          <w:rFonts w:eastAsia="Times New Roman"/>
          <w:b/>
          <w:bCs/>
          <w:sz w:val="24"/>
          <w:szCs w:val="24"/>
        </w:rPr>
        <w:t>Erdenberger, Inc. v. Partek N. Am., Inc.</w:t>
      </w:r>
      <w:r w:rsidRPr="00C63547">
        <w:rPr>
          <w:rFonts w:eastAsia="Times New Roman"/>
          <w:bCs/>
          <w:sz w:val="24"/>
          <w:szCs w:val="24"/>
        </w:rPr>
        <w:t>, 865 P.2d 850 (Colo. App. 1993);</w:t>
      </w:r>
      <w:r w:rsidRPr="00C63547">
        <w:rPr>
          <w:rFonts w:eastAsia="Times New Roman"/>
          <w:b/>
          <w:bCs/>
          <w:sz w:val="24"/>
          <w:szCs w:val="24"/>
        </w:rPr>
        <w:t xml:space="preserve"> Colo. Interstate Gas Co., Inc. v. Chemco, Inc.</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 xml:space="preserve">833 P.2d 786 (Colo. App. 1991), </w:t>
      </w:r>
      <w:r w:rsidRPr="00C63547">
        <w:rPr>
          <w:rFonts w:eastAsia="Times New Roman"/>
          <w:bCs/>
          <w:i/>
          <w:sz w:val="24"/>
          <w:szCs w:val="24"/>
        </w:rPr>
        <w:t>aff’d on other grounds</w:t>
      </w:r>
      <w:r w:rsidRPr="00C63547">
        <w:rPr>
          <w:rFonts w:eastAsia="Times New Roman"/>
          <w:bCs/>
          <w:sz w:val="24"/>
          <w:szCs w:val="24"/>
        </w:rPr>
        <w:t xml:space="preserve">, 854 P.2d 1232 (Colo. 1993); </w:t>
      </w:r>
      <w:r w:rsidRPr="00C63547">
        <w:rPr>
          <w:rFonts w:eastAsia="Times New Roman"/>
          <w:b/>
          <w:bCs/>
          <w:sz w:val="24"/>
          <w:szCs w:val="24"/>
        </w:rPr>
        <w:t>Smith v. Long</w:t>
      </w:r>
      <w:r w:rsidRPr="00C63547">
        <w:rPr>
          <w:rFonts w:eastAsia="Times New Roman"/>
          <w:bCs/>
          <w:sz w:val="24"/>
          <w:szCs w:val="24"/>
        </w:rPr>
        <w:t xml:space="preserve">, 40 Colo. App. 531, 578 P.2d 232 (1978); </w:t>
      </w:r>
      <w:r w:rsidRPr="00C63547">
        <w:rPr>
          <w:rFonts w:eastAsia="Times New Roman"/>
          <w:b/>
          <w:bCs/>
          <w:sz w:val="24"/>
          <w:szCs w:val="24"/>
        </w:rPr>
        <w:t>Palipchak v. Kent Constr. Co.</w:t>
      </w:r>
      <w:r w:rsidRPr="00C63547">
        <w:rPr>
          <w:rFonts w:eastAsia="Times New Roman"/>
          <w:bCs/>
          <w:sz w:val="24"/>
          <w:szCs w:val="24"/>
        </w:rPr>
        <w:t xml:space="preserve">, 38 Colo. App. 146, 554 P.2d 718 (1976); 5 </w:t>
      </w:r>
      <w:r w:rsidRPr="00C63547">
        <w:rPr>
          <w:rFonts w:eastAsia="Times New Roman"/>
          <w:bCs/>
          <w:smallCaps/>
          <w:sz w:val="24"/>
          <w:szCs w:val="24"/>
        </w:rPr>
        <w:t>Margaret N. Kniffin, Corbin on Contracts</w:t>
      </w:r>
      <w:r w:rsidRPr="00C63547">
        <w:rPr>
          <w:rFonts w:eastAsia="Times New Roman"/>
          <w:bCs/>
          <w:sz w:val="24"/>
          <w:szCs w:val="24"/>
        </w:rPr>
        <w:t xml:space="preserve"> § 24.16 (Joseph M. Perillo ed., rev. ed. 1998).</w:t>
      </w:r>
    </w:p>
    <w:p w14:paraId="1EBF5CF5" w14:textId="61DE4004" w:rsidR="00321DC6" w:rsidRDefault="00321DC6" w:rsidP="00883159">
      <w:pPr>
        <w:spacing w:after="240"/>
        <w:ind w:firstLine="720"/>
        <w:rPr>
          <w:rFonts w:eastAsia="Times New Roman"/>
          <w:bCs/>
          <w:sz w:val="24"/>
          <w:szCs w:val="24"/>
        </w:rPr>
      </w:pPr>
      <w:r>
        <w:rPr>
          <w:rFonts w:eastAsia="Times New Roman"/>
          <w:bCs/>
          <w:sz w:val="24"/>
          <w:szCs w:val="24"/>
        </w:rPr>
        <w:t xml:space="preserve">2. Extrinsic evidence of the parties’ performance under a contract before any controversy arose is indicative of their intent at the time of contracting. </w:t>
      </w:r>
      <w:r w:rsidRPr="00A6332F">
        <w:rPr>
          <w:rFonts w:eastAsia="Times New Roman"/>
          <w:b/>
          <w:bCs/>
          <w:sz w:val="24"/>
          <w:szCs w:val="24"/>
        </w:rPr>
        <w:t>Klun v. Klun</w:t>
      </w:r>
      <w:r>
        <w:rPr>
          <w:rFonts w:eastAsia="Times New Roman"/>
          <w:bCs/>
          <w:sz w:val="24"/>
          <w:szCs w:val="24"/>
        </w:rPr>
        <w:t xml:space="preserve">, 2019 CO 46, </w:t>
      </w:r>
      <w:r w:rsidRPr="002604F1">
        <w:rPr>
          <w:rFonts w:eastAsia="Times New Roman"/>
          <w:bCs/>
          <w:sz w:val="24"/>
          <w:szCs w:val="24"/>
        </w:rPr>
        <w:t>¶</w:t>
      </w:r>
      <w:r>
        <w:rPr>
          <w:rFonts w:eastAsia="Times New Roman"/>
          <w:bCs/>
          <w:sz w:val="24"/>
          <w:szCs w:val="24"/>
        </w:rPr>
        <w:t xml:space="preserve"> 29, 442 P.3d 88, 94 (“Plaintiffs’ contemporaneous actions and course of performance speak louder than their post-judgment words.”); </w:t>
      </w:r>
      <w:r w:rsidRPr="00EF62AA">
        <w:rPr>
          <w:rFonts w:eastAsia="Times New Roman"/>
          <w:b/>
          <w:bCs/>
          <w:sz w:val="24"/>
          <w:szCs w:val="24"/>
        </w:rPr>
        <w:t>Pepcol Mfg. v. Denver Union Corp.,</w:t>
      </w:r>
      <w:r w:rsidR="00EA32B8">
        <w:rPr>
          <w:rFonts w:eastAsia="Times New Roman"/>
          <w:bCs/>
          <w:sz w:val="24"/>
          <w:szCs w:val="24"/>
        </w:rPr>
        <w:t xml:space="preserve"> 687 P.2d 1310 (Colo. 1984).</w:t>
      </w:r>
    </w:p>
    <w:p w14:paraId="528C3361" w14:textId="1B839DBF" w:rsidR="00C63547" w:rsidRPr="00C63547" w:rsidRDefault="00321DC6" w:rsidP="00883159">
      <w:pPr>
        <w:spacing w:after="240"/>
        <w:ind w:firstLine="720"/>
        <w:rPr>
          <w:rFonts w:eastAsia="Times New Roman"/>
          <w:bCs/>
          <w:sz w:val="24"/>
          <w:szCs w:val="24"/>
        </w:rPr>
      </w:pPr>
      <w:r>
        <w:rPr>
          <w:rFonts w:eastAsia="Times New Roman"/>
          <w:bCs/>
          <w:sz w:val="24"/>
          <w:szCs w:val="24"/>
        </w:rPr>
        <w:t>3</w:t>
      </w:r>
      <w:r w:rsidR="00C63547" w:rsidRPr="00C63547">
        <w:rPr>
          <w:rFonts w:eastAsia="Times New Roman"/>
          <w:bCs/>
          <w:sz w:val="24"/>
          <w:szCs w:val="24"/>
        </w:rPr>
        <w:t xml:space="preserve">. Where the face of the contract shows a change, such as strike-outs, the terms may be proven by evidence outside the contract. </w:t>
      </w:r>
      <w:r w:rsidR="00C63547" w:rsidRPr="00C63547">
        <w:rPr>
          <w:rFonts w:eastAsia="Times New Roman"/>
          <w:b/>
          <w:bCs/>
          <w:sz w:val="24"/>
          <w:szCs w:val="24"/>
        </w:rPr>
        <w:t>Hildebrand v. New Vista Homes II, LLC</w:t>
      </w:r>
      <w:r w:rsidR="00C63547" w:rsidRPr="00C63547">
        <w:rPr>
          <w:rFonts w:eastAsia="Times New Roman"/>
          <w:bCs/>
          <w:sz w:val="24"/>
          <w:szCs w:val="24"/>
        </w:rPr>
        <w:t xml:space="preserve">, 252 P.3d 1159 (Colo. App. 2010). In cases involving an ambiguity in a written contract, the jury’s </w:t>
      </w:r>
      <w:r w:rsidR="00C63547" w:rsidRPr="00C63547">
        <w:rPr>
          <w:rFonts w:eastAsia="Times New Roman"/>
          <w:bCs/>
          <w:sz w:val="24"/>
          <w:szCs w:val="24"/>
        </w:rPr>
        <w:lastRenderedPageBreak/>
        <w:t xml:space="preserve">function is to determine the intention of the parties as a question of fact. </w:t>
      </w:r>
      <w:r w:rsidR="00C63547" w:rsidRPr="00C63547">
        <w:rPr>
          <w:rFonts w:eastAsia="Times New Roman"/>
          <w:b/>
          <w:bCs/>
          <w:sz w:val="24"/>
          <w:szCs w:val="24"/>
        </w:rPr>
        <w:t>Fire Ins. Exch. v. Rael</w:t>
      </w:r>
      <w:r w:rsidR="00C63547" w:rsidRPr="00C63547">
        <w:rPr>
          <w:rFonts w:eastAsia="Times New Roman"/>
          <w:bCs/>
          <w:sz w:val="24"/>
          <w:szCs w:val="24"/>
        </w:rPr>
        <w:t xml:space="preserve">, 895 P.2d 1139 (Colo. App. 1995). Determining the parties’ intent from the circumstances surrounding the execution of a contract is the primary method for determining the meaning of an ambiguous term. </w:t>
      </w:r>
    </w:p>
    <w:p w14:paraId="679BFC82" w14:textId="3C34F7A0" w:rsidR="00C63547" w:rsidRPr="00C63547" w:rsidRDefault="00321DC6" w:rsidP="00C63547">
      <w:pPr>
        <w:spacing w:after="240"/>
        <w:ind w:firstLine="720"/>
        <w:rPr>
          <w:rFonts w:eastAsia="Times New Roman"/>
          <w:bCs/>
          <w:sz w:val="24"/>
          <w:szCs w:val="24"/>
        </w:rPr>
      </w:pPr>
      <w:r>
        <w:rPr>
          <w:rFonts w:eastAsia="Times New Roman"/>
          <w:bCs/>
          <w:sz w:val="24"/>
          <w:szCs w:val="24"/>
        </w:rPr>
        <w:t>4</w:t>
      </w:r>
      <w:r w:rsidR="00C63547" w:rsidRPr="00C63547">
        <w:rPr>
          <w:rFonts w:eastAsia="Times New Roman"/>
          <w:bCs/>
          <w:sz w:val="24"/>
          <w:szCs w:val="24"/>
        </w:rPr>
        <w:t xml:space="preserve">. The conduct of the parties may not be used to contradict the contract’s plain, unambiguous meaning. </w:t>
      </w:r>
      <w:r w:rsidR="00C63547" w:rsidRPr="00C63547">
        <w:rPr>
          <w:rFonts w:eastAsia="Times New Roman"/>
          <w:b/>
          <w:bCs/>
          <w:sz w:val="24"/>
          <w:szCs w:val="24"/>
        </w:rPr>
        <w:t>Great W. Sugar Co. v. White</w:t>
      </w:r>
      <w:r w:rsidR="00C63547" w:rsidRPr="00C63547">
        <w:rPr>
          <w:rFonts w:eastAsia="Times New Roman"/>
          <w:bCs/>
          <w:sz w:val="24"/>
          <w:szCs w:val="24"/>
        </w:rPr>
        <w:t>, 47 Colo. 547, 108 P. 156 (1910).</w:t>
      </w:r>
    </w:p>
    <w:p w14:paraId="6632F31F" w14:textId="570C89DE" w:rsidR="00C63547" w:rsidRPr="00C63547" w:rsidRDefault="00321DC6" w:rsidP="00C63547">
      <w:pPr>
        <w:spacing w:after="240"/>
        <w:ind w:firstLine="720"/>
        <w:rPr>
          <w:rFonts w:eastAsia="Times New Roman"/>
          <w:bCs/>
          <w:sz w:val="24"/>
          <w:szCs w:val="24"/>
        </w:rPr>
      </w:pPr>
      <w:r>
        <w:rPr>
          <w:rFonts w:eastAsia="Times New Roman"/>
          <w:bCs/>
          <w:sz w:val="24"/>
          <w:szCs w:val="24"/>
        </w:rPr>
        <w:t>5</w:t>
      </w:r>
      <w:r w:rsidR="00C63547" w:rsidRPr="00C63547">
        <w:rPr>
          <w:rFonts w:eastAsia="Times New Roman"/>
          <w:bCs/>
          <w:sz w:val="24"/>
          <w:szCs w:val="24"/>
        </w:rPr>
        <w:t xml:space="preserve">. Insurance policies are contracts, the unambiguous terms of which must be enforced as written, unless doing so would violate public policy. </w:t>
      </w:r>
      <w:r w:rsidR="00883159" w:rsidRPr="00883159">
        <w:rPr>
          <w:rFonts w:eastAsia="Times New Roman"/>
          <w:b/>
          <w:bCs/>
          <w:sz w:val="24"/>
          <w:szCs w:val="24"/>
        </w:rPr>
        <w:t>Owners Ins. Co. v. Dakota Station II Condo</w:t>
      </w:r>
      <w:r w:rsidR="00777C59">
        <w:rPr>
          <w:rFonts w:eastAsia="Times New Roman"/>
          <w:b/>
          <w:bCs/>
          <w:sz w:val="24"/>
          <w:szCs w:val="24"/>
        </w:rPr>
        <w:t>.</w:t>
      </w:r>
      <w:r w:rsidR="00883159" w:rsidRPr="00883159">
        <w:rPr>
          <w:rFonts w:eastAsia="Times New Roman"/>
          <w:b/>
          <w:bCs/>
          <w:sz w:val="24"/>
          <w:szCs w:val="24"/>
        </w:rPr>
        <w:t xml:space="preserve"> Ass’n</w:t>
      </w:r>
      <w:r w:rsidR="00883159">
        <w:rPr>
          <w:rFonts w:eastAsia="Times New Roman"/>
          <w:bCs/>
          <w:sz w:val="24"/>
          <w:szCs w:val="24"/>
        </w:rPr>
        <w:t>, 2019 CO 65, ¶ 31, 443 P.3d 47, 51 (“</w:t>
      </w:r>
      <w:r w:rsidR="00883159" w:rsidRPr="00883159">
        <w:rPr>
          <w:rFonts w:eastAsia="Times New Roman"/>
          <w:bCs/>
          <w:sz w:val="24"/>
          <w:szCs w:val="24"/>
        </w:rPr>
        <w:t>Insurance policies are contracts, interpretations of which we review de novo</w:t>
      </w:r>
      <w:r w:rsidR="00883159">
        <w:rPr>
          <w:rFonts w:eastAsia="Times New Roman"/>
          <w:bCs/>
          <w:sz w:val="24"/>
          <w:szCs w:val="24"/>
        </w:rPr>
        <w:t xml:space="preserve">.”); </w:t>
      </w:r>
      <w:r w:rsidR="00C63547" w:rsidRPr="00C63547">
        <w:rPr>
          <w:rFonts w:eastAsia="Times New Roman"/>
          <w:b/>
          <w:bCs/>
          <w:sz w:val="24"/>
          <w:szCs w:val="24"/>
        </w:rPr>
        <w:t>Travelers Prop. Cas. Co. of Am. v. Stresscon Corp</w:t>
      </w:r>
      <w:r w:rsidR="00C63547" w:rsidRPr="00C63547">
        <w:rPr>
          <w:rFonts w:eastAsia="Times New Roman"/>
          <w:bCs/>
          <w:sz w:val="24"/>
          <w:szCs w:val="24"/>
        </w:rPr>
        <w:t xml:space="preserve">., 2016 CO 22M, ¶ 12, 370 P.3d 140; </w:t>
      </w:r>
      <w:r w:rsidR="00C63547" w:rsidRPr="00C63547">
        <w:rPr>
          <w:rFonts w:eastAsia="Times New Roman"/>
          <w:b/>
          <w:bCs/>
          <w:sz w:val="24"/>
          <w:szCs w:val="24"/>
        </w:rPr>
        <w:t>Allstate Ins. Co. v. Huizar</w:t>
      </w:r>
      <w:r w:rsidR="00C63547" w:rsidRPr="00C63547">
        <w:rPr>
          <w:rFonts w:eastAsia="Times New Roman"/>
          <w:bCs/>
          <w:sz w:val="24"/>
          <w:szCs w:val="24"/>
        </w:rPr>
        <w:t xml:space="preserve">, 52 P.3d 816 (Colo. 2002) (insurance contracts must be construed according to well-settled principles of contract interpretation); </w:t>
      </w:r>
      <w:r w:rsidR="00C63547" w:rsidRPr="00C63547">
        <w:rPr>
          <w:rFonts w:eastAsia="Times New Roman"/>
          <w:b/>
          <w:bCs/>
          <w:sz w:val="24"/>
          <w:szCs w:val="24"/>
        </w:rPr>
        <w:t>Novell v. Am. Guar. &amp; Liab. Ins. Co.</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 xml:space="preserve">15 P.3d 775 (Colo. App. 1999); </w:t>
      </w:r>
      <w:r w:rsidR="00C63547" w:rsidRPr="00C63547">
        <w:rPr>
          <w:rFonts w:eastAsia="Times New Roman"/>
          <w:b/>
          <w:bCs/>
          <w:sz w:val="24"/>
          <w:szCs w:val="24"/>
        </w:rPr>
        <w:t>Mt. Hawley Ins. Co. v. Casson Duncan Constr. Inc</w:t>
      </w:r>
      <w:r w:rsidR="00C63547" w:rsidRPr="00C63547">
        <w:rPr>
          <w:rFonts w:eastAsia="Times New Roman"/>
          <w:bCs/>
          <w:sz w:val="24"/>
          <w:szCs w:val="24"/>
        </w:rPr>
        <w:t>., 2016 COA 164, ¶ 15</w:t>
      </w:r>
      <w:r w:rsidR="004C330E">
        <w:rPr>
          <w:rFonts w:eastAsia="Times New Roman"/>
          <w:bCs/>
          <w:sz w:val="24"/>
          <w:szCs w:val="24"/>
        </w:rPr>
        <w:t>, 409 P.3d 619</w:t>
      </w:r>
      <w:r w:rsidR="00C63547" w:rsidRPr="00C63547">
        <w:rPr>
          <w:rFonts w:eastAsia="Times New Roman"/>
          <w:bCs/>
          <w:sz w:val="24"/>
          <w:szCs w:val="24"/>
        </w:rPr>
        <w:t xml:space="preserve"> (policy provision requiring insurer to pay “all costs” when defending a suit against its insured under reservation of rights was not ambiguous; insurer was required to pay taxable costs regardless of duty to indemnify). However, if an insurance contract is ambiguous, it must be construed against the insurer. </w:t>
      </w:r>
      <w:r w:rsidR="00C63547" w:rsidRPr="00C63547">
        <w:rPr>
          <w:rFonts w:eastAsia="Times New Roman"/>
          <w:b/>
          <w:bCs/>
          <w:sz w:val="24"/>
          <w:szCs w:val="24"/>
        </w:rPr>
        <w:t>Cary v. United of Omaha Life Ins. Co.</w:t>
      </w:r>
      <w:r w:rsidR="00C63547" w:rsidRPr="00C63547">
        <w:rPr>
          <w:rFonts w:eastAsia="Times New Roman"/>
          <w:bCs/>
          <w:sz w:val="24"/>
          <w:szCs w:val="24"/>
        </w:rPr>
        <w:t xml:space="preserve">, 108 P.3d 288 (Colo. 2005); </w:t>
      </w:r>
      <w:r w:rsidR="00C63547" w:rsidRPr="00C63547">
        <w:rPr>
          <w:rFonts w:eastAsia="Times New Roman"/>
          <w:b/>
          <w:bCs/>
          <w:sz w:val="24"/>
          <w:szCs w:val="24"/>
        </w:rPr>
        <w:t>Cruz v. Farmers Ins. Exch.</w:t>
      </w:r>
      <w:r w:rsidR="00C63547" w:rsidRPr="00C63547">
        <w:rPr>
          <w:rFonts w:eastAsia="Times New Roman"/>
          <w:bCs/>
          <w:sz w:val="24"/>
          <w:szCs w:val="24"/>
        </w:rPr>
        <w:t xml:space="preserve">, 12 P.3d 307 (Colo. App. 2000); </w:t>
      </w:r>
      <w:r w:rsidR="00C63547" w:rsidRPr="00C63547">
        <w:rPr>
          <w:rFonts w:eastAsia="Times New Roman"/>
          <w:b/>
          <w:bCs/>
          <w:sz w:val="24"/>
          <w:szCs w:val="24"/>
        </w:rPr>
        <w:t>Bengtson v. USAA Prop. &amp; Cas. Ins.</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3 P.3d 1233 (Colo. App. 2000);</w:t>
      </w:r>
      <w:r w:rsidR="00C63547" w:rsidRPr="00C63547">
        <w:rPr>
          <w:rFonts w:eastAsia="Times New Roman"/>
          <w:b/>
          <w:bCs/>
          <w:sz w:val="24"/>
          <w:szCs w:val="24"/>
        </w:rPr>
        <w:t xml:space="preserve"> Novell</w:t>
      </w:r>
      <w:r w:rsidR="00C63547" w:rsidRPr="00C63547">
        <w:rPr>
          <w:rFonts w:eastAsia="Times New Roman"/>
          <w:bCs/>
          <w:sz w:val="24"/>
          <w:szCs w:val="24"/>
        </w:rPr>
        <w:t xml:space="preserve">, 15 P.3d at 778. </w:t>
      </w:r>
      <w:r w:rsidR="00C63547" w:rsidRPr="00C63547">
        <w:rPr>
          <w:rFonts w:eastAsia="Times New Roman"/>
          <w:bCs/>
          <w:i/>
          <w:sz w:val="24"/>
          <w:szCs w:val="24"/>
        </w:rPr>
        <w:t>See</w:t>
      </w:r>
      <w:r w:rsidR="00C63547" w:rsidRPr="00C63547">
        <w:rPr>
          <w:rFonts w:eastAsia="Times New Roman"/>
          <w:bCs/>
          <w:sz w:val="24"/>
          <w:szCs w:val="24"/>
        </w:rPr>
        <w:t xml:space="preserve"> Instruction 30:35 (construction against drafter).</w:t>
      </w:r>
    </w:p>
    <w:p w14:paraId="4BA5DBAE" w14:textId="73B7A1FC" w:rsidR="00C63547" w:rsidRPr="00C63547" w:rsidRDefault="00321DC6" w:rsidP="00C63547">
      <w:pPr>
        <w:spacing w:after="240"/>
        <w:ind w:firstLine="720"/>
        <w:rPr>
          <w:rFonts w:eastAsia="Times New Roman"/>
          <w:bCs/>
          <w:sz w:val="24"/>
          <w:szCs w:val="24"/>
        </w:rPr>
      </w:pPr>
      <w:r>
        <w:rPr>
          <w:rFonts w:eastAsia="Times New Roman"/>
          <w:bCs/>
          <w:sz w:val="24"/>
          <w:szCs w:val="24"/>
        </w:rPr>
        <w:t>6</w:t>
      </w:r>
      <w:r w:rsidR="00C63547" w:rsidRPr="00C63547">
        <w:rPr>
          <w:rFonts w:eastAsia="Times New Roman"/>
          <w:bCs/>
          <w:sz w:val="24"/>
          <w:szCs w:val="24"/>
        </w:rPr>
        <w:t xml:space="preserve">. Generally, unless unequivocal language mandates otherwise, a contractual clause will be interpreted as a promise rather than as a condition precedent. </w:t>
      </w:r>
      <w:r w:rsidR="00C63547" w:rsidRPr="00C63547">
        <w:rPr>
          <w:rFonts w:eastAsia="Times New Roman"/>
          <w:b/>
          <w:bCs/>
          <w:sz w:val="24"/>
          <w:szCs w:val="24"/>
        </w:rPr>
        <w:t>Main Elec., Ltd. v. Printz Servs. Corp.</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980 P.2d 522 (Colo. 1999).</w:t>
      </w:r>
    </w:p>
    <w:p w14:paraId="34E97FDF" w14:textId="66CE306A" w:rsidR="00C63547" w:rsidRPr="00C63547" w:rsidRDefault="00321DC6" w:rsidP="00C63547">
      <w:pPr>
        <w:spacing w:after="240"/>
        <w:ind w:firstLine="720"/>
        <w:rPr>
          <w:rFonts w:eastAsia="Times New Roman"/>
          <w:bCs/>
          <w:sz w:val="24"/>
          <w:szCs w:val="24"/>
        </w:rPr>
      </w:pPr>
      <w:r>
        <w:rPr>
          <w:rFonts w:eastAsia="Times New Roman"/>
          <w:bCs/>
          <w:sz w:val="24"/>
          <w:szCs w:val="24"/>
        </w:rPr>
        <w:t>7</w:t>
      </w:r>
      <w:r w:rsidR="00C63547" w:rsidRPr="00C63547">
        <w:rPr>
          <w:rFonts w:eastAsia="Times New Roman"/>
          <w:bCs/>
          <w:sz w:val="24"/>
          <w:szCs w:val="24"/>
        </w:rPr>
        <w:t xml:space="preserve">. A fundamental rule of contract interpretation is that the latest iteration of contractual terms controls. </w:t>
      </w:r>
      <w:r w:rsidR="00C63547" w:rsidRPr="00C63547">
        <w:rPr>
          <w:rFonts w:eastAsia="Times New Roman"/>
          <w:bCs/>
          <w:i/>
          <w:sz w:val="24"/>
          <w:szCs w:val="24"/>
        </w:rPr>
        <w:t>See</w:t>
      </w:r>
      <w:r w:rsidR="00C63547" w:rsidRPr="00C63547">
        <w:rPr>
          <w:rFonts w:eastAsia="Times New Roman"/>
          <w:bCs/>
          <w:sz w:val="24"/>
          <w:szCs w:val="24"/>
        </w:rPr>
        <w:t xml:space="preserve"> </w:t>
      </w:r>
      <w:r w:rsidR="00C63547" w:rsidRPr="00C63547">
        <w:rPr>
          <w:rFonts w:eastAsia="Times New Roman"/>
          <w:b/>
          <w:bCs/>
          <w:sz w:val="24"/>
          <w:szCs w:val="24"/>
        </w:rPr>
        <w:t>Fed. Deposit Ins. Corp. v. Fisher</w:t>
      </w:r>
      <w:r w:rsidR="00C63547" w:rsidRPr="00C63547">
        <w:rPr>
          <w:rFonts w:eastAsia="Times New Roman"/>
          <w:bCs/>
          <w:sz w:val="24"/>
          <w:szCs w:val="24"/>
        </w:rPr>
        <w:t>, 2013 CO 5, ¶ 11, 292 P.3d 934.</w:t>
      </w:r>
    </w:p>
    <w:p w14:paraId="7CDB69CC" w14:textId="77777777" w:rsidR="00E32C6D" w:rsidRDefault="00E32C6D">
      <w:pPr>
        <w:rPr>
          <w:rFonts w:eastAsia="Times New Roman"/>
          <w:bCs/>
          <w:sz w:val="24"/>
          <w:szCs w:val="24"/>
        </w:rPr>
      </w:pPr>
      <w:r>
        <w:rPr>
          <w:rFonts w:eastAsia="Times New Roman"/>
          <w:bCs/>
          <w:sz w:val="24"/>
          <w:szCs w:val="24"/>
        </w:rPr>
        <w:br w:type="page"/>
      </w:r>
    </w:p>
    <w:p w14:paraId="0876A482" w14:textId="77777777" w:rsidR="00E32C6D" w:rsidRPr="009E3DA4" w:rsidRDefault="00E32C6D" w:rsidP="00E32C6D">
      <w:pPr>
        <w:spacing w:after="240"/>
        <w:ind w:left="720" w:hanging="720"/>
        <w:rPr>
          <w:rFonts w:eastAsia="Times New Roman"/>
          <w:b/>
          <w:sz w:val="24"/>
          <w:szCs w:val="24"/>
        </w:rPr>
      </w:pPr>
      <w:bookmarkStart w:id="34" w:name="a30_32"/>
      <w:bookmarkEnd w:id="34"/>
      <w:r w:rsidRPr="00E32C6D">
        <w:rPr>
          <w:rFonts w:eastAsia="Times New Roman"/>
          <w:b/>
          <w:bCs/>
          <w:sz w:val="24"/>
          <w:szCs w:val="24"/>
        </w:rPr>
        <w:lastRenderedPageBreak/>
        <w:t>30:32</w:t>
      </w:r>
      <w:r w:rsidRPr="00E32C6D">
        <w:rPr>
          <w:rFonts w:eastAsia="Times New Roman"/>
          <w:b/>
          <w:bCs/>
          <w:sz w:val="24"/>
          <w:szCs w:val="24"/>
        </w:rPr>
        <w:tab/>
      </w:r>
      <w:r w:rsidRPr="00E32C6D">
        <w:rPr>
          <w:rFonts w:eastAsia="Times New Roman"/>
          <w:b/>
          <w:bCs/>
          <w:caps/>
          <w:sz w:val="24"/>
          <w:szCs w:val="24"/>
        </w:rPr>
        <w:t>Contract Interpretation — Contract as A Whole</w:t>
      </w:r>
    </w:p>
    <w:p w14:paraId="4A91CA32" w14:textId="77777777" w:rsidR="00E32C6D" w:rsidRPr="00E32C6D" w:rsidRDefault="00E32C6D" w:rsidP="00E32C6D">
      <w:pPr>
        <w:spacing w:after="240"/>
        <w:ind w:firstLine="720"/>
        <w:rPr>
          <w:rFonts w:eastAsia="Times New Roman"/>
          <w:b/>
          <w:bCs/>
          <w:sz w:val="24"/>
          <w:szCs w:val="24"/>
        </w:rPr>
      </w:pPr>
      <w:r w:rsidRPr="00E32C6D">
        <w:rPr>
          <w:rFonts w:eastAsia="Times New Roman"/>
          <w:b/>
          <w:bCs/>
          <w:sz w:val="24"/>
          <w:szCs w:val="24"/>
        </w:rPr>
        <w:t xml:space="preserve">The entire agreement (with any attachments) is to be considered in determining the existence or nature of the contractual duties. You should consider the agreement as a whole and not view clauses or phrases in isolation. </w:t>
      </w:r>
    </w:p>
    <w:p w14:paraId="5606B821" w14:textId="77777777" w:rsidR="00E32C6D" w:rsidRDefault="00E32C6D" w:rsidP="00E32C6D">
      <w:pPr>
        <w:jc w:val="center"/>
        <w:rPr>
          <w:rFonts w:eastAsia="Times New Roman"/>
          <w:sz w:val="24"/>
          <w:szCs w:val="24"/>
        </w:rPr>
      </w:pPr>
    </w:p>
    <w:p w14:paraId="5AD2AD44" w14:textId="77777777" w:rsidR="00E32C6D" w:rsidRPr="0054263B" w:rsidRDefault="00E32C6D" w:rsidP="00E32C6D">
      <w:pPr>
        <w:keepNext/>
        <w:spacing w:after="240"/>
        <w:jc w:val="center"/>
        <w:rPr>
          <w:rFonts w:eastAsia="Times New Roman"/>
          <w:b/>
          <w:sz w:val="24"/>
          <w:szCs w:val="24"/>
        </w:rPr>
      </w:pPr>
      <w:r w:rsidRPr="0054263B">
        <w:rPr>
          <w:rFonts w:eastAsia="Times New Roman"/>
          <w:b/>
          <w:sz w:val="24"/>
          <w:szCs w:val="24"/>
        </w:rPr>
        <w:t>Notes on Use</w:t>
      </w:r>
    </w:p>
    <w:p w14:paraId="5F4DFD64"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 xml:space="preserve">1. When the court has determined the contract term is ambiguous or there is an oral contract where the terms are in dispute, contract interpretation is a jury issue and this instruction should be used. </w:t>
      </w:r>
      <w:r w:rsidRPr="00E32C6D">
        <w:rPr>
          <w:rFonts w:eastAsia="Times New Roman"/>
          <w:bCs/>
          <w:i/>
          <w:sz w:val="24"/>
          <w:szCs w:val="24"/>
        </w:rPr>
        <w:t>See</w:t>
      </w:r>
      <w:r w:rsidRPr="00E32C6D">
        <w:rPr>
          <w:rFonts w:eastAsia="Times New Roman"/>
          <w:bCs/>
          <w:sz w:val="24"/>
          <w:szCs w:val="24"/>
        </w:rPr>
        <w:t xml:space="preserve"> Introductory Note to Part D of this Chapter.</w:t>
      </w:r>
    </w:p>
    <w:p w14:paraId="4DFED08D"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4393884A" w14:textId="77777777" w:rsidR="00E32C6D" w:rsidRPr="0054263B" w:rsidRDefault="00E32C6D" w:rsidP="00E32C6D">
      <w:pPr>
        <w:keepNext/>
        <w:spacing w:after="240"/>
        <w:jc w:val="center"/>
        <w:rPr>
          <w:rFonts w:eastAsia="Times New Roman"/>
          <w:b/>
          <w:sz w:val="24"/>
          <w:szCs w:val="24"/>
        </w:rPr>
      </w:pPr>
      <w:r>
        <w:rPr>
          <w:rFonts w:eastAsia="Times New Roman"/>
          <w:b/>
          <w:sz w:val="24"/>
          <w:szCs w:val="24"/>
        </w:rPr>
        <w:t>Source and Authority</w:t>
      </w:r>
    </w:p>
    <w:p w14:paraId="0DE05B46" w14:textId="3572E59B"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1. This instruction is supported by</w:t>
      </w:r>
      <w:r w:rsidRPr="00E32C6D">
        <w:rPr>
          <w:rFonts w:eastAsia="Times New Roman"/>
          <w:b/>
          <w:bCs/>
          <w:sz w:val="24"/>
          <w:szCs w:val="24"/>
        </w:rPr>
        <w:t xml:space="preserve"> Allstate Insurance Co. v. Huizar</w:t>
      </w:r>
      <w:r w:rsidRPr="00E32C6D">
        <w:rPr>
          <w:rFonts w:eastAsia="Times New Roman"/>
          <w:bCs/>
          <w:sz w:val="24"/>
          <w:szCs w:val="24"/>
        </w:rPr>
        <w:t xml:space="preserve">, 52 P.3d 816, 819 (Colo. 2002) (“[T]he meaning of a contract must be determined by examination of the entire instrument, and not by viewing clauses or phrases in isolation.”); </w:t>
      </w:r>
      <w:r w:rsidR="004F6C99" w:rsidRPr="00E32C6D">
        <w:rPr>
          <w:rFonts w:eastAsia="Times New Roman"/>
          <w:b/>
          <w:bCs/>
          <w:sz w:val="24"/>
          <w:szCs w:val="24"/>
        </w:rPr>
        <w:t>Federal Deposit Insurance Corp. v. Fisher</w:t>
      </w:r>
      <w:r w:rsidR="004F6C99" w:rsidRPr="00E32C6D">
        <w:rPr>
          <w:rFonts w:eastAsia="Times New Roman"/>
          <w:bCs/>
          <w:sz w:val="24"/>
          <w:szCs w:val="24"/>
        </w:rPr>
        <w:t xml:space="preserve">, 2013 COA 5, ¶ 11, 292 P.3d 934; </w:t>
      </w:r>
      <w:r w:rsidR="004F6C99" w:rsidRPr="003D18F5">
        <w:rPr>
          <w:rFonts w:eastAsia="Times New Roman"/>
          <w:b/>
          <w:sz w:val="24"/>
          <w:szCs w:val="24"/>
        </w:rPr>
        <w:t>Taubman Cherry Creek Shopping C</w:t>
      </w:r>
      <w:r w:rsidR="004F6C99">
        <w:rPr>
          <w:rFonts w:eastAsia="Times New Roman"/>
          <w:b/>
          <w:sz w:val="24"/>
          <w:szCs w:val="24"/>
        </w:rPr>
        <w:t>en</w:t>
      </w:r>
      <w:r w:rsidR="004F6C99" w:rsidRPr="003D18F5">
        <w:rPr>
          <w:rFonts w:eastAsia="Times New Roman"/>
          <w:b/>
          <w:sz w:val="24"/>
          <w:szCs w:val="24"/>
        </w:rPr>
        <w:t>t</w:t>
      </w:r>
      <w:r w:rsidR="004F6C99">
        <w:rPr>
          <w:rFonts w:eastAsia="Times New Roman"/>
          <w:b/>
          <w:sz w:val="24"/>
          <w:szCs w:val="24"/>
        </w:rPr>
        <w:t>e</w:t>
      </w:r>
      <w:r w:rsidR="004F6C99" w:rsidRPr="003D18F5">
        <w:rPr>
          <w:rFonts w:eastAsia="Times New Roman"/>
          <w:b/>
          <w:sz w:val="24"/>
          <w:szCs w:val="24"/>
        </w:rPr>
        <w:t>r, LLC v. Neiman-Marcus Gr</w:t>
      </w:r>
      <w:r w:rsidR="004F6C99">
        <w:rPr>
          <w:rFonts w:eastAsia="Times New Roman"/>
          <w:b/>
          <w:sz w:val="24"/>
          <w:szCs w:val="24"/>
        </w:rPr>
        <w:t>ou</w:t>
      </w:r>
      <w:r w:rsidR="004F6C99" w:rsidRPr="003D18F5">
        <w:rPr>
          <w:rFonts w:eastAsia="Times New Roman"/>
          <w:b/>
          <w:sz w:val="24"/>
          <w:szCs w:val="24"/>
        </w:rPr>
        <w:t>p, Inc.</w:t>
      </w:r>
      <w:r w:rsidR="004F6C99">
        <w:rPr>
          <w:rFonts w:eastAsia="Times New Roman"/>
          <w:bCs/>
          <w:sz w:val="24"/>
          <w:szCs w:val="24"/>
        </w:rPr>
        <w:t xml:space="preserve">, 251 P.3d 1091 (Colo. App. 2010); </w:t>
      </w:r>
      <w:r w:rsidRPr="00E32C6D">
        <w:rPr>
          <w:rFonts w:eastAsia="Times New Roman"/>
          <w:bCs/>
          <w:sz w:val="24"/>
          <w:szCs w:val="24"/>
        </w:rPr>
        <w:t xml:space="preserve">and </w:t>
      </w:r>
      <w:r w:rsidRPr="00E32C6D">
        <w:rPr>
          <w:rFonts w:eastAsia="Times New Roman"/>
          <w:b/>
          <w:bCs/>
          <w:sz w:val="24"/>
          <w:szCs w:val="24"/>
        </w:rPr>
        <w:t>Randall &amp; Blake, Inc. v. Metro Wastewater Reclamation District</w:t>
      </w:r>
      <w:r w:rsidRPr="00E32C6D">
        <w:rPr>
          <w:rFonts w:eastAsia="Times New Roman"/>
          <w:bCs/>
          <w:sz w:val="24"/>
          <w:szCs w:val="24"/>
        </w:rPr>
        <w:t>, 77 P.3d 804, 806 (Colo. App. 2003) (“[D]ocuments executed together as part of a single transaction should be considered together in ascertaining the intent of the parties.”).</w:t>
      </w:r>
    </w:p>
    <w:p w14:paraId="731A3E7B" w14:textId="77777777" w:rsidR="00E32C6D" w:rsidRDefault="00E32C6D" w:rsidP="00E32C6D">
      <w:pPr>
        <w:spacing w:after="240"/>
        <w:ind w:firstLine="720"/>
        <w:rPr>
          <w:rFonts w:eastAsia="Times New Roman"/>
          <w:bCs/>
          <w:sz w:val="24"/>
          <w:szCs w:val="24"/>
        </w:rPr>
      </w:pPr>
      <w:r w:rsidRPr="00E32C6D">
        <w:rPr>
          <w:rFonts w:eastAsia="Times New Roman"/>
          <w:bCs/>
          <w:sz w:val="24"/>
          <w:szCs w:val="24"/>
        </w:rPr>
        <w:t xml:space="preserve">2. Covenants and other recorded instruments, like contracts, should be construed as a whole “seeking to harmonize and give effect to all provisions so that none will be rendered meaningless.” </w:t>
      </w:r>
      <w:r w:rsidR="00FB29B2">
        <w:rPr>
          <w:rFonts w:eastAsia="Times New Roman"/>
          <w:b/>
          <w:bCs/>
          <w:sz w:val="24"/>
          <w:szCs w:val="24"/>
        </w:rPr>
        <w:t>Pulte Home Corp.</w:t>
      </w:r>
      <w:r w:rsidRPr="00E32C6D">
        <w:rPr>
          <w:rFonts w:eastAsia="Times New Roman"/>
          <w:b/>
          <w:bCs/>
          <w:sz w:val="24"/>
          <w:szCs w:val="24"/>
        </w:rPr>
        <w:t xml:space="preserve"> v. Countryside Cmty. Ass’n, Inc.</w:t>
      </w:r>
      <w:r w:rsidRPr="00E32C6D">
        <w:rPr>
          <w:rFonts w:eastAsia="Times New Roman"/>
          <w:bCs/>
          <w:sz w:val="24"/>
          <w:szCs w:val="24"/>
        </w:rPr>
        <w:t>, 2016 CO 64, ¶ 23, 382 P.3d 821, 826.</w:t>
      </w:r>
    </w:p>
    <w:p w14:paraId="2C087AA7" w14:textId="68D10EA5" w:rsidR="006B7995" w:rsidRDefault="006B7995" w:rsidP="00E32C6D">
      <w:pPr>
        <w:spacing w:after="240"/>
        <w:ind w:firstLine="720"/>
        <w:rPr>
          <w:rFonts w:eastAsia="Times New Roman"/>
          <w:bCs/>
          <w:sz w:val="24"/>
          <w:szCs w:val="24"/>
        </w:rPr>
      </w:pPr>
      <w:r>
        <w:rPr>
          <w:rFonts w:eastAsia="Times New Roman"/>
          <w:bCs/>
          <w:sz w:val="24"/>
          <w:szCs w:val="24"/>
        </w:rPr>
        <w:t xml:space="preserve">3. Oil leases, like all contracts, must be interpreted in their entirety, harmonizing and giving effect to all provisions. </w:t>
      </w:r>
      <w:r w:rsidRPr="00FE6136">
        <w:rPr>
          <w:rFonts w:eastAsia="Times New Roman"/>
          <w:b/>
          <w:sz w:val="24"/>
          <w:szCs w:val="24"/>
        </w:rPr>
        <w:t>Bd</w:t>
      </w:r>
      <w:r>
        <w:rPr>
          <w:rFonts w:eastAsia="Times New Roman"/>
          <w:b/>
          <w:sz w:val="24"/>
          <w:szCs w:val="24"/>
        </w:rPr>
        <w:t>.</w:t>
      </w:r>
      <w:r w:rsidRPr="00FE6136">
        <w:rPr>
          <w:rFonts w:eastAsia="Times New Roman"/>
          <w:b/>
          <w:sz w:val="24"/>
          <w:szCs w:val="24"/>
        </w:rPr>
        <w:t xml:space="preserve"> of Cty</w:t>
      </w:r>
      <w:r>
        <w:rPr>
          <w:rFonts w:eastAsia="Times New Roman"/>
          <w:b/>
          <w:sz w:val="24"/>
          <w:szCs w:val="24"/>
        </w:rPr>
        <w:t>.</w:t>
      </w:r>
      <w:r w:rsidRPr="00FE6136">
        <w:rPr>
          <w:rFonts w:eastAsia="Times New Roman"/>
          <w:b/>
          <w:sz w:val="24"/>
          <w:szCs w:val="24"/>
        </w:rPr>
        <w:t xml:space="preserve"> Comm</w:t>
      </w:r>
      <w:r>
        <w:rPr>
          <w:rFonts w:eastAsia="Times New Roman"/>
          <w:b/>
          <w:sz w:val="24"/>
          <w:szCs w:val="24"/>
        </w:rPr>
        <w:t>’</w:t>
      </w:r>
      <w:r w:rsidRPr="00FE6136">
        <w:rPr>
          <w:rFonts w:eastAsia="Times New Roman"/>
          <w:b/>
          <w:sz w:val="24"/>
          <w:szCs w:val="24"/>
        </w:rPr>
        <w:t>rs v. Crestone Peak Res</w:t>
      </w:r>
      <w:r>
        <w:rPr>
          <w:rFonts w:eastAsia="Times New Roman"/>
          <w:b/>
          <w:sz w:val="24"/>
          <w:szCs w:val="24"/>
        </w:rPr>
        <w:t>.</w:t>
      </w:r>
      <w:r w:rsidRPr="00FE6136">
        <w:rPr>
          <w:rFonts w:eastAsia="Times New Roman"/>
          <w:b/>
          <w:sz w:val="24"/>
          <w:szCs w:val="24"/>
        </w:rPr>
        <w:t xml:space="preserve"> Operating LLC</w:t>
      </w:r>
      <w:r>
        <w:rPr>
          <w:rFonts w:eastAsia="Times New Roman"/>
          <w:bCs/>
          <w:sz w:val="24"/>
          <w:szCs w:val="24"/>
        </w:rPr>
        <w:t>, 2021 COA 67, ¶ 26</w:t>
      </w:r>
      <w:r w:rsidR="006459DB">
        <w:rPr>
          <w:rFonts w:eastAsia="Times New Roman"/>
          <w:bCs/>
          <w:sz w:val="24"/>
          <w:szCs w:val="24"/>
        </w:rPr>
        <w:t>, 493 P.3d 917, 922</w:t>
      </w:r>
      <w:r>
        <w:rPr>
          <w:rFonts w:eastAsia="Times New Roman"/>
          <w:bCs/>
          <w:sz w:val="24"/>
          <w:szCs w:val="24"/>
        </w:rPr>
        <w:t xml:space="preserve"> (“Boulder’s position (that production includes extraction) renders the leases’ clauses for shut-in royalties inoperative.”).</w:t>
      </w:r>
    </w:p>
    <w:p w14:paraId="010C0BBD" w14:textId="45ABA718" w:rsidR="00655FDA" w:rsidRPr="00655FDA" w:rsidRDefault="004F6C99" w:rsidP="00FB33C7">
      <w:pPr>
        <w:spacing w:after="240"/>
        <w:ind w:firstLine="720"/>
        <w:rPr>
          <w:rFonts w:eastAsia="Times New Roman"/>
          <w:sz w:val="24"/>
          <w:szCs w:val="24"/>
        </w:rPr>
      </w:pPr>
      <w:r>
        <w:rPr>
          <w:rFonts w:eastAsia="Times New Roman"/>
          <w:bCs/>
          <w:sz w:val="24"/>
          <w:szCs w:val="24"/>
        </w:rPr>
        <w:t>4.</w:t>
      </w:r>
      <w:r w:rsidRPr="004F6C99">
        <w:rPr>
          <w:rFonts w:eastAsia="Times New Roman"/>
          <w:bCs/>
          <w:sz w:val="24"/>
          <w:szCs w:val="24"/>
        </w:rPr>
        <w:t xml:space="preserve"> </w:t>
      </w:r>
      <w:r>
        <w:rPr>
          <w:rFonts w:eastAsia="Times New Roman"/>
          <w:bCs/>
          <w:sz w:val="24"/>
          <w:szCs w:val="24"/>
        </w:rPr>
        <w:t xml:space="preserve">For contract terms outside of the four corners of the contract to be incorporated by reference into the contract, the term to be incorporated generally must be clearly and expressly identified. </w:t>
      </w:r>
      <w:r w:rsidRPr="00353039">
        <w:rPr>
          <w:rFonts w:eastAsia="Times New Roman"/>
          <w:b/>
          <w:bCs/>
          <w:sz w:val="24"/>
          <w:szCs w:val="24"/>
        </w:rPr>
        <w:t>French v. Centura Health Corp</w:t>
      </w:r>
      <w:r>
        <w:rPr>
          <w:rFonts w:eastAsia="Times New Roman"/>
          <w:b/>
          <w:bCs/>
          <w:sz w:val="24"/>
          <w:szCs w:val="24"/>
        </w:rPr>
        <w:t>.</w:t>
      </w:r>
      <w:r w:rsidRPr="003D18F5">
        <w:rPr>
          <w:rFonts w:eastAsia="Times New Roman"/>
          <w:sz w:val="24"/>
          <w:szCs w:val="24"/>
        </w:rPr>
        <w:t>,</w:t>
      </w:r>
      <w:r>
        <w:rPr>
          <w:rFonts w:eastAsia="Times New Roman"/>
          <w:b/>
          <w:bCs/>
          <w:sz w:val="24"/>
          <w:szCs w:val="24"/>
        </w:rPr>
        <w:t xml:space="preserve"> </w:t>
      </w:r>
      <w:r w:rsidRPr="00357ACC">
        <w:rPr>
          <w:rFonts w:eastAsia="Times New Roman"/>
          <w:sz w:val="24"/>
          <w:szCs w:val="24"/>
        </w:rPr>
        <w:t>2022 CO 20, ¶ 29</w:t>
      </w:r>
      <w:r w:rsidR="00275682">
        <w:rPr>
          <w:rFonts w:eastAsia="Times New Roman"/>
          <w:sz w:val="24"/>
          <w:szCs w:val="24"/>
        </w:rPr>
        <w:t>, 509 P.3d 443, 449</w:t>
      </w:r>
      <w:r w:rsidRPr="00357ACC">
        <w:rPr>
          <w:rFonts w:eastAsia="Times New Roman"/>
          <w:sz w:val="24"/>
          <w:szCs w:val="24"/>
        </w:rPr>
        <w:t xml:space="preserve"> (“</w:t>
      </w:r>
      <w:r>
        <w:rPr>
          <w:rFonts w:eastAsia="Times New Roman"/>
          <w:sz w:val="24"/>
          <w:szCs w:val="24"/>
        </w:rPr>
        <w:t>Because French had no knowledge of and did not clearly and knowingly assent” to the defendant’s list of rates, the price term was left open and “the trial court properly tasked the jury with determining the reasonable value of the goods and services.</w:t>
      </w:r>
      <w:r w:rsidRPr="00357ACC">
        <w:rPr>
          <w:rFonts w:eastAsia="Times New Roman"/>
          <w:sz w:val="24"/>
          <w:szCs w:val="24"/>
        </w:rPr>
        <w:t>”)</w:t>
      </w:r>
      <w:r>
        <w:rPr>
          <w:rFonts w:eastAsia="Times New Roman"/>
          <w:sz w:val="24"/>
          <w:szCs w:val="24"/>
        </w:rPr>
        <w:t>.</w:t>
      </w:r>
    </w:p>
    <w:p w14:paraId="50DBDB69" w14:textId="77777777" w:rsidR="00E32C6D" w:rsidRDefault="00E32C6D">
      <w:pPr>
        <w:rPr>
          <w:rFonts w:eastAsia="Times New Roman"/>
          <w:bCs/>
          <w:sz w:val="24"/>
          <w:szCs w:val="24"/>
        </w:rPr>
      </w:pPr>
      <w:r>
        <w:rPr>
          <w:rFonts w:eastAsia="Times New Roman"/>
          <w:bCs/>
          <w:sz w:val="24"/>
          <w:szCs w:val="24"/>
        </w:rPr>
        <w:br w:type="page"/>
      </w:r>
    </w:p>
    <w:p w14:paraId="1D7D262F" w14:textId="77777777" w:rsidR="00E32C6D" w:rsidRPr="009E3DA4" w:rsidRDefault="00E32C6D" w:rsidP="00E32C6D">
      <w:pPr>
        <w:spacing w:after="240"/>
        <w:ind w:left="720" w:hanging="720"/>
        <w:rPr>
          <w:rFonts w:eastAsia="Times New Roman"/>
          <w:b/>
          <w:sz w:val="24"/>
          <w:szCs w:val="24"/>
        </w:rPr>
      </w:pPr>
      <w:bookmarkStart w:id="35" w:name="a30_33"/>
      <w:bookmarkEnd w:id="35"/>
      <w:r w:rsidRPr="00E32C6D">
        <w:rPr>
          <w:rFonts w:eastAsia="Times New Roman"/>
          <w:b/>
          <w:bCs/>
          <w:sz w:val="24"/>
          <w:szCs w:val="24"/>
        </w:rPr>
        <w:lastRenderedPageBreak/>
        <w:t>30:33</w:t>
      </w:r>
      <w:r w:rsidRPr="00E32C6D">
        <w:rPr>
          <w:rFonts w:eastAsia="Times New Roman"/>
          <w:b/>
          <w:bCs/>
          <w:sz w:val="24"/>
          <w:szCs w:val="24"/>
        </w:rPr>
        <w:tab/>
        <w:t>CONTRACT INTERPRETATION — ORDINARY MEANING</w:t>
      </w:r>
    </w:p>
    <w:p w14:paraId="652EA726" w14:textId="77777777" w:rsidR="00E32C6D" w:rsidRPr="00E32C6D" w:rsidRDefault="00E32C6D" w:rsidP="00E32C6D">
      <w:pPr>
        <w:spacing w:after="240"/>
        <w:ind w:firstLine="720"/>
        <w:rPr>
          <w:rFonts w:eastAsia="Times New Roman"/>
          <w:b/>
          <w:bCs/>
          <w:sz w:val="24"/>
          <w:szCs w:val="24"/>
        </w:rPr>
      </w:pPr>
      <w:r w:rsidRPr="00E32C6D">
        <w:rPr>
          <w:rFonts w:eastAsia="Times New Roman"/>
          <w:b/>
          <w:bCs/>
          <w:sz w:val="24"/>
          <w:szCs w:val="24"/>
        </w:rPr>
        <w:t>Words or phrases not defined in a contract should be given their plain, ordinary, and generally accepted meaning.</w:t>
      </w:r>
    </w:p>
    <w:p w14:paraId="49CF40FC" w14:textId="77777777" w:rsidR="00E32C6D" w:rsidRDefault="00E32C6D" w:rsidP="00E32C6D">
      <w:pPr>
        <w:jc w:val="center"/>
        <w:rPr>
          <w:rFonts w:eastAsia="Times New Roman"/>
          <w:sz w:val="24"/>
          <w:szCs w:val="24"/>
        </w:rPr>
      </w:pPr>
    </w:p>
    <w:p w14:paraId="2EFCD7C5" w14:textId="77777777" w:rsidR="00E32C6D" w:rsidRPr="0054263B" w:rsidRDefault="00E32C6D" w:rsidP="00E32C6D">
      <w:pPr>
        <w:keepNext/>
        <w:spacing w:after="240"/>
        <w:jc w:val="center"/>
        <w:rPr>
          <w:rFonts w:eastAsia="Times New Roman"/>
          <w:b/>
          <w:sz w:val="24"/>
          <w:szCs w:val="24"/>
        </w:rPr>
      </w:pPr>
      <w:r w:rsidRPr="0054263B">
        <w:rPr>
          <w:rFonts w:eastAsia="Times New Roman"/>
          <w:b/>
          <w:sz w:val="24"/>
          <w:szCs w:val="24"/>
        </w:rPr>
        <w:t>Notes on Use</w:t>
      </w:r>
    </w:p>
    <w:p w14:paraId="34EE5A56"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 xml:space="preserve">1. When the court has determined the contract term is ambiguous or there is an oral contract where the terms are in dispute, contract interpretation is a jury issue and this instruction should be used. </w:t>
      </w:r>
      <w:r w:rsidRPr="00E32C6D">
        <w:rPr>
          <w:rFonts w:eastAsia="Times New Roman"/>
          <w:bCs/>
          <w:i/>
          <w:sz w:val="24"/>
          <w:szCs w:val="24"/>
        </w:rPr>
        <w:t>See</w:t>
      </w:r>
      <w:r w:rsidRPr="00E32C6D">
        <w:rPr>
          <w:rFonts w:eastAsia="Times New Roman"/>
          <w:bCs/>
          <w:sz w:val="24"/>
          <w:szCs w:val="24"/>
        </w:rPr>
        <w:t xml:space="preserve"> Introductory Note to Part D of this Chapter.</w:t>
      </w:r>
    </w:p>
    <w:p w14:paraId="370C70CE"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73506753" w14:textId="77777777" w:rsidR="00E32C6D" w:rsidRPr="0054263B" w:rsidRDefault="00E32C6D" w:rsidP="00E32C6D">
      <w:pPr>
        <w:keepNext/>
        <w:spacing w:after="240"/>
        <w:jc w:val="center"/>
        <w:rPr>
          <w:rFonts w:eastAsia="Times New Roman"/>
          <w:b/>
          <w:sz w:val="24"/>
          <w:szCs w:val="24"/>
        </w:rPr>
      </w:pPr>
      <w:r>
        <w:rPr>
          <w:rFonts w:eastAsia="Times New Roman"/>
          <w:b/>
          <w:sz w:val="24"/>
          <w:szCs w:val="24"/>
        </w:rPr>
        <w:t>Source and Authority</w:t>
      </w:r>
    </w:p>
    <w:p w14:paraId="6E98C8D8" w14:textId="3FB13F9A" w:rsidR="00E32C6D" w:rsidRDefault="00777C59" w:rsidP="00E32C6D">
      <w:pPr>
        <w:spacing w:after="240"/>
        <w:ind w:firstLine="720"/>
        <w:rPr>
          <w:rFonts w:eastAsia="Times New Roman"/>
          <w:bCs/>
          <w:sz w:val="24"/>
          <w:szCs w:val="24"/>
        </w:rPr>
      </w:pPr>
      <w:r>
        <w:rPr>
          <w:rFonts w:eastAsia="Times New Roman"/>
          <w:bCs/>
          <w:sz w:val="24"/>
          <w:szCs w:val="24"/>
        </w:rPr>
        <w:t xml:space="preserve">1. </w:t>
      </w:r>
      <w:r w:rsidR="00E32C6D" w:rsidRPr="00E32C6D">
        <w:rPr>
          <w:rFonts w:eastAsia="Times New Roman"/>
          <w:bCs/>
          <w:sz w:val="24"/>
          <w:szCs w:val="24"/>
        </w:rPr>
        <w:t xml:space="preserve">This instruction is supported by </w:t>
      </w:r>
      <w:r w:rsidR="00E32C6D" w:rsidRPr="00E32C6D">
        <w:rPr>
          <w:rFonts w:eastAsia="Times New Roman"/>
          <w:b/>
          <w:bCs/>
          <w:sz w:val="24"/>
          <w:szCs w:val="24"/>
        </w:rPr>
        <w:t>Columbus Investments v. Lewis</w:t>
      </w:r>
      <w:r w:rsidR="00E32C6D" w:rsidRPr="00E32C6D">
        <w:rPr>
          <w:rFonts w:eastAsia="Times New Roman"/>
          <w:bCs/>
          <w:sz w:val="24"/>
          <w:szCs w:val="24"/>
        </w:rPr>
        <w:t xml:space="preserve">, 48 P.3d 1222 (Colo. 2002); </w:t>
      </w:r>
      <w:r w:rsidR="00E32C6D" w:rsidRPr="00E32C6D">
        <w:rPr>
          <w:rFonts w:eastAsia="Times New Roman"/>
          <w:b/>
          <w:bCs/>
          <w:sz w:val="24"/>
          <w:szCs w:val="24"/>
        </w:rPr>
        <w:t>Allstate Insurance Co. v. Huizar</w:t>
      </w:r>
      <w:r w:rsidR="00E32C6D" w:rsidRPr="00E32C6D">
        <w:rPr>
          <w:rFonts w:eastAsia="Times New Roman"/>
          <w:bCs/>
          <w:sz w:val="24"/>
          <w:szCs w:val="24"/>
        </w:rPr>
        <w:t xml:space="preserve">, 52 P.3d 816 (Colo. 2002) (interpretation of insurance contracts); </w:t>
      </w:r>
      <w:r w:rsidR="00E32C6D" w:rsidRPr="00E32C6D">
        <w:rPr>
          <w:rFonts w:eastAsia="Times New Roman"/>
          <w:b/>
          <w:bCs/>
          <w:sz w:val="24"/>
          <w:szCs w:val="24"/>
        </w:rPr>
        <w:t>Copper Mountain, Inc. v. Industrial Systems, Inc.</w:t>
      </w:r>
      <w:r w:rsidR="00E32C6D" w:rsidRPr="00E32C6D">
        <w:rPr>
          <w:rFonts w:eastAsia="Times New Roman"/>
          <w:bCs/>
          <w:sz w:val="24"/>
          <w:szCs w:val="24"/>
        </w:rPr>
        <w:t>,</w:t>
      </w:r>
      <w:r w:rsidR="00E32C6D" w:rsidRPr="00E32C6D">
        <w:rPr>
          <w:rFonts w:eastAsia="Times New Roman"/>
          <w:b/>
          <w:bCs/>
          <w:sz w:val="24"/>
          <w:szCs w:val="24"/>
        </w:rPr>
        <w:t xml:space="preserve"> </w:t>
      </w:r>
      <w:r w:rsidR="00E32C6D" w:rsidRPr="00E32C6D">
        <w:rPr>
          <w:rFonts w:eastAsia="Times New Roman"/>
          <w:bCs/>
          <w:sz w:val="24"/>
          <w:szCs w:val="24"/>
        </w:rPr>
        <w:t xml:space="preserve">208 P.3d 692 (Colo. 2009); and </w:t>
      </w:r>
      <w:r w:rsidR="00E32C6D" w:rsidRPr="00E32C6D">
        <w:rPr>
          <w:rFonts w:eastAsia="Times New Roman"/>
          <w:b/>
          <w:bCs/>
          <w:sz w:val="24"/>
          <w:szCs w:val="24"/>
        </w:rPr>
        <w:t>Smith v. State Farm Mutual Automobile Insurance Co</w:t>
      </w:r>
      <w:r w:rsidR="00E32C6D" w:rsidRPr="00E32C6D">
        <w:rPr>
          <w:rFonts w:eastAsia="Times New Roman"/>
          <w:bCs/>
          <w:sz w:val="24"/>
          <w:szCs w:val="24"/>
        </w:rPr>
        <w:t>., 2017 COA 6, ¶ 21, 399 P.3d 771, 776 (“The plain meaning therefore does not support limiting the policy definition to vehicles ‘primarily’ designed for driving on streets or highways.”).</w:t>
      </w:r>
    </w:p>
    <w:p w14:paraId="5CB9F54E" w14:textId="023AAB6A" w:rsidR="00777C59" w:rsidRPr="00E32C6D" w:rsidRDefault="00777C59" w:rsidP="00E32C6D">
      <w:pPr>
        <w:spacing w:after="240"/>
        <w:ind w:firstLine="720"/>
        <w:rPr>
          <w:rFonts w:eastAsia="Times New Roman"/>
          <w:bCs/>
          <w:sz w:val="24"/>
          <w:szCs w:val="24"/>
        </w:rPr>
      </w:pPr>
      <w:r>
        <w:rPr>
          <w:rFonts w:eastAsia="Times New Roman"/>
          <w:bCs/>
          <w:sz w:val="24"/>
          <w:szCs w:val="24"/>
        </w:rPr>
        <w:t xml:space="preserve">2. </w:t>
      </w:r>
      <w:r w:rsidRPr="00777C59">
        <w:rPr>
          <w:rFonts w:eastAsia="Times New Roman"/>
          <w:bCs/>
          <w:sz w:val="24"/>
          <w:szCs w:val="24"/>
        </w:rPr>
        <w:t>Dictionary definitions may be consulted to determine plain, ordinary, and generally accept</w:t>
      </w:r>
      <w:r w:rsidR="00DA3650">
        <w:rPr>
          <w:rFonts w:eastAsia="Times New Roman"/>
          <w:bCs/>
          <w:sz w:val="24"/>
          <w:szCs w:val="24"/>
        </w:rPr>
        <w:t>ed</w:t>
      </w:r>
      <w:r w:rsidRPr="00777C59">
        <w:rPr>
          <w:rFonts w:eastAsia="Times New Roman"/>
          <w:bCs/>
          <w:sz w:val="24"/>
          <w:szCs w:val="24"/>
        </w:rPr>
        <w:t xml:space="preserve"> meaning of words used in contracts. </w:t>
      </w:r>
      <w:r w:rsidRPr="00777C59">
        <w:rPr>
          <w:rFonts w:eastAsia="Times New Roman"/>
          <w:b/>
          <w:bCs/>
          <w:sz w:val="24"/>
          <w:szCs w:val="24"/>
        </w:rPr>
        <w:t>Owners Ins. Co. v. Dakota Station II Condo</w:t>
      </w:r>
      <w:r>
        <w:rPr>
          <w:rFonts w:eastAsia="Times New Roman"/>
          <w:b/>
          <w:bCs/>
          <w:sz w:val="24"/>
          <w:szCs w:val="24"/>
        </w:rPr>
        <w:t>. Ass’n</w:t>
      </w:r>
      <w:r w:rsidRPr="00777C59">
        <w:rPr>
          <w:rFonts w:eastAsia="Times New Roman"/>
          <w:bCs/>
          <w:sz w:val="24"/>
          <w:szCs w:val="24"/>
        </w:rPr>
        <w:t>, 2019 CO 65, ¶ 3</w:t>
      </w:r>
      <w:r>
        <w:rPr>
          <w:rFonts w:eastAsia="Times New Roman"/>
          <w:bCs/>
          <w:sz w:val="24"/>
          <w:szCs w:val="24"/>
        </w:rPr>
        <w:t>9</w:t>
      </w:r>
      <w:r w:rsidRPr="00777C59">
        <w:rPr>
          <w:rFonts w:eastAsia="Times New Roman"/>
          <w:bCs/>
          <w:sz w:val="24"/>
          <w:szCs w:val="24"/>
        </w:rPr>
        <w:t>, 443 P.3d 47 (c</w:t>
      </w:r>
      <w:r>
        <w:rPr>
          <w:rFonts w:eastAsia="Times New Roman"/>
          <w:bCs/>
          <w:sz w:val="24"/>
          <w:szCs w:val="24"/>
        </w:rPr>
        <w:t>onsulting dictionary to determ</w:t>
      </w:r>
      <w:r w:rsidRPr="00777C59">
        <w:rPr>
          <w:rFonts w:eastAsia="Times New Roman"/>
          <w:bCs/>
          <w:sz w:val="24"/>
          <w:szCs w:val="24"/>
        </w:rPr>
        <w:t xml:space="preserve">ine ordinary meaning of “impartial” </w:t>
      </w:r>
      <w:r>
        <w:rPr>
          <w:rFonts w:eastAsia="Times New Roman"/>
          <w:bCs/>
          <w:sz w:val="24"/>
          <w:szCs w:val="24"/>
        </w:rPr>
        <w:t>and “advocate”</w:t>
      </w:r>
      <w:r w:rsidRPr="00777C59">
        <w:rPr>
          <w:rFonts w:eastAsia="Times New Roman"/>
          <w:bCs/>
          <w:sz w:val="24"/>
          <w:szCs w:val="24"/>
        </w:rPr>
        <w:t xml:space="preserve">); </w:t>
      </w:r>
      <w:r w:rsidRPr="00777C59">
        <w:rPr>
          <w:rFonts w:eastAsia="Times New Roman"/>
          <w:b/>
          <w:bCs/>
          <w:sz w:val="24"/>
          <w:szCs w:val="24"/>
        </w:rPr>
        <w:t>Renfandt v. N.Y. Life Ins. Co.</w:t>
      </w:r>
      <w:r>
        <w:rPr>
          <w:rFonts w:eastAsia="Times New Roman"/>
          <w:bCs/>
          <w:sz w:val="24"/>
          <w:szCs w:val="24"/>
        </w:rPr>
        <w:t>,</w:t>
      </w:r>
      <w:r w:rsidRPr="00777C59">
        <w:rPr>
          <w:rFonts w:eastAsia="Times New Roman"/>
          <w:bCs/>
          <w:sz w:val="24"/>
          <w:szCs w:val="24"/>
        </w:rPr>
        <w:t xml:space="preserve"> 2018 CO 49, ¶</w:t>
      </w:r>
      <w:r>
        <w:rPr>
          <w:rFonts w:eastAsia="Times New Roman"/>
          <w:bCs/>
          <w:sz w:val="24"/>
          <w:szCs w:val="24"/>
        </w:rPr>
        <w:t xml:space="preserve"> </w:t>
      </w:r>
      <w:r w:rsidRPr="00777C59">
        <w:rPr>
          <w:rFonts w:eastAsia="Times New Roman"/>
          <w:bCs/>
          <w:sz w:val="24"/>
          <w:szCs w:val="24"/>
        </w:rPr>
        <w:t>18, 419 P</w:t>
      </w:r>
      <w:r w:rsidR="00275682">
        <w:rPr>
          <w:rFonts w:eastAsia="Times New Roman"/>
          <w:bCs/>
          <w:sz w:val="24"/>
          <w:szCs w:val="24"/>
        </w:rPr>
        <w:t>.</w:t>
      </w:r>
      <w:r w:rsidRPr="00777C59">
        <w:rPr>
          <w:rFonts w:eastAsia="Times New Roman"/>
          <w:bCs/>
          <w:sz w:val="24"/>
          <w:szCs w:val="24"/>
        </w:rPr>
        <w:t>3d 576, 580 (“When determining the plain and ordinary meaning of words, we may consider definitions in a recognized dictionary.”)</w:t>
      </w:r>
      <w:r>
        <w:rPr>
          <w:rFonts w:eastAsia="Times New Roman"/>
          <w:bCs/>
          <w:sz w:val="24"/>
          <w:szCs w:val="24"/>
        </w:rPr>
        <w:t>.</w:t>
      </w:r>
    </w:p>
    <w:p w14:paraId="765E03AC" w14:textId="77777777" w:rsidR="00FE48F2" w:rsidRDefault="00FE48F2">
      <w:pPr>
        <w:rPr>
          <w:rFonts w:eastAsia="Times New Roman"/>
          <w:bCs/>
          <w:sz w:val="24"/>
          <w:szCs w:val="24"/>
        </w:rPr>
      </w:pPr>
      <w:r>
        <w:rPr>
          <w:rFonts w:eastAsia="Times New Roman"/>
          <w:bCs/>
          <w:sz w:val="24"/>
          <w:szCs w:val="24"/>
        </w:rPr>
        <w:br w:type="page"/>
      </w:r>
    </w:p>
    <w:p w14:paraId="0FBFCB68" w14:textId="77777777" w:rsidR="00FE48F2" w:rsidRPr="009E3DA4" w:rsidRDefault="00FE48F2" w:rsidP="00FE48F2">
      <w:pPr>
        <w:spacing w:after="240"/>
        <w:ind w:left="720" w:hanging="720"/>
        <w:rPr>
          <w:rFonts w:eastAsia="Times New Roman"/>
          <w:b/>
          <w:sz w:val="24"/>
          <w:szCs w:val="24"/>
        </w:rPr>
      </w:pPr>
      <w:bookmarkStart w:id="36" w:name="a30_34"/>
      <w:bookmarkEnd w:id="36"/>
      <w:r w:rsidRPr="00FE48F2">
        <w:rPr>
          <w:rFonts w:eastAsia="Times New Roman"/>
          <w:b/>
          <w:bCs/>
          <w:sz w:val="24"/>
          <w:szCs w:val="24"/>
        </w:rPr>
        <w:lastRenderedPageBreak/>
        <w:t>30:34</w:t>
      </w:r>
      <w:r w:rsidRPr="00FE48F2">
        <w:rPr>
          <w:rFonts w:eastAsia="Times New Roman"/>
          <w:b/>
          <w:bCs/>
          <w:sz w:val="24"/>
          <w:szCs w:val="24"/>
        </w:rPr>
        <w:tab/>
      </w:r>
      <w:r w:rsidRPr="00FE48F2">
        <w:rPr>
          <w:rFonts w:eastAsia="Times New Roman"/>
          <w:b/>
          <w:bCs/>
          <w:caps/>
          <w:sz w:val="24"/>
          <w:szCs w:val="24"/>
        </w:rPr>
        <w:t>Contract Interpretation — Use of Technical Words in a Contract</w:t>
      </w:r>
    </w:p>
    <w:p w14:paraId="4BEB1A3D" w14:textId="77777777" w:rsidR="00FE48F2" w:rsidRPr="00FE48F2" w:rsidRDefault="00FE48F2" w:rsidP="00FE48F2">
      <w:pPr>
        <w:spacing w:after="240"/>
        <w:ind w:firstLine="720"/>
        <w:rPr>
          <w:rFonts w:eastAsia="Times New Roman"/>
          <w:b/>
          <w:bCs/>
          <w:sz w:val="24"/>
          <w:szCs w:val="24"/>
        </w:rPr>
      </w:pPr>
      <w:r w:rsidRPr="00FE48F2">
        <w:rPr>
          <w:rFonts w:eastAsia="Times New Roman"/>
          <w:b/>
          <w:bCs/>
          <w:sz w:val="24"/>
          <w:szCs w:val="24"/>
        </w:rPr>
        <w:t>When a contract uses words or phrases from a trade or technical field, those words or phrases should be given their usual meaning in that trade or technical field.</w:t>
      </w:r>
    </w:p>
    <w:p w14:paraId="155A7E9D" w14:textId="77777777" w:rsidR="00FE48F2" w:rsidRDefault="00FE48F2" w:rsidP="00FE48F2">
      <w:pPr>
        <w:jc w:val="center"/>
        <w:rPr>
          <w:rFonts w:eastAsia="Times New Roman"/>
          <w:sz w:val="24"/>
          <w:szCs w:val="24"/>
        </w:rPr>
      </w:pPr>
    </w:p>
    <w:p w14:paraId="4BB80874" w14:textId="77777777" w:rsidR="00FE48F2" w:rsidRPr="0054263B" w:rsidRDefault="00FE48F2" w:rsidP="00FE48F2">
      <w:pPr>
        <w:keepNext/>
        <w:spacing w:after="240"/>
        <w:jc w:val="center"/>
        <w:rPr>
          <w:rFonts w:eastAsia="Times New Roman"/>
          <w:b/>
          <w:sz w:val="24"/>
          <w:szCs w:val="24"/>
        </w:rPr>
      </w:pPr>
      <w:r w:rsidRPr="0054263B">
        <w:rPr>
          <w:rFonts w:eastAsia="Times New Roman"/>
          <w:b/>
          <w:sz w:val="24"/>
          <w:szCs w:val="24"/>
        </w:rPr>
        <w:t>Notes on Use</w:t>
      </w:r>
    </w:p>
    <w:p w14:paraId="6E29258D" w14:textId="77777777" w:rsidR="00FE48F2" w:rsidRPr="00FE48F2" w:rsidRDefault="00FE48F2" w:rsidP="00FE48F2">
      <w:pPr>
        <w:spacing w:after="240"/>
        <w:ind w:firstLine="720"/>
        <w:rPr>
          <w:rFonts w:eastAsia="Times New Roman"/>
          <w:bCs/>
          <w:sz w:val="24"/>
          <w:szCs w:val="24"/>
        </w:rPr>
      </w:pPr>
      <w:r w:rsidRPr="00FE48F2">
        <w:rPr>
          <w:rFonts w:eastAsia="Times New Roman"/>
          <w:bCs/>
          <w:sz w:val="24"/>
          <w:szCs w:val="24"/>
        </w:rPr>
        <w:t xml:space="preserve">1. When the court has determined the contract term is ambiguous or used in a special or technical sense, contract interpretation is a jury issue and this instruction should be used. </w:t>
      </w:r>
      <w:r w:rsidRPr="00FE48F2">
        <w:rPr>
          <w:rFonts w:eastAsia="Times New Roman"/>
          <w:bCs/>
          <w:i/>
          <w:sz w:val="24"/>
          <w:szCs w:val="24"/>
        </w:rPr>
        <w:t>See</w:t>
      </w:r>
      <w:r w:rsidRPr="00FE48F2">
        <w:rPr>
          <w:rFonts w:eastAsia="Times New Roman"/>
          <w:bCs/>
          <w:sz w:val="24"/>
          <w:szCs w:val="24"/>
        </w:rPr>
        <w:t xml:space="preserve"> Introductory Note to Part D of this Chapter.</w:t>
      </w:r>
    </w:p>
    <w:p w14:paraId="3B928324" w14:textId="77777777" w:rsidR="00FE48F2" w:rsidRPr="00FE48F2" w:rsidRDefault="00FE48F2" w:rsidP="00FE48F2">
      <w:pPr>
        <w:spacing w:after="240"/>
        <w:ind w:firstLine="720"/>
        <w:rPr>
          <w:rFonts w:eastAsia="Times New Roman"/>
          <w:bCs/>
          <w:sz w:val="24"/>
          <w:szCs w:val="24"/>
        </w:rPr>
      </w:pPr>
      <w:r w:rsidRPr="00FE48F2">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7EBDCBB9" w14:textId="77777777" w:rsidR="00FE48F2" w:rsidRPr="0054263B" w:rsidRDefault="00FE48F2" w:rsidP="00FE48F2">
      <w:pPr>
        <w:keepNext/>
        <w:spacing w:after="240"/>
        <w:jc w:val="center"/>
        <w:rPr>
          <w:rFonts w:eastAsia="Times New Roman"/>
          <w:b/>
          <w:sz w:val="24"/>
          <w:szCs w:val="24"/>
        </w:rPr>
      </w:pPr>
      <w:r>
        <w:rPr>
          <w:rFonts w:eastAsia="Times New Roman"/>
          <w:b/>
          <w:sz w:val="24"/>
          <w:szCs w:val="24"/>
        </w:rPr>
        <w:t>Source and Authority</w:t>
      </w:r>
    </w:p>
    <w:p w14:paraId="523D7BA1" w14:textId="77777777" w:rsidR="00FE48F2" w:rsidRPr="00FE48F2" w:rsidRDefault="00FE48F2" w:rsidP="00FE48F2">
      <w:pPr>
        <w:spacing w:after="240"/>
        <w:ind w:firstLine="720"/>
        <w:rPr>
          <w:rFonts w:eastAsia="Times New Roman"/>
          <w:bCs/>
          <w:sz w:val="24"/>
          <w:szCs w:val="24"/>
        </w:rPr>
      </w:pPr>
      <w:r w:rsidRPr="00FE48F2">
        <w:rPr>
          <w:rFonts w:eastAsia="Times New Roman"/>
          <w:bCs/>
          <w:sz w:val="24"/>
          <w:szCs w:val="24"/>
        </w:rPr>
        <w:t xml:space="preserve">1. This instruction is supported by </w:t>
      </w:r>
      <w:r w:rsidRPr="00FE48F2">
        <w:rPr>
          <w:rFonts w:eastAsia="Times New Roman"/>
          <w:b/>
          <w:bCs/>
          <w:sz w:val="24"/>
          <w:szCs w:val="24"/>
        </w:rPr>
        <w:t>Washington County Board of Equalization v. Petron Development Co.</w:t>
      </w:r>
      <w:r w:rsidRPr="00FE48F2">
        <w:rPr>
          <w:rFonts w:eastAsia="Times New Roman"/>
          <w:bCs/>
          <w:sz w:val="24"/>
          <w:szCs w:val="24"/>
        </w:rPr>
        <w:t xml:space="preserve">, 109 P.3d 146 (Colo. 2005); </w:t>
      </w:r>
      <w:r w:rsidRPr="00FE48F2">
        <w:rPr>
          <w:rFonts w:eastAsia="Times New Roman"/>
          <w:b/>
          <w:bCs/>
          <w:iCs/>
          <w:sz w:val="24"/>
          <w:szCs w:val="24"/>
        </w:rPr>
        <w:t>KN Energy, Inc. v. Great Western Sugar Co.</w:t>
      </w:r>
      <w:r w:rsidRPr="00FE48F2">
        <w:rPr>
          <w:rFonts w:eastAsia="Times New Roman"/>
          <w:bCs/>
          <w:iCs/>
          <w:sz w:val="24"/>
          <w:szCs w:val="24"/>
        </w:rPr>
        <w:t>,</w:t>
      </w:r>
      <w:r w:rsidRPr="00FE48F2">
        <w:rPr>
          <w:rFonts w:eastAsia="Times New Roman"/>
          <w:bCs/>
          <w:sz w:val="24"/>
          <w:szCs w:val="24"/>
        </w:rPr>
        <w:t xml:space="preserve"> 698 P.2d 769 (Colo. 1985) (a trial court may not look beyond the plain words of a contract to interpret the parties’ underlying intent unless the contract terms are ambiguous or used in a special or technical sense not defined by in the contract); </w:t>
      </w:r>
      <w:r w:rsidRPr="00FE48F2">
        <w:rPr>
          <w:rFonts w:eastAsia="Times New Roman"/>
          <w:b/>
          <w:bCs/>
          <w:sz w:val="24"/>
          <w:szCs w:val="24"/>
        </w:rPr>
        <w:t>Town of Silverton v. Phoenix Heat Source System, Inc.</w:t>
      </w:r>
      <w:r w:rsidRPr="00FE48F2">
        <w:rPr>
          <w:rFonts w:eastAsia="Times New Roman"/>
          <w:bCs/>
          <w:sz w:val="24"/>
          <w:szCs w:val="24"/>
        </w:rPr>
        <w:t xml:space="preserve">, 948 P.2d 9 (Colo. App. 1997); and </w:t>
      </w:r>
      <w:r w:rsidRPr="00FE48F2">
        <w:rPr>
          <w:rFonts w:eastAsia="Times New Roman"/>
          <w:bCs/>
          <w:smallCaps/>
          <w:sz w:val="24"/>
          <w:szCs w:val="24"/>
        </w:rPr>
        <w:t>Restatement (Second) of Contracts</w:t>
      </w:r>
      <w:r w:rsidRPr="00FE48F2">
        <w:rPr>
          <w:rFonts w:eastAsia="Times New Roman"/>
          <w:bCs/>
          <w:sz w:val="24"/>
          <w:szCs w:val="24"/>
        </w:rPr>
        <w:t xml:space="preserve"> § 202 (1981).</w:t>
      </w:r>
    </w:p>
    <w:p w14:paraId="1BBCC068" w14:textId="77777777" w:rsidR="00FE48F2" w:rsidRPr="00FE48F2" w:rsidRDefault="00FE48F2" w:rsidP="00FE48F2">
      <w:pPr>
        <w:spacing w:after="240"/>
        <w:ind w:firstLine="720"/>
        <w:rPr>
          <w:rFonts w:eastAsia="Times New Roman"/>
          <w:bCs/>
          <w:sz w:val="24"/>
          <w:szCs w:val="24"/>
        </w:rPr>
      </w:pPr>
      <w:r w:rsidRPr="00FE48F2">
        <w:rPr>
          <w:rFonts w:eastAsia="Times New Roman"/>
          <w:bCs/>
          <w:sz w:val="24"/>
          <w:szCs w:val="24"/>
        </w:rPr>
        <w:t xml:space="preserve">2. When parties are engaged in a trade or technical field, “[u]nless a different intention is manifested . . . technical terms and words of art are given their technical meaning when used in a transaction within their technical field.” </w:t>
      </w:r>
      <w:r w:rsidRPr="00CE48C8">
        <w:rPr>
          <w:rFonts w:eastAsia="Times New Roman"/>
          <w:bCs/>
          <w:smallCaps/>
          <w:sz w:val="24"/>
          <w:szCs w:val="24"/>
        </w:rPr>
        <w:t>Restatement (Second) of Contracts</w:t>
      </w:r>
      <w:r w:rsidRPr="00FE48F2">
        <w:rPr>
          <w:rFonts w:eastAsia="Times New Roman"/>
          <w:bCs/>
          <w:sz w:val="24"/>
          <w:szCs w:val="24"/>
        </w:rPr>
        <w:t xml:space="preserve"> § 202(3)(b) (1981); </w:t>
      </w:r>
      <w:r w:rsidRPr="00FE48F2">
        <w:rPr>
          <w:rFonts w:eastAsia="Times New Roman"/>
          <w:bCs/>
          <w:i/>
          <w:iCs/>
          <w:sz w:val="24"/>
          <w:szCs w:val="24"/>
        </w:rPr>
        <w:t>see</w:t>
      </w:r>
      <w:r w:rsidRPr="00FE48F2">
        <w:rPr>
          <w:rFonts w:eastAsia="Times New Roman"/>
          <w:bCs/>
          <w:sz w:val="24"/>
          <w:szCs w:val="24"/>
        </w:rPr>
        <w:t xml:space="preserve"> </w:t>
      </w:r>
      <w:r w:rsidRPr="00FE48F2">
        <w:rPr>
          <w:rFonts w:eastAsia="Times New Roman"/>
          <w:b/>
          <w:bCs/>
          <w:sz w:val="24"/>
          <w:szCs w:val="24"/>
        </w:rPr>
        <w:t>Bledsoe Land Co. LLLP v. Forest Oil Corp.</w:t>
      </w:r>
      <w:r w:rsidRPr="00FE48F2">
        <w:rPr>
          <w:rFonts w:eastAsia="Times New Roman"/>
          <w:bCs/>
          <w:sz w:val="24"/>
          <w:szCs w:val="24"/>
        </w:rPr>
        <w:t xml:space="preserve">, 277 P.3d 838 (Colo. App. 2011); David E. Pierce, </w:t>
      </w:r>
      <w:r w:rsidRPr="00FE48F2">
        <w:rPr>
          <w:rFonts w:eastAsia="Times New Roman"/>
          <w:bCs/>
          <w:i/>
          <w:iCs/>
          <w:sz w:val="24"/>
          <w:szCs w:val="24"/>
        </w:rPr>
        <w:t>Defining the Role of Industry Custom and Usage in Oil &amp; Gas Litigation</w:t>
      </w:r>
      <w:r w:rsidRPr="00FE48F2">
        <w:rPr>
          <w:rFonts w:eastAsia="Times New Roman"/>
          <w:bCs/>
          <w:iCs/>
          <w:sz w:val="24"/>
          <w:szCs w:val="24"/>
        </w:rPr>
        <w:t>,</w:t>
      </w:r>
      <w:r w:rsidRPr="00FE48F2">
        <w:rPr>
          <w:rFonts w:eastAsia="Times New Roman"/>
          <w:bCs/>
          <w:sz w:val="24"/>
          <w:szCs w:val="24"/>
        </w:rPr>
        <w:t xml:space="preserve"> 57 </w:t>
      </w:r>
      <w:r w:rsidRPr="00CE48C8">
        <w:rPr>
          <w:rFonts w:eastAsia="Times New Roman"/>
          <w:bCs/>
          <w:smallCaps/>
          <w:sz w:val="24"/>
          <w:szCs w:val="24"/>
        </w:rPr>
        <w:t>SMU L. Rev.</w:t>
      </w:r>
      <w:r w:rsidRPr="00FE48F2">
        <w:rPr>
          <w:rFonts w:eastAsia="Times New Roman"/>
          <w:bCs/>
          <w:sz w:val="24"/>
          <w:szCs w:val="24"/>
        </w:rPr>
        <w:t xml:space="preserve"> 387, 402 (2004).</w:t>
      </w:r>
    </w:p>
    <w:p w14:paraId="332E255B" w14:textId="77777777" w:rsidR="00C63547" w:rsidRDefault="00FE48F2" w:rsidP="00C63547">
      <w:pPr>
        <w:spacing w:after="240"/>
        <w:ind w:firstLine="720"/>
        <w:rPr>
          <w:rFonts w:eastAsia="Times New Roman"/>
          <w:bCs/>
          <w:sz w:val="24"/>
          <w:szCs w:val="24"/>
        </w:rPr>
      </w:pPr>
      <w:r w:rsidRPr="00FE48F2">
        <w:rPr>
          <w:rFonts w:eastAsia="Times New Roman"/>
          <w:bCs/>
          <w:sz w:val="24"/>
          <w:szCs w:val="24"/>
        </w:rPr>
        <w:t xml:space="preserve">3. Technical meanings refer to terms with a unique definition within a specific industry, or to legal terms of art. </w:t>
      </w:r>
      <w:r w:rsidRPr="00FE48F2">
        <w:rPr>
          <w:rFonts w:eastAsia="Times New Roman"/>
          <w:bCs/>
          <w:i/>
          <w:iCs/>
          <w:sz w:val="24"/>
          <w:szCs w:val="24"/>
        </w:rPr>
        <w:t>See, e.g.</w:t>
      </w:r>
      <w:r w:rsidRPr="00FE48F2">
        <w:rPr>
          <w:rFonts w:eastAsia="Times New Roman"/>
          <w:bCs/>
          <w:iCs/>
          <w:sz w:val="24"/>
          <w:szCs w:val="24"/>
        </w:rPr>
        <w:t>,</w:t>
      </w:r>
      <w:r w:rsidRPr="00FE48F2">
        <w:rPr>
          <w:rFonts w:eastAsia="Times New Roman"/>
          <w:bCs/>
          <w:i/>
          <w:iCs/>
          <w:sz w:val="24"/>
          <w:szCs w:val="24"/>
        </w:rPr>
        <w:t xml:space="preserve"> </w:t>
      </w:r>
      <w:r w:rsidRPr="00FE48F2">
        <w:rPr>
          <w:rFonts w:eastAsia="Times New Roman"/>
          <w:b/>
          <w:bCs/>
          <w:iCs/>
          <w:sz w:val="24"/>
          <w:szCs w:val="24"/>
        </w:rPr>
        <w:t>Petron Dev. Co.</w:t>
      </w:r>
      <w:r w:rsidRPr="00FE48F2">
        <w:rPr>
          <w:rFonts w:eastAsia="Times New Roman"/>
          <w:bCs/>
          <w:iCs/>
          <w:sz w:val="24"/>
          <w:szCs w:val="24"/>
        </w:rPr>
        <w:t>,</w:t>
      </w:r>
      <w:r w:rsidRPr="00FE48F2">
        <w:rPr>
          <w:rFonts w:eastAsia="Times New Roman"/>
          <w:bCs/>
          <w:sz w:val="24"/>
          <w:szCs w:val="24"/>
        </w:rPr>
        <w:t xml:space="preserve"> 109 P.3d at 153 (“wellhead” has technical meaning in oil and gas industry); </w:t>
      </w:r>
      <w:r w:rsidRPr="00FE48F2">
        <w:rPr>
          <w:rFonts w:eastAsia="Times New Roman"/>
          <w:b/>
          <w:bCs/>
          <w:iCs/>
          <w:sz w:val="24"/>
          <w:szCs w:val="24"/>
        </w:rPr>
        <w:t>Armentrout v. FMC Corp.</w:t>
      </w:r>
      <w:r w:rsidRPr="00FE48F2">
        <w:rPr>
          <w:rFonts w:eastAsia="Times New Roman"/>
          <w:bCs/>
          <w:iCs/>
          <w:sz w:val="24"/>
          <w:szCs w:val="24"/>
        </w:rPr>
        <w:t>,</w:t>
      </w:r>
      <w:r w:rsidRPr="00FE48F2">
        <w:rPr>
          <w:rFonts w:eastAsia="Times New Roman"/>
          <w:bCs/>
          <w:sz w:val="24"/>
          <w:szCs w:val="24"/>
        </w:rPr>
        <w:t xml:space="preserve"> 842 P.2d 175 (Colo. 1992) (“defective” has technical meaning in product liability cases); </w:t>
      </w:r>
      <w:r w:rsidRPr="00FE48F2">
        <w:rPr>
          <w:rFonts w:eastAsia="Times New Roman"/>
          <w:b/>
          <w:bCs/>
          <w:iCs/>
          <w:sz w:val="24"/>
          <w:szCs w:val="24"/>
        </w:rPr>
        <w:t>People v. Macrander</w:t>
      </w:r>
      <w:r w:rsidRPr="00FE48F2">
        <w:rPr>
          <w:rFonts w:eastAsia="Times New Roman"/>
          <w:bCs/>
          <w:iCs/>
          <w:sz w:val="24"/>
          <w:szCs w:val="24"/>
        </w:rPr>
        <w:t>,</w:t>
      </w:r>
      <w:r w:rsidRPr="00FE48F2">
        <w:rPr>
          <w:rFonts w:eastAsia="Times New Roman"/>
          <w:bCs/>
          <w:sz w:val="24"/>
          <w:szCs w:val="24"/>
        </w:rPr>
        <w:t xml:space="preserve"> 828 P.2d 234 (Colo. 1992) (“attorney of record” is a legal term of art), </w:t>
      </w:r>
      <w:r w:rsidRPr="00FE48F2">
        <w:rPr>
          <w:rFonts w:eastAsia="Times New Roman"/>
          <w:bCs/>
          <w:i/>
          <w:sz w:val="24"/>
          <w:szCs w:val="24"/>
        </w:rPr>
        <w:t>overruled on other grounds by</w:t>
      </w:r>
      <w:r w:rsidRPr="00FE48F2">
        <w:rPr>
          <w:rFonts w:eastAsia="Times New Roman"/>
          <w:bCs/>
          <w:sz w:val="24"/>
          <w:szCs w:val="24"/>
        </w:rPr>
        <w:t xml:space="preserve"> </w:t>
      </w:r>
      <w:r w:rsidRPr="00FE48F2">
        <w:rPr>
          <w:rFonts w:eastAsia="Times New Roman"/>
          <w:b/>
          <w:bCs/>
          <w:sz w:val="24"/>
          <w:szCs w:val="24"/>
        </w:rPr>
        <w:t>People v. Novotny</w:t>
      </w:r>
      <w:r w:rsidRPr="00FE48F2">
        <w:rPr>
          <w:rFonts w:eastAsia="Times New Roman"/>
          <w:bCs/>
          <w:sz w:val="24"/>
          <w:szCs w:val="24"/>
        </w:rPr>
        <w:t xml:space="preserve">, 2014 CO 18, ¶ 2, 320 P.3d 1194; </w:t>
      </w:r>
      <w:r w:rsidRPr="00FE48F2">
        <w:rPr>
          <w:rFonts w:eastAsia="Times New Roman"/>
          <w:b/>
          <w:bCs/>
          <w:sz w:val="24"/>
          <w:szCs w:val="24"/>
        </w:rPr>
        <w:t>DISH Network Corp. v. Altomari</w:t>
      </w:r>
      <w:r w:rsidRPr="00FE48F2">
        <w:rPr>
          <w:rFonts w:eastAsia="Times New Roman"/>
          <w:bCs/>
          <w:sz w:val="24"/>
          <w:szCs w:val="24"/>
        </w:rPr>
        <w:t>, 224 P.3d 362 (Colo. App. 2009) (nothing in the record or the statute suggests that “management personnel” has a technical meaning as a word of art in its field that may conflict with its common usage).</w:t>
      </w:r>
    </w:p>
    <w:p w14:paraId="7844488A" w14:textId="7A23FFB7" w:rsidR="00777C59" w:rsidRDefault="00777C59" w:rsidP="00C63547">
      <w:pPr>
        <w:spacing w:after="240"/>
        <w:ind w:firstLine="720"/>
        <w:rPr>
          <w:rFonts w:eastAsia="Times New Roman"/>
          <w:bCs/>
          <w:sz w:val="24"/>
          <w:szCs w:val="24"/>
        </w:rPr>
      </w:pPr>
      <w:r>
        <w:rPr>
          <w:rFonts w:eastAsia="Times New Roman"/>
          <w:bCs/>
          <w:sz w:val="24"/>
          <w:szCs w:val="24"/>
        </w:rPr>
        <w:t xml:space="preserve">4. </w:t>
      </w:r>
      <w:r w:rsidRPr="00777C59">
        <w:rPr>
          <w:rFonts w:eastAsia="Times New Roman"/>
          <w:bCs/>
          <w:sz w:val="24"/>
          <w:szCs w:val="24"/>
        </w:rPr>
        <w:t>A technical term with a generally accepted meaning may be redefined for purposes of a particular contract by</w:t>
      </w:r>
      <w:r>
        <w:rPr>
          <w:rFonts w:eastAsia="Times New Roman"/>
          <w:bCs/>
          <w:sz w:val="24"/>
          <w:szCs w:val="24"/>
        </w:rPr>
        <w:t xml:space="preserve"> mutual assent of the parties. </w:t>
      </w:r>
      <w:r w:rsidRPr="00777C59">
        <w:rPr>
          <w:rFonts w:eastAsia="Times New Roman"/>
          <w:b/>
          <w:bCs/>
          <w:sz w:val="24"/>
          <w:szCs w:val="24"/>
        </w:rPr>
        <w:t xml:space="preserve">W. Stone </w:t>
      </w:r>
      <w:r>
        <w:rPr>
          <w:rFonts w:eastAsia="Times New Roman"/>
          <w:b/>
          <w:bCs/>
          <w:sz w:val="24"/>
          <w:szCs w:val="24"/>
        </w:rPr>
        <w:t>&amp;</w:t>
      </w:r>
      <w:r w:rsidRPr="00777C59">
        <w:rPr>
          <w:rFonts w:eastAsia="Times New Roman"/>
          <w:b/>
          <w:bCs/>
          <w:sz w:val="24"/>
          <w:szCs w:val="24"/>
        </w:rPr>
        <w:t xml:space="preserve"> Metal Corp v. DIG HP1 LLC</w:t>
      </w:r>
      <w:r w:rsidRPr="00777C59">
        <w:rPr>
          <w:rFonts w:eastAsia="Times New Roman"/>
          <w:bCs/>
          <w:sz w:val="24"/>
          <w:szCs w:val="24"/>
        </w:rPr>
        <w:t xml:space="preserve">, </w:t>
      </w:r>
      <w:r w:rsidRPr="00777C59">
        <w:rPr>
          <w:rFonts w:eastAsia="Times New Roman"/>
          <w:bCs/>
          <w:sz w:val="24"/>
          <w:szCs w:val="24"/>
        </w:rPr>
        <w:lastRenderedPageBreak/>
        <w:t>2020 COA 58, ¶ 9</w:t>
      </w:r>
      <w:r w:rsidR="006459DB">
        <w:rPr>
          <w:rFonts w:eastAsia="Times New Roman"/>
          <w:bCs/>
          <w:sz w:val="24"/>
          <w:szCs w:val="24"/>
        </w:rPr>
        <w:t>, 465 P.3d 105, 107</w:t>
      </w:r>
      <w:r w:rsidRPr="00777C59">
        <w:rPr>
          <w:rFonts w:eastAsia="Times New Roman"/>
          <w:bCs/>
          <w:sz w:val="24"/>
          <w:szCs w:val="24"/>
        </w:rPr>
        <w:t xml:space="preserve"> (“</w:t>
      </w:r>
      <w:r w:rsidR="007A087B">
        <w:rPr>
          <w:rFonts w:eastAsia="Times New Roman"/>
          <w:bCs/>
          <w:sz w:val="24"/>
          <w:szCs w:val="24"/>
        </w:rPr>
        <w:t>[P]</w:t>
      </w:r>
      <w:r w:rsidRPr="00777C59">
        <w:rPr>
          <w:rFonts w:eastAsia="Times New Roman"/>
          <w:bCs/>
          <w:sz w:val="24"/>
          <w:szCs w:val="24"/>
        </w:rPr>
        <w:t>arties to a contract may agree to redefine [terms] for disputes arising under their agreement.”)</w:t>
      </w:r>
      <w:r>
        <w:rPr>
          <w:rFonts w:eastAsia="Times New Roman"/>
          <w:bCs/>
          <w:sz w:val="24"/>
          <w:szCs w:val="24"/>
        </w:rPr>
        <w:t>.</w:t>
      </w:r>
    </w:p>
    <w:p w14:paraId="0C5BEA28" w14:textId="77777777" w:rsidR="008857D3" w:rsidRDefault="008857D3">
      <w:pPr>
        <w:rPr>
          <w:rFonts w:eastAsia="Times New Roman"/>
          <w:bCs/>
          <w:sz w:val="24"/>
          <w:szCs w:val="24"/>
        </w:rPr>
      </w:pPr>
      <w:r>
        <w:rPr>
          <w:rFonts w:eastAsia="Times New Roman"/>
          <w:bCs/>
          <w:sz w:val="24"/>
          <w:szCs w:val="24"/>
        </w:rPr>
        <w:br w:type="page"/>
      </w:r>
    </w:p>
    <w:p w14:paraId="3D32A8B1" w14:textId="77777777" w:rsidR="008857D3" w:rsidRPr="009E3DA4" w:rsidRDefault="008857D3" w:rsidP="008857D3">
      <w:pPr>
        <w:spacing w:after="240"/>
        <w:ind w:left="720" w:hanging="720"/>
        <w:rPr>
          <w:rFonts w:eastAsia="Times New Roman"/>
          <w:b/>
          <w:sz w:val="24"/>
          <w:szCs w:val="24"/>
        </w:rPr>
      </w:pPr>
      <w:bookmarkStart w:id="37" w:name="a30_35"/>
      <w:bookmarkEnd w:id="37"/>
      <w:r w:rsidRPr="008857D3">
        <w:rPr>
          <w:rFonts w:eastAsia="Times New Roman"/>
          <w:b/>
          <w:bCs/>
          <w:sz w:val="24"/>
          <w:szCs w:val="24"/>
        </w:rPr>
        <w:lastRenderedPageBreak/>
        <w:t>30:35</w:t>
      </w:r>
      <w:r w:rsidRPr="008857D3">
        <w:rPr>
          <w:rFonts w:eastAsia="Times New Roman"/>
          <w:b/>
          <w:bCs/>
          <w:sz w:val="24"/>
          <w:szCs w:val="24"/>
        </w:rPr>
        <w:tab/>
        <w:t>CONTRACT INTERPRETATION — CONSTRUCTION AGAINST DRAFTER</w:t>
      </w:r>
    </w:p>
    <w:p w14:paraId="5B7E75ED" w14:textId="77777777" w:rsidR="008857D3" w:rsidRPr="008857D3" w:rsidRDefault="008857D3" w:rsidP="008857D3">
      <w:pPr>
        <w:spacing w:after="240"/>
        <w:ind w:firstLine="720"/>
        <w:rPr>
          <w:rFonts w:eastAsia="Times New Roman"/>
          <w:b/>
          <w:bCs/>
          <w:sz w:val="24"/>
          <w:szCs w:val="24"/>
        </w:rPr>
      </w:pPr>
      <w:r w:rsidRPr="008857D3">
        <w:rPr>
          <w:rFonts w:eastAsia="Times New Roman"/>
          <w:b/>
          <w:bCs/>
          <w:sz w:val="24"/>
          <w:szCs w:val="24"/>
        </w:rPr>
        <w:t>Any dispute over the meaning of any unclear terms must be decided against the party who prepared the contract if the other party had no opportunity to select the words written in the contract.</w:t>
      </w:r>
    </w:p>
    <w:p w14:paraId="1D7EE6F5" w14:textId="77777777" w:rsidR="008857D3" w:rsidRDefault="008857D3" w:rsidP="008857D3">
      <w:pPr>
        <w:jc w:val="center"/>
        <w:rPr>
          <w:rFonts w:eastAsia="Times New Roman"/>
          <w:sz w:val="24"/>
          <w:szCs w:val="24"/>
        </w:rPr>
      </w:pPr>
    </w:p>
    <w:p w14:paraId="286F0106" w14:textId="77777777" w:rsidR="008857D3" w:rsidRPr="0054263B" w:rsidRDefault="008857D3" w:rsidP="008857D3">
      <w:pPr>
        <w:keepNext/>
        <w:spacing w:after="240"/>
        <w:jc w:val="center"/>
        <w:rPr>
          <w:rFonts w:eastAsia="Times New Roman"/>
          <w:b/>
          <w:sz w:val="24"/>
          <w:szCs w:val="24"/>
        </w:rPr>
      </w:pPr>
      <w:r w:rsidRPr="0054263B">
        <w:rPr>
          <w:rFonts w:eastAsia="Times New Roman"/>
          <w:b/>
          <w:sz w:val="24"/>
          <w:szCs w:val="24"/>
        </w:rPr>
        <w:t>Notes on Use</w:t>
      </w:r>
    </w:p>
    <w:p w14:paraId="4587099D" w14:textId="77777777" w:rsidR="008857D3" w:rsidRPr="008857D3" w:rsidRDefault="008857D3" w:rsidP="008857D3">
      <w:pPr>
        <w:spacing w:after="240"/>
        <w:ind w:firstLine="720"/>
        <w:rPr>
          <w:rFonts w:eastAsia="Times New Roman"/>
          <w:bCs/>
          <w:sz w:val="24"/>
          <w:szCs w:val="24"/>
        </w:rPr>
      </w:pPr>
      <w:r w:rsidRPr="008857D3">
        <w:rPr>
          <w:rFonts w:eastAsia="Times New Roman"/>
          <w:bCs/>
          <w:sz w:val="24"/>
          <w:szCs w:val="24"/>
        </w:rPr>
        <w:t xml:space="preserve">1. When the court has determined the contract term is ambiguous or there is an oral contract where the terms are in dispute, contract interpretation is a jury issue and this instruction should be used. </w:t>
      </w:r>
      <w:r w:rsidRPr="008857D3">
        <w:rPr>
          <w:rFonts w:eastAsia="Times New Roman"/>
          <w:bCs/>
          <w:i/>
          <w:sz w:val="24"/>
          <w:szCs w:val="24"/>
        </w:rPr>
        <w:t>See</w:t>
      </w:r>
      <w:r w:rsidRPr="008857D3">
        <w:rPr>
          <w:rFonts w:eastAsia="Times New Roman"/>
          <w:bCs/>
          <w:sz w:val="24"/>
          <w:szCs w:val="24"/>
        </w:rPr>
        <w:t xml:space="preserve"> Introductory Note to Part D of this Chapter.</w:t>
      </w:r>
    </w:p>
    <w:p w14:paraId="68889BFB" w14:textId="77777777" w:rsidR="008857D3" w:rsidRPr="008857D3" w:rsidRDefault="008857D3" w:rsidP="008857D3">
      <w:pPr>
        <w:spacing w:after="240"/>
        <w:ind w:firstLine="720"/>
        <w:rPr>
          <w:rFonts w:eastAsia="Times New Roman"/>
          <w:bCs/>
          <w:sz w:val="24"/>
          <w:szCs w:val="24"/>
        </w:rPr>
      </w:pPr>
      <w:r w:rsidRPr="008857D3">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5BD4E51E" w14:textId="77777777" w:rsidR="008857D3" w:rsidRPr="008857D3" w:rsidRDefault="008857D3" w:rsidP="008857D3">
      <w:pPr>
        <w:spacing w:after="240"/>
        <w:ind w:firstLine="720"/>
        <w:rPr>
          <w:rFonts w:eastAsia="Times New Roman"/>
          <w:bCs/>
          <w:sz w:val="24"/>
          <w:szCs w:val="24"/>
        </w:rPr>
      </w:pPr>
      <w:r w:rsidRPr="008857D3">
        <w:rPr>
          <w:rFonts w:eastAsia="Times New Roman"/>
          <w:bCs/>
          <w:sz w:val="24"/>
          <w:szCs w:val="24"/>
        </w:rPr>
        <w:t xml:space="preserve">3. This instruction should not be given unless it appears other rules of interpretation about which the jury is instructed are likely to be unavailing. </w:t>
      </w:r>
      <w:r w:rsidRPr="008857D3">
        <w:rPr>
          <w:rFonts w:eastAsia="Times New Roman"/>
          <w:b/>
          <w:bCs/>
          <w:sz w:val="24"/>
          <w:szCs w:val="24"/>
        </w:rPr>
        <w:t>Patterson v. Gage</w:t>
      </w:r>
      <w:r w:rsidRPr="008857D3">
        <w:rPr>
          <w:rFonts w:eastAsia="Times New Roman"/>
          <w:bCs/>
          <w:sz w:val="24"/>
          <w:szCs w:val="24"/>
        </w:rPr>
        <w:t>, 11 Colo. 50, 16 P. 560 (1888).</w:t>
      </w:r>
    </w:p>
    <w:p w14:paraId="1166902F" w14:textId="77777777" w:rsidR="008857D3" w:rsidRPr="0054263B" w:rsidRDefault="008857D3" w:rsidP="008857D3">
      <w:pPr>
        <w:keepNext/>
        <w:spacing w:after="240"/>
        <w:jc w:val="center"/>
        <w:rPr>
          <w:rFonts w:eastAsia="Times New Roman"/>
          <w:b/>
          <w:sz w:val="24"/>
          <w:szCs w:val="24"/>
        </w:rPr>
      </w:pPr>
      <w:r>
        <w:rPr>
          <w:rFonts w:eastAsia="Times New Roman"/>
          <w:b/>
          <w:sz w:val="24"/>
          <w:szCs w:val="24"/>
        </w:rPr>
        <w:t>Source and Authority</w:t>
      </w:r>
    </w:p>
    <w:p w14:paraId="26B61E36" w14:textId="66EA3D84" w:rsidR="008857D3" w:rsidRDefault="008857D3" w:rsidP="008857D3">
      <w:pPr>
        <w:spacing w:after="240"/>
        <w:ind w:firstLine="720"/>
        <w:rPr>
          <w:rFonts w:eastAsia="Times New Roman"/>
          <w:bCs/>
          <w:sz w:val="24"/>
          <w:szCs w:val="24"/>
        </w:rPr>
      </w:pPr>
      <w:r w:rsidRPr="008857D3">
        <w:rPr>
          <w:rFonts w:eastAsia="Times New Roman"/>
          <w:bCs/>
          <w:sz w:val="24"/>
          <w:szCs w:val="24"/>
        </w:rPr>
        <w:t>This instruction is supported by</w:t>
      </w:r>
      <w:r w:rsidRPr="008857D3">
        <w:rPr>
          <w:rFonts w:eastAsia="Times New Roman"/>
          <w:b/>
          <w:bCs/>
          <w:sz w:val="24"/>
          <w:szCs w:val="24"/>
        </w:rPr>
        <w:t xml:space="preserve"> Christmas v. Cooley</w:t>
      </w:r>
      <w:r w:rsidRPr="008857D3">
        <w:rPr>
          <w:rFonts w:eastAsia="Times New Roman"/>
          <w:bCs/>
          <w:sz w:val="24"/>
          <w:szCs w:val="24"/>
        </w:rPr>
        <w:t xml:space="preserve">, 158 Colo. 297, 406 P.2d 333 (1965). </w:t>
      </w:r>
      <w:r w:rsidRPr="008857D3">
        <w:rPr>
          <w:rFonts w:eastAsia="Times New Roman"/>
          <w:bCs/>
          <w:i/>
          <w:sz w:val="24"/>
          <w:szCs w:val="24"/>
        </w:rPr>
        <w:t>See also</w:t>
      </w:r>
      <w:r w:rsidRPr="008857D3">
        <w:rPr>
          <w:rFonts w:eastAsia="Times New Roman"/>
          <w:bCs/>
          <w:sz w:val="24"/>
          <w:szCs w:val="24"/>
        </w:rPr>
        <w:t xml:space="preserve"> </w:t>
      </w:r>
      <w:r w:rsidRPr="008857D3">
        <w:rPr>
          <w:rFonts w:eastAsia="Times New Roman"/>
          <w:b/>
          <w:bCs/>
          <w:sz w:val="24"/>
          <w:szCs w:val="24"/>
        </w:rPr>
        <w:t>Compass Ins. Co. v. City of Littleton</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984 P.2d 606 (Colo. 1999); </w:t>
      </w:r>
      <w:r w:rsidRPr="008857D3">
        <w:rPr>
          <w:rFonts w:eastAsia="Times New Roman"/>
          <w:b/>
          <w:bCs/>
          <w:sz w:val="24"/>
          <w:szCs w:val="24"/>
        </w:rPr>
        <w:t>Elliott v. Joyce</w:t>
      </w:r>
      <w:r w:rsidRPr="008857D3">
        <w:rPr>
          <w:rFonts w:eastAsia="Times New Roman"/>
          <w:bCs/>
          <w:sz w:val="24"/>
          <w:szCs w:val="24"/>
        </w:rPr>
        <w:t xml:space="preserve">, 889 P.2d 43 (Colo. 1994); </w:t>
      </w:r>
      <w:r w:rsidRPr="008857D3">
        <w:rPr>
          <w:rFonts w:eastAsia="Times New Roman"/>
          <w:b/>
          <w:bCs/>
          <w:sz w:val="24"/>
          <w:szCs w:val="24"/>
        </w:rPr>
        <w:t>U.S. Fid. &amp; Guar. Co. v. Budget Rent-A-Car Sys., Inc.</w:t>
      </w:r>
      <w:r w:rsidRPr="008857D3">
        <w:rPr>
          <w:rFonts w:eastAsia="Times New Roman"/>
          <w:bCs/>
          <w:sz w:val="24"/>
          <w:szCs w:val="24"/>
        </w:rPr>
        <w:t xml:space="preserve">, 842 P.2d 208 (Colo. 1992); </w:t>
      </w:r>
      <w:r w:rsidRPr="008857D3">
        <w:rPr>
          <w:rFonts w:eastAsia="Times New Roman"/>
          <w:b/>
          <w:bCs/>
          <w:sz w:val="24"/>
          <w:szCs w:val="24"/>
        </w:rPr>
        <w:t>Am. Family Mut. Ins. Co. v. Johnson</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816 P.2d 952 (Colo. 1991); </w:t>
      </w:r>
      <w:r w:rsidRPr="008857D3">
        <w:rPr>
          <w:rFonts w:eastAsia="Times New Roman"/>
          <w:b/>
          <w:bCs/>
          <w:sz w:val="24"/>
          <w:szCs w:val="24"/>
        </w:rPr>
        <w:t>Kuta v. Joint Dist. No. 50(J)</w:t>
      </w:r>
      <w:r w:rsidRPr="008857D3">
        <w:rPr>
          <w:rFonts w:eastAsia="Times New Roman"/>
          <w:bCs/>
          <w:sz w:val="24"/>
          <w:szCs w:val="24"/>
        </w:rPr>
        <w:t xml:space="preserve">, 799 P.2d 379 (Colo. 1990); </w:t>
      </w:r>
      <w:r w:rsidRPr="008857D3">
        <w:rPr>
          <w:rFonts w:eastAsia="Times New Roman"/>
          <w:b/>
          <w:bCs/>
          <w:sz w:val="24"/>
          <w:szCs w:val="24"/>
        </w:rPr>
        <w:t>Converse v. Zinke</w:t>
      </w:r>
      <w:r w:rsidRPr="008857D3">
        <w:rPr>
          <w:rFonts w:eastAsia="Times New Roman"/>
          <w:bCs/>
          <w:sz w:val="24"/>
          <w:szCs w:val="24"/>
        </w:rPr>
        <w:t xml:space="preserve">, 635 P.2d 882 (Colo. 1981); </w:t>
      </w:r>
      <w:r w:rsidRPr="008857D3">
        <w:rPr>
          <w:rFonts w:eastAsia="Times New Roman"/>
          <w:b/>
          <w:bCs/>
          <w:sz w:val="24"/>
          <w:szCs w:val="24"/>
        </w:rPr>
        <w:t>Grossman v. Sherman</w:t>
      </w:r>
      <w:r w:rsidRPr="008857D3">
        <w:rPr>
          <w:rFonts w:eastAsia="Times New Roman"/>
          <w:bCs/>
          <w:sz w:val="24"/>
          <w:szCs w:val="24"/>
        </w:rPr>
        <w:t xml:space="preserve">, 198 Colo. 359, 599 P.2d 909 (1979); </w:t>
      </w:r>
      <w:r w:rsidRPr="008857D3">
        <w:rPr>
          <w:rFonts w:eastAsia="Times New Roman"/>
          <w:b/>
          <w:bCs/>
          <w:sz w:val="24"/>
          <w:szCs w:val="24"/>
        </w:rPr>
        <w:t>Sherman Agency v. Carey</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195 Colo. 277, 577 P.2d 759 (1978); </w:t>
      </w:r>
      <w:r w:rsidRPr="008857D3">
        <w:rPr>
          <w:rFonts w:eastAsia="Times New Roman"/>
          <w:b/>
          <w:bCs/>
          <w:sz w:val="24"/>
          <w:szCs w:val="24"/>
        </w:rPr>
        <w:t>Sunshine v. M.R. Mansfield Realty, Inc.</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195 Colo. 95, 575 P.2d 847 (1978); </w:t>
      </w:r>
      <w:r w:rsidRPr="008857D3">
        <w:rPr>
          <w:rFonts w:eastAsia="Times New Roman"/>
          <w:b/>
          <w:bCs/>
          <w:sz w:val="24"/>
          <w:szCs w:val="24"/>
        </w:rPr>
        <w:t>Perl-Mack Enters. Co. v. City &amp; County of Denver</w:t>
      </w:r>
      <w:r w:rsidRPr="008857D3">
        <w:rPr>
          <w:rFonts w:eastAsia="Times New Roman"/>
          <w:bCs/>
          <w:sz w:val="24"/>
          <w:szCs w:val="24"/>
        </w:rPr>
        <w:t xml:space="preserve">, 194 Colo. 4, 568 P.2d 468 (1977); </w:t>
      </w:r>
      <w:r w:rsidRPr="008857D3">
        <w:rPr>
          <w:rFonts w:eastAsia="Times New Roman"/>
          <w:b/>
          <w:bCs/>
          <w:sz w:val="24"/>
          <w:szCs w:val="24"/>
        </w:rPr>
        <w:t>Gardner v. City of Englewood</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131 Colo. 210, 282 P.2d 1084 (1955); </w:t>
      </w:r>
      <w:r w:rsidRPr="008857D3">
        <w:rPr>
          <w:rFonts w:eastAsia="Times New Roman"/>
          <w:b/>
          <w:bCs/>
          <w:sz w:val="24"/>
          <w:szCs w:val="24"/>
        </w:rPr>
        <w:t>D.C. Concrete Mgmt., Inc. v. Mid-Century Ins. Co.</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39 P.3d 1205 (Colo. App. 2001); </w:t>
      </w:r>
      <w:r w:rsidRPr="008857D3">
        <w:rPr>
          <w:rFonts w:eastAsia="Times New Roman"/>
          <w:b/>
          <w:bCs/>
          <w:sz w:val="24"/>
          <w:szCs w:val="24"/>
        </w:rPr>
        <w:t>Valdez v. Cantor</w:t>
      </w:r>
      <w:r w:rsidRPr="008857D3">
        <w:rPr>
          <w:rFonts w:eastAsia="Times New Roman"/>
          <w:bCs/>
          <w:sz w:val="24"/>
          <w:szCs w:val="24"/>
        </w:rPr>
        <w:t xml:space="preserve">, 994 P.2d 483 (Colo. App. 1999); </w:t>
      </w:r>
      <w:r w:rsidRPr="008857D3">
        <w:rPr>
          <w:rFonts w:eastAsia="Times New Roman"/>
          <w:b/>
          <w:bCs/>
          <w:sz w:val="24"/>
          <w:szCs w:val="24"/>
        </w:rPr>
        <w:t>State Farm Mut. Auto. Ins. Co. v. Bencomo</w:t>
      </w:r>
      <w:r w:rsidRPr="008857D3">
        <w:rPr>
          <w:rFonts w:eastAsia="Times New Roman"/>
          <w:bCs/>
          <w:sz w:val="24"/>
          <w:szCs w:val="24"/>
        </w:rPr>
        <w:t xml:space="preserve">, 873 P.2d 47 (Colo. App. 1994); </w:t>
      </w:r>
      <w:r w:rsidRPr="008857D3">
        <w:rPr>
          <w:rFonts w:eastAsia="Times New Roman"/>
          <w:b/>
          <w:bCs/>
          <w:sz w:val="24"/>
          <w:szCs w:val="24"/>
        </w:rPr>
        <w:t>Bassett v. Eagle Telecomms., Inc.</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708 P.2d 812 (Colo. App. 1985) (this instruction correctly states the law; proper to give the instruction when necessary to resolve a fact question and it is supported by sufficient evidence).</w:t>
      </w:r>
    </w:p>
    <w:p w14:paraId="33B1CDDE" w14:textId="77777777" w:rsidR="008857D3" w:rsidRDefault="008857D3">
      <w:pPr>
        <w:rPr>
          <w:rFonts w:eastAsia="Times New Roman"/>
          <w:bCs/>
          <w:sz w:val="24"/>
          <w:szCs w:val="24"/>
        </w:rPr>
      </w:pPr>
      <w:r>
        <w:rPr>
          <w:rFonts w:eastAsia="Times New Roman"/>
          <w:bCs/>
          <w:sz w:val="24"/>
          <w:szCs w:val="24"/>
        </w:rPr>
        <w:br w:type="page"/>
      </w:r>
    </w:p>
    <w:p w14:paraId="473385BB" w14:textId="77777777" w:rsidR="008857D3" w:rsidRPr="009E3DA4" w:rsidRDefault="00C737F3" w:rsidP="008857D3">
      <w:pPr>
        <w:spacing w:after="240"/>
        <w:ind w:left="720" w:hanging="720"/>
        <w:rPr>
          <w:rFonts w:eastAsia="Times New Roman"/>
          <w:b/>
          <w:sz w:val="24"/>
          <w:szCs w:val="24"/>
        </w:rPr>
      </w:pPr>
      <w:bookmarkStart w:id="38" w:name="a30_36"/>
      <w:bookmarkEnd w:id="38"/>
      <w:r w:rsidRPr="00C737F3">
        <w:rPr>
          <w:rFonts w:eastAsia="Times New Roman"/>
          <w:b/>
          <w:bCs/>
          <w:sz w:val="24"/>
          <w:szCs w:val="24"/>
        </w:rPr>
        <w:lastRenderedPageBreak/>
        <w:t>30:36</w:t>
      </w:r>
      <w:r w:rsidRPr="00C737F3">
        <w:rPr>
          <w:rFonts w:eastAsia="Times New Roman"/>
          <w:b/>
          <w:bCs/>
          <w:sz w:val="24"/>
          <w:szCs w:val="24"/>
        </w:rPr>
        <w:tab/>
        <w:t>CONTRACT INTERPRETATION — SPECIFIC AND GENERAL CLAUSES</w:t>
      </w:r>
    </w:p>
    <w:p w14:paraId="1E9E26BC" w14:textId="77777777" w:rsidR="00C737F3" w:rsidRPr="00C737F3" w:rsidRDefault="00C737F3" w:rsidP="00C737F3">
      <w:pPr>
        <w:spacing w:after="240"/>
        <w:ind w:firstLine="720"/>
        <w:rPr>
          <w:rFonts w:eastAsia="Times New Roman"/>
          <w:b/>
          <w:bCs/>
          <w:sz w:val="24"/>
          <w:szCs w:val="24"/>
        </w:rPr>
      </w:pPr>
      <w:r w:rsidRPr="00C737F3">
        <w:rPr>
          <w:rFonts w:eastAsia="Times New Roman"/>
          <w:b/>
          <w:bCs/>
          <w:sz w:val="24"/>
          <w:szCs w:val="24"/>
        </w:rPr>
        <w:t>Where there is an inconsistency between general and specific provisions in a contract, the specific provisions express more exactly what the parties intended.</w:t>
      </w:r>
    </w:p>
    <w:p w14:paraId="3440BEEF" w14:textId="77777777" w:rsidR="008857D3" w:rsidRDefault="008857D3" w:rsidP="008857D3">
      <w:pPr>
        <w:jc w:val="center"/>
        <w:rPr>
          <w:rFonts w:eastAsia="Times New Roman"/>
          <w:sz w:val="24"/>
          <w:szCs w:val="24"/>
        </w:rPr>
      </w:pPr>
    </w:p>
    <w:p w14:paraId="32E998FD" w14:textId="77777777" w:rsidR="008857D3" w:rsidRPr="0054263B" w:rsidRDefault="008857D3" w:rsidP="008857D3">
      <w:pPr>
        <w:keepNext/>
        <w:spacing w:after="240"/>
        <w:jc w:val="center"/>
        <w:rPr>
          <w:rFonts w:eastAsia="Times New Roman"/>
          <w:b/>
          <w:sz w:val="24"/>
          <w:szCs w:val="24"/>
        </w:rPr>
      </w:pPr>
      <w:r w:rsidRPr="0054263B">
        <w:rPr>
          <w:rFonts w:eastAsia="Times New Roman"/>
          <w:b/>
          <w:sz w:val="24"/>
          <w:szCs w:val="24"/>
        </w:rPr>
        <w:t>Notes on Use</w:t>
      </w:r>
    </w:p>
    <w:p w14:paraId="469EE44C" w14:textId="77777777" w:rsidR="00C737F3" w:rsidRPr="00C737F3" w:rsidRDefault="00C737F3" w:rsidP="00C737F3">
      <w:pPr>
        <w:spacing w:after="240"/>
        <w:ind w:firstLine="720"/>
        <w:rPr>
          <w:rFonts w:eastAsia="Times New Roman"/>
          <w:bCs/>
          <w:sz w:val="24"/>
          <w:szCs w:val="24"/>
        </w:rPr>
      </w:pPr>
      <w:r w:rsidRPr="00C737F3">
        <w:rPr>
          <w:rFonts w:eastAsia="Times New Roman"/>
          <w:bCs/>
          <w:sz w:val="24"/>
          <w:szCs w:val="24"/>
        </w:rPr>
        <w:t xml:space="preserve">1. When the court has determined the contract term is ambiguous or there is an oral contract where the terms are in dispute, contract interpretation is a jury issue and this instruction should be used. </w:t>
      </w:r>
      <w:r w:rsidRPr="00C737F3">
        <w:rPr>
          <w:rFonts w:eastAsia="Times New Roman"/>
          <w:bCs/>
          <w:i/>
          <w:sz w:val="24"/>
          <w:szCs w:val="24"/>
        </w:rPr>
        <w:t>See</w:t>
      </w:r>
      <w:r w:rsidRPr="00C737F3">
        <w:rPr>
          <w:rFonts w:eastAsia="Times New Roman"/>
          <w:bCs/>
          <w:sz w:val="24"/>
          <w:szCs w:val="24"/>
        </w:rPr>
        <w:t xml:space="preserve"> Introductory Note to Part D of this Chapter.</w:t>
      </w:r>
    </w:p>
    <w:p w14:paraId="58A90EE6" w14:textId="77777777" w:rsidR="00C737F3" w:rsidRPr="00C737F3" w:rsidRDefault="00C737F3" w:rsidP="00C737F3">
      <w:pPr>
        <w:spacing w:after="240"/>
        <w:ind w:firstLine="720"/>
        <w:rPr>
          <w:rFonts w:eastAsia="Times New Roman"/>
          <w:bCs/>
          <w:sz w:val="24"/>
          <w:szCs w:val="24"/>
        </w:rPr>
      </w:pPr>
      <w:r w:rsidRPr="00C737F3">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68AD7ED8" w14:textId="77777777" w:rsidR="008857D3" w:rsidRPr="0054263B" w:rsidRDefault="008857D3" w:rsidP="008857D3">
      <w:pPr>
        <w:keepNext/>
        <w:spacing w:after="240"/>
        <w:jc w:val="center"/>
        <w:rPr>
          <w:rFonts w:eastAsia="Times New Roman"/>
          <w:b/>
          <w:sz w:val="24"/>
          <w:szCs w:val="24"/>
        </w:rPr>
      </w:pPr>
      <w:r>
        <w:rPr>
          <w:rFonts w:eastAsia="Times New Roman"/>
          <w:b/>
          <w:sz w:val="24"/>
          <w:szCs w:val="24"/>
        </w:rPr>
        <w:t>Source and Authority</w:t>
      </w:r>
    </w:p>
    <w:p w14:paraId="62E816E2" w14:textId="77777777" w:rsidR="00C737F3" w:rsidRDefault="00C737F3" w:rsidP="00C737F3">
      <w:pPr>
        <w:spacing w:after="240"/>
        <w:ind w:firstLine="720"/>
        <w:rPr>
          <w:rFonts w:eastAsia="Times New Roman"/>
          <w:bCs/>
          <w:sz w:val="24"/>
          <w:szCs w:val="24"/>
        </w:rPr>
      </w:pPr>
      <w:r w:rsidRPr="00C737F3">
        <w:rPr>
          <w:rFonts w:eastAsia="Times New Roman"/>
          <w:bCs/>
          <w:sz w:val="24"/>
          <w:szCs w:val="24"/>
        </w:rPr>
        <w:t xml:space="preserve">This instruction is supported by </w:t>
      </w:r>
      <w:r w:rsidRPr="00C737F3">
        <w:rPr>
          <w:rFonts w:eastAsia="Times New Roman"/>
          <w:b/>
          <w:bCs/>
          <w:sz w:val="24"/>
          <w:szCs w:val="24"/>
        </w:rPr>
        <w:t>Denver Joint Stock Land Bank v. Markham</w:t>
      </w:r>
      <w:r w:rsidRPr="00C737F3">
        <w:rPr>
          <w:rFonts w:eastAsia="Times New Roman"/>
          <w:bCs/>
          <w:sz w:val="24"/>
          <w:szCs w:val="24"/>
        </w:rPr>
        <w:t xml:space="preserve">, 106 Colo. 509, 107 P.2d 313 (1940); and </w:t>
      </w:r>
      <w:r w:rsidRPr="00C737F3">
        <w:rPr>
          <w:rFonts w:eastAsia="Times New Roman"/>
          <w:b/>
          <w:bCs/>
          <w:sz w:val="24"/>
          <w:szCs w:val="24"/>
        </w:rPr>
        <w:t>Holland v. Board of County Commissioners</w:t>
      </w:r>
      <w:r w:rsidRPr="00C737F3">
        <w:rPr>
          <w:rFonts w:eastAsia="Times New Roman"/>
          <w:bCs/>
          <w:sz w:val="24"/>
          <w:szCs w:val="24"/>
        </w:rPr>
        <w:t>, 883 P.2d 500 (Colo. App. 1994).</w:t>
      </w:r>
    </w:p>
    <w:p w14:paraId="7CC2C3F3" w14:textId="77777777" w:rsidR="00C737F3" w:rsidRDefault="00C737F3">
      <w:pPr>
        <w:rPr>
          <w:rFonts w:eastAsia="Times New Roman"/>
          <w:bCs/>
          <w:sz w:val="24"/>
          <w:szCs w:val="24"/>
        </w:rPr>
      </w:pPr>
      <w:r>
        <w:rPr>
          <w:rFonts w:eastAsia="Times New Roman"/>
          <w:bCs/>
          <w:sz w:val="24"/>
          <w:szCs w:val="24"/>
        </w:rPr>
        <w:br w:type="page"/>
      </w:r>
    </w:p>
    <w:p w14:paraId="56E4380A" w14:textId="77777777" w:rsidR="00A63D35" w:rsidRDefault="00A63D35" w:rsidP="00A63D35">
      <w:pPr>
        <w:spacing w:after="240"/>
        <w:jc w:val="center"/>
        <w:rPr>
          <w:rFonts w:eastAsia="Times New Roman"/>
          <w:b/>
          <w:sz w:val="24"/>
          <w:szCs w:val="24"/>
        </w:rPr>
      </w:pPr>
      <w:r w:rsidRPr="00A63D35">
        <w:rPr>
          <w:rFonts w:eastAsia="Times New Roman"/>
          <w:b/>
          <w:sz w:val="24"/>
          <w:szCs w:val="24"/>
        </w:rPr>
        <w:lastRenderedPageBreak/>
        <w:t>E. DAMAGES</w:t>
      </w:r>
    </w:p>
    <w:p w14:paraId="0C46ADBB" w14:textId="77777777" w:rsidR="00A63D35" w:rsidRPr="0054263B" w:rsidRDefault="00A63D35" w:rsidP="00A63D35">
      <w:pPr>
        <w:keepNext/>
        <w:spacing w:after="240"/>
        <w:jc w:val="center"/>
        <w:rPr>
          <w:rFonts w:eastAsia="Times New Roman"/>
          <w:b/>
          <w:sz w:val="24"/>
          <w:szCs w:val="24"/>
        </w:rPr>
      </w:pPr>
      <w:bookmarkStart w:id="39" w:name="IntroNoteE"/>
      <w:bookmarkEnd w:id="39"/>
      <w:r w:rsidRPr="00F755B7">
        <w:rPr>
          <w:rFonts w:eastAsia="Times New Roman"/>
          <w:b/>
          <w:sz w:val="24"/>
          <w:szCs w:val="24"/>
        </w:rPr>
        <w:t>Introductory Note</w:t>
      </w:r>
    </w:p>
    <w:p w14:paraId="0E838719"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1. Generally the measure of damages is a question of fact for the jury, and once the fact of damages has been proved, uncertainty as to amount will not bar recovery if there is a reasonable basis for computation. </w:t>
      </w:r>
      <w:r w:rsidRPr="00A63D35">
        <w:rPr>
          <w:rFonts w:eastAsia="Times New Roman"/>
          <w:b/>
          <w:bCs/>
          <w:sz w:val="24"/>
          <w:szCs w:val="24"/>
        </w:rPr>
        <w:t>Tull v. Gundersons, Inc.</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 xml:space="preserve">709 P.2d 940 (Colo. 1985) (once the fact of damage has been proved, uncertainty as to the amount will not bar recovery, and the burden of proof of the fact of damage is by a preponderance of the evidence); </w:t>
      </w:r>
      <w:r w:rsidRPr="00A63D35">
        <w:rPr>
          <w:rFonts w:eastAsia="Times New Roman"/>
          <w:b/>
          <w:bCs/>
          <w:sz w:val="24"/>
          <w:szCs w:val="24"/>
        </w:rPr>
        <w:t>Colo. Nat’l Bank v. Ashcraft</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 xml:space="preserve">83 Colo. 136, 263 P. 23 (1927); </w:t>
      </w:r>
      <w:r w:rsidRPr="00A63D35">
        <w:rPr>
          <w:rFonts w:eastAsia="Times New Roman"/>
          <w:b/>
          <w:bCs/>
          <w:sz w:val="24"/>
          <w:szCs w:val="24"/>
        </w:rPr>
        <w:t>Westesen v. Olathe State Bank</w:t>
      </w:r>
      <w:r w:rsidRPr="00A63D35">
        <w:rPr>
          <w:rFonts w:eastAsia="Times New Roman"/>
          <w:bCs/>
          <w:sz w:val="24"/>
          <w:szCs w:val="24"/>
        </w:rPr>
        <w:t xml:space="preserve">, 75 Colo. 340, 225 P. 837 (1924); </w:t>
      </w:r>
      <w:r w:rsidRPr="00A63D35">
        <w:rPr>
          <w:rFonts w:eastAsia="Times New Roman"/>
          <w:b/>
          <w:bCs/>
          <w:sz w:val="24"/>
          <w:szCs w:val="24"/>
        </w:rPr>
        <w:t>Richner v. Plateau Live Stock Co.</w:t>
      </w:r>
      <w:r w:rsidRPr="00A63D35">
        <w:rPr>
          <w:rFonts w:eastAsia="Times New Roman"/>
          <w:bCs/>
          <w:sz w:val="24"/>
          <w:szCs w:val="24"/>
        </w:rPr>
        <w:t xml:space="preserve">, 44 Colo. 302, 98 P. 178 (1908); </w:t>
      </w:r>
      <w:r w:rsidRPr="00A63D35">
        <w:rPr>
          <w:rFonts w:eastAsia="Times New Roman"/>
          <w:b/>
          <w:bCs/>
          <w:sz w:val="24"/>
          <w:szCs w:val="24"/>
        </w:rPr>
        <w:t>City of Westminster v. Centric-Jones Constructors</w:t>
      </w:r>
      <w:r w:rsidRPr="00A63D35">
        <w:rPr>
          <w:rFonts w:eastAsia="Times New Roman"/>
          <w:bCs/>
          <w:sz w:val="24"/>
          <w:szCs w:val="24"/>
        </w:rPr>
        <w:t xml:space="preserve">, 100 P.3d 472 (Colo. App. 2003); </w:t>
      </w:r>
      <w:r w:rsidRPr="00A63D35">
        <w:rPr>
          <w:rFonts w:eastAsia="Times New Roman"/>
          <w:b/>
          <w:bCs/>
          <w:sz w:val="24"/>
          <w:szCs w:val="24"/>
        </w:rPr>
        <w:t>Roberts v. Adams</w:t>
      </w:r>
      <w:r w:rsidRPr="00A63D35">
        <w:rPr>
          <w:rFonts w:eastAsia="Times New Roman"/>
          <w:bCs/>
          <w:sz w:val="24"/>
          <w:szCs w:val="24"/>
        </w:rPr>
        <w:t xml:space="preserve">, 47 P.3d 690 (Colo. App. 2001) (for damages to be recoverable, the evidence must provide a reasonable basis for their computation); </w:t>
      </w:r>
      <w:r w:rsidRPr="00A63D35">
        <w:rPr>
          <w:rFonts w:eastAsia="Times New Roman"/>
          <w:b/>
          <w:bCs/>
          <w:sz w:val="24"/>
          <w:szCs w:val="24"/>
        </w:rPr>
        <w:t>Wilson &amp; Co. v. Walsenburg Sand &amp; Gravel Co., Inc.</w:t>
      </w:r>
      <w:r w:rsidRPr="00A63D35">
        <w:rPr>
          <w:rFonts w:eastAsia="Times New Roman"/>
          <w:bCs/>
          <w:sz w:val="24"/>
          <w:szCs w:val="24"/>
        </w:rPr>
        <w:t xml:space="preserve">, 779 P.2d 1386 (Colo. App. 1989); </w:t>
      </w:r>
      <w:r w:rsidRPr="00A63D35">
        <w:rPr>
          <w:rFonts w:eastAsia="Times New Roman"/>
          <w:b/>
          <w:bCs/>
          <w:sz w:val="24"/>
          <w:szCs w:val="24"/>
        </w:rPr>
        <w:t>Overland Dev. Co. v. Marston Slopes Dev. Co.</w:t>
      </w:r>
      <w:r w:rsidRPr="00A63D35">
        <w:rPr>
          <w:rFonts w:eastAsia="Times New Roman"/>
          <w:bCs/>
          <w:sz w:val="24"/>
          <w:szCs w:val="24"/>
        </w:rPr>
        <w:t xml:space="preserve">, 773 P.2d 1112 (Colo. App. 1989) (to be recoverable, losses must have been caused by the breach); </w:t>
      </w:r>
      <w:r w:rsidRPr="00A63D35">
        <w:rPr>
          <w:rFonts w:eastAsia="Times New Roman"/>
          <w:b/>
          <w:bCs/>
          <w:sz w:val="24"/>
          <w:szCs w:val="24"/>
        </w:rPr>
        <w:t>Bennett v. Price</w:t>
      </w:r>
      <w:r w:rsidRPr="00A63D35">
        <w:rPr>
          <w:rFonts w:eastAsia="Times New Roman"/>
          <w:bCs/>
          <w:sz w:val="24"/>
          <w:szCs w:val="24"/>
        </w:rPr>
        <w:t xml:space="preserve">, 692 P.2d 1138 (Colo. App. 1984) (prices at which similar residential property is listed on the market is insufficient evidence to establish market value); </w:t>
      </w:r>
      <w:r w:rsidRPr="00A63D35">
        <w:rPr>
          <w:rFonts w:eastAsia="Times New Roman"/>
          <w:b/>
          <w:bCs/>
          <w:sz w:val="24"/>
          <w:szCs w:val="24"/>
        </w:rPr>
        <w:t>Tighe v. Kenyon</w:t>
      </w:r>
      <w:r w:rsidRPr="00A63D35">
        <w:rPr>
          <w:rFonts w:eastAsia="Times New Roman"/>
          <w:bCs/>
          <w:sz w:val="24"/>
          <w:szCs w:val="24"/>
        </w:rPr>
        <w:t>, 681 P.2d 547 (Colo. App. 1984).</w:t>
      </w:r>
    </w:p>
    <w:p w14:paraId="66E28B58"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2. Future damages may be awarded if there exists sufficient evidence to provide a reasonable basis for computation. </w:t>
      </w:r>
      <w:r w:rsidRPr="00A63D35">
        <w:rPr>
          <w:rFonts w:eastAsia="Times New Roman"/>
          <w:b/>
          <w:bCs/>
          <w:sz w:val="24"/>
          <w:szCs w:val="24"/>
        </w:rPr>
        <w:t>Pomeranz v. McDonald’s Corp.</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 xml:space="preserve">843 P.2d 1378 (Colo. 1993) (in breach of contract action involving future damages, rule of certainty requires that plaintiff prove that damages will in fact accrue in the future and provide sufficient admissible evidence to enable trier of fact to compute a fair approximation of loss); </w:t>
      </w:r>
      <w:r w:rsidRPr="00A63D35">
        <w:rPr>
          <w:rFonts w:eastAsia="Times New Roman"/>
          <w:b/>
          <w:bCs/>
          <w:sz w:val="24"/>
          <w:szCs w:val="24"/>
        </w:rPr>
        <w:t>Interbank Invs. L.L.C. v. Vail Valley Consol. Water Dist.</w:t>
      </w:r>
      <w:r w:rsidRPr="00A63D35">
        <w:rPr>
          <w:rFonts w:eastAsia="Times New Roman"/>
          <w:bCs/>
          <w:sz w:val="24"/>
          <w:szCs w:val="24"/>
        </w:rPr>
        <w:t xml:space="preserve">, 12 P.3d 1224 (Colo. App. 2000); </w:t>
      </w:r>
      <w:r w:rsidRPr="00A63D35">
        <w:rPr>
          <w:rFonts w:eastAsia="Times New Roman"/>
          <w:bCs/>
          <w:i/>
          <w:sz w:val="24"/>
          <w:szCs w:val="24"/>
        </w:rPr>
        <w:t>see also</w:t>
      </w:r>
      <w:r w:rsidRPr="00A63D35">
        <w:rPr>
          <w:rFonts w:eastAsia="Times New Roman"/>
          <w:bCs/>
          <w:sz w:val="24"/>
          <w:szCs w:val="24"/>
        </w:rPr>
        <w:t xml:space="preserve"> </w:t>
      </w:r>
      <w:r w:rsidRPr="00A63D35">
        <w:rPr>
          <w:rFonts w:eastAsia="Times New Roman"/>
          <w:b/>
          <w:bCs/>
          <w:sz w:val="24"/>
          <w:szCs w:val="24"/>
        </w:rPr>
        <w:t>Riggs v. McMurtry</w:t>
      </w:r>
      <w:r w:rsidRPr="00A63D35">
        <w:rPr>
          <w:rFonts w:eastAsia="Times New Roman"/>
          <w:bCs/>
          <w:sz w:val="24"/>
          <w:szCs w:val="24"/>
        </w:rPr>
        <w:t xml:space="preserve">, 157 Colo. 33, 400 P.2d 916 (1965) (evidence must provide reasonable basis for computation of damages); </w:t>
      </w:r>
      <w:r w:rsidRPr="00A63D35">
        <w:rPr>
          <w:rFonts w:eastAsia="Times New Roman"/>
          <w:b/>
          <w:bCs/>
          <w:sz w:val="24"/>
          <w:szCs w:val="24"/>
        </w:rPr>
        <w:t>McDonald’s Corp. v. Brentwood Ctr., Ltd.</w:t>
      </w:r>
      <w:r w:rsidRPr="00A63D35">
        <w:rPr>
          <w:rFonts w:eastAsia="Times New Roman"/>
          <w:bCs/>
          <w:sz w:val="24"/>
          <w:szCs w:val="24"/>
        </w:rPr>
        <w:t>, 942 P.2d 1308 (Colo. App. 1997) (lost profits may not be awarded if they are speculative, remote, imaginary, or impossible to ascertain).</w:t>
      </w:r>
    </w:p>
    <w:p w14:paraId="1C0890D4"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3. If future damages cannot be proven with a reasonable certainty, the jury may award a measure of damages that would place the injured party in the same position had the contract never been made, limited by the contract price. </w:t>
      </w:r>
      <w:r w:rsidRPr="00A63D35">
        <w:rPr>
          <w:rFonts w:eastAsia="Times New Roman"/>
          <w:b/>
          <w:bCs/>
          <w:sz w:val="24"/>
          <w:szCs w:val="24"/>
        </w:rPr>
        <w:t>HMO Sys., Inc. v. Choicecare Health Servs., Inc.</w:t>
      </w:r>
      <w:r w:rsidRPr="00A63D35">
        <w:rPr>
          <w:rFonts w:eastAsia="Times New Roman"/>
          <w:bCs/>
          <w:sz w:val="24"/>
          <w:szCs w:val="24"/>
        </w:rPr>
        <w:t xml:space="preserve">, 665 P.2d 635 (Colo. App. 1983). A jury may not award both types of damages if the result would be to put the injured person in a better position than the injured person would have been in had the contract been performed. </w:t>
      </w:r>
      <w:r w:rsidRPr="00A63D35">
        <w:rPr>
          <w:rFonts w:eastAsia="Times New Roman"/>
          <w:bCs/>
          <w:smallCaps/>
          <w:sz w:val="24"/>
          <w:szCs w:val="24"/>
        </w:rPr>
        <w:t>Restatement (Second) of Contracts</w:t>
      </w:r>
      <w:r w:rsidRPr="00A63D35">
        <w:rPr>
          <w:rFonts w:eastAsia="Times New Roman"/>
          <w:bCs/>
          <w:sz w:val="24"/>
          <w:szCs w:val="24"/>
        </w:rPr>
        <w:t xml:space="preserve"> § 349 (1981) (“As an alternative to the measure of damages stated in section 347, the injured party has the right to damages based on his reliance interest, including expenditures made in preparation for performance or in performance, less any loss that the party in breach can prove with reasonable certainty the injured party would have suffered had the contract been performed.”).</w:t>
      </w:r>
    </w:p>
    <w:p w14:paraId="0FA8D109"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4. Where the jury awards damages for a breach, any set-offs for amounts received from other parties should first be deducted before any adjustments are made to enforce contractual limitations on liability. </w:t>
      </w:r>
      <w:r w:rsidRPr="00A63D35">
        <w:rPr>
          <w:rFonts w:eastAsia="Times New Roman"/>
          <w:b/>
          <w:bCs/>
          <w:sz w:val="24"/>
          <w:szCs w:val="24"/>
        </w:rPr>
        <w:t>Taylor Morrison of Colo., Inc. v. Terracon Consultants, Inc.</w:t>
      </w:r>
      <w:r w:rsidRPr="00A63D35">
        <w:rPr>
          <w:rFonts w:eastAsia="Times New Roman"/>
          <w:bCs/>
          <w:sz w:val="24"/>
          <w:szCs w:val="24"/>
        </w:rPr>
        <w:t>, 2017 COA 64, ¶¶ 31-35</w:t>
      </w:r>
      <w:r w:rsidR="00F06ADD">
        <w:rPr>
          <w:rFonts w:eastAsia="Times New Roman"/>
          <w:bCs/>
          <w:sz w:val="24"/>
          <w:szCs w:val="24"/>
        </w:rPr>
        <w:t>, 410 P.3d 767</w:t>
      </w:r>
      <w:r w:rsidRPr="00A63D35">
        <w:rPr>
          <w:rFonts w:eastAsia="Times New Roman"/>
          <w:bCs/>
          <w:sz w:val="24"/>
          <w:szCs w:val="24"/>
        </w:rPr>
        <w:t>.</w:t>
      </w:r>
    </w:p>
    <w:p w14:paraId="5A680CB3"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lastRenderedPageBreak/>
        <w:t xml:space="preserve">5. As to when a plaintiff may be entitled to recover interest on damages for breach of contract, and at what rate, see generally sections 5-12-102 and 5-12-103, C.R.S. To be entitled to interest, the damages on which interest may be calculated need not necessarily be liquidated. </w:t>
      </w:r>
      <w:r w:rsidRPr="00A63D35">
        <w:rPr>
          <w:rFonts w:eastAsia="Times New Roman"/>
          <w:bCs/>
          <w:i/>
          <w:sz w:val="24"/>
          <w:szCs w:val="24"/>
        </w:rPr>
        <w:t>See</w:t>
      </w:r>
      <w:r w:rsidRPr="00A63D35">
        <w:rPr>
          <w:rFonts w:eastAsia="Times New Roman"/>
          <w:bCs/>
          <w:sz w:val="24"/>
          <w:szCs w:val="24"/>
        </w:rPr>
        <w:t xml:space="preserve"> § 5-12-102(1)(a), (3); </w:t>
      </w:r>
      <w:r w:rsidRPr="00A63D35">
        <w:rPr>
          <w:rFonts w:eastAsia="Times New Roman"/>
          <w:b/>
          <w:bCs/>
          <w:sz w:val="24"/>
          <w:szCs w:val="24"/>
        </w:rPr>
        <w:t>Jasken v. Sheehy Constr. Co.</w:t>
      </w:r>
      <w:r w:rsidRPr="00A63D35">
        <w:rPr>
          <w:rFonts w:eastAsia="Times New Roman"/>
          <w:bCs/>
          <w:sz w:val="24"/>
          <w:szCs w:val="24"/>
        </w:rPr>
        <w:t xml:space="preserve">, 642 P.2d 58 (Colo. App. 1982) (construing and applying section 5-12-102(1)(a)); </w:t>
      </w:r>
      <w:r w:rsidRPr="00A63D35">
        <w:rPr>
          <w:rFonts w:eastAsia="Times New Roman"/>
          <w:bCs/>
          <w:i/>
          <w:sz w:val="24"/>
          <w:szCs w:val="24"/>
        </w:rPr>
        <w:t>see also</w:t>
      </w:r>
      <w:r w:rsidRPr="00A63D35">
        <w:rPr>
          <w:rFonts w:eastAsia="Times New Roman"/>
          <w:bCs/>
          <w:sz w:val="24"/>
          <w:szCs w:val="24"/>
        </w:rPr>
        <w:t xml:space="preserve"> </w:t>
      </w:r>
      <w:r w:rsidRPr="00A63D35">
        <w:rPr>
          <w:rFonts w:eastAsia="Times New Roman"/>
          <w:b/>
          <w:bCs/>
          <w:sz w:val="24"/>
          <w:szCs w:val="24"/>
        </w:rPr>
        <w:t>Ferrellgas, Inc. v. Yeiser</w:t>
      </w:r>
      <w:r w:rsidRPr="00A63D35">
        <w:rPr>
          <w:rFonts w:eastAsia="Times New Roman"/>
          <w:bCs/>
          <w:sz w:val="24"/>
          <w:szCs w:val="24"/>
        </w:rPr>
        <w:t xml:space="preserve">, 247 P.3d 1022 (Colo. 2011) (analyzing setoff and interest calculation under section 5-12-102); </w:t>
      </w:r>
      <w:r w:rsidRPr="00A63D35">
        <w:rPr>
          <w:rFonts w:eastAsia="Times New Roman"/>
          <w:b/>
          <w:bCs/>
          <w:sz w:val="24"/>
          <w:szCs w:val="24"/>
        </w:rPr>
        <w:t>Ballow v. PHICO Ins. Co.</w:t>
      </w:r>
      <w:r w:rsidRPr="00A63D35">
        <w:rPr>
          <w:rFonts w:eastAsia="Times New Roman"/>
          <w:bCs/>
          <w:sz w:val="24"/>
          <w:szCs w:val="24"/>
        </w:rPr>
        <w:t xml:space="preserve">, 878 P.2d 672, 684 (Colo. 1994) (“Section 5-12-102(1)(b) is to be liberally construed to permit recovery of prejudgment interest on money or property wrongfully withheld.”); </w:t>
      </w:r>
      <w:r w:rsidRPr="00A63D35">
        <w:rPr>
          <w:rFonts w:eastAsia="Times New Roman"/>
          <w:b/>
          <w:bCs/>
          <w:sz w:val="24"/>
          <w:szCs w:val="24"/>
        </w:rPr>
        <w:t>Safeco Ins. Co. v. Westport Ins. Corp.</w:t>
      </w:r>
      <w:r w:rsidRPr="00A63D35">
        <w:rPr>
          <w:rFonts w:eastAsia="Times New Roman"/>
          <w:bCs/>
          <w:sz w:val="24"/>
          <w:szCs w:val="24"/>
        </w:rPr>
        <w:t xml:space="preserve">, 214 P.3d 1078 (Colo. App. 2009) (section 5-12-102(1) applies to equitable claim for contribution by insurer against other carriers that had wrongfully withheld their fair share of total due to insured); </w:t>
      </w:r>
      <w:r w:rsidRPr="00A63D35">
        <w:rPr>
          <w:rFonts w:eastAsia="Times New Roman"/>
          <w:b/>
          <w:bCs/>
          <w:sz w:val="24"/>
          <w:szCs w:val="24"/>
        </w:rPr>
        <w:t>Kennedy v. Gillam Dev. Corp.</w:t>
      </w:r>
      <w:r w:rsidRPr="00A63D35">
        <w:rPr>
          <w:rFonts w:eastAsia="Times New Roman"/>
          <w:bCs/>
          <w:sz w:val="24"/>
          <w:szCs w:val="24"/>
        </w:rPr>
        <w:t xml:space="preserve">, 80 P.3d 927 (Colo. App. 2003) (buyers who succeeded on claim to rescind contract to purchase home were entitled to recover prejudgment interest and sellers were entitled to offset value of buyers’ use of property); </w:t>
      </w:r>
      <w:r w:rsidRPr="00A63D35">
        <w:rPr>
          <w:rFonts w:eastAsia="Times New Roman"/>
          <w:b/>
          <w:bCs/>
          <w:sz w:val="24"/>
          <w:szCs w:val="24"/>
        </w:rPr>
        <w:t>Logixx Automation, Inc. v. Lawrence Michels Family Trust</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56 P.3d 1224 (Colo. App. 2002) (interest calculation begins at time breach of contract occurs rather than at time damages accrue).</w:t>
      </w:r>
    </w:p>
    <w:p w14:paraId="64BC2556"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6. Under section 5-12-102(1)(a) and (b), unless there is an agreement as to the rate of interest, the statutory rate of interest applies to prejudgment interest on damages recovered for money or property wrongfully withheld, in the absence of proof under section 5-12-102(1)(a) that a greater gain or benefit was realized by the person withholding the money or property. </w:t>
      </w:r>
      <w:r w:rsidRPr="00A63D35">
        <w:rPr>
          <w:rFonts w:eastAsia="Times New Roman"/>
          <w:bCs/>
          <w:i/>
          <w:sz w:val="24"/>
          <w:szCs w:val="24"/>
        </w:rPr>
        <w:t>See</w:t>
      </w:r>
      <w:r w:rsidRPr="00A63D35">
        <w:rPr>
          <w:rFonts w:eastAsia="Times New Roman"/>
          <w:bCs/>
          <w:sz w:val="24"/>
          <w:szCs w:val="24"/>
        </w:rPr>
        <w:t xml:space="preserve"> </w:t>
      </w:r>
      <w:r w:rsidRPr="00A63D35">
        <w:rPr>
          <w:rFonts w:eastAsia="Times New Roman"/>
          <w:b/>
          <w:bCs/>
          <w:sz w:val="24"/>
          <w:szCs w:val="24"/>
        </w:rPr>
        <w:t>Goodyear Tire &amp; Rubber Co. v. Holmes</w:t>
      </w:r>
      <w:r w:rsidRPr="00A63D35">
        <w:rPr>
          <w:rFonts w:eastAsia="Times New Roman"/>
          <w:bCs/>
          <w:sz w:val="24"/>
          <w:szCs w:val="24"/>
        </w:rPr>
        <w:t xml:space="preserve">, 193 P.3d 821 (Colo. 2008) (in strict liability case, interest due from time homeowner replaced defective heating system); </w:t>
      </w:r>
      <w:r w:rsidRPr="00A63D35">
        <w:rPr>
          <w:rFonts w:eastAsia="Times New Roman"/>
          <w:b/>
          <w:bCs/>
          <w:sz w:val="24"/>
          <w:szCs w:val="24"/>
        </w:rPr>
        <w:t>Mesa Sand &amp; Gravel Co. v. Landfill, Inc.</w:t>
      </w:r>
      <w:r w:rsidRPr="00A63D35">
        <w:rPr>
          <w:rFonts w:eastAsia="Times New Roman"/>
          <w:bCs/>
          <w:sz w:val="24"/>
          <w:szCs w:val="24"/>
        </w:rPr>
        <w:t xml:space="preserve">, 776 P.2d 362 (Colo. 1989) (also interpreting statutory phrase “wrongfully withheld”); </w:t>
      </w:r>
      <w:r w:rsidRPr="00A63D35">
        <w:rPr>
          <w:rFonts w:eastAsia="Times New Roman"/>
          <w:b/>
          <w:bCs/>
          <w:sz w:val="24"/>
          <w:szCs w:val="24"/>
        </w:rPr>
        <w:t>Harris Grp., Inc. v. Robinson</w:t>
      </w:r>
      <w:r w:rsidRPr="00A63D35">
        <w:rPr>
          <w:rFonts w:eastAsia="Times New Roman"/>
          <w:bCs/>
          <w:sz w:val="24"/>
          <w:szCs w:val="24"/>
        </w:rPr>
        <w:t xml:space="preserve">, 209 P.3d 1188 (Colo. App. 2009) (amount of prejudgment interest on lost profits through the verdict date must be ascertained with reasonable certainty, though difficult where verdict form does not separate past and future losses); </w:t>
      </w:r>
      <w:r w:rsidRPr="00A63D35">
        <w:rPr>
          <w:rFonts w:eastAsia="Times New Roman"/>
          <w:b/>
          <w:bCs/>
          <w:sz w:val="24"/>
          <w:szCs w:val="24"/>
        </w:rPr>
        <w:t>Butler v. Lembeck</w:t>
      </w:r>
      <w:r w:rsidRPr="00A63D35">
        <w:rPr>
          <w:rFonts w:eastAsia="Times New Roman"/>
          <w:bCs/>
          <w:sz w:val="24"/>
          <w:szCs w:val="24"/>
        </w:rPr>
        <w:t xml:space="preserve">, 182 P.3d 1185 (Colo. App. 2007) (analyzing interest on damages awarded tenant in dispute with landlord); </w:t>
      </w:r>
      <w:r w:rsidRPr="00A63D35">
        <w:rPr>
          <w:rFonts w:eastAsia="Times New Roman"/>
          <w:b/>
          <w:bCs/>
          <w:sz w:val="24"/>
          <w:szCs w:val="24"/>
        </w:rPr>
        <w:t>Alfred Brown Co. v. Johnson-Gibbons &amp; Reed W. Paving-Kemper</w:t>
      </w:r>
      <w:r w:rsidRPr="00A63D35">
        <w:rPr>
          <w:rFonts w:eastAsia="Times New Roman"/>
          <w:bCs/>
          <w:sz w:val="24"/>
          <w:szCs w:val="24"/>
        </w:rPr>
        <w:t xml:space="preserve">, 695 P.2d 746 (Colo. App. 1984); </w:t>
      </w:r>
      <w:r w:rsidRPr="00A63D35">
        <w:rPr>
          <w:rFonts w:eastAsia="Times New Roman"/>
          <w:b/>
          <w:bCs/>
          <w:sz w:val="24"/>
          <w:szCs w:val="24"/>
        </w:rPr>
        <w:t>Prospero Assocs. v. Redactron Corp.</w:t>
      </w:r>
      <w:r w:rsidRPr="00A63D35">
        <w:rPr>
          <w:rFonts w:eastAsia="Times New Roman"/>
          <w:bCs/>
          <w:sz w:val="24"/>
          <w:szCs w:val="24"/>
        </w:rPr>
        <w:t xml:space="preserve">, 682 P.2d 1193 (Colo. App. 1983). “Conventional interest as a matter of contract and statutory prejudgment interest on particular kinds of damage awards are to be distinguished from moratory interest. Moratory interest is an element of damage in itself which is allowed as compensation for the detention and use of money . . . [and its allowance] is a matter committed to the sound discretion of [the] court in consideration of the equities of [the] case.” </w:t>
      </w:r>
      <w:r w:rsidRPr="00A63D35">
        <w:rPr>
          <w:rFonts w:eastAsia="Times New Roman"/>
          <w:b/>
          <w:bCs/>
          <w:sz w:val="24"/>
          <w:szCs w:val="24"/>
        </w:rPr>
        <w:t>E.B. Jones Constr. Co. v. City &amp; County of Denver</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 xml:space="preserve">717 P.2d 1009, 1014-15 (Colo. App. 1986). </w:t>
      </w:r>
      <w:r w:rsidRPr="00A63D35">
        <w:rPr>
          <w:rFonts w:eastAsia="Times New Roman"/>
          <w:bCs/>
          <w:i/>
          <w:sz w:val="24"/>
          <w:szCs w:val="24"/>
        </w:rPr>
        <w:t>But see</w:t>
      </w:r>
      <w:r w:rsidRPr="00A63D35">
        <w:rPr>
          <w:rFonts w:eastAsia="Times New Roman"/>
          <w:bCs/>
          <w:sz w:val="24"/>
          <w:szCs w:val="24"/>
        </w:rPr>
        <w:t xml:space="preserve"> § 5-12-102(1)(a)–(b) (appearing to authorize moratory interest, so defined, as statutory interest); </w:t>
      </w:r>
      <w:r w:rsidRPr="00A63D35">
        <w:rPr>
          <w:rFonts w:eastAsia="Times New Roman"/>
          <w:b/>
          <w:bCs/>
          <w:sz w:val="24"/>
          <w:szCs w:val="24"/>
        </w:rPr>
        <w:t>Farmers Reservoir &amp; Irr. Co. v. City of Golden</w:t>
      </w:r>
      <w:r w:rsidRPr="00A63D35">
        <w:rPr>
          <w:rFonts w:eastAsia="Times New Roman"/>
          <w:bCs/>
          <w:sz w:val="24"/>
          <w:szCs w:val="24"/>
        </w:rPr>
        <w:t xml:space="preserve">, 113 P.3d 119 (Colo. 2005) (whether attorney fees are classified as “costs” or “damages” for purpose of awarding moratory interest depends on context of case and rests within discretion of trial court); </w:t>
      </w:r>
      <w:r w:rsidRPr="00A63D35">
        <w:rPr>
          <w:rFonts w:eastAsia="Times New Roman"/>
          <w:b/>
          <w:bCs/>
          <w:sz w:val="24"/>
          <w:szCs w:val="24"/>
        </w:rPr>
        <w:t>Great W. Sugar Co. v. KN Energy, Inc.</w:t>
      </w:r>
      <w:r w:rsidRPr="00A63D35">
        <w:rPr>
          <w:rFonts w:eastAsia="Times New Roman"/>
          <w:bCs/>
          <w:sz w:val="24"/>
          <w:szCs w:val="24"/>
        </w:rPr>
        <w:t xml:space="preserve">, 778 P.2d 272 (Colo. App. 1989) (discussing legislative purpose in enacting section 5-12-102(1)(a)). </w:t>
      </w:r>
    </w:p>
    <w:p w14:paraId="20F14D2E"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7. To constitute a “wrongful withholding” of money or property under section 5-12-102, the withholding need not be tortious or in bad faith but rather a failure to pay or deliver property when there is a legal obligation to do so. </w:t>
      </w:r>
      <w:r w:rsidRPr="00A63D35">
        <w:rPr>
          <w:rFonts w:eastAsia="Times New Roman"/>
          <w:b/>
          <w:bCs/>
          <w:sz w:val="24"/>
          <w:szCs w:val="24"/>
        </w:rPr>
        <w:t>Mesa Sand &amp; Gravel Co.</w:t>
      </w:r>
      <w:r w:rsidRPr="00A63D35">
        <w:rPr>
          <w:rFonts w:eastAsia="Times New Roman"/>
          <w:bCs/>
          <w:sz w:val="24"/>
          <w:szCs w:val="24"/>
        </w:rPr>
        <w:t xml:space="preserve">, 776 P.2d at 364 (citing </w:t>
      </w:r>
      <w:r w:rsidRPr="00A63D35">
        <w:rPr>
          <w:rFonts w:eastAsia="Times New Roman"/>
          <w:b/>
          <w:bCs/>
          <w:sz w:val="24"/>
          <w:szCs w:val="24"/>
        </w:rPr>
        <w:t>Cooper v. Peoples Bank &amp; Trust</w:t>
      </w:r>
      <w:r w:rsidRPr="00A63D35">
        <w:rPr>
          <w:rFonts w:eastAsia="Times New Roman"/>
          <w:bCs/>
          <w:sz w:val="24"/>
          <w:szCs w:val="24"/>
        </w:rPr>
        <w:t xml:space="preserve">, 725 P.2d 78 (Colo. App. 1986)); </w:t>
      </w:r>
      <w:r w:rsidRPr="00A63D35">
        <w:rPr>
          <w:rFonts w:eastAsia="Times New Roman"/>
          <w:bCs/>
          <w:i/>
          <w:sz w:val="24"/>
          <w:szCs w:val="24"/>
        </w:rPr>
        <w:t>see also</w:t>
      </w:r>
      <w:r w:rsidRPr="00A63D35">
        <w:rPr>
          <w:rFonts w:eastAsia="Times New Roman"/>
          <w:bCs/>
          <w:sz w:val="24"/>
          <w:szCs w:val="24"/>
        </w:rPr>
        <w:t xml:space="preserve"> § 24-91-103, C.R.S. (Colorado’s prompt payment statute, mandating penalty interest rate when a general </w:t>
      </w:r>
      <w:r w:rsidRPr="00A63D35">
        <w:rPr>
          <w:rFonts w:eastAsia="Times New Roman"/>
          <w:bCs/>
          <w:sz w:val="24"/>
          <w:szCs w:val="24"/>
        </w:rPr>
        <w:lastRenderedPageBreak/>
        <w:t xml:space="preserve">contractor fails to timely pay a subcontractor); </w:t>
      </w:r>
      <w:r w:rsidRPr="00A63D35">
        <w:rPr>
          <w:rFonts w:eastAsia="Times New Roman"/>
          <w:b/>
          <w:bCs/>
          <w:sz w:val="24"/>
          <w:szCs w:val="24"/>
        </w:rPr>
        <w:t>New Design Constr. Co., Inc. v. Hamon Contractors, Inc.</w:t>
      </w:r>
      <w:r w:rsidRPr="00A63D35">
        <w:rPr>
          <w:rFonts w:eastAsia="Times New Roman"/>
          <w:bCs/>
          <w:sz w:val="24"/>
          <w:szCs w:val="24"/>
        </w:rPr>
        <w:t>, 215 P.3d 1172 (Colo. App. 2008).</w:t>
      </w:r>
    </w:p>
    <w:p w14:paraId="642A97A1"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8. For a comprehensive discussion of the rules relating to the recovery of interest in contract cases, see J. Kent Miller, </w:t>
      </w:r>
      <w:r w:rsidRPr="00A63D35">
        <w:rPr>
          <w:rFonts w:eastAsia="Times New Roman"/>
          <w:bCs/>
          <w:i/>
          <w:sz w:val="24"/>
          <w:szCs w:val="24"/>
        </w:rPr>
        <w:t>Recovery of Interest: Part II – Other than Personal Injury</w:t>
      </w:r>
      <w:r w:rsidRPr="00A63D35">
        <w:rPr>
          <w:rFonts w:eastAsia="Times New Roman"/>
          <w:bCs/>
          <w:sz w:val="24"/>
          <w:szCs w:val="24"/>
        </w:rPr>
        <w:t xml:space="preserve">, 18 </w:t>
      </w:r>
      <w:r w:rsidRPr="00A63D35">
        <w:rPr>
          <w:rFonts w:eastAsia="Times New Roman"/>
          <w:bCs/>
          <w:smallCaps/>
          <w:sz w:val="24"/>
          <w:szCs w:val="24"/>
        </w:rPr>
        <w:t>Colo. Law.</w:t>
      </w:r>
      <w:r w:rsidRPr="00A63D35">
        <w:rPr>
          <w:rFonts w:eastAsia="Times New Roman"/>
          <w:bCs/>
          <w:sz w:val="24"/>
          <w:szCs w:val="24"/>
        </w:rPr>
        <w:t xml:space="preserve"> 1307 (1989).</w:t>
      </w:r>
    </w:p>
    <w:p w14:paraId="5107E4FD"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9. The economic loss rule provides a defense to tort claims that are based on duties bargained for and existing in a contract. Cases applying the economic loss rule to particular situations are collected in the Introductory Note to Chapter 9. </w:t>
      </w:r>
    </w:p>
    <w:p w14:paraId="36E88E29"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10. Colorado follows the “American Rule” with respect to the award of attorney fees in actions for breach of contract; that is, “[i]n the absence of a statute, court rule, or private contract to the contrary, attorney fees are not recoverable by a prevailing party. . . .” </w:t>
      </w:r>
      <w:r w:rsidRPr="00A63D35">
        <w:rPr>
          <w:rFonts w:eastAsia="Times New Roman"/>
          <w:b/>
          <w:bCs/>
          <w:sz w:val="24"/>
          <w:szCs w:val="24"/>
        </w:rPr>
        <w:t>Adams v. Farmers Ins. Grp.</w:t>
      </w:r>
      <w:r w:rsidRPr="00A63D35">
        <w:rPr>
          <w:rFonts w:eastAsia="Times New Roman"/>
          <w:bCs/>
          <w:sz w:val="24"/>
          <w:szCs w:val="24"/>
        </w:rPr>
        <w:t xml:space="preserve">, 983 P.2d 797, 801 (Colo. 1999); </w:t>
      </w:r>
      <w:r w:rsidRPr="00A63D35">
        <w:rPr>
          <w:rFonts w:eastAsia="Times New Roman"/>
          <w:bCs/>
          <w:i/>
          <w:sz w:val="24"/>
          <w:szCs w:val="24"/>
        </w:rPr>
        <w:t>accord</w:t>
      </w:r>
      <w:r w:rsidRPr="00A63D35">
        <w:rPr>
          <w:rFonts w:eastAsia="Times New Roman"/>
          <w:bCs/>
          <w:sz w:val="24"/>
          <w:szCs w:val="24"/>
        </w:rPr>
        <w:t xml:space="preserve"> </w:t>
      </w:r>
      <w:r w:rsidRPr="00A63D35">
        <w:rPr>
          <w:rFonts w:eastAsia="Times New Roman"/>
          <w:b/>
          <w:bCs/>
          <w:sz w:val="24"/>
          <w:szCs w:val="24"/>
        </w:rPr>
        <w:t>Allstate Ins. Co. v. Huizar</w:t>
      </w:r>
      <w:r w:rsidRPr="00A63D35">
        <w:rPr>
          <w:rFonts w:eastAsia="Times New Roman"/>
          <w:bCs/>
          <w:sz w:val="24"/>
          <w:szCs w:val="24"/>
        </w:rPr>
        <w:t xml:space="preserve">, 52 P.3d 816 (Colo. 2002); </w:t>
      </w:r>
      <w:r w:rsidRPr="00A63D35">
        <w:rPr>
          <w:rFonts w:eastAsia="Times New Roman"/>
          <w:b/>
          <w:bCs/>
          <w:sz w:val="24"/>
          <w:szCs w:val="24"/>
        </w:rPr>
        <w:t>Agritrack, Inc. v. DeJohn Housemoving, Inc.</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25 P.3d 1187 (Colo. 2001).</w:t>
      </w:r>
    </w:p>
    <w:p w14:paraId="12A282FB"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11. A claim brought upon a contract provision for equitable adjustment seeks an equitable remedy. </w:t>
      </w:r>
      <w:r w:rsidRPr="00A63D35">
        <w:rPr>
          <w:rFonts w:eastAsia="Times New Roman"/>
          <w:b/>
          <w:bCs/>
          <w:sz w:val="24"/>
          <w:szCs w:val="24"/>
        </w:rPr>
        <w:t>Parker Excavating, Inc. v. City &amp; County of Denver</w:t>
      </w:r>
      <w:r w:rsidRPr="00A63D35">
        <w:rPr>
          <w:rFonts w:eastAsia="Times New Roman"/>
          <w:bCs/>
          <w:sz w:val="24"/>
          <w:szCs w:val="24"/>
        </w:rPr>
        <w:t xml:space="preserve">, 2012 COA 180, ¶ 18, 303 P.3d 1222. </w:t>
      </w:r>
    </w:p>
    <w:p w14:paraId="7F87809E" w14:textId="77777777" w:rsidR="00E14F99" w:rsidRDefault="00E14F99">
      <w:pPr>
        <w:rPr>
          <w:rFonts w:eastAsia="Times New Roman"/>
          <w:bCs/>
          <w:sz w:val="24"/>
          <w:szCs w:val="24"/>
        </w:rPr>
      </w:pPr>
      <w:r>
        <w:rPr>
          <w:rFonts w:eastAsia="Times New Roman"/>
          <w:bCs/>
          <w:sz w:val="24"/>
          <w:szCs w:val="24"/>
        </w:rPr>
        <w:br w:type="page"/>
      </w:r>
    </w:p>
    <w:p w14:paraId="0C5E1866" w14:textId="77777777" w:rsidR="00E14F99" w:rsidRPr="009E3DA4" w:rsidRDefault="00E14F99" w:rsidP="00E14F99">
      <w:pPr>
        <w:spacing w:after="240"/>
        <w:ind w:left="720" w:hanging="720"/>
        <w:rPr>
          <w:rFonts w:eastAsia="Times New Roman"/>
          <w:b/>
          <w:sz w:val="24"/>
          <w:szCs w:val="24"/>
        </w:rPr>
      </w:pPr>
      <w:bookmarkStart w:id="40" w:name="a30_37"/>
      <w:bookmarkEnd w:id="40"/>
      <w:r w:rsidRPr="00E14F99">
        <w:rPr>
          <w:rFonts w:eastAsia="Times New Roman"/>
          <w:b/>
          <w:bCs/>
          <w:sz w:val="24"/>
          <w:szCs w:val="24"/>
        </w:rPr>
        <w:lastRenderedPageBreak/>
        <w:t>30:37</w:t>
      </w:r>
      <w:r w:rsidRPr="00E14F99">
        <w:rPr>
          <w:rFonts w:eastAsia="Times New Roman"/>
          <w:b/>
          <w:bCs/>
          <w:sz w:val="24"/>
          <w:szCs w:val="24"/>
        </w:rPr>
        <w:tab/>
        <w:t>DAMAGES ― INTRODUCTION</w:t>
      </w:r>
    </w:p>
    <w:p w14:paraId="10DAC338" w14:textId="56ACC9D9" w:rsidR="00E14F99" w:rsidRPr="00E14F99" w:rsidRDefault="00E14F99" w:rsidP="00E14F99">
      <w:pPr>
        <w:spacing w:after="240"/>
        <w:ind w:firstLine="720"/>
        <w:rPr>
          <w:rFonts w:eastAsia="Times New Roman"/>
          <w:b/>
          <w:bCs/>
          <w:sz w:val="24"/>
          <w:szCs w:val="24"/>
        </w:rPr>
      </w:pPr>
      <w:r w:rsidRPr="00E14F99">
        <w:rPr>
          <w:rFonts w:eastAsia="Times New Roman"/>
          <w:b/>
          <w:bCs/>
          <w:sz w:val="24"/>
          <w:szCs w:val="24"/>
        </w:rPr>
        <w:t xml:space="preserve">If you find in favor of the plaintiff, </w:t>
      </w:r>
      <w:r w:rsidRPr="00E14F99">
        <w:rPr>
          <w:rFonts w:eastAsia="Times New Roman"/>
          <w:bCs/>
          <w:i/>
          <w:sz w:val="24"/>
          <w:szCs w:val="24"/>
        </w:rPr>
        <w:t>(name)</w:t>
      </w:r>
      <w:r w:rsidRPr="00E14F99">
        <w:rPr>
          <w:rFonts w:eastAsia="Times New Roman"/>
          <w:b/>
          <w:bCs/>
          <w:sz w:val="24"/>
          <w:szCs w:val="24"/>
        </w:rPr>
        <w:t xml:space="preserve">, on </w:t>
      </w:r>
      <w:r w:rsidR="004F22EF" w:rsidRPr="0070684C">
        <w:rPr>
          <w:rFonts w:eastAsia="Times New Roman"/>
          <w:i/>
          <w:iCs/>
          <w:sz w:val="24"/>
          <w:szCs w:val="24"/>
        </w:rPr>
        <w:t>(insert applicable pronoun</w:t>
      </w:r>
      <w:r w:rsidR="004F22EF">
        <w:rPr>
          <w:rFonts w:eastAsia="Times New Roman"/>
          <w:i/>
          <w:iCs/>
          <w:sz w:val="24"/>
          <w:szCs w:val="24"/>
        </w:rPr>
        <w:t>)</w:t>
      </w:r>
      <w:r w:rsidRPr="00E14F99">
        <w:rPr>
          <w:rFonts w:eastAsia="Times New Roman"/>
          <w:b/>
          <w:bCs/>
          <w:sz w:val="24"/>
          <w:szCs w:val="24"/>
        </w:rPr>
        <w:t xml:space="preserve"> claim of breach of contract, then you must award </w:t>
      </w:r>
      <w:r w:rsidR="004F22EF" w:rsidRPr="0070684C">
        <w:rPr>
          <w:rFonts w:eastAsia="Times New Roman"/>
          <w:i/>
          <w:iCs/>
          <w:sz w:val="24"/>
          <w:szCs w:val="24"/>
        </w:rPr>
        <w:t>(insert applicable pronoun</w:t>
      </w:r>
      <w:r w:rsidR="004F22EF">
        <w:rPr>
          <w:rFonts w:eastAsia="Times New Roman"/>
          <w:i/>
          <w:iCs/>
          <w:sz w:val="24"/>
          <w:szCs w:val="24"/>
        </w:rPr>
        <w:t>)</w:t>
      </w:r>
      <w:r w:rsidRPr="00E14F99">
        <w:rPr>
          <w:rFonts w:eastAsia="Times New Roman"/>
          <w:b/>
          <w:bCs/>
          <w:sz w:val="24"/>
          <w:szCs w:val="24"/>
        </w:rPr>
        <w:t xml:space="preserve"> (general) (special) (liquidated) (nominal) damages.</w:t>
      </w:r>
    </w:p>
    <w:p w14:paraId="337FFDBB" w14:textId="77777777" w:rsidR="00E14F99" w:rsidRPr="00E14F99" w:rsidRDefault="00E14F99" w:rsidP="00E14F99">
      <w:pPr>
        <w:spacing w:after="240"/>
        <w:ind w:firstLine="720"/>
        <w:rPr>
          <w:rFonts w:eastAsia="Times New Roman"/>
          <w:b/>
          <w:bCs/>
          <w:sz w:val="24"/>
          <w:szCs w:val="24"/>
        </w:rPr>
      </w:pPr>
      <w:r w:rsidRPr="00E14F99">
        <w:rPr>
          <w:rFonts w:eastAsia="Times New Roman"/>
          <w:b/>
          <w:bCs/>
          <w:sz w:val="24"/>
          <w:szCs w:val="24"/>
        </w:rPr>
        <w:t xml:space="preserve">To award (general) (special) (liquidated) damages, you must find by a preponderance of the evidence that the plaintiff had damages as a result of the breach, and you must determine the amount of those damages. </w:t>
      </w:r>
    </w:p>
    <w:p w14:paraId="5035C639" w14:textId="77777777" w:rsidR="00E14F99" w:rsidRPr="00E14F99" w:rsidRDefault="00E14F99" w:rsidP="00E14F99">
      <w:pPr>
        <w:spacing w:after="240"/>
        <w:ind w:firstLine="720"/>
        <w:rPr>
          <w:rFonts w:eastAsia="Times New Roman"/>
          <w:b/>
          <w:bCs/>
          <w:sz w:val="24"/>
          <w:szCs w:val="24"/>
        </w:rPr>
      </w:pPr>
      <w:r w:rsidRPr="00E14F99">
        <w:rPr>
          <w:rFonts w:eastAsia="Times New Roman"/>
          <w:b/>
          <w:bCs/>
          <w:sz w:val="24"/>
          <w:szCs w:val="24"/>
        </w:rPr>
        <w:t>If you find in favor of the plaintiff, but do not find any (general) (special) (liquidated) damages, you shall award plaintiff nominal damages.</w:t>
      </w:r>
      <w:r w:rsidRPr="00E14F99" w:rsidDel="00054071">
        <w:rPr>
          <w:rFonts w:eastAsia="Times New Roman"/>
          <w:b/>
          <w:bCs/>
          <w:sz w:val="24"/>
          <w:szCs w:val="24"/>
        </w:rPr>
        <w:t xml:space="preserve"> </w:t>
      </w:r>
    </w:p>
    <w:p w14:paraId="3A026A00" w14:textId="77777777" w:rsidR="00E14F99" w:rsidRDefault="00E14F99" w:rsidP="00E14F99">
      <w:pPr>
        <w:jc w:val="center"/>
        <w:rPr>
          <w:rFonts w:eastAsia="Times New Roman"/>
          <w:sz w:val="24"/>
          <w:szCs w:val="24"/>
        </w:rPr>
      </w:pPr>
    </w:p>
    <w:p w14:paraId="09A94E0E" w14:textId="77777777" w:rsidR="00E14F99" w:rsidRPr="0054263B" w:rsidRDefault="00E14F99" w:rsidP="00E14F99">
      <w:pPr>
        <w:keepNext/>
        <w:spacing w:after="240"/>
        <w:jc w:val="center"/>
        <w:rPr>
          <w:rFonts w:eastAsia="Times New Roman"/>
          <w:b/>
          <w:sz w:val="24"/>
          <w:szCs w:val="24"/>
        </w:rPr>
      </w:pPr>
      <w:r w:rsidRPr="0054263B">
        <w:rPr>
          <w:rFonts w:eastAsia="Times New Roman"/>
          <w:b/>
          <w:sz w:val="24"/>
          <w:szCs w:val="24"/>
        </w:rPr>
        <w:t>Notes on Use</w:t>
      </w:r>
    </w:p>
    <w:p w14:paraId="3F243093" w14:textId="77777777" w:rsidR="00E14F99" w:rsidRPr="00E14F99" w:rsidRDefault="00E14F99" w:rsidP="00E14F99">
      <w:pPr>
        <w:spacing w:after="240"/>
        <w:ind w:firstLine="720"/>
        <w:rPr>
          <w:rFonts w:eastAsia="Times New Roman"/>
          <w:bCs/>
          <w:sz w:val="24"/>
          <w:szCs w:val="24"/>
        </w:rPr>
      </w:pPr>
      <w:r w:rsidRPr="00E14F99">
        <w:rPr>
          <w:rFonts w:eastAsia="Times New Roman"/>
          <w:bCs/>
          <w:sz w:val="24"/>
          <w:szCs w:val="24"/>
        </w:rPr>
        <w:t xml:space="preserve">1. Except when the amount of damages is not in dispute, e.g., liquidated damages (see Instruction 30:40), the amount due on a promissory note, etc., the instruction should not state the amount of damages sought. </w:t>
      </w:r>
      <w:r w:rsidRPr="00E14F99">
        <w:rPr>
          <w:rFonts w:eastAsia="Times New Roman"/>
          <w:bCs/>
          <w:i/>
          <w:sz w:val="24"/>
          <w:szCs w:val="24"/>
        </w:rPr>
        <w:t>See</w:t>
      </w:r>
      <w:r w:rsidRPr="00E14F99">
        <w:rPr>
          <w:rFonts w:eastAsia="Times New Roman"/>
          <w:bCs/>
          <w:sz w:val="24"/>
          <w:szCs w:val="24"/>
        </w:rPr>
        <w:t xml:space="preserve"> </w:t>
      </w:r>
      <w:r w:rsidRPr="00E14F99">
        <w:rPr>
          <w:rFonts w:eastAsia="Times New Roman"/>
          <w:b/>
          <w:bCs/>
          <w:sz w:val="24"/>
          <w:szCs w:val="24"/>
        </w:rPr>
        <w:t>Rodrigue v. Hausman</w:t>
      </w:r>
      <w:r w:rsidRPr="00E14F99">
        <w:rPr>
          <w:rFonts w:eastAsia="Times New Roman"/>
          <w:bCs/>
          <w:sz w:val="24"/>
          <w:szCs w:val="24"/>
        </w:rPr>
        <w:t>, 33 Colo. App. 305, 519 P.2d 1216 (1974).</w:t>
      </w:r>
    </w:p>
    <w:p w14:paraId="6A6847CC" w14:textId="77777777" w:rsidR="00E14F99" w:rsidRPr="00E14F99" w:rsidRDefault="00E14F99" w:rsidP="00E14F99">
      <w:pPr>
        <w:spacing w:after="240"/>
        <w:ind w:firstLine="720"/>
        <w:rPr>
          <w:rFonts w:eastAsia="Times New Roman"/>
          <w:bCs/>
          <w:sz w:val="24"/>
          <w:szCs w:val="24"/>
        </w:rPr>
      </w:pPr>
      <w:r w:rsidRPr="00E14F99">
        <w:rPr>
          <w:rFonts w:eastAsia="Times New Roman"/>
          <w:bCs/>
          <w:sz w:val="24"/>
          <w:szCs w:val="24"/>
        </w:rPr>
        <w:t xml:space="preserve">2. Instructions for the particular damages involved in the case should be used with this instruction: Instruction 30:38 (general), Instruction 30:39 (special), Instruction 30:40 (liquidated), or Instruction 30:41 (nominal). </w:t>
      </w:r>
    </w:p>
    <w:p w14:paraId="3D97597E" w14:textId="77777777" w:rsidR="00E14F99" w:rsidRPr="00E14F99" w:rsidRDefault="00E14F99" w:rsidP="00E14F99">
      <w:pPr>
        <w:spacing w:after="240"/>
        <w:ind w:firstLine="720"/>
        <w:rPr>
          <w:rFonts w:eastAsia="Times New Roman"/>
          <w:bCs/>
          <w:sz w:val="24"/>
          <w:szCs w:val="24"/>
        </w:rPr>
      </w:pPr>
      <w:r w:rsidRPr="00E14F99">
        <w:rPr>
          <w:rFonts w:eastAsia="Times New Roman"/>
          <w:bCs/>
          <w:sz w:val="24"/>
          <w:szCs w:val="24"/>
        </w:rPr>
        <w:t>3. When supported by sufficient evidence and applicable to the damages being claimed by the plaintiff, Instruction 5:2, dealing with mitigation of damages, should be given with this instruction.</w:t>
      </w:r>
    </w:p>
    <w:p w14:paraId="7250FE54" w14:textId="77777777" w:rsidR="00E14F99" w:rsidRPr="0054263B" w:rsidRDefault="00E14F99" w:rsidP="00E14F99">
      <w:pPr>
        <w:keepNext/>
        <w:spacing w:after="240"/>
        <w:jc w:val="center"/>
        <w:rPr>
          <w:rFonts w:eastAsia="Times New Roman"/>
          <w:b/>
          <w:sz w:val="24"/>
          <w:szCs w:val="24"/>
        </w:rPr>
      </w:pPr>
      <w:r>
        <w:rPr>
          <w:rFonts w:eastAsia="Times New Roman"/>
          <w:b/>
          <w:sz w:val="24"/>
          <w:szCs w:val="24"/>
        </w:rPr>
        <w:t>Source and Authority</w:t>
      </w:r>
    </w:p>
    <w:p w14:paraId="2839C844" w14:textId="77777777" w:rsidR="00E14F99" w:rsidRDefault="00B7181F" w:rsidP="00E14F99">
      <w:pPr>
        <w:spacing w:after="240"/>
        <w:ind w:firstLine="720"/>
        <w:rPr>
          <w:rFonts w:eastAsia="Times New Roman"/>
          <w:bCs/>
          <w:sz w:val="24"/>
          <w:szCs w:val="24"/>
        </w:rPr>
      </w:pPr>
      <w:r>
        <w:rPr>
          <w:rFonts w:eastAsia="Times New Roman"/>
          <w:bCs/>
          <w:sz w:val="24"/>
          <w:szCs w:val="24"/>
        </w:rPr>
        <w:t xml:space="preserve">1. </w:t>
      </w:r>
      <w:r w:rsidR="00E14F99" w:rsidRPr="00E14F99">
        <w:rPr>
          <w:rFonts w:eastAsia="Times New Roman"/>
          <w:bCs/>
          <w:sz w:val="24"/>
          <w:szCs w:val="24"/>
        </w:rPr>
        <w:t>This instruction is supported by</w:t>
      </w:r>
      <w:r w:rsidR="00E14F99" w:rsidRPr="00E14F99">
        <w:rPr>
          <w:rFonts w:eastAsia="Times New Roman"/>
          <w:b/>
          <w:bCs/>
          <w:sz w:val="24"/>
          <w:szCs w:val="24"/>
        </w:rPr>
        <w:t xml:space="preserve"> Giampapa v. American Family Mutual Insurance Co.</w:t>
      </w:r>
      <w:r w:rsidR="00E14F99" w:rsidRPr="00E14F99">
        <w:rPr>
          <w:rFonts w:eastAsia="Times New Roman"/>
          <w:bCs/>
          <w:sz w:val="24"/>
          <w:szCs w:val="24"/>
        </w:rPr>
        <w:t>, 64 P.3d 230, 237 n.3 (Colo. 2003) (“‘General damages’ are those that flow naturally from the breach of contract, whereas ‘special’ or ‘consequential damages’ are other foreseeable damages within the reasonable contemplation of the parties at the time the contract was made.”).</w:t>
      </w:r>
    </w:p>
    <w:p w14:paraId="4BC493F9" w14:textId="77777777" w:rsidR="00B7181F" w:rsidRPr="00E14F99" w:rsidRDefault="00B7181F" w:rsidP="00E14F99">
      <w:pPr>
        <w:spacing w:after="240"/>
        <w:ind w:firstLine="720"/>
        <w:rPr>
          <w:rFonts w:eastAsia="Times New Roman"/>
          <w:bCs/>
          <w:sz w:val="24"/>
          <w:szCs w:val="24"/>
        </w:rPr>
      </w:pPr>
      <w:r>
        <w:rPr>
          <w:rFonts w:eastAsia="Times New Roman"/>
          <w:bCs/>
          <w:sz w:val="24"/>
          <w:szCs w:val="24"/>
        </w:rPr>
        <w:t xml:space="preserve">2. An aggrieved party is not obligated to mitigate damages by giving up its rights under a contract. </w:t>
      </w:r>
      <w:r w:rsidRPr="0083713B">
        <w:rPr>
          <w:rFonts w:eastAsia="Times New Roman"/>
          <w:b/>
          <w:bCs/>
          <w:sz w:val="24"/>
          <w:szCs w:val="24"/>
        </w:rPr>
        <w:t>U</w:t>
      </w:r>
      <w:r>
        <w:rPr>
          <w:rFonts w:eastAsia="Times New Roman"/>
          <w:b/>
          <w:bCs/>
          <w:sz w:val="24"/>
          <w:szCs w:val="24"/>
        </w:rPr>
        <w:t>.</w:t>
      </w:r>
      <w:r w:rsidRPr="0083713B">
        <w:rPr>
          <w:rFonts w:eastAsia="Times New Roman"/>
          <w:b/>
          <w:bCs/>
          <w:sz w:val="24"/>
          <w:szCs w:val="24"/>
        </w:rPr>
        <w:t>S</w:t>
      </w:r>
      <w:r>
        <w:rPr>
          <w:rFonts w:eastAsia="Times New Roman"/>
          <w:b/>
          <w:bCs/>
          <w:sz w:val="24"/>
          <w:szCs w:val="24"/>
        </w:rPr>
        <w:t>.</w:t>
      </w:r>
      <w:r w:rsidRPr="0083713B">
        <w:rPr>
          <w:rFonts w:eastAsia="Times New Roman"/>
          <w:b/>
          <w:bCs/>
          <w:sz w:val="24"/>
          <w:szCs w:val="24"/>
        </w:rPr>
        <w:t xml:space="preserve"> Welding, Inc. v. Advance</w:t>
      </w:r>
      <w:r>
        <w:rPr>
          <w:rFonts w:eastAsia="Times New Roman"/>
          <w:b/>
          <w:bCs/>
          <w:sz w:val="24"/>
          <w:szCs w:val="24"/>
        </w:rPr>
        <w:t>d</w:t>
      </w:r>
      <w:r w:rsidRPr="0083713B">
        <w:rPr>
          <w:rFonts w:eastAsia="Times New Roman"/>
          <w:b/>
          <w:bCs/>
          <w:sz w:val="24"/>
          <w:szCs w:val="24"/>
        </w:rPr>
        <w:t xml:space="preserve"> Circuits</w:t>
      </w:r>
      <w:r>
        <w:rPr>
          <w:rFonts w:eastAsia="Times New Roman"/>
          <w:b/>
          <w:bCs/>
          <w:sz w:val="24"/>
          <w:szCs w:val="24"/>
        </w:rPr>
        <w:t>, Inc.</w:t>
      </w:r>
      <w:r>
        <w:rPr>
          <w:rFonts w:eastAsia="Times New Roman"/>
          <w:bCs/>
          <w:sz w:val="24"/>
          <w:szCs w:val="24"/>
        </w:rPr>
        <w:t xml:space="preserve">, 2018 CO 56, </w:t>
      </w:r>
      <w:r w:rsidRPr="004D7461">
        <w:rPr>
          <w:rFonts w:eastAsia="Times New Roman"/>
          <w:bCs/>
          <w:sz w:val="24"/>
          <w:szCs w:val="24"/>
        </w:rPr>
        <w:t>¶</w:t>
      </w:r>
      <w:r>
        <w:rPr>
          <w:rFonts w:eastAsia="Times New Roman"/>
          <w:bCs/>
          <w:sz w:val="24"/>
          <w:szCs w:val="24"/>
        </w:rPr>
        <w:t xml:space="preserve"> 11, 420 P.3d 278, 281 (“</w:t>
      </w:r>
      <w:r w:rsidR="004D5700">
        <w:rPr>
          <w:rFonts w:eastAsia="Times New Roman"/>
          <w:bCs/>
          <w:sz w:val="24"/>
          <w:szCs w:val="24"/>
        </w:rPr>
        <w:t>[I]</w:t>
      </w:r>
      <w:r>
        <w:rPr>
          <w:rFonts w:eastAsia="Times New Roman"/>
          <w:bCs/>
          <w:sz w:val="24"/>
          <w:szCs w:val="24"/>
        </w:rPr>
        <w:t>n the absence of impossibility, frustration of purpose, or some other reason not involving the fault of any party, for which a contract is no longer capable of being fulfilled, the other party is never obligated to accept an offer of an accord</w:t>
      </w:r>
      <w:r w:rsidR="004D5700">
        <w:rPr>
          <w:rFonts w:eastAsia="Times New Roman"/>
          <w:bCs/>
          <w:sz w:val="24"/>
          <w:szCs w:val="24"/>
        </w:rPr>
        <w:t>.</w:t>
      </w:r>
      <w:r>
        <w:rPr>
          <w:rFonts w:eastAsia="Times New Roman"/>
          <w:bCs/>
          <w:sz w:val="24"/>
          <w:szCs w:val="24"/>
        </w:rPr>
        <w:t>”).</w:t>
      </w:r>
    </w:p>
    <w:p w14:paraId="4F6D84EF" w14:textId="77777777" w:rsidR="00E14F99" w:rsidRDefault="00E14F99">
      <w:pPr>
        <w:rPr>
          <w:rFonts w:eastAsia="Times New Roman"/>
          <w:bCs/>
          <w:sz w:val="24"/>
          <w:szCs w:val="24"/>
        </w:rPr>
      </w:pPr>
      <w:r>
        <w:rPr>
          <w:rFonts w:eastAsia="Times New Roman"/>
          <w:bCs/>
          <w:sz w:val="24"/>
          <w:szCs w:val="24"/>
        </w:rPr>
        <w:br w:type="page"/>
      </w:r>
    </w:p>
    <w:p w14:paraId="3791979F" w14:textId="77777777" w:rsidR="00E14F99" w:rsidRPr="009E3DA4" w:rsidRDefault="00E14F99" w:rsidP="00E14F99">
      <w:pPr>
        <w:spacing w:after="240"/>
        <w:ind w:left="720" w:hanging="720"/>
        <w:rPr>
          <w:rFonts w:eastAsia="Times New Roman"/>
          <w:b/>
          <w:sz w:val="24"/>
          <w:szCs w:val="24"/>
        </w:rPr>
      </w:pPr>
      <w:bookmarkStart w:id="41" w:name="a30_38"/>
      <w:bookmarkEnd w:id="41"/>
      <w:r w:rsidRPr="00E14F99">
        <w:rPr>
          <w:rFonts w:eastAsia="Times New Roman"/>
          <w:b/>
          <w:bCs/>
          <w:sz w:val="24"/>
          <w:szCs w:val="24"/>
        </w:rPr>
        <w:lastRenderedPageBreak/>
        <w:t>30:38</w:t>
      </w:r>
      <w:r w:rsidRPr="00E14F99">
        <w:rPr>
          <w:rFonts w:eastAsia="Times New Roman"/>
          <w:b/>
          <w:bCs/>
          <w:sz w:val="24"/>
          <w:szCs w:val="24"/>
        </w:rPr>
        <w:tab/>
        <w:t>DAMAGES — GENERAL</w:t>
      </w:r>
    </w:p>
    <w:p w14:paraId="67727D96"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 xml:space="preserve">“General damages” means the amount required to compensate the plaintiff for losses that are the natural and probable consequence of the defendant’s breach of the contract. </w:t>
      </w:r>
    </w:p>
    <w:p w14:paraId="2E48C0A1"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Losses that are a “natural” result of a breach are those losses that an ordinary person of common experience would expect to follow from a breach.</w:t>
      </w:r>
    </w:p>
    <w:p w14:paraId="3812B1DC" w14:textId="77777777" w:rsidR="00930778" w:rsidRPr="00930778" w:rsidRDefault="00930778" w:rsidP="00930778">
      <w:pPr>
        <w:spacing w:after="240"/>
        <w:ind w:firstLine="720"/>
        <w:rPr>
          <w:rFonts w:eastAsia="Times New Roman"/>
          <w:b/>
          <w:bCs/>
          <w:sz w:val="24"/>
          <w:szCs w:val="24"/>
          <w:u w:val="single"/>
        </w:rPr>
      </w:pPr>
      <w:r w:rsidRPr="00930778">
        <w:rPr>
          <w:rFonts w:eastAsia="Times New Roman"/>
          <w:b/>
          <w:bCs/>
          <w:sz w:val="24"/>
          <w:szCs w:val="24"/>
        </w:rPr>
        <w:t>Losses are “probable” if the losses were reasonably foreseeable when the contract was made and would likely occur if the contract were breached.</w:t>
      </w:r>
    </w:p>
    <w:p w14:paraId="403E28CD" w14:textId="77777777" w:rsidR="00930778" w:rsidRPr="00930778" w:rsidRDefault="00930778" w:rsidP="00930778">
      <w:pPr>
        <w:spacing w:after="240"/>
        <w:ind w:firstLine="720"/>
        <w:rPr>
          <w:rFonts w:eastAsia="Times New Roman"/>
          <w:b/>
          <w:bCs/>
          <w:sz w:val="24"/>
          <w:szCs w:val="24"/>
        </w:rPr>
      </w:pPr>
      <w:bookmarkStart w:id="42" w:name="_Hlk142046475"/>
      <w:r w:rsidRPr="00930778">
        <w:rPr>
          <w:rFonts w:eastAsia="Times New Roman"/>
          <w:b/>
          <w:bCs/>
          <w:sz w:val="24"/>
          <w:szCs w:val="24"/>
        </w:rPr>
        <w:t>If general damages have been proved, you shall award:</w:t>
      </w:r>
    </w:p>
    <w:bookmarkEnd w:id="42"/>
    <w:p w14:paraId="2BB01F2F" w14:textId="77777777" w:rsidR="00930778" w:rsidRPr="00930778" w:rsidRDefault="00930778" w:rsidP="00930778">
      <w:pPr>
        <w:spacing w:after="240"/>
        <w:ind w:firstLine="720"/>
        <w:rPr>
          <w:rFonts w:eastAsia="Times New Roman"/>
          <w:b/>
          <w:bCs/>
          <w:sz w:val="24"/>
          <w:szCs w:val="24"/>
        </w:rPr>
      </w:pPr>
      <w:r w:rsidRPr="00930778">
        <w:rPr>
          <w:rFonts w:eastAsia="Times New Roman"/>
          <w:bCs/>
          <w:i/>
          <w:sz w:val="24"/>
          <w:szCs w:val="24"/>
        </w:rPr>
        <w:t>(Insert the types of general damages that have been proved depending on the kind of contract involved.)</w:t>
      </w:r>
      <w:r w:rsidRPr="00930778">
        <w:rPr>
          <w:rFonts w:eastAsia="Times New Roman"/>
          <w:b/>
          <w:bCs/>
          <w:sz w:val="24"/>
          <w:szCs w:val="24"/>
        </w:rPr>
        <w:t xml:space="preserve"> </w:t>
      </w:r>
    </w:p>
    <w:p w14:paraId="1EA91855" w14:textId="77777777" w:rsidR="00E14F99" w:rsidRDefault="00E14F99" w:rsidP="00E14F99">
      <w:pPr>
        <w:jc w:val="center"/>
        <w:rPr>
          <w:rFonts w:eastAsia="Times New Roman"/>
          <w:sz w:val="24"/>
          <w:szCs w:val="24"/>
        </w:rPr>
      </w:pPr>
    </w:p>
    <w:p w14:paraId="58172894" w14:textId="77777777" w:rsidR="00E14F99" w:rsidRPr="0054263B" w:rsidRDefault="00E14F99" w:rsidP="00E14F99">
      <w:pPr>
        <w:keepNext/>
        <w:spacing w:after="240"/>
        <w:jc w:val="center"/>
        <w:rPr>
          <w:rFonts w:eastAsia="Times New Roman"/>
          <w:b/>
          <w:sz w:val="24"/>
          <w:szCs w:val="24"/>
        </w:rPr>
      </w:pPr>
      <w:r w:rsidRPr="0054263B">
        <w:rPr>
          <w:rFonts w:eastAsia="Times New Roman"/>
          <w:b/>
          <w:sz w:val="24"/>
          <w:szCs w:val="24"/>
        </w:rPr>
        <w:t>Notes on Use</w:t>
      </w:r>
    </w:p>
    <w:p w14:paraId="0B7C9C59"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1. See Notes on Use and Source and Authority to Instruction 30:37 (introduction).</w:t>
      </w:r>
    </w:p>
    <w:p w14:paraId="4686A8FF"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2. Instruction 30:37 (introduction) should be used with this instruction, along with instructions for any other particular damages involved in the case: Instruction 30:39 (special), Instruction 30:40 (liquidated), or Instruction 30:41 (nominal).</w:t>
      </w:r>
    </w:p>
    <w:p w14:paraId="370E0DFD" w14:textId="287CE5DF"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3. The court has a duty to instruct the jury on the proper measure of damages for the kind of contract at issue. The measures of damages appropriate for several particular kinds of contract breaches are contained in Instructions 30:42 to 30:5</w:t>
      </w:r>
      <w:r w:rsidR="00F360F7">
        <w:rPr>
          <w:rFonts w:eastAsia="Times New Roman"/>
          <w:bCs/>
          <w:sz w:val="24"/>
          <w:szCs w:val="24"/>
        </w:rPr>
        <w:t>4</w:t>
      </w:r>
      <w:r w:rsidRPr="00930778">
        <w:rPr>
          <w:rFonts w:eastAsia="Times New Roman"/>
          <w:bCs/>
          <w:sz w:val="24"/>
          <w:szCs w:val="24"/>
        </w:rPr>
        <w:t>.</w:t>
      </w:r>
    </w:p>
    <w:p w14:paraId="313B6419"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4. This instruction should be modified where the defendant has counterclaimed and alleged that the plaintiff breached contract promises.</w:t>
      </w:r>
    </w:p>
    <w:p w14:paraId="4E7BEDF8"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5. If special damages are also alleged and proven the jury also may receive instruction 30:39, so long as awarding both categories of damages does not result in any double recovery. </w:t>
      </w:r>
      <w:r w:rsidRPr="00930778">
        <w:rPr>
          <w:rFonts w:eastAsia="Times New Roman"/>
          <w:bCs/>
          <w:i/>
          <w:sz w:val="24"/>
          <w:szCs w:val="24"/>
        </w:rPr>
        <w:t>See</w:t>
      </w:r>
      <w:r w:rsidRPr="00930778">
        <w:rPr>
          <w:rFonts w:eastAsia="Times New Roman"/>
          <w:b/>
          <w:bCs/>
          <w:sz w:val="24"/>
          <w:szCs w:val="24"/>
        </w:rPr>
        <w:t xml:space="preserve"> General Steel Domestic Sales, LLC v. Hogan &amp; Hartson, LLP</w:t>
      </w:r>
      <w:r w:rsidRPr="00930778">
        <w:rPr>
          <w:rFonts w:eastAsia="Times New Roman"/>
          <w:bCs/>
          <w:sz w:val="24"/>
          <w:szCs w:val="24"/>
        </w:rPr>
        <w:t>, 230 P.3d 1275 (Colo. App. 2010).</w:t>
      </w:r>
    </w:p>
    <w:p w14:paraId="0365299A" w14:textId="77777777" w:rsidR="00E14F99" w:rsidRPr="0054263B" w:rsidRDefault="00E14F99" w:rsidP="00E14F99">
      <w:pPr>
        <w:keepNext/>
        <w:spacing w:after="240"/>
        <w:jc w:val="center"/>
        <w:rPr>
          <w:rFonts w:eastAsia="Times New Roman"/>
          <w:b/>
          <w:sz w:val="24"/>
          <w:szCs w:val="24"/>
        </w:rPr>
      </w:pPr>
      <w:r>
        <w:rPr>
          <w:rFonts w:eastAsia="Times New Roman"/>
          <w:b/>
          <w:sz w:val="24"/>
          <w:szCs w:val="24"/>
        </w:rPr>
        <w:t>Source and Authority</w:t>
      </w:r>
    </w:p>
    <w:p w14:paraId="5AF998A3"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1. This instruction is supported by </w:t>
      </w:r>
      <w:r w:rsidRPr="00930778">
        <w:rPr>
          <w:rFonts w:eastAsia="Times New Roman"/>
          <w:b/>
          <w:bCs/>
          <w:sz w:val="24"/>
          <w:szCs w:val="24"/>
        </w:rPr>
        <w:t>Pomeranz v. McDonald’s Corp</w:t>
      </w:r>
      <w:r w:rsidRPr="00930778">
        <w:rPr>
          <w:rFonts w:eastAsia="Times New Roman"/>
          <w:bCs/>
          <w:sz w:val="24"/>
          <w:szCs w:val="24"/>
        </w:rPr>
        <w:t xml:space="preserve">, 843 P.2d 1378 (Colo. 1993) (The general measure of damages for breach of contract cases is that sum that places the non-defaulting party in the position the party would have enjoyed had the breach not occurred.).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Smith v. Farmers Ins. Exch.</w:t>
      </w:r>
      <w:r w:rsidRPr="00930778">
        <w:rPr>
          <w:rFonts w:eastAsia="Times New Roman"/>
          <w:bCs/>
          <w:sz w:val="24"/>
          <w:szCs w:val="24"/>
        </w:rPr>
        <w:t xml:space="preserve">, 9 P.3d 335 (Colo. 2000); </w:t>
      </w:r>
      <w:r w:rsidRPr="00930778">
        <w:rPr>
          <w:rFonts w:eastAsia="Times New Roman"/>
          <w:b/>
          <w:bCs/>
          <w:sz w:val="24"/>
          <w:szCs w:val="24"/>
        </w:rPr>
        <w:t>Colo. Nat’l Bank v. Friedman</w:t>
      </w:r>
      <w:r w:rsidRPr="00930778">
        <w:rPr>
          <w:rFonts w:eastAsia="Times New Roman"/>
          <w:bCs/>
          <w:sz w:val="24"/>
          <w:szCs w:val="24"/>
        </w:rPr>
        <w:t xml:space="preserve">, 846 P.2d 159 (Colo. 1993); </w:t>
      </w:r>
      <w:r w:rsidRPr="00930778">
        <w:rPr>
          <w:rFonts w:eastAsia="Times New Roman"/>
          <w:b/>
          <w:bCs/>
          <w:sz w:val="24"/>
          <w:szCs w:val="24"/>
        </w:rPr>
        <w:t>Core-Mark Midcontinent Inc., v. Sonitrol Corp.</w:t>
      </w:r>
      <w:r w:rsidRPr="00930778">
        <w:rPr>
          <w:rFonts w:eastAsia="Times New Roman"/>
          <w:bCs/>
          <w:sz w:val="24"/>
          <w:szCs w:val="24"/>
        </w:rPr>
        <w:t xml:space="preserve">, 2016 COA 22, ¶ 35, 370 P.3d 353 (discussing foreseeability and types of losses that naturally and probably flow from a breach); </w:t>
      </w:r>
      <w:r w:rsidRPr="00930778">
        <w:rPr>
          <w:rFonts w:eastAsia="Times New Roman"/>
          <w:b/>
          <w:bCs/>
          <w:sz w:val="24"/>
          <w:szCs w:val="24"/>
        </w:rPr>
        <w:t>Morris v. Belfor USA Group, Inc.</w:t>
      </w:r>
      <w:r w:rsidRPr="00930778">
        <w:rPr>
          <w:rFonts w:eastAsia="Times New Roman"/>
          <w:bCs/>
          <w:sz w:val="24"/>
          <w:szCs w:val="24"/>
        </w:rPr>
        <w:t>, 201 P.3d 1253 (Colo. App. 2008);</w:t>
      </w:r>
      <w:r w:rsidRPr="00930778">
        <w:rPr>
          <w:rFonts w:eastAsia="Times New Roman"/>
          <w:b/>
          <w:bCs/>
          <w:sz w:val="24"/>
          <w:szCs w:val="24"/>
        </w:rPr>
        <w:t xml:space="preserve"> Clough v. Williams Prod. RMT Co.</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179 P.3d 32 (Colo. App. 2007); </w:t>
      </w:r>
      <w:r w:rsidRPr="00930778">
        <w:rPr>
          <w:rFonts w:eastAsia="Times New Roman"/>
          <w:b/>
          <w:bCs/>
          <w:sz w:val="24"/>
          <w:szCs w:val="24"/>
        </w:rPr>
        <w:t xml:space="preserve">Kaiser v. Market </w:t>
      </w:r>
      <w:r w:rsidRPr="00930778">
        <w:rPr>
          <w:rFonts w:eastAsia="Times New Roman"/>
          <w:b/>
          <w:bCs/>
          <w:sz w:val="24"/>
          <w:szCs w:val="24"/>
        </w:rPr>
        <w:lastRenderedPageBreak/>
        <w:t>Square Disc. Liquors, Inc.</w:t>
      </w:r>
      <w:r w:rsidRPr="00930778">
        <w:rPr>
          <w:rFonts w:eastAsia="Times New Roman"/>
          <w:bCs/>
          <w:sz w:val="24"/>
          <w:szCs w:val="24"/>
        </w:rPr>
        <w:t xml:space="preserve">, 992 P.2d 636 (Colo. App. 1999); </w:t>
      </w:r>
      <w:r w:rsidRPr="00930778">
        <w:rPr>
          <w:rFonts w:eastAsia="Times New Roman"/>
          <w:b/>
          <w:bCs/>
          <w:sz w:val="24"/>
          <w:szCs w:val="24"/>
        </w:rPr>
        <w:t>Husband v. Colo. Mtn. Cellars, Inc.</w:t>
      </w:r>
      <w:r w:rsidRPr="00930778">
        <w:rPr>
          <w:rFonts w:eastAsia="Times New Roman"/>
          <w:bCs/>
          <w:sz w:val="24"/>
          <w:szCs w:val="24"/>
        </w:rPr>
        <w:t xml:space="preserve">, 867 P.2d 57 (Colo. App. 1993); </w:t>
      </w:r>
      <w:r w:rsidRPr="00930778">
        <w:rPr>
          <w:rFonts w:eastAsia="Times New Roman"/>
          <w:b/>
          <w:bCs/>
          <w:sz w:val="24"/>
          <w:szCs w:val="24"/>
        </w:rPr>
        <w:t>Colo. Interstate Gas Co., Inc. v. Chemco,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833 P.2d 786 (Colo. App. 1991), </w:t>
      </w:r>
      <w:r w:rsidRPr="00930778">
        <w:rPr>
          <w:rFonts w:eastAsia="Times New Roman"/>
          <w:bCs/>
          <w:i/>
          <w:sz w:val="24"/>
          <w:szCs w:val="24"/>
        </w:rPr>
        <w:t>aff’d on other grounds</w:t>
      </w:r>
      <w:r w:rsidRPr="00930778">
        <w:rPr>
          <w:rFonts w:eastAsia="Times New Roman"/>
          <w:bCs/>
          <w:sz w:val="24"/>
          <w:szCs w:val="24"/>
        </w:rPr>
        <w:t xml:space="preserve">, 854 P.2d 1232 (Colo. 1993); </w:t>
      </w:r>
      <w:r w:rsidRPr="00930778">
        <w:rPr>
          <w:rFonts w:eastAsia="Times New Roman"/>
          <w:b/>
          <w:bCs/>
          <w:sz w:val="24"/>
          <w:szCs w:val="24"/>
        </w:rPr>
        <w:t>Mesa Sand &amp; Gravel Co. v. Landfill,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759 P.2d 757 (Colo. App. 1988), </w:t>
      </w:r>
      <w:r w:rsidRPr="00930778">
        <w:rPr>
          <w:rFonts w:eastAsia="Times New Roman"/>
          <w:bCs/>
          <w:i/>
          <w:sz w:val="24"/>
          <w:szCs w:val="24"/>
        </w:rPr>
        <w:t>rev’d on other grounds</w:t>
      </w:r>
      <w:r w:rsidRPr="00930778">
        <w:rPr>
          <w:rFonts w:eastAsia="Times New Roman"/>
          <w:bCs/>
          <w:sz w:val="24"/>
          <w:szCs w:val="24"/>
        </w:rPr>
        <w:t xml:space="preserve">, 776 P.2d 362 (Colo. 1989); </w:t>
      </w:r>
      <w:r w:rsidRPr="00930778">
        <w:rPr>
          <w:rFonts w:eastAsia="Times New Roman"/>
          <w:b/>
          <w:bCs/>
          <w:sz w:val="24"/>
          <w:szCs w:val="24"/>
        </w:rPr>
        <w:t>Total Condo. Mgmt., Inc. v. Lester J. Lambert &amp; Co.</w:t>
      </w:r>
      <w:r w:rsidRPr="00930778">
        <w:rPr>
          <w:rFonts w:eastAsia="Times New Roman"/>
          <w:bCs/>
          <w:sz w:val="24"/>
          <w:szCs w:val="24"/>
        </w:rPr>
        <w:t>, 716 P.2d 146 (Colo. App. 1985);</w:t>
      </w:r>
      <w:r w:rsidRPr="00930778">
        <w:rPr>
          <w:rFonts w:eastAsia="Times New Roman"/>
          <w:b/>
          <w:bCs/>
          <w:sz w:val="24"/>
          <w:szCs w:val="24"/>
        </w:rPr>
        <w:t xml:space="preserve"> Smith v. Hoyer</w:t>
      </w:r>
      <w:r w:rsidRPr="00930778">
        <w:rPr>
          <w:rFonts w:eastAsia="Times New Roman"/>
          <w:bCs/>
          <w:sz w:val="24"/>
          <w:szCs w:val="24"/>
        </w:rPr>
        <w:t>, 697 P.2d 761, 765 (Colo. App. 1984).</w:t>
      </w:r>
    </w:p>
    <w:p w14:paraId="34619F0D" w14:textId="57735BE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2. Recovery of damages is limited by the requirement of probability — the loss must have been a foreseeable consequence of the breach at the time the contract was made. </w:t>
      </w:r>
      <w:r w:rsidRPr="00930778">
        <w:rPr>
          <w:rFonts w:eastAsia="Times New Roman"/>
          <w:b/>
          <w:bCs/>
          <w:sz w:val="24"/>
          <w:szCs w:val="24"/>
        </w:rPr>
        <w:t>Core-Mark Midcontinent</w:t>
      </w:r>
      <w:r w:rsidRPr="00930778">
        <w:rPr>
          <w:rFonts w:eastAsia="Times New Roman"/>
          <w:bCs/>
          <w:sz w:val="24"/>
          <w:szCs w:val="24"/>
        </w:rPr>
        <w:t>, ¶ 52</w:t>
      </w:r>
      <w:r w:rsidR="00275682">
        <w:rPr>
          <w:rFonts w:eastAsia="Times New Roman"/>
          <w:bCs/>
          <w:sz w:val="24"/>
          <w:szCs w:val="24"/>
        </w:rPr>
        <w:t>, 370 P.3d at 364</w:t>
      </w:r>
      <w:r w:rsidRPr="00930778">
        <w:rPr>
          <w:rFonts w:eastAsia="Times New Roman"/>
          <w:bCs/>
          <w:sz w:val="24"/>
          <w:szCs w:val="24"/>
        </w:rPr>
        <w:t xml:space="preserve"> (a plaintiff must prove that that the loss was a probable — more likely than not — result of the breach). </w:t>
      </w:r>
    </w:p>
    <w:p w14:paraId="201F768A" w14:textId="77777777" w:rsidR="00930778" w:rsidRDefault="00930778">
      <w:pPr>
        <w:rPr>
          <w:rFonts w:eastAsia="Times New Roman"/>
          <w:bCs/>
          <w:sz w:val="24"/>
          <w:szCs w:val="24"/>
        </w:rPr>
      </w:pPr>
      <w:r>
        <w:rPr>
          <w:rFonts w:eastAsia="Times New Roman"/>
          <w:bCs/>
          <w:sz w:val="24"/>
          <w:szCs w:val="24"/>
        </w:rPr>
        <w:br w:type="page"/>
      </w:r>
    </w:p>
    <w:p w14:paraId="7213442D" w14:textId="77777777" w:rsidR="00930778" w:rsidRPr="009E3DA4" w:rsidRDefault="00930778" w:rsidP="00930778">
      <w:pPr>
        <w:spacing w:after="240"/>
        <w:ind w:left="720" w:hanging="720"/>
        <w:rPr>
          <w:rFonts w:eastAsia="Times New Roman"/>
          <w:b/>
          <w:sz w:val="24"/>
          <w:szCs w:val="24"/>
        </w:rPr>
      </w:pPr>
      <w:bookmarkStart w:id="43" w:name="a30_39"/>
      <w:bookmarkEnd w:id="43"/>
      <w:r w:rsidRPr="00930778">
        <w:rPr>
          <w:rFonts w:eastAsia="Times New Roman"/>
          <w:b/>
          <w:bCs/>
          <w:sz w:val="24"/>
          <w:szCs w:val="24"/>
        </w:rPr>
        <w:lastRenderedPageBreak/>
        <w:t>30:39</w:t>
      </w:r>
      <w:r w:rsidRPr="00930778">
        <w:rPr>
          <w:rFonts w:eastAsia="Times New Roman"/>
          <w:b/>
          <w:bCs/>
          <w:sz w:val="24"/>
          <w:szCs w:val="24"/>
        </w:rPr>
        <w:tab/>
        <w:t>DAMAGES — SPECIAL</w:t>
      </w:r>
    </w:p>
    <w:p w14:paraId="682B6D74"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 xml:space="preserve">“Special damages” means damages, other than general damages, that the defendant knew or should have known when the contract was made probably would be incurred by the plaintiff if the defendant breached the contract. </w:t>
      </w:r>
    </w:p>
    <w:p w14:paraId="6512E5C3"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If special damages have been proved, you shall award:</w:t>
      </w:r>
    </w:p>
    <w:p w14:paraId="210555E3" w14:textId="77777777" w:rsidR="00930778" w:rsidRPr="00930778" w:rsidRDefault="00930778" w:rsidP="00930778">
      <w:pPr>
        <w:spacing w:after="240"/>
        <w:ind w:firstLine="720"/>
        <w:rPr>
          <w:rFonts w:eastAsia="Times New Roman"/>
          <w:b/>
          <w:bCs/>
          <w:sz w:val="24"/>
          <w:szCs w:val="24"/>
        </w:rPr>
      </w:pPr>
      <w:r w:rsidRPr="00930778">
        <w:rPr>
          <w:rFonts w:eastAsia="Times New Roman"/>
          <w:bCs/>
          <w:i/>
          <w:sz w:val="24"/>
          <w:szCs w:val="24"/>
        </w:rPr>
        <w:t>(Insert the types of special damages that have been proved depending on the kind of contract involved.)</w:t>
      </w:r>
      <w:r w:rsidRPr="00930778">
        <w:rPr>
          <w:rFonts w:eastAsia="Times New Roman"/>
          <w:b/>
          <w:bCs/>
          <w:sz w:val="24"/>
          <w:szCs w:val="24"/>
        </w:rPr>
        <w:t xml:space="preserve"> </w:t>
      </w:r>
    </w:p>
    <w:p w14:paraId="64BCBC74" w14:textId="77777777" w:rsidR="00930778" w:rsidRDefault="00930778" w:rsidP="00930778">
      <w:pPr>
        <w:jc w:val="center"/>
        <w:rPr>
          <w:rFonts w:eastAsia="Times New Roman"/>
          <w:sz w:val="24"/>
          <w:szCs w:val="24"/>
        </w:rPr>
      </w:pPr>
    </w:p>
    <w:p w14:paraId="3796A9EC" w14:textId="77777777" w:rsidR="00930778" w:rsidRPr="0054263B" w:rsidRDefault="00930778" w:rsidP="00930778">
      <w:pPr>
        <w:keepNext/>
        <w:spacing w:after="240"/>
        <w:jc w:val="center"/>
        <w:rPr>
          <w:rFonts w:eastAsia="Times New Roman"/>
          <w:b/>
          <w:sz w:val="24"/>
          <w:szCs w:val="24"/>
        </w:rPr>
      </w:pPr>
      <w:r w:rsidRPr="0054263B">
        <w:rPr>
          <w:rFonts w:eastAsia="Times New Roman"/>
          <w:b/>
          <w:sz w:val="24"/>
          <w:szCs w:val="24"/>
        </w:rPr>
        <w:t>Notes on Use</w:t>
      </w:r>
    </w:p>
    <w:p w14:paraId="2A019F46"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1. See the Notes on Use to Instruction 30:37 (introduction).</w:t>
      </w:r>
    </w:p>
    <w:p w14:paraId="1B48006C"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2. Instruction 30:37 (introduction) should be used with this instruction, along with instructions for any other particular damages involved in the case: Instruction 30:38 (general), Instruction 30:40 (liquidated), or Instruction 30:41 (nominal).</w:t>
      </w:r>
    </w:p>
    <w:p w14:paraId="3444E75B"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3. Special damages must be pled with particularity. C.R.C.P. 9(g).</w:t>
      </w:r>
    </w:p>
    <w:p w14:paraId="526C69C5"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4. This instruction should be modified where the defendant has counterclaimed and alleged that plaintiff breached contract promises.</w:t>
      </w:r>
    </w:p>
    <w:p w14:paraId="242290FF"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5. If general damages are claimed the jury also may receive Instruction 30:38, so long as awarding both categories of damages does not result in any double recovery. </w:t>
      </w:r>
      <w:r w:rsidRPr="00930778">
        <w:rPr>
          <w:rFonts w:eastAsia="Times New Roman"/>
          <w:bCs/>
          <w:i/>
          <w:sz w:val="24"/>
          <w:szCs w:val="24"/>
        </w:rPr>
        <w:t>See</w:t>
      </w:r>
      <w:r w:rsidRPr="00930778">
        <w:rPr>
          <w:rFonts w:eastAsia="Times New Roman"/>
          <w:b/>
          <w:bCs/>
          <w:sz w:val="24"/>
          <w:szCs w:val="24"/>
        </w:rPr>
        <w:t xml:space="preserve"> General Steel Domestic Sales, LLC v. Hogan &amp; Hartson, LLP</w:t>
      </w:r>
      <w:r w:rsidRPr="00930778">
        <w:rPr>
          <w:rFonts w:eastAsia="Times New Roman"/>
          <w:bCs/>
          <w:sz w:val="24"/>
          <w:szCs w:val="24"/>
        </w:rPr>
        <w:t>, 230 P.3d. 1275 (Colo. App. 2010).</w:t>
      </w:r>
    </w:p>
    <w:p w14:paraId="5D2145BA"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6. If lost profits are claimed, the jury should be instructed that they may be awarded only if: they are established with reasonable certainty; the term “net profits” is defined; and a list of the factors the jury should consider in determining any loss of “net profits” is provided. </w:t>
      </w:r>
      <w:r w:rsidRPr="00930778">
        <w:rPr>
          <w:rFonts w:eastAsia="Times New Roman"/>
          <w:bCs/>
          <w:i/>
          <w:sz w:val="24"/>
          <w:szCs w:val="24"/>
        </w:rPr>
        <w:t>See</w:t>
      </w:r>
      <w:r w:rsidRPr="00930778">
        <w:rPr>
          <w:rFonts w:eastAsia="Times New Roman"/>
          <w:bCs/>
          <w:sz w:val="24"/>
          <w:szCs w:val="24"/>
        </w:rPr>
        <w:t xml:space="preserve"> </w:t>
      </w:r>
      <w:r w:rsidRPr="00930778">
        <w:rPr>
          <w:rFonts w:eastAsia="Times New Roman"/>
          <w:b/>
          <w:bCs/>
          <w:sz w:val="24"/>
          <w:szCs w:val="24"/>
        </w:rPr>
        <w:t>Lee v. Durango Music</w:t>
      </w:r>
      <w:r w:rsidRPr="00930778">
        <w:rPr>
          <w:rFonts w:eastAsia="Times New Roman"/>
          <w:bCs/>
          <w:sz w:val="24"/>
          <w:szCs w:val="24"/>
        </w:rPr>
        <w:t xml:space="preserve">, 144 Colo. 270, 355 P.2d 1083 (1960) (gross profits alone are not sufficient evidence and proof of business loss must also include expenses); </w:t>
      </w:r>
      <w:r w:rsidRPr="00930778">
        <w:rPr>
          <w:rFonts w:eastAsia="Times New Roman"/>
          <w:b/>
          <w:bCs/>
          <w:sz w:val="24"/>
          <w:szCs w:val="24"/>
        </w:rPr>
        <w:t>Carder, Inc. v. Cash</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97 P.3d 174 (Colo. App. 2003) (to establish net profits, expenses of business must be shown). </w:t>
      </w:r>
    </w:p>
    <w:p w14:paraId="607CC829" w14:textId="77777777" w:rsidR="00930778" w:rsidRPr="0054263B" w:rsidRDefault="00930778" w:rsidP="00930778">
      <w:pPr>
        <w:keepNext/>
        <w:spacing w:after="240"/>
        <w:jc w:val="center"/>
        <w:rPr>
          <w:rFonts w:eastAsia="Times New Roman"/>
          <w:b/>
          <w:sz w:val="24"/>
          <w:szCs w:val="24"/>
        </w:rPr>
      </w:pPr>
      <w:r>
        <w:rPr>
          <w:rFonts w:eastAsia="Times New Roman"/>
          <w:b/>
          <w:sz w:val="24"/>
          <w:szCs w:val="24"/>
        </w:rPr>
        <w:t>Source and Authority</w:t>
      </w:r>
    </w:p>
    <w:p w14:paraId="2E17B3B3"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1. This instruction is supported by </w:t>
      </w:r>
      <w:r w:rsidRPr="00930778">
        <w:rPr>
          <w:rFonts w:eastAsia="Times New Roman"/>
          <w:b/>
          <w:bCs/>
          <w:sz w:val="24"/>
          <w:szCs w:val="24"/>
        </w:rPr>
        <w:t>Denny Construction, Inc. v. City &amp; County of Denver,</w:t>
      </w:r>
      <w:r w:rsidRPr="00930778">
        <w:rPr>
          <w:rFonts w:eastAsia="Times New Roman"/>
          <w:bCs/>
          <w:sz w:val="24"/>
          <w:szCs w:val="24"/>
        </w:rPr>
        <w:t xml:space="preserve"> 199 P.3d 742, 751 (Colo. 2009) (The foreseeability “requirement is objective, focusing on whether at the time the parties entered into the contract the defendant knew or should have known that these lost profit damages would probably be incurred by the plaintiff if the defendant breached the contract.”); and </w:t>
      </w:r>
      <w:r w:rsidRPr="00930778">
        <w:rPr>
          <w:rFonts w:eastAsia="Times New Roman"/>
          <w:b/>
          <w:bCs/>
          <w:sz w:val="24"/>
          <w:szCs w:val="24"/>
        </w:rPr>
        <w:t>Giampapa v. Am. Family Mut. Ins. Co.</w:t>
      </w:r>
      <w:r w:rsidRPr="00930778">
        <w:rPr>
          <w:rFonts w:eastAsia="Times New Roman"/>
          <w:bCs/>
          <w:sz w:val="24"/>
          <w:szCs w:val="24"/>
        </w:rPr>
        <w:t xml:space="preserve">, 64 P.3d 230, 237 n.3 (Colo. 2003) (“‘General damages’ are those that flow naturally from the breach of contract, whereas ‘special’ or ‘consequential damages’ are other foreseeable damages within the reasonable contemplation of the parties at the time the contract was made.”); </w:t>
      </w:r>
      <w:r w:rsidRPr="00930778">
        <w:rPr>
          <w:rFonts w:eastAsia="Times New Roman"/>
          <w:b/>
          <w:bCs/>
          <w:sz w:val="24"/>
          <w:szCs w:val="24"/>
        </w:rPr>
        <w:t>Core-Mark Midcontinent Inc. v. Sonitrol Corp</w:t>
      </w:r>
      <w:r w:rsidRPr="00930778">
        <w:rPr>
          <w:rFonts w:eastAsia="Times New Roman"/>
          <w:bCs/>
          <w:sz w:val="24"/>
          <w:szCs w:val="24"/>
        </w:rPr>
        <w:t xml:space="preserve">., 2016 COA 22, ¶ 32, 370 P.3d 353 (“the nonbreaching party may also recover damages for loss that was ‘such as may reasonably be supposed to have </w:t>
      </w:r>
      <w:r w:rsidRPr="00930778">
        <w:rPr>
          <w:rFonts w:eastAsia="Times New Roman"/>
          <w:bCs/>
          <w:sz w:val="24"/>
          <w:szCs w:val="24"/>
        </w:rPr>
        <w:lastRenderedPageBreak/>
        <w:t xml:space="preserve">been in the contemplation of both parties, at the time they made the contract, as the probable result of the breach of it’” (quoting </w:t>
      </w:r>
      <w:r w:rsidRPr="00930778">
        <w:rPr>
          <w:rFonts w:eastAsia="Times New Roman"/>
          <w:b/>
          <w:bCs/>
          <w:sz w:val="24"/>
          <w:szCs w:val="24"/>
        </w:rPr>
        <w:t>Hadley v. Baxendale</w:t>
      </w:r>
      <w:r w:rsidRPr="00930778">
        <w:rPr>
          <w:rFonts w:eastAsia="Times New Roman"/>
          <w:bCs/>
          <w:sz w:val="24"/>
          <w:szCs w:val="24"/>
        </w:rPr>
        <w:t xml:space="preserve">, (1854) 156 Eng. Rep. 145, 151)). </w:t>
      </w:r>
    </w:p>
    <w:p w14:paraId="5E559598"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2. For special damages to be recoverable, they must have been within the reasonable contemplation of the parties. </w:t>
      </w:r>
      <w:r w:rsidRPr="00930778">
        <w:rPr>
          <w:rFonts w:eastAsia="Times New Roman"/>
          <w:b/>
          <w:bCs/>
          <w:sz w:val="24"/>
          <w:szCs w:val="24"/>
        </w:rPr>
        <w:t>Uinta Oil Ref. Co. v. Ledford</w:t>
      </w:r>
      <w:r w:rsidRPr="00930778">
        <w:rPr>
          <w:rFonts w:eastAsia="Times New Roman"/>
          <w:bCs/>
          <w:sz w:val="24"/>
          <w:szCs w:val="24"/>
        </w:rPr>
        <w:t xml:space="preserve">, 125 Colo. 429, 244 P.2d 881 (1952); </w:t>
      </w:r>
      <w:r w:rsidRPr="00930778">
        <w:rPr>
          <w:rFonts w:eastAsia="Times New Roman"/>
          <w:b/>
          <w:bCs/>
          <w:sz w:val="24"/>
          <w:szCs w:val="24"/>
        </w:rPr>
        <w:t>W. Union Tel. Co. v. Trinidad Bean &amp; Elevator Co.</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84 Colo. 93, 267 P. 1068 (1928) (citing earlier cases);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Gen. Steel Domestic Sales, LLC</w:t>
      </w:r>
      <w:r w:rsidRPr="00930778">
        <w:rPr>
          <w:rFonts w:eastAsia="Times New Roman"/>
          <w:bCs/>
          <w:sz w:val="24"/>
          <w:szCs w:val="24"/>
        </w:rPr>
        <w:t xml:space="preserve">, 230 P.3d at 1285 (contract damages are limited to those arising from risks considered and bargained for by parties); </w:t>
      </w:r>
      <w:r w:rsidRPr="00930778">
        <w:rPr>
          <w:rFonts w:eastAsia="Times New Roman"/>
          <w:b/>
          <w:bCs/>
          <w:sz w:val="24"/>
          <w:szCs w:val="24"/>
        </w:rPr>
        <w:t>Fountain v. Mojo</w:t>
      </w:r>
      <w:r w:rsidRPr="00930778">
        <w:rPr>
          <w:rFonts w:eastAsia="Times New Roman"/>
          <w:bCs/>
          <w:sz w:val="24"/>
          <w:szCs w:val="24"/>
        </w:rPr>
        <w:t xml:space="preserve">, 687 P.2d 496 (Colo. App. 1984); </w:t>
      </w:r>
      <w:r w:rsidRPr="00930778">
        <w:rPr>
          <w:rFonts w:eastAsia="Times New Roman"/>
          <w:bCs/>
          <w:smallCaps/>
          <w:sz w:val="24"/>
          <w:szCs w:val="24"/>
        </w:rPr>
        <w:t>Restatement (Second) of Contracts</w:t>
      </w:r>
      <w:r w:rsidRPr="00930778">
        <w:rPr>
          <w:rFonts w:eastAsia="Times New Roman"/>
          <w:bCs/>
          <w:sz w:val="24"/>
          <w:szCs w:val="24"/>
        </w:rPr>
        <w:t xml:space="preserve"> § 351 (1981). </w:t>
      </w:r>
    </w:p>
    <w:p w14:paraId="1458D192"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3. Loss of future profits (as distinct from profits already lost) may be recovered in a breach of contract action where they are established with reasonable certainty. </w:t>
      </w:r>
      <w:r w:rsidRPr="00930778">
        <w:rPr>
          <w:rFonts w:eastAsia="Times New Roman"/>
          <w:b/>
          <w:bCs/>
          <w:sz w:val="24"/>
          <w:szCs w:val="24"/>
        </w:rPr>
        <w:t>Denny Constr.</w:t>
      </w:r>
      <w:r w:rsidRPr="00930778">
        <w:rPr>
          <w:rFonts w:eastAsia="Times New Roman"/>
          <w:bCs/>
          <w:sz w:val="24"/>
          <w:szCs w:val="24"/>
        </w:rPr>
        <w:t xml:space="preserve">, 199 P.3d at 751 (“lost profits due to impaired bonding capacity, like all claims for lost profits, must be established with reasonable certainty”); </w:t>
      </w:r>
      <w:r w:rsidRPr="00930778">
        <w:rPr>
          <w:rFonts w:eastAsia="Times New Roman"/>
          <w:b/>
          <w:bCs/>
          <w:sz w:val="24"/>
          <w:szCs w:val="24"/>
        </w:rPr>
        <w:t>Acoustic Mktg. Research, Inc. v. Technics, LLC</w:t>
      </w:r>
      <w:r w:rsidRPr="00930778">
        <w:rPr>
          <w:rFonts w:eastAsia="Times New Roman"/>
          <w:bCs/>
          <w:sz w:val="24"/>
          <w:szCs w:val="24"/>
        </w:rPr>
        <w:t xml:space="preserve"> 198 P.3d 96, 97 (Colo. 2008) (“future damages, including lost future royalties, may be awarded in a breach of contract action if they are demonstrated with reasonable certainty”); </w:t>
      </w:r>
      <w:r w:rsidRPr="00930778">
        <w:rPr>
          <w:rFonts w:eastAsia="Times New Roman"/>
          <w:b/>
          <w:bCs/>
          <w:sz w:val="24"/>
          <w:szCs w:val="24"/>
        </w:rPr>
        <w:t>Belfor USA Grp., Inc. v. Rocky Mtn. Caulking &amp; Waterproofing, LLC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159 P.3d 672 (Colo. App. 2006); </w:t>
      </w:r>
      <w:r w:rsidRPr="00930778">
        <w:rPr>
          <w:rFonts w:eastAsia="Times New Roman"/>
          <w:bCs/>
          <w:i/>
          <w:sz w:val="24"/>
          <w:szCs w:val="24"/>
        </w:rPr>
        <w:t>see also</w:t>
      </w:r>
      <w:r w:rsidRPr="00930778">
        <w:rPr>
          <w:rFonts w:eastAsia="Times New Roman"/>
          <w:b/>
          <w:bCs/>
          <w:sz w:val="24"/>
          <w:szCs w:val="24"/>
        </w:rPr>
        <w:t xml:space="preserve"> Colo. Nat’l Bank of Denver v. Friedman</w:t>
      </w:r>
      <w:r w:rsidRPr="00930778">
        <w:rPr>
          <w:rFonts w:eastAsia="Times New Roman"/>
          <w:bCs/>
          <w:sz w:val="24"/>
          <w:szCs w:val="24"/>
        </w:rPr>
        <w:t xml:space="preserve">, 846 P.2d 159 (Colo. 1993); </w:t>
      </w:r>
      <w:r w:rsidRPr="00930778">
        <w:rPr>
          <w:rFonts w:eastAsia="Times New Roman"/>
          <w:b/>
          <w:bCs/>
          <w:sz w:val="24"/>
          <w:szCs w:val="24"/>
        </w:rPr>
        <w:t>Lee</w:t>
      </w:r>
      <w:r w:rsidRPr="00930778">
        <w:rPr>
          <w:rFonts w:eastAsia="Times New Roman"/>
          <w:bCs/>
          <w:sz w:val="24"/>
          <w:szCs w:val="24"/>
        </w:rPr>
        <w:t xml:space="preserve">, 144 Colo. at 278, 355 P.2d at 1087; </w:t>
      </w:r>
      <w:r w:rsidRPr="00930778">
        <w:rPr>
          <w:rFonts w:eastAsia="Times New Roman"/>
          <w:b/>
          <w:bCs/>
          <w:sz w:val="24"/>
          <w:szCs w:val="24"/>
        </w:rPr>
        <w:t>Nevin v. Bates</w:t>
      </w:r>
      <w:r w:rsidRPr="00930778">
        <w:rPr>
          <w:rFonts w:eastAsia="Times New Roman"/>
          <w:bCs/>
          <w:sz w:val="24"/>
          <w:szCs w:val="24"/>
        </w:rPr>
        <w:t xml:space="preserve">, 141 Colo. 255, 347 P.2d 776 (1959) (lost profits claimed for breach of a lease denied as being too speculative); </w:t>
      </w:r>
      <w:r w:rsidRPr="00930778">
        <w:rPr>
          <w:rFonts w:eastAsia="Times New Roman"/>
          <w:b/>
          <w:bCs/>
          <w:sz w:val="24"/>
          <w:szCs w:val="24"/>
        </w:rPr>
        <w:t>Uinta Oil Ref. Co.</w:t>
      </w:r>
      <w:r w:rsidRPr="00930778">
        <w:rPr>
          <w:rFonts w:eastAsia="Times New Roman"/>
          <w:bCs/>
          <w:sz w:val="24"/>
          <w:szCs w:val="24"/>
        </w:rPr>
        <w:t xml:space="preserve">, 125 Colo. at 434, 244 P.2d at 884-85 (where existence of loss is established, plaintiff can recover loss of net profits even though the exact amount may be difficult to ascertain); </w:t>
      </w:r>
      <w:r w:rsidRPr="00930778">
        <w:rPr>
          <w:rFonts w:eastAsia="Times New Roman"/>
          <w:b/>
          <w:bCs/>
          <w:sz w:val="24"/>
          <w:szCs w:val="24"/>
        </w:rPr>
        <w:t>Carlson v. Bain</w:t>
      </w:r>
      <w:r w:rsidRPr="00930778">
        <w:rPr>
          <w:rFonts w:eastAsia="Times New Roman"/>
          <w:bCs/>
          <w:sz w:val="24"/>
          <w:szCs w:val="24"/>
        </w:rPr>
        <w:t xml:space="preserve">, 116 Colo. 526, 182 P.2d 909 (1947) (lost profits allowed when rancher did not get possession of ranch property and was unable to raise crops and livestock on the property); </w:t>
      </w:r>
      <w:r w:rsidRPr="00930778">
        <w:rPr>
          <w:rFonts w:eastAsia="Times New Roman"/>
          <w:b/>
          <w:bCs/>
          <w:sz w:val="24"/>
          <w:szCs w:val="24"/>
        </w:rPr>
        <w:t>Colo. Nat’l Bank v. Ashcraft</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83 Colo.</w:t>
      </w:r>
      <w:r w:rsidRPr="00930778">
        <w:rPr>
          <w:rFonts w:eastAsia="Times New Roman"/>
          <w:b/>
          <w:bCs/>
          <w:sz w:val="24"/>
          <w:szCs w:val="24"/>
        </w:rPr>
        <w:t xml:space="preserve"> </w:t>
      </w:r>
      <w:r w:rsidRPr="00930778">
        <w:rPr>
          <w:rFonts w:eastAsia="Times New Roman"/>
          <w:bCs/>
          <w:sz w:val="24"/>
          <w:szCs w:val="24"/>
        </w:rPr>
        <w:t xml:space="preserve">136, 263 P. 23 (1927) (the court did not err in giving an instruction that allowed jury to consider lost profits in assessing damages, and the fact that the amount could not be determined with exact certainty was not a valid basis for denial); </w:t>
      </w:r>
      <w:r w:rsidRPr="00930778">
        <w:rPr>
          <w:rFonts w:eastAsia="Times New Roman"/>
          <w:b/>
          <w:bCs/>
          <w:sz w:val="24"/>
          <w:szCs w:val="24"/>
        </w:rPr>
        <w:t>Boyle v. Bay</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81 Colo. 125, 254 P. 156 (1927) (loss of net profits recoverable if, because of circumstances at time contract entered into, the loss is reasonably within the contemplation of the parties); </w:t>
      </w:r>
      <w:r w:rsidRPr="00930778">
        <w:rPr>
          <w:rFonts w:eastAsia="Times New Roman"/>
          <w:b/>
          <w:bCs/>
          <w:sz w:val="24"/>
          <w:szCs w:val="24"/>
        </w:rPr>
        <w:t>Corcoran v. Sanner</w:t>
      </w:r>
      <w:r w:rsidRPr="00930778">
        <w:rPr>
          <w:rFonts w:eastAsia="Times New Roman"/>
          <w:bCs/>
          <w:sz w:val="24"/>
          <w:szCs w:val="24"/>
        </w:rPr>
        <w:t xml:space="preserve">, 854 P.2d 1376 (Colo. App. 1993); </w:t>
      </w:r>
      <w:r w:rsidRPr="00930778">
        <w:rPr>
          <w:rFonts w:eastAsia="Times New Roman"/>
          <w:b/>
          <w:bCs/>
          <w:sz w:val="24"/>
          <w:szCs w:val="24"/>
        </w:rPr>
        <w:t>Denver Publ’g Co. v. Kirk</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729 P.2d 1004 (Colo. App. 1986) (where contract terminable at will upon notice being given within certain time, lost profits are recoverable upon termination, but only for the period of time for which notice should have been given but was not); </w:t>
      </w:r>
      <w:r w:rsidRPr="00930778">
        <w:rPr>
          <w:rFonts w:eastAsia="Times New Roman"/>
          <w:b/>
          <w:bCs/>
          <w:sz w:val="24"/>
          <w:szCs w:val="24"/>
        </w:rPr>
        <w:t>L.U. Cattle Co. v. Wilson</w:t>
      </w:r>
      <w:r w:rsidRPr="00930778">
        <w:rPr>
          <w:rFonts w:eastAsia="Times New Roman"/>
          <w:bCs/>
          <w:sz w:val="24"/>
          <w:szCs w:val="24"/>
        </w:rPr>
        <w:t xml:space="preserve">, 714 P.2d 1344, 1348 (Colo. App. 1986) (lost profits recoverable “if they are reasonably ascertainable based on past experience and not too speculative, remote, or contingent”); </w:t>
      </w:r>
      <w:r w:rsidRPr="00930778">
        <w:rPr>
          <w:rFonts w:eastAsia="Times New Roman"/>
          <w:b/>
          <w:bCs/>
          <w:sz w:val="24"/>
          <w:szCs w:val="24"/>
        </w:rPr>
        <w:t>Fagerberg v. Webb</w:t>
      </w:r>
      <w:r w:rsidRPr="00930778">
        <w:rPr>
          <w:rFonts w:eastAsia="Times New Roman"/>
          <w:bCs/>
          <w:sz w:val="24"/>
          <w:szCs w:val="24"/>
        </w:rPr>
        <w:t xml:space="preserve">, 678 P.2d 544, 548 (Colo. App. 1983) (“Once the fact of damage has been proven, uncertainty as to amount will not prevent recovery.”), </w:t>
      </w:r>
      <w:r w:rsidRPr="00930778">
        <w:rPr>
          <w:rFonts w:eastAsia="Times New Roman"/>
          <w:bCs/>
          <w:i/>
          <w:sz w:val="24"/>
          <w:szCs w:val="24"/>
        </w:rPr>
        <w:t xml:space="preserve">rev’d on other grounds sub nom. </w:t>
      </w:r>
      <w:r w:rsidRPr="00930778">
        <w:rPr>
          <w:rFonts w:eastAsia="Times New Roman"/>
          <w:b/>
          <w:bCs/>
          <w:sz w:val="24"/>
          <w:szCs w:val="24"/>
        </w:rPr>
        <w:t>Webb v. Dessert Seed Co.,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718 P.2d 1057 (Colo. 1986); </w:t>
      </w:r>
      <w:r w:rsidRPr="00930778">
        <w:rPr>
          <w:rFonts w:eastAsia="Times New Roman"/>
          <w:b/>
          <w:bCs/>
          <w:sz w:val="24"/>
          <w:szCs w:val="24"/>
        </w:rPr>
        <w:t>Stone v. Caroselli</w:t>
      </w:r>
      <w:r w:rsidRPr="00930778">
        <w:rPr>
          <w:rFonts w:eastAsia="Times New Roman"/>
          <w:bCs/>
          <w:sz w:val="24"/>
          <w:szCs w:val="24"/>
        </w:rPr>
        <w:t xml:space="preserve">, 653 P.2d 754 (Colo. App. 1982) (lost profits sufficiently foreseeable to be recovered by manufacturer where distributors breached contract to promote the product and expand the market and difficulty in ascertaining exact amount of those damages does not preclude their recovery). </w:t>
      </w:r>
    </w:p>
    <w:p w14:paraId="2E6C905A"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4. Whether lost profits were reasonably foreseeable at the time the contract was made is measured by an objective standard. </w:t>
      </w:r>
      <w:r w:rsidRPr="00930778">
        <w:rPr>
          <w:rFonts w:eastAsia="Times New Roman"/>
          <w:b/>
          <w:bCs/>
          <w:sz w:val="24"/>
          <w:szCs w:val="24"/>
        </w:rPr>
        <w:t>Denny Constr.</w:t>
      </w:r>
      <w:r w:rsidRPr="00930778">
        <w:rPr>
          <w:rFonts w:eastAsia="Times New Roman"/>
          <w:bCs/>
          <w:sz w:val="24"/>
          <w:szCs w:val="24"/>
        </w:rPr>
        <w:t xml:space="preserve">, 199 P.3d at 743 (“the question is . . . whether [the defendant] knew </w:t>
      </w:r>
      <w:r w:rsidRPr="00930778">
        <w:rPr>
          <w:rFonts w:eastAsia="Times New Roman"/>
          <w:bCs/>
          <w:i/>
          <w:sz w:val="24"/>
          <w:szCs w:val="24"/>
        </w:rPr>
        <w:t>or should have known</w:t>
      </w:r>
      <w:r w:rsidRPr="00930778">
        <w:rPr>
          <w:rFonts w:eastAsia="Times New Roman"/>
          <w:bCs/>
          <w:sz w:val="24"/>
          <w:szCs w:val="24"/>
        </w:rPr>
        <w:t xml:space="preserve"> that such loss would probably occur”); </w:t>
      </w:r>
      <w:r w:rsidRPr="00930778">
        <w:rPr>
          <w:rFonts w:eastAsia="Times New Roman"/>
          <w:b/>
          <w:bCs/>
          <w:sz w:val="24"/>
          <w:szCs w:val="24"/>
        </w:rPr>
        <w:t>H.M.O. Sys., Inc. v. Choicecare Health Servs.,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665 P.2d 635 (Colo. App. 1983);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lastRenderedPageBreak/>
        <w:t>Lawry v. Palm</w:t>
      </w:r>
      <w:r w:rsidRPr="00930778">
        <w:rPr>
          <w:rFonts w:eastAsia="Times New Roman"/>
          <w:bCs/>
          <w:sz w:val="24"/>
          <w:szCs w:val="24"/>
        </w:rPr>
        <w:t xml:space="preserve">, 192 P.3d 550 (Colo. App. 2008). If the fact of future losses is a certainty, the amount of the damages may be a reasonable approximation. </w:t>
      </w:r>
      <w:r w:rsidRPr="00930778">
        <w:rPr>
          <w:rFonts w:eastAsia="Times New Roman"/>
          <w:b/>
          <w:bCs/>
          <w:sz w:val="24"/>
          <w:szCs w:val="24"/>
        </w:rPr>
        <w:t>Denny Constr.,</w:t>
      </w:r>
      <w:r w:rsidRPr="00930778">
        <w:rPr>
          <w:rFonts w:eastAsia="Times New Roman"/>
          <w:bCs/>
          <w:sz w:val="24"/>
          <w:szCs w:val="24"/>
        </w:rPr>
        <w:t xml:space="preserve">, 199 P.3d at 746 (lost profit damages attributable to impaired bonding capacity for construction company not speculative as a matter of law); </w:t>
      </w:r>
      <w:r w:rsidRPr="00930778">
        <w:rPr>
          <w:rFonts w:eastAsia="Times New Roman"/>
          <w:b/>
          <w:bCs/>
          <w:sz w:val="24"/>
          <w:szCs w:val="24"/>
        </w:rPr>
        <w:t>Acoustic Mktg. Research, Inc.</w:t>
      </w:r>
      <w:r w:rsidRPr="00930778">
        <w:rPr>
          <w:rFonts w:eastAsia="Times New Roman"/>
          <w:bCs/>
          <w:sz w:val="24"/>
          <w:szCs w:val="24"/>
        </w:rPr>
        <w:t xml:space="preserve">, 198 P.3d at 99 (loss of future royalties proved with reasonable certainty); </w:t>
      </w:r>
      <w:r w:rsidRPr="00930778">
        <w:rPr>
          <w:rFonts w:eastAsia="Times New Roman"/>
          <w:b/>
          <w:bCs/>
          <w:sz w:val="24"/>
          <w:szCs w:val="24"/>
        </w:rPr>
        <w:t>Logixx Automation, Inc. v. Lawrence Michels Family Trust</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56 P.3d 1224 (Colo. App. 2002) (evidence supported jury’s determination of damages for lost profits); </w:t>
      </w:r>
      <w:r w:rsidRPr="00930778">
        <w:rPr>
          <w:rFonts w:eastAsia="Times New Roman"/>
          <w:b/>
          <w:bCs/>
          <w:sz w:val="24"/>
          <w:szCs w:val="24"/>
        </w:rPr>
        <w:t>Rocky Mtn. Rhino Lining, Inc. v. Rhino Linings USA,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37 P.3d 458 (Colo. App. 2001) (trial court’s calculation of damages for lost profits was reasonable and supported by evidence), </w:t>
      </w:r>
      <w:r w:rsidRPr="00930778">
        <w:rPr>
          <w:rFonts w:eastAsia="Times New Roman"/>
          <w:bCs/>
          <w:i/>
          <w:sz w:val="24"/>
          <w:szCs w:val="24"/>
        </w:rPr>
        <w:t>rev’d on other grounds</w:t>
      </w:r>
      <w:r w:rsidRPr="00930778">
        <w:rPr>
          <w:rFonts w:eastAsia="Times New Roman"/>
          <w:bCs/>
          <w:sz w:val="24"/>
          <w:szCs w:val="24"/>
        </w:rPr>
        <w:t xml:space="preserve">, 62 P.3d 142 (Colo. 2003); </w:t>
      </w:r>
      <w:r w:rsidRPr="00930778">
        <w:rPr>
          <w:rFonts w:eastAsia="Times New Roman"/>
          <w:b/>
          <w:bCs/>
          <w:sz w:val="24"/>
          <w:szCs w:val="24"/>
        </w:rPr>
        <w:t>Wojtowicz v. Greeley Anesthesia Servs., P.C.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961 P.2d 520 (Colo. App. 1997) (damages for lost profits are measured by loss of net profits). However, “[t]he absence of prior profits in a newly established business does not create a ‘per se’ exclusion of loss of profit as an item of damage if sufficient competent evidence is proffered.” </w:t>
      </w:r>
      <w:r w:rsidRPr="00930778">
        <w:rPr>
          <w:rFonts w:eastAsia="Times New Roman"/>
          <w:b/>
          <w:bCs/>
          <w:sz w:val="24"/>
          <w:szCs w:val="24"/>
        </w:rPr>
        <w:t>Int’l Tech. Instruments, Inc. v. Eng’g Measurements Co.</w:t>
      </w:r>
      <w:r w:rsidRPr="00930778">
        <w:rPr>
          <w:rFonts w:eastAsia="Times New Roman"/>
          <w:bCs/>
          <w:sz w:val="24"/>
          <w:szCs w:val="24"/>
        </w:rPr>
        <w:t xml:space="preserve">, 678 P.2d 558, 563 (Colo. App. 1983);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Terrones v. Tapia</w:t>
      </w:r>
      <w:r w:rsidRPr="00930778">
        <w:rPr>
          <w:rFonts w:eastAsia="Times New Roman"/>
          <w:bCs/>
          <w:sz w:val="24"/>
          <w:szCs w:val="24"/>
        </w:rPr>
        <w:t xml:space="preserve">, 967 P.2d 216 (Colo. App. 1998) (summary judgment precluding plaintiff from recovering damages for lost profits proper where evidence offered by plaintiff to establish these damages was speculative); </w:t>
      </w:r>
      <w:r w:rsidRPr="00930778">
        <w:rPr>
          <w:rFonts w:eastAsia="Times New Roman"/>
          <w:b/>
          <w:bCs/>
          <w:sz w:val="24"/>
          <w:szCs w:val="24"/>
        </w:rPr>
        <w:t>Wilson &amp; Co. v. Walsenburg Sand &amp; Gravel Co.</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779 P.2d 1386, 1388 (Colo. App. 1989) (where the evidence of lost profits was insufficient, any such damages would therefore be “speculative and, thus, unrecoverable”).</w:t>
      </w:r>
    </w:p>
    <w:p w14:paraId="15EA9D05"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5. In computing damages for lost profits, the factfinder should consider both discount and inflation rates if competent evidence of these rates is presented. </w:t>
      </w:r>
      <w:r w:rsidRPr="00930778">
        <w:rPr>
          <w:rFonts w:eastAsia="Times New Roman"/>
          <w:b/>
          <w:bCs/>
          <w:sz w:val="24"/>
          <w:szCs w:val="24"/>
        </w:rPr>
        <w:t>McDonald’s Corp. v. Brentwood Ctr., Ltd.</w:t>
      </w:r>
      <w:r w:rsidRPr="00930778">
        <w:rPr>
          <w:rFonts w:eastAsia="Times New Roman"/>
          <w:bCs/>
          <w:sz w:val="24"/>
          <w:szCs w:val="24"/>
        </w:rPr>
        <w:t>, 942 P.2d 1308 (Colo. App. 1997).</w:t>
      </w:r>
    </w:p>
    <w:p w14:paraId="649697DD"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6. For cases involving the sale of goods, see sections 4-2-715 and 4-2-719, C.R.S.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Int’l Tech. Instruments, Inc.</w:t>
      </w:r>
      <w:r w:rsidRPr="00930778">
        <w:rPr>
          <w:rFonts w:eastAsia="Times New Roman"/>
          <w:bCs/>
          <w:sz w:val="24"/>
          <w:szCs w:val="24"/>
        </w:rPr>
        <w:t>, 678 P.2d at 563.</w:t>
      </w:r>
    </w:p>
    <w:p w14:paraId="004CEB55" w14:textId="77777777" w:rsidR="00930778" w:rsidRDefault="00930778">
      <w:pPr>
        <w:rPr>
          <w:rFonts w:eastAsia="Times New Roman"/>
          <w:bCs/>
          <w:sz w:val="24"/>
          <w:szCs w:val="24"/>
        </w:rPr>
      </w:pPr>
      <w:r>
        <w:rPr>
          <w:rFonts w:eastAsia="Times New Roman"/>
          <w:bCs/>
          <w:sz w:val="24"/>
          <w:szCs w:val="24"/>
        </w:rPr>
        <w:br w:type="page"/>
      </w:r>
    </w:p>
    <w:p w14:paraId="21ECBA87" w14:textId="77777777" w:rsidR="00930778" w:rsidRPr="009E3DA4" w:rsidRDefault="00930778" w:rsidP="00930778">
      <w:pPr>
        <w:spacing w:after="240"/>
        <w:ind w:left="720" w:hanging="720"/>
        <w:rPr>
          <w:rFonts w:eastAsia="Times New Roman"/>
          <w:b/>
          <w:sz w:val="24"/>
          <w:szCs w:val="24"/>
        </w:rPr>
      </w:pPr>
      <w:bookmarkStart w:id="44" w:name="a30_40"/>
      <w:bookmarkEnd w:id="44"/>
      <w:r w:rsidRPr="00930778">
        <w:rPr>
          <w:rFonts w:eastAsia="Times New Roman"/>
          <w:b/>
          <w:bCs/>
          <w:sz w:val="24"/>
          <w:szCs w:val="24"/>
        </w:rPr>
        <w:lastRenderedPageBreak/>
        <w:t>30:40</w:t>
      </w:r>
      <w:r w:rsidRPr="00930778">
        <w:rPr>
          <w:rFonts w:eastAsia="Times New Roman"/>
          <w:b/>
          <w:bCs/>
          <w:sz w:val="24"/>
          <w:szCs w:val="24"/>
        </w:rPr>
        <w:tab/>
        <w:t>DAMAGES — LIQUIDATED</w:t>
      </w:r>
    </w:p>
    <w:p w14:paraId="11BC8BB0"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 xml:space="preserve">If you find in favor of the plaintiff, </w:t>
      </w:r>
      <w:r w:rsidRPr="00930778">
        <w:rPr>
          <w:rFonts w:eastAsia="Times New Roman"/>
          <w:bCs/>
          <w:i/>
          <w:sz w:val="24"/>
          <w:szCs w:val="24"/>
        </w:rPr>
        <w:t>(name)</w:t>
      </w:r>
      <w:r w:rsidRPr="00930778">
        <w:rPr>
          <w:rFonts w:eastAsia="Times New Roman"/>
          <w:b/>
          <w:bCs/>
          <w:sz w:val="24"/>
          <w:szCs w:val="24"/>
        </w:rPr>
        <w:t xml:space="preserve">, and if you also find the parties agreed on an amount to be paid to the plaintiff in the event of a breach by the defendant, </w:t>
      </w:r>
      <w:r w:rsidRPr="00930778">
        <w:rPr>
          <w:rFonts w:eastAsia="Times New Roman"/>
          <w:bCs/>
          <w:i/>
          <w:sz w:val="24"/>
          <w:szCs w:val="24"/>
        </w:rPr>
        <w:t>(name)</w:t>
      </w:r>
      <w:r w:rsidRPr="00930778">
        <w:rPr>
          <w:rFonts w:eastAsia="Times New Roman"/>
          <w:b/>
          <w:bCs/>
          <w:sz w:val="24"/>
          <w:szCs w:val="24"/>
        </w:rPr>
        <w:t>, then you shall award the agreed amount as the plaintiff’s damages.</w:t>
      </w:r>
    </w:p>
    <w:p w14:paraId="09479B1C" w14:textId="77777777" w:rsidR="00930778" w:rsidRDefault="00930778" w:rsidP="00930778">
      <w:pPr>
        <w:jc w:val="center"/>
        <w:rPr>
          <w:rFonts w:eastAsia="Times New Roman"/>
          <w:sz w:val="24"/>
          <w:szCs w:val="24"/>
        </w:rPr>
      </w:pPr>
    </w:p>
    <w:p w14:paraId="1B162F2E" w14:textId="77777777" w:rsidR="00930778" w:rsidRPr="0054263B" w:rsidRDefault="00930778" w:rsidP="00930778">
      <w:pPr>
        <w:keepNext/>
        <w:spacing w:after="240"/>
        <w:jc w:val="center"/>
        <w:rPr>
          <w:rFonts w:eastAsia="Times New Roman"/>
          <w:b/>
          <w:sz w:val="24"/>
          <w:szCs w:val="24"/>
        </w:rPr>
      </w:pPr>
      <w:r w:rsidRPr="0054263B">
        <w:rPr>
          <w:rFonts w:eastAsia="Times New Roman"/>
          <w:b/>
          <w:sz w:val="24"/>
          <w:szCs w:val="24"/>
        </w:rPr>
        <w:t>Notes on Use</w:t>
      </w:r>
    </w:p>
    <w:p w14:paraId="3D1CBF6B"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1. See Notes on Use to Instruction 30:37 (introduction).</w:t>
      </w:r>
    </w:p>
    <w:p w14:paraId="12E83F32"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2. Instruction 30:37 (introduction) should be used with this instruction. </w:t>
      </w:r>
    </w:p>
    <w:p w14:paraId="72CD140A"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3. This instruction should not be given if the court has determined that the contractual provision is an improper penalty rather than a provision for liquidated damages.</w:t>
      </w:r>
    </w:p>
    <w:p w14:paraId="4086AA49"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4. If, in addition to the kind of breach for which the defendant has agreed to pay liquidated damages, the defendant has committed another breach not covered by a liquidated damages clause, the plaintiff may also be entitled to recover general damages sustained as a result of such breach. </w:t>
      </w:r>
      <w:r w:rsidRPr="00930778">
        <w:rPr>
          <w:rFonts w:eastAsia="Times New Roman"/>
          <w:bCs/>
          <w:i/>
          <w:sz w:val="24"/>
          <w:szCs w:val="24"/>
        </w:rPr>
        <w:t>See</w:t>
      </w:r>
      <w:r w:rsidRPr="00930778">
        <w:rPr>
          <w:rFonts w:eastAsia="Times New Roman"/>
          <w:bCs/>
          <w:sz w:val="24"/>
          <w:szCs w:val="24"/>
        </w:rPr>
        <w:t xml:space="preserve"> Instruction 30:37.</w:t>
      </w:r>
    </w:p>
    <w:p w14:paraId="093F86AB" w14:textId="77777777" w:rsidR="00930778" w:rsidRPr="0054263B" w:rsidRDefault="00930778" w:rsidP="00930778">
      <w:pPr>
        <w:keepNext/>
        <w:spacing w:after="240"/>
        <w:jc w:val="center"/>
        <w:rPr>
          <w:rFonts w:eastAsia="Times New Roman"/>
          <w:b/>
          <w:sz w:val="24"/>
          <w:szCs w:val="24"/>
        </w:rPr>
      </w:pPr>
      <w:r>
        <w:rPr>
          <w:rFonts w:eastAsia="Times New Roman"/>
          <w:b/>
          <w:sz w:val="24"/>
          <w:szCs w:val="24"/>
        </w:rPr>
        <w:t>Source and Authority</w:t>
      </w:r>
    </w:p>
    <w:p w14:paraId="651E00EC"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1. This instruction is supported by </w:t>
      </w:r>
      <w:r w:rsidRPr="00930778">
        <w:rPr>
          <w:rFonts w:eastAsia="Times New Roman"/>
          <w:b/>
          <w:bCs/>
          <w:sz w:val="24"/>
          <w:szCs w:val="24"/>
        </w:rPr>
        <w:t>Perino v. Jarvis</w:t>
      </w:r>
      <w:r w:rsidRPr="00930778">
        <w:rPr>
          <w:rFonts w:eastAsia="Times New Roman"/>
          <w:bCs/>
          <w:sz w:val="24"/>
          <w:szCs w:val="24"/>
        </w:rPr>
        <w:t xml:space="preserve">, 135 Colo. 393, 312 P.2d 108 (1957); and </w:t>
      </w:r>
      <w:r w:rsidRPr="00930778">
        <w:rPr>
          <w:rFonts w:eastAsia="Times New Roman"/>
          <w:b/>
          <w:bCs/>
          <w:sz w:val="24"/>
          <w:szCs w:val="24"/>
        </w:rPr>
        <w:t>Bilz v. Powell</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50 Colo. 482, 117 P. 344 (1911).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Powder Horn Constructors, Inc. v. City of Florence</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754 P.2d 356 (Colo. 1988) (lack of mutual intent to liquidate damages); </w:t>
      </w:r>
      <w:r w:rsidRPr="00930778">
        <w:rPr>
          <w:rFonts w:eastAsia="Times New Roman"/>
          <w:b/>
          <w:bCs/>
          <w:sz w:val="24"/>
          <w:szCs w:val="24"/>
        </w:rPr>
        <w:t>Rohauer v. Little</w:t>
      </w:r>
      <w:r w:rsidRPr="00930778">
        <w:rPr>
          <w:rFonts w:eastAsia="Times New Roman"/>
          <w:bCs/>
          <w:sz w:val="24"/>
          <w:szCs w:val="24"/>
        </w:rPr>
        <w:t xml:space="preserve">, 736 P.2d 403 (Colo. 1987); </w:t>
      </w:r>
      <w:r w:rsidRPr="00930778">
        <w:rPr>
          <w:rFonts w:eastAsia="Times New Roman"/>
          <w:b/>
          <w:bCs/>
          <w:sz w:val="24"/>
          <w:szCs w:val="24"/>
        </w:rPr>
        <w:t>O’Hara Grp. Denver, Ltd. v. Marcor Housing Sys., Inc.</w:t>
      </w:r>
      <w:r w:rsidRPr="00930778">
        <w:rPr>
          <w:rFonts w:eastAsia="Times New Roman"/>
          <w:bCs/>
          <w:sz w:val="24"/>
          <w:szCs w:val="24"/>
        </w:rPr>
        <w:t xml:space="preserve">, 197 Colo. 530, 595 P.2d 679 (1979); </w:t>
      </w:r>
      <w:r w:rsidRPr="00930778">
        <w:rPr>
          <w:rFonts w:eastAsia="Times New Roman"/>
          <w:b/>
          <w:bCs/>
          <w:sz w:val="24"/>
          <w:szCs w:val="24"/>
        </w:rPr>
        <w:t>Grooms v. Rice</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163 Colo. 234, 429 P.2d 298 (1967); </w:t>
      </w:r>
      <w:r w:rsidRPr="00930778">
        <w:rPr>
          <w:rFonts w:eastAsia="Times New Roman"/>
          <w:b/>
          <w:bCs/>
          <w:sz w:val="24"/>
          <w:szCs w:val="24"/>
        </w:rPr>
        <w:t>Yerton v. Bowden</w:t>
      </w:r>
      <w:r w:rsidRPr="00930778">
        <w:rPr>
          <w:rFonts w:eastAsia="Times New Roman"/>
          <w:bCs/>
          <w:sz w:val="24"/>
          <w:szCs w:val="24"/>
        </w:rPr>
        <w:t xml:space="preserve">, 762 P.2d 786 (Colo. App. 1988); </w:t>
      </w:r>
      <w:r w:rsidRPr="00930778">
        <w:rPr>
          <w:rFonts w:eastAsia="Times New Roman"/>
          <w:b/>
          <w:bCs/>
          <w:sz w:val="24"/>
          <w:szCs w:val="24"/>
        </w:rPr>
        <w:t>Mgmt. Recruiters of Boulder, Inc. v. Miller</w:t>
      </w:r>
      <w:r w:rsidRPr="00930778">
        <w:rPr>
          <w:rFonts w:eastAsia="Times New Roman"/>
          <w:bCs/>
          <w:sz w:val="24"/>
          <w:szCs w:val="24"/>
        </w:rPr>
        <w:t xml:space="preserve">, 762 P.2d 763 (Colo. App. 1988); </w:t>
      </w:r>
      <w:r w:rsidRPr="00930778">
        <w:rPr>
          <w:rFonts w:eastAsia="Times New Roman"/>
          <w:b/>
          <w:bCs/>
          <w:sz w:val="24"/>
          <w:szCs w:val="24"/>
        </w:rPr>
        <w:t>Emrich v. Joyce’s Submarine Sandwiches, Inc.</w:t>
      </w:r>
      <w:r w:rsidRPr="00930778">
        <w:rPr>
          <w:rFonts w:eastAsia="Times New Roman"/>
          <w:bCs/>
          <w:sz w:val="24"/>
          <w:szCs w:val="24"/>
        </w:rPr>
        <w:t xml:space="preserve">, 751 P.2d 651 (Colo. App. 1987); </w:t>
      </w:r>
      <w:r w:rsidRPr="00930778">
        <w:rPr>
          <w:rFonts w:eastAsia="Times New Roman"/>
          <w:b/>
          <w:bCs/>
          <w:sz w:val="24"/>
          <w:szCs w:val="24"/>
        </w:rPr>
        <w:t>Kirkland v. Allen</w:t>
      </w:r>
      <w:r w:rsidRPr="00930778">
        <w:rPr>
          <w:rFonts w:eastAsia="Times New Roman"/>
          <w:bCs/>
          <w:sz w:val="24"/>
          <w:szCs w:val="24"/>
        </w:rPr>
        <w:t xml:space="preserve">, 678 P.2d 568 (Colo. App. 1984) (liquidated damages clause held to be an unenforceable penalty); </w:t>
      </w:r>
      <w:r w:rsidRPr="00930778">
        <w:rPr>
          <w:rFonts w:eastAsia="Times New Roman"/>
          <w:b/>
          <w:bCs/>
          <w:sz w:val="24"/>
          <w:szCs w:val="24"/>
        </w:rPr>
        <w:t>H.M.O. Sys., Inc. v. Choicecare Health Servs.,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665 P.2d 635 (Colo. App. 1983) (same); </w:t>
      </w:r>
      <w:r w:rsidRPr="00930778">
        <w:rPr>
          <w:rFonts w:eastAsia="Times New Roman"/>
          <w:b/>
          <w:bCs/>
          <w:sz w:val="24"/>
          <w:szCs w:val="24"/>
        </w:rPr>
        <w:t>P &amp; M Vending Co. v. Half Shell of Boston,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41 Colo. App. 78, 579 P.2d 93 (1978); </w:t>
      </w:r>
      <w:r w:rsidRPr="00930778">
        <w:rPr>
          <w:rFonts w:eastAsia="Times New Roman"/>
          <w:b/>
          <w:bCs/>
          <w:sz w:val="24"/>
          <w:szCs w:val="24"/>
        </w:rPr>
        <w:t>Oldis v. N.W. Grosse-Rhode</w:t>
      </w:r>
      <w:r w:rsidRPr="00930778">
        <w:rPr>
          <w:rFonts w:eastAsia="Times New Roman"/>
          <w:bCs/>
          <w:sz w:val="24"/>
          <w:szCs w:val="24"/>
        </w:rPr>
        <w:t>, 35 Colo. App. 46, 528 P.2d 944 (1974).</w:t>
      </w:r>
    </w:p>
    <w:p w14:paraId="133E67ED" w14:textId="3A3876A3" w:rsidR="002F232C" w:rsidRPr="00930778" w:rsidRDefault="00930778" w:rsidP="002F232C">
      <w:pPr>
        <w:spacing w:after="240"/>
        <w:ind w:firstLine="720"/>
        <w:rPr>
          <w:rFonts w:eastAsia="Times New Roman"/>
          <w:bCs/>
          <w:sz w:val="24"/>
          <w:szCs w:val="24"/>
        </w:rPr>
      </w:pPr>
      <w:r w:rsidRPr="00930778">
        <w:rPr>
          <w:rFonts w:eastAsia="Times New Roman"/>
          <w:bCs/>
          <w:sz w:val="24"/>
          <w:szCs w:val="24"/>
        </w:rPr>
        <w:t xml:space="preserve">2. Liquidated damages provisions must be a reasonable estimate of presumed actual damages. </w:t>
      </w:r>
      <w:r w:rsidRPr="00930778">
        <w:rPr>
          <w:rFonts w:eastAsia="Times New Roman"/>
          <w:b/>
          <w:bCs/>
          <w:sz w:val="24"/>
          <w:szCs w:val="24"/>
        </w:rPr>
        <w:t>Klinger v. Adams Cty. Sch. Dist. No. 50</w:t>
      </w:r>
      <w:r w:rsidRPr="00930778">
        <w:rPr>
          <w:rFonts w:eastAsia="Times New Roman"/>
          <w:bCs/>
          <w:sz w:val="24"/>
          <w:szCs w:val="24"/>
        </w:rPr>
        <w:t xml:space="preserve">, 130 P.3d 1027, 1034 (Colo. 2006) (a liquidated damages provision is valid and enforceable if three elements are met: (1) “the parties intended to liquidate damages”; (2) “the amount of liquidated damages, when viewed as of the time the contract is made, was a reasonable estimate of the </w:t>
      </w:r>
      <w:r w:rsidRPr="00930778">
        <w:rPr>
          <w:rFonts w:eastAsia="Times New Roman"/>
          <w:bCs/>
          <w:i/>
          <w:sz w:val="24"/>
          <w:szCs w:val="24"/>
        </w:rPr>
        <w:t>presumed actual damages</w:t>
      </w:r>
      <w:r w:rsidRPr="00930778">
        <w:rPr>
          <w:rFonts w:eastAsia="Times New Roman"/>
          <w:bCs/>
          <w:sz w:val="24"/>
          <w:szCs w:val="24"/>
        </w:rPr>
        <w:t xml:space="preserve"> that the breach would cause”; and (3) “when viewed again as of the date of the contract, it was difficult to ascertain the amount of </w:t>
      </w:r>
      <w:r w:rsidRPr="00930778">
        <w:rPr>
          <w:rFonts w:eastAsia="Times New Roman"/>
          <w:bCs/>
          <w:i/>
          <w:sz w:val="24"/>
          <w:szCs w:val="24"/>
        </w:rPr>
        <w:t>actual damages</w:t>
      </w:r>
      <w:r w:rsidRPr="00930778">
        <w:rPr>
          <w:rFonts w:eastAsia="Times New Roman"/>
          <w:bCs/>
          <w:sz w:val="24"/>
          <w:szCs w:val="24"/>
        </w:rPr>
        <w:t xml:space="preserve"> that would result from a</w:t>
      </w:r>
      <w:r w:rsidR="007E7C7D">
        <w:rPr>
          <w:rFonts w:eastAsia="Times New Roman"/>
          <w:bCs/>
          <w:sz w:val="24"/>
          <w:szCs w:val="24"/>
        </w:rPr>
        <w:t xml:space="preserve"> breach”)</w:t>
      </w:r>
      <w:r w:rsidR="002F232C" w:rsidRPr="00FB33C7">
        <w:rPr>
          <w:rFonts w:eastAsia="Times New Roman"/>
          <w:bCs/>
          <w:sz w:val="24"/>
          <w:szCs w:val="24"/>
        </w:rPr>
        <w:t>;</w:t>
      </w:r>
      <w:r w:rsidR="002F232C">
        <w:rPr>
          <w:rFonts w:eastAsia="Times New Roman"/>
          <w:b/>
          <w:sz w:val="24"/>
          <w:szCs w:val="24"/>
        </w:rPr>
        <w:t xml:space="preserve"> </w:t>
      </w:r>
      <w:r w:rsidR="002F232C" w:rsidRPr="00FB33C7">
        <w:rPr>
          <w:rFonts w:eastAsia="Times New Roman"/>
          <w:b/>
          <w:sz w:val="24"/>
          <w:szCs w:val="24"/>
        </w:rPr>
        <w:t>Trem</w:t>
      </w:r>
      <w:r w:rsidR="00FB33C7">
        <w:rPr>
          <w:rFonts w:eastAsia="Times New Roman"/>
          <w:b/>
          <w:sz w:val="24"/>
          <w:szCs w:val="24"/>
        </w:rPr>
        <w:t>i</w:t>
      </w:r>
      <w:r w:rsidR="002F232C" w:rsidRPr="00FB33C7">
        <w:rPr>
          <w:rFonts w:eastAsia="Times New Roman"/>
          <w:b/>
          <w:sz w:val="24"/>
          <w:szCs w:val="24"/>
        </w:rPr>
        <w:t>tek, LLC v. Resilience Code</w:t>
      </w:r>
      <w:r w:rsidR="00FB33C7">
        <w:rPr>
          <w:rFonts w:eastAsia="Times New Roman"/>
          <w:b/>
          <w:sz w:val="24"/>
          <w:szCs w:val="24"/>
        </w:rPr>
        <w:t>,</w:t>
      </w:r>
      <w:r w:rsidR="002F232C" w:rsidRPr="00FB33C7">
        <w:rPr>
          <w:rFonts w:eastAsia="Times New Roman"/>
          <w:b/>
          <w:sz w:val="24"/>
          <w:szCs w:val="24"/>
        </w:rPr>
        <w:t xml:space="preserve"> LLC</w:t>
      </w:r>
      <w:r w:rsidR="002F232C">
        <w:rPr>
          <w:rFonts w:eastAsia="Times New Roman"/>
          <w:bCs/>
          <w:sz w:val="24"/>
          <w:szCs w:val="24"/>
        </w:rPr>
        <w:t xml:space="preserve">, 2023 COA 54, </w:t>
      </w:r>
      <w:r w:rsidR="00FB33C7">
        <w:rPr>
          <w:rFonts w:eastAsia="Times New Roman"/>
          <w:bCs/>
          <w:sz w:val="24"/>
          <w:szCs w:val="24"/>
        </w:rPr>
        <w:t xml:space="preserve">¶ 27 </w:t>
      </w:r>
      <w:r w:rsidR="002F232C">
        <w:rPr>
          <w:rFonts w:eastAsia="Times New Roman"/>
          <w:bCs/>
          <w:sz w:val="24"/>
          <w:szCs w:val="24"/>
        </w:rPr>
        <w:t>(“We conclude that the liquidated damages provision was not a reasonable estimate of the actual damages caused by tenant’s breach</w:t>
      </w:r>
      <w:r w:rsidR="00FB33C7">
        <w:rPr>
          <w:rFonts w:eastAsia="Times New Roman"/>
          <w:bCs/>
          <w:sz w:val="24"/>
          <w:szCs w:val="24"/>
        </w:rPr>
        <w:t>.</w:t>
      </w:r>
      <w:r w:rsidR="002F232C">
        <w:rPr>
          <w:rFonts w:eastAsia="Times New Roman"/>
          <w:bCs/>
          <w:sz w:val="24"/>
          <w:szCs w:val="24"/>
        </w:rPr>
        <w:t>”).</w:t>
      </w:r>
    </w:p>
    <w:p w14:paraId="2F3F09FD" w14:textId="47413789" w:rsidR="00930778" w:rsidRPr="00930778" w:rsidRDefault="003333C4" w:rsidP="00930778">
      <w:pPr>
        <w:spacing w:after="240"/>
        <w:ind w:firstLine="720"/>
        <w:rPr>
          <w:rFonts w:eastAsia="Times New Roman"/>
          <w:bCs/>
          <w:sz w:val="24"/>
          <w:szCs w:val="24"/>
        </w:rPr>
      </w:pPr>
      <w:r>
        <w:rPr>
          <w:rFonts w:eastAsia="Times New Roman"/>
          <w:bCs/>
          <w:sz w:val="24"/>
          <w:szCs w:val="24"/>
        </w:rPr>
        <w:t xml:space="preserve">3. </w:t>
      </w:r>
      <w:r w:rsidR="00930778" w:rsidRPr="00930778">
        <w:rPr>
          <w:rFonts w:eastAsia="Times New Roman"/>
          <w:bCs/>
          <w:sz w:val="24"/>
          <w:szCs w:val="24"/>
        </w:rPr>
        <w:t xml:space="preserve">The party contending that a damages clause is an improper penalty carries the burden of proving that contention. </w:t>
      </w:r>
      <w:r w:rsidR="00930778" w:rsidRPr="00930778">
        <w:rPr>
          <w:rFonts w:eastAsia="Times New Roman"/>
          <w:b/>
          <w:bCs/>
          <w:sz w:val="24"/>
          <w:szCs w:val="24"/>
        </w:rPr>
        <w:t>Jobe v. Writer Corp.</w:t>
      </w:r>
      <w:r w:rsidR="00930778" w:rsidRPr="00930778">
        <w:rPr>
          <w:rFonts w:eastAsia="Times New Roman"/>
          <w:bCs/>
          <w:sz w:val="24"/>
          <w:szCs w:val="24"/>
        </w:rPr>
        <w:t>,</w:t>
      </w:r>
      <w:r w:rsidR="00930778" w:rsidRPr="00930778">
        <w:rPr>
          <w:rFonts w:eastAsia="Times New Roman"/>
          <w:b/>
          <w:bCs/>
          <w:sz w:val="24"/>
          <w:szCs w:val="24"/>
        </w:rPr>
        <w:t xml:space="preserve"> </w:t>
      </w:r>
      <w:r w:rsidR="00930778" w:rsidRPr="00930778">
        <w:rPr>
          <w:rFonts w:eastAsia="Times New Roman"/>
          <w:bCs/>
          <w:sz w:val="24"/>
          <w:szCs w:val="24"/>
        </w:rPr>
        <w:t xml:space="preserve">34 Colo. App. 240, 242, 526 P.2d 151, 152 </w:t>
      </w:r>
      <w:r w:rsidR="00930778" w:rsidRPr="00930778">
        <w:rPr>
          <w:rFonts w:eastAsia="Times New Roman"/>
          <w:bCs/>
          <w:sz w:val="24"/>
          <w:szCs w:val="24"/>
        </w:rPr>
        <w:lastRenderedPageBreak/>
        <w:t xml:space="preserve">(1974) (“[u]nless it patently appears from the contract itself that the liquidated damages agreed upon are out of proportion to any possible loss . . . the party asserting that the damages clause constitutes a penalty has the burden of proving that contention”); </w:t>
      </w:r>
      <w:r w:rsidR="00930778" w:rsidRPr="00930778">
        <w:rPr>
          <w:rFonts w:eastAsia="Times New Roman"/>
          <w:bCs/>
          <w:i/>
          <w:sz w:val="24"/>
          <w:szCs w:val="24"/>
        </w:rPr>
        <w:t>see also</w:t>
      </w:r>
      <w:r w:rsidR="00930778" w:rsidRPr="00930778">
        <w:rPr>
          <w:rFonts w:eastAsia="Times New Roman"/>
          <w:bCs/>
          <w:sz w:val="24"/>
          <w:szCs w:val="24"/>
        </w:rPr>
        <w:t xml:space="preserve"> </w:t>
      </w:r>
      <w:r w:rsidR="00930778" w:rsidRPr="00930778">
        <w:rPr>
          <w:rFonts w:eastAsia="Times New Roman"/>
          <w:b/>
          <w:bCs/>
          <w:sz w:val="24"/>
          <w:szCs w:val="24"/>
        </w:rPr>
        <w:t>Rohauer</w:t>
      </w:r>
      <w:r w:rsidR="00930778" w:rsidRPr="00930778">
        <w:rPr>
          <w:rFonts w:eastAsia="Times New Roman"/>
          <w:bCs/>
          <w:sz w:val="24"/>
          <w:szCs w:val="24"/>
        </w:rPr>
        <w:t xml:space="preserve">, 736 P.2d at 410; </w:t>
      </w:r>
      <w:r w:rsidR="00930778" w:rsidRPr="00930778">
        <w:rPr>
          <w:rFonts w:eastAsia="Times New Roman"/>
          <w:b/>
          <w:bCs/>
          <w:sz w:val="24"/>
          <w:szCs w:val="24"/>
        </w:rPr>
        <w:t>Yerton</w:t>
      </w:r>
      <w:r w:rsidR="00930778" w:rsidRPr="00930778">
        <w:rPr>
          <w:rFonts w:eastAsia="Times New Roman"/>
          <w:bCs/>
          <w:sz w:val="24"/>
          <w:szCs w:val="24"/>
        </w:rPr>
        <w:t>,</w:t>
      </w:r>
      <w:r w:rsidR="00930778" w:rsidRPr="00930778">
        <w:rPr>
          <w:rFonts w:eastAsia="Times New Roman"/>
          <w:b/>
          <w:bCs/>
          <w:sz w:val="24"/>
          <w:szCs w:val="24"/>
        </w:rPr>
        <w:t xml:space="preserve"> </w:t>
      </w:r>
      <w:r w:rsidR="00930778" w:rsidRPr="00930778">
        <w:rPr>
          <w:rFonts w:eastAsia="Times New Roman"/>
          <w:bCs/>
          <w:sz w:val="24"/>
          <w:szCs w:val="24"/>
        </w:rPr>
        <w:t xml:space="preserve">762 P.2d at 788 (if a single amount is stipulated for several possible breaches, the provision is invalid as a penalty if it is unreasonably disproportionate to the expected loss of the specific breach being sued for); </w:t>
      </w:r>
      <w:r w:rsidR="00930778" w:rsidRPr="00930778">
        <w:rPr>
          <w:rFonts w:eastAsia="Times New Roman"/>
          <w:b/>
          <w:bCs/>
          <w:sz w:val="24"/>
          <w:szCs w:val="24"/>
        </w:rPr>
        <w:t>Wojtowicz v. Greeley Anesthesia Servs., P.C.</w:t>
      </w:r>
      <w:r w:rsidR="00930778" w:rsidRPr="00930778">
        <w:rPr>
          <w:rFonts w:eastAsia="Times New Roman"/>
          <w:bCs/>
          <w:sz w:val="24"/>
          <w:szCs w:val="24"/>
        </w:rPr>
        <w:t>, 961 P.2d 520 (Colo. App. 1997) (liquidated damages provision so disproportionate to actual damages as to constitute an unenforceable penalty as a matter of law). In some cases, there may be an issue of law as to whether a contract provision is a liquidated damages provision subject to the rule that such provisions must be reasonable.</w:t>
      </w:r>
      <w:r w:rsidR="00930778" w:rsidRPr="00930778">
        <w:rPr>
          <w:rFonts w:eastAsia="Times New Roman"/>
          <w:bCs/>
          <w:i/>
          <w:sz w:val="24"/>
          <w:szCs w:val="24"/>
        </w:rPr>
        <w:t xml:space="preserve"> See </w:t>
      </w:r>
      <w:r w:rsidR="00930778" w:rsidRPr="00930778">
        <w:rPr>
          <w:rFonts w:eastAsia="Times New Roman"/>
          <w:b/>
          <w:bCs/>
          <w:sz w:val="24"/>
          <w:szCs w:val="24"/>
        </w:rPr>
        <w:t>Planned Pethood Plus, Inc. v. KeyCorp, Inc.</w:t>
      </w:r>
      <w:r w:rsidR="00930778" w:rsidRPr="00930778">
        <w:rPr>
          <w:rFonts w:eastAsia="Times New Roman"/>
          <w:bCs/>
          <w:sz w:val="24"/>
          <w:szCs w:val="24"/>
        </w:rPr>
        <w:t>, 228 P.3d 262 (Colo. App. 2010) (prepayment penalty in promissory note is not liquidated damages clause).</w:t>
      </w:r>
    </w:p>
    <w:p w14:paraId="206EF9C4"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4. The mere presence of an option to seek either liquidated damages or actual damages does not render the liquidated damages clause invalid as a matter of law. </w:t>
      </w:r>
      <w:r w:rsidRPr="00930778">
        <w:rPr>
          <w:rFonts w:eastAsia="Times New Roman"/>
          <w:b/>
          <w:bCs/>
          <w:sz w:val="24"/>
          <w:szCs w:val="24"/>
        </w:rPr>
        <w:t>Ravenstar LLC v. One Ski Hill Place LLC</w:t>
      </w:r>
      <w:r w:rsidRPr="00930778">
        <w:rPr>
          <w:rFonts w:eastAsia="Times New Roman"/>
          <w:bCs/>
          <w:sz w:val="24"/>
          <w:szCs w:val="24"/>
        </w:rPr>
        <w:t xml:space="preserve">, 2017 CO 83, ¶ 15, 401 P.3d 552. But the option must be exclusive. If a non-breaching party elects to pursue liquidated damages as allowed by the contract, the non-breaching party may not also seek actual damages. “Otherwise, an election to pursue liquidated damages would function as an invalid penalty.” </w:t>
      </w:r>
      <w:r w:rsidRPr="00930778">
        <w:rPr>
          <w:rFonts w:eastAsia="Times New Roman"/>
          <w:bCs/>
          <w:i/>
          <w:sz w:val="24"/>
          <w:szCs w:val="24"/>
        </w:rPr>
        <w:t>Id.</w:t>
      </w:r>
      <w:r w:rsidRPr="00930778">
        <w:rPr>
          <w:rFonts w:eastAsia="Times New Roman"/>
          <w:bCs/>
          <w:sz w:val="24"/>
          <w:szCs w:val="24"/>
        </w:rPr>
        <w:t xml:space="preserve"> at ¶ 16.</w:t>
      </w:r>
    </w:p>
    <w:p w14:paraId="5C709949"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5. The party attempting to avoid a liquidated damage provision of a contract has the burden of proving that the provision is an unenforceable penalty. </w:t>
      </w:r>
      <w:r w:rsidRPr="00930778">
        <w:rPr>
          <w:rFonts w:eastAsia="Times New Roman"/>
          <w:b/>
          <w:bCs/>
          <w:sz w:val="24"/>
          <w:szCs w:val="24"/>
        </w:rPr>
        <w:t>Bd. of Cty. Comm’rs v. City &amp; County of Denver</w:t>
      </w:r>
      <w:r w:rsidRPr="00930778">
        <w:rPr>
          <w:rFonts w:eastAsia="Times New Roman"/>
          <w:bCs/>
          <w:sz w:val="24"/>
          <w:szCs w:val="24"/>
        </w:rPr>
        <w:t xml:space="preserve">, 40 P.3d 25 (Colo. App. 2001). A liquidated damage provision is valid and enforceable if (1) at the time the contract was entered into, anticipated damages in case of a breach were difficult to ascertain, (2) the parties mutually agreed to liquidate damages in advance, and (3) the amount of the liquidated damages, when viewed at the time the contract was made, was a reasonable estimate of the potential general damages that a breach would cause. </w:t>
      </w:r>
      <w:r w:rsidRPr="00930778">
        <w:rPr>
          <w:rFonts w:eastAsia="Times New Roman"/>
          <w:bCs/>
          <w:i/>
          <w:sz w:val="24"/>
          <w:szCs w:val="24"/>
        </w:rPr>
        <w:t>Id</w:t>
      </w:r>
      <w:r w:rsidRPr="00930778">
        <w:rPr>
          <w:rFonts w:eastAsia="Times New Roman"/>
          <w:bCs/>
          <w:sz w:val="24"/>
          <w:szCs w:val="24"/>
        </w:rPr>
        <w:t xml:space="preserve">.;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Klinger</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130 P.3d at 1034 (listing factors used to determine whether a liquidated damages provision constitutes a penalty).</w:t>
      </w:r>
    </w:p>
    <w:p w14:paraId="66B5717D"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6. For sales contracts governed by the Uniform Commercial Code, the determination of whether a provision is a penalty or a valid liquidated damages clause should be made on the basis of the criteria set out in section 4-2-718, C.R.S. For other contracts, in determining whether a liquidated damages clause is valid, the court should consider whether a) the amount stipulated was at the time a reasonable estimate of any damages which might result from a breach; b) the anticipated damages in the event of a breach would have been uncertain or difficult to prove; and c) the parties intended to liquidate damages in advance. </w:t>
      </w:r>
      <w:r w:rsidRPr="00930778">
        <w:rPr>
          <w:rFonts w:eastAsia="Times New Roman"/>
          <w:b/>
          <w:bCs/>
          <w:sz w:val="24"/>
          <w:szCs w:val="24"/>
        </w:rPr>
        <w:t>Butler v. Lembeck</w:t>
      </w:r>
      <w:r w:rsidRPr="00930778">
        <w:rPr>
          <w:rFonts w:eastAsia="Times New Roman"/>
          <w:bCs/>
          <w:sz w:val="24"/>
          <w:szCs w:val="24"/>
        </w:rPr>
        <w:t>, 182 P.3d 1185 (Colo. App. 2007).</w:t>
      </w:r>
    </w:p>
    <w:p w14:paraId="59CFBECC"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7. “[A] liquidated damages clause addressing delay in a performance contract will not be enforced where such delay is due in whole or in part to the fault of the party claiming the clause’s benefit.” </w:t>
      </w:r>
      <w:r w:rsidRPr="00930778">
        <w:rPr>
          <w:rFonts w:eastAsia="Times New Roman"/>
          <w:b/>
          <w:bCs/>
          <w:sz w:val="24"/>
          <w:szCs w:val="24"/>
        </w:rPr>
        <w:t>Medema Homes, Inc. v. Lynn</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647 P.2d 664, 667 (Colo. 1982); </w:t>
      </w:r>
      <w:r w:rsidRPr="00930778">
        <w:rPr>
          <w:rFonts w:eastAsia="Times New Roman"/>
          <w:bCs/>
          <w:i/>
          <w:sz w:val="24"/>
          <w:szCs w:val="24"/>
        </w:rPr>
        <w:t xml:space="preserve">accord </w:t>
      </w:r>
      <w:r w:rsidRPr="00930778">
        <w:rPr>
          <w:rFonts w:eastAsia="Times New Roman"/>
          <w:b/>
          <w:bCs/>
          <w:sz w:val="24"/>
          <w:szCs w:val="24"/>
        </w:rPr>
        <w:t>City of Westminster v. Centric-Jones Constructors</w:t>
      </w:r>
      <w:r w:rsidRPr="00930778">
        <w:rPr>
          <w:rFonts w:eastAsia="Times New Roman"/>
          <w:bCs/>
          <w:sz w:val="24"/>
          <w:szCs w:val="24"/>
        </w:rPr>
        <w:t xml:space="preserve">, 100 P.3d 472 (Colo. App. 2003). </w:t>
      </w:r>
    </w:p>
    <w:p w14:paraId="11D771A7"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8. A non-competition provision in an employment contract with a physician that provides for liquidated damages in the event of a breach is governed by section 8-2-113(3), C.R.S. </w:t>
      </w:r>
      <w:r w:rsidRPr="00930778">
        <w:rPr>
          <w:rFonts w:eastAsia="Times New Roman"/>
          <w:bCs/>
          <w:i/>
          <w:sz w:val="24"/>
          <w:szCs w:val="24"/>
        </w:rPr>
        <w:t>See, e.g</w:t>
      </w:r>
      <w:r w:rsidRPr="00930778">
        <w:rPr>
          <w:rFonts w:eastAsia="Times New Roman"/>
          <w:bCs/>
          <w:sz w:val="24"/>
          <w:szCs w:val="24"/>
        </w:rPr>
        <w:t xml:space="preserve">., </w:t>
      </w:r>
      <w:r w:rsidRPr="00930778">
        <w:rPr>
          <w:rFonts w:eastAsia="Times New Roman"/>
          <w:b/>
          <w:bCs/>
          <w:sz w:val="24"/>
          <w:szCs w:val="24"/>
        </w:rPr>
        <w:t>Wojtowicz</w:t>
      </w:r>
      <w:r w:rsidRPr="00930778">
        <w:rPr>
          <w:rFonts w:eastAsia="Times New Roman"/>
          <w:bCs/>
          <w:sz w:val="24"/>
          <w:szCs w:val="24"/>
        </w:rPr>
        <w:t>, 961 P.2d 521-22.</w:t>
      </w:r>
    </w:p>
    <w:p w14:paraId="112FC978"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lastRenderedPageBreak/>
        <w:t xml:space="preserve">9. As to a plaintiff’s right to recover interest on liquidated damages for breach of contract, see the introductory note to this Chapter and </w:t>
      </w:r>
      <w:r w:rsidRPr="00930778">
        <w:rPr>
          <w:rFonts w:eastAsia="Times New Roman"/>
          <w:b/>
          <w:bCs/>
          <w:sz w:val="24"/>
          <w:szCs w:val="24"/>
        </w:rPr>
        <w:t>Board of County Commissioners</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40 P.3d at 35.</w:t>
      </w:r>
    </w:p>
    <w:p w14:paraId="7150C41A" w14:textId="77777777" w:rsidR="00930778" w:rsidRPr="00930778" w:rsidRDefault="00930778" w:rsidP="00930778">
      <w:pPr>
        <w:spacing w:after="240"/>
        <w:ind w:firstLine="720"/>
        <w:rPr>
          <w:rFonts w:eastAsia="Times New Roman"/>
          <w:bCs/>
          <w:sz w:val="24"/>
          <w:szCs w:val="24"/>
        </w:rPr>
      </w:pPr>
    </w:p>
    <w:p w14:paraId="42800C89" w14:textId="77777777" w:rsidR="00A57F9C" w:rsidRDefault="00A57F9C">
      <w:pPr>
        <w:rPr>
          <w:rFonts w:eastAsia="Times New Roman"/>
          <w:bCs/>
          <w:sz w:val="24"/>
          <w:szCs w:val="24"/>
        </w:rPr>
      </w:pPr>
      <w:r>
        <w:rPr>
          <w:rFonts w:eastAsia="Times New Roman"/>
          <w:bCs/>
          <w:sz w:val="24"/>
          <w:szCs w:val="24"/>
        </w:rPr>
        <w:br w:type="page"/>
      </w:r>
    </w:p>
    <w:p w14:paraId="456DBD9C" w14:textId="77777777" w:rsidR="00A57F9C" w:rsidRPr="009E3DA4" w:rsidRDefault="00B538B9" w:rsidP="00A57F9C">
      <w:pPr>
        <w:spacing w:after="240"/>
        <w:ind w:left="720" w:hanging="720"/>
        <w:rPr>
          <w:rFonts w:eastAsia="Times New Roman"/>
          <w:b/>
          <w:sz w:val="24"/>
          <w:szCs w:val="24"/>
        </w:rPr>
      </w:pPr>
      <w:bookmarkStart w:id="45" w:name="a30_41"/>
      <w:bookmarkEnd w:id="45"/>
      <w:r w:rsidRPr="00B538B9">
        <w:rPr>
          <w:rFonts w:eastAsia="Times New Roman"/>
          <w:b/>
          <w:bCs/>
          <w:sz w:val="24"/>
          <w:szCs w:val="24"/>
        </w:rPr>
        <w:lastRenderedPageBreak/>
        <w:t>30:41</w:t>
      </w:r>
      <w:r w:rsidRPr="00B538B9">
        <w:rPr>
          <w:rFonts w:eastAsia="Times New Roman"/>
          <w:b/>
          <w:bCs/>
          <w:sz w:val="24"/>
          <w:szCs w:val="24"/>
        </w:rPr>
        <w:tab/>
        <w:t>DAMAGES ― NOMINAL</w:t>
      </w:r>
    </w:p>
    <w:p w14:paraId="1E0FDB59" w14:textId="77777777" w:rsidR="00B538B9" w:rsidRPr="00B538B9" w:rsidRDefault="00B538B9" w:rsidP="00B538B9">
      <w:pPr>
        <w:spacing w:after="240"/>
        <w:ind w:firstLine="720"/>
        <w:rPr>
          <w:rFonts w:eastAsia="Times New Roman"/>
          <w:b/>
          <w:bCs/>
          <w:sz w:val="24"/>
          <w:szCs w:val="24"/>
        </w:rPr>
      </w:pPr>
      <w:r w:rsidRPr="00B538B9">
        <w:rPr>
          <w:rFonts w:eastAsia="Times New Roman"/>
          <w:b/>
          <w:bCs/>
          <w:sz w:val="24"/>
          <w:szCs w:val="24"/>
        </w:rPr>
        <w:t>If you find in favor of the plaintiff, but do not award any general, special, or liquidated damages, you shall award the plaintiff nominal damages in the sum of one dollar.</w:t>
      </w:r>
    </w:p>
    <w:p w14:paraId="615E985B" w14:textId="77777777" w:rsidR="00A57F9C" w:rsidRDefault="00A57F9C" w:rsidP="00A57F9C">
      <w:pPr>
        <w:jc w:val="center"/>
        <w:rPr>
          <w:rFonts w:eastAsia="Times New Roman"/>
          <w:sz w:val="24"/>
          <w:szCs w:val="24"/>
        </w:rPr>
      </w:pPr>
    </w:p>
    <w:p w14:paraId="0507CFA7" w14:textId="77777777" w:rsidR="00A57F9C" w:rsidRPr="0054263B" w:rsidRDefault="00A57F9C" w:rsidP="00A57F9C">
      <w:pPr>
        <w:keepNext/>
        <w:spacing w:after="240"/>
        <w:jc w:val="center"/>
        <w:rPr>
          <w:rFonts w:eastAsia="Times New Roman"/>
          <w:b/>
          <w:sz w:val="24"/>
          <w:szCs w:val="24"/>
        </w:rPr>
      </w:pPr>
      <w:r w:rsidRPr="0054263B">
        <w:rPr>
          <w:rFonts w:eastAsia="Times New Roman"/>
          <w:b/>
          <w:sz w:val="24"/>
          <w:szCs w:val="24"/>
        </w:rPr>
        <w:t>Notes on Use</w:t>
      </w:r>
    </w:p>
    <w:p w14:paraId="17B5DF0F"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1. See the Notes on Use to Instruction 30:37 (introduction).</w:t>
      </w:r>
    </w:p>
    <w:p w14:paraId="373B0E6D"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2. Instruction 30:37 (introduction) should be used with this instruction, along with instructions for any other particular damages involved in the case: Instruction 30:38 (general), Instruction 30:39 (special), or Instruction 30:40 (liquidated).</w:t>
      </w:r>
    </w:p>
    <w:p w14:paraId="6FA54C7A" w14:textId="77777777" w:rsidR="00A57F9C" w:rsidRPr="0054263B" w:rsidRDefault="00A57F9C" w:rsidP="00A57F9C">
      <w:pPr>
        <w:keepNext/>
        <w:spacing w:after="240"/>
        <w:jc w:val="center"/>
        <w:rPr>
          <w:rFonts w:eastAsia="Times New Roman"/>
          <w:b/>
          <w:sz w:val="24"/>
          <w:szCs w:val="24"/>
        </w:rPr>
      </w:pPr>
      <w:r>
        <w:rPr>
          <w:rFonts w:eastAsia="Times New Roman"/>
          <w:b/>
          <w:sz w:val="24"/>
          <w:szCs w:val="24"/>
        </w:rPr>
        <w:t>Source and Authority</w:t>
      </w:r>
    </w:p>
    <w:p w14:paraId="3373DF34"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1. This instruction is supported by</w:t>
      </w:r>
      <w:r w:rsidRPr="00B538B9">
        <w:rPr>
          <w:rFonts w:eastAsia="Times New Roman"/>
          <w:b/>
          <w:bCs/>
          <w:sz w:val="24"/>
          <w:szCs w:val="24"/>
        </w:rPr>
        <w:t xml:space="preserve"> Hoehne Ditch Co. v. John Flood Ditch Co.</w:t>
      </w:r>
      <w:r w:rsidRPr="00B538B9">
        <w:rPr>
          <w:rFonts w:eastAsia="Times New Roman"/>
          <w:bCs/>
          <w:sz w:val="24"/>
          <w:szCs w:val="24"/>
        </w:rPr>
        <w:t xml:space="preserve">, 76 Colo. 500, 233 P. 167 (1925); </w:t>
      </w:r>
      <w:r w:rsidRPr="00B538B9">
        <w:rPr>
          <w:rFonts w:eastAsia="Times New Roman"/>
          <w:b/>
          <w:bCs/>
          <w:sz w:val="24"/>
          <w:szCs w:val="24"/>
        </w:rPr>
        <w:t>Patrick v. Colorado Smelting Co.</w:t>
      </w:r>
      <w:r w:rsidRPr="00B538B9">
        <w:rPr>
          <w:rFonts w:eastAsia="Times New Roman"/>
          <w:bCs/>
          <w:sz w:val="24"/>
          <w:szCs w:val="24"/>
        </w:rPr>
        <w:t xml:space="preserve">, 20 Colo. 268, 38 P. 236 (1894); </w:t>
      </w:r>
      <w:r w:rsidRPr="00B538B9">
        <w:rPr>
          <w:rFonts w:eastAsia="Times New Roman"/>
          <w:b/>
          <w:bCs/>
          <w:sz w:val="24"/>
          <w:szCs w:val="24"/>
        </w:rPr>
        <w:t>City of Westminster v. Centric-Jones Constructors</w:t>
      </w:r>
      <w:r w:rsidRPr="00B538B9">
        <w:rPr>
          <w:rFonts w:eastAsia="Times New Roman"/>
          <w:bCs/>
          <w:sz w:val="24"/>
          <w:szCs w:val="24"/>
        </w:rPr>
        <w:t>, 100 P.3d 472 (Colo. App. 2003);</w:t>
      </w:r>
      <w:r w:rsidRPr="00B538B9">
        <w:rPr>
          <w:rFonts w:eastAsia="Times New Roman"/>
          <w:bCs/>
          <w:i/>
          <w:sz w:val="24"/>
          <w:szCs w:val="24"/>
        </w:rPr>
        <w:t xml:space="preserve"> </w:t>
      </w:r>
      <w:r w:rsidRPr="00B538B9">
        <w:rPr>
          <w:rFonts w:eastAsia="Times New Roman"/>
          <w:bCs/>
          <w:sz w:val="24"/>
          <w:szCs w:val="24"/>
        </w:rPr>
        <w:t xml:space="preserve">and </w:t>
      </w:r>
      <w:r w:rsidRPr="00B538B9">
        <w:rPr>
          <w:rFonts w:eastAsia="Times New Roman"/>
          <w:bCs/>
          <w:smallCaps/>
          <w:sz w:val="24"/>
          <w:szCs w:val="24"/>
        </w:rPr>
        <w:t>Restatement (Second) of Contracts</w:t>
      </w:r>
      <w:r w:rsidRPr="00B538B9">
        <w:rPr>
          <w:rFonts w:eastAsia="Times New Roman"/>
          <w:bCs/>
          <w:sz w:val="24"/>
          <w:szCs w:val="24"/>
        </w:rPr>
        <w:t xml:space="preserve"> § 346(2) (1981). As a matter of law, nominal damages are one dollar. </w:t>
      </w:r>
      <w:r w:rsidRPr="00B538B9">
        <w:rPr>
          <w:rFonts w:eastAsia="Times New Roman"/>
          <w:b/>
          <w:bCs/>
          <w:sz w:val="24"/>
          <w:szCs w:val="24"/>
        </w:rPr>
        <w:t>City of Westminster</w:t>
      </w:r>
      <w:r w:rsidRPr="00B538B9">
        <w:rPr>
          <w:rFonts w:eastAsia="Times New Roman"/>
          <w:bCs/>
          <w:sz w:val="24"/>
          <w:szCs w:val="24"/>
        </w:rPr>
        <w:t xml:space="preserve">, 100 P.3d at 481; </w:t>
      </w:r>
      <w:r w:rsidRPr="00B538B9">
        <w:rPr>
          <w:rFonts w:eastAsia="Times New Roman"/>
          <w:b/>
          <w:bCs/>
          <w:sz w:val="24"/>
          <w:szCs w:val="24"/>
        </w:rPr>
        <w:t>Overland Dev. Co. v. Marston Slopes Dev. Co.</w:t>
      </w:r>
      <w:r w:rsidRPr="00B538B9">
        <w:rPr>
          <w:rFonts w:eastAsia="Times New Roman"/>
          <w:bCs/>
          <w:sz w:val="24"/>
          <w:szCs w:val="24"/>
        </w:rPr>
        <w:t xml:space="preserve">, 773 P.2d 1112 (Colo. App. 1989); </w:t>
      </w:r>
      <w:r w:rsidRPr="00B538B9">
        <w:rPr>
          <w:rFonts w:eastAsia="Times New Roman"/>
          <w:b/>
          <w:bCs/>
          <w:sz w:val="24"/>
          <w:szCs w:val="24"/>
        </w:rPr>
        <w:t>Colo. Inv. Servs., Inc. v. Hager</w:t>
      </w:r>
      <w:r w:rsidRPr="00B538B9">
        <w:rPr>
          <w:rFonts w:eastAsia="Times New Roman"/>
          <w:bCs/>
          <w:sz w:val="24"/>
          <w:szCs w:val="24"/>
        </w:rPr>
        <w:t>,</w:t>
      </w:r>
      <w:r w:rsidRPr="00B538B9">
        <w:rPr>
          <w:rFonts w:eastAsia="Times New Roman"/>
          <w:b/>
          <w:bCs/>
          <w:sz w:val="24"/>
          <w:szCs w:val="24"/>
        </w:rPr>
        <w:t xml:space="preserve"> </w:t>
      </w:r>
      <w:r w:rsidRPr="00B538B9">
        <w:rPr>
          <w:rFonts w:eastAsia="Times New Roman"/>
          <w:bCs/>
          <w:sz w:val="24"/>
          <w:szCs w:val="24"/>
        </w:rPr>
        <w:t>685 P.2d 1371 (Colo. App. 1984) (quoting the language of a former version of this instruction with approval).</w:t>
      </w:r>
    </w:p>
    <w:p w14:paraId="7F46A388"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 xml:space="preserve">2. In the absence of sufficient proof of general damages, the plaintiff is nonetheless entitled to nominal damages. </w:t>
      </w:r>
      <w:r w:rsidRPr="00B538B9">
        <w:rPr>
          <w:rFonts w:eastAsia="Times New Roman"/>
          <w:bCs/>
          <w:i/>
          <w:sz w:val="24"/>
          <w:szCs w:val="24"/>
        </w:rPr>
        <w:t>See</w:t>
      </w:r>
      <w:r w:rsidRPr="00B538B9">
        <w:rPr>
          <w:rFonts w:eastAsia="Times New Roman"/>
          <w:bCs/>
          <w:sz w:val="24"/>
          <w:szCs w:val="24"/>
        </w:rPr>
        <w:t xml:space="preserve"> </w:t>
      </w:r>
      <w:r w:rsidRPr="00B538B9">
        <w:rPr>
          <w:rFonts w:eastAsia="Times New Roman"/>
          <w:b/>
          <w:bCs/>
          <w:sz w:val="24"/>
          <w:szCs w:val="24"/>
        </w:rPr>
        <w:t>Pomeranz v. McDonald’s Corp.</w:t>
      </w:r>
      <w:r w:rsidRPr="00B538B9">
        <w:rPr>
          <w:rFonts w:eastAsia="Times New Roman"/>
          <w:bCs/>
          <w:sz w:val="24"/>
          <w:szCs w:val="24"/>
        </w:rPr>
        <w:t>,</w:t>
      </w:r>
      <w:r w:rsidRPr="00B538B9">
        <w:rPr>
          <w:rFonts w:eastAsia="Times New Roman"/>
          <w:b/>
          <w:bCs/>
          <w:sz w:val="24"/>
          <w:szCs w:val="24"/>
        </w:rPr>
        <w:t xml:space="preserve"> </w:t>
      </w:r>
      <w:r w:rsidRPr="00B538B9">
        <w:rPr>
          <w:rFonts w:eastAsia="Times New Roman"/>
          <w:bCs/>
          <w:sz w:val="24"/>
          <w:szCs w:val="24"/>
        </w:rPr>
        <w:t xml:space="preserve">843 P.2d 1378 (Colo. 1993) (in breach of contract action involving future damages, rule of certainty requires that plaintiff prove that damages will in fact accrue in the future and provide sufficient admissible evidence to enable trier of fact to compute a fair approximation of loss); </w:t>
      </w:r>
      <w:r w:rsidRPr="00B538B9">
        <w:rPr>
          <w:rFonts w:eastAsia="Times New Roman"/>
          <w:b/>
          <w:bCs/>
          <w:sz w:val="24"/>
          <w:szCs w:val="24"/>
        </w:rPr>
        <w:t>Interbank Invs. L.L.C. v. Vail Valley Consol. Water Dist.</w:t>
      </w:r>
      <w:r w:rsidRPr="00B538B9">
        <w:rPr>
          <w:rFonts w:eastAsia="Times New Roman"/>
          <w:bCs/>
          <w:sz w:val="24"/>
          <w:szCs w:val="24"/>
        </w:rPr>
        <w:t xml:space="preserve">, 12 P.3d 1224 (Colo. App. 2000); </w:t>
      </w:r>
      <w:r w:rsidRPr="00B538B9">
        <w:rPr>
          <w:rFonts w:eastAsia="Times New Roman"/>
          <w:bCs/>
          <w:i/>
          <w:sz w:val="24"/>
          <w:szCs w:val="24"/>
        </w:rPr>
        <w:t>see also</w:t>
      </w:r>
      <w:r w:rsidRPr="00B538B9">
        <w:rPr>
          <w:rFonts w:eastAsia="Times New Roman"/>
          <w:bCs/>
          <w:sz w:val="24"/>
          <w:szCs w:val="24"/>
        </w:rPr>
        <w:t xml:space="preserve"> </w:t>
      </w:r>
      <w:r w:rsidRPr="00B538B9">
        <w:rPr>
          <w:rFonts w:eastAsia="Times New Roman"/>
          <w:b/>
          <w:bCs/>
          <w:sz w:val="24"/>
          <w:szCs w:val="24"/>
        </w:rPr>
        <w:t>Riggs v. McMurtry</w:t>
      </w:r>
      <w:r w:rsidRPr="00B538B9">
        <w:rPr>
          <w:rFonts w:eastAsia="Times New Roman"/>
          <w:bCs/>
          <w:sz w:val="24"/>
          <w:szCs w:val="24"/>
        </w:rPr>
        <w:t xml:space="preserve">, 157 Colo. 33, 400 P.2d 916 (1965) (evidence must provide reasonable basis for computation of damages); </w:t>
      </w:r>
      <w:r w:rsidRPr="00B538B9">
        <w:rPr>
          <w:rFonts w:eastAsia="Times New Roman"/>
          <w:b/>
          <w:bCs/>
          <w:sz w:val="24"/>
          <w:szCs w:val="24"/>
        </w:rPr>
        <w:t>McDonald’s Corp. v. Brentwood Ctr., Ltd.</w:t>
      </w:r>
      <w:r w:rsidRPr="00B538B9">
        <w:rPr>
          <w:rFonts w:eastAsia="Times New Roman"/>
          <w:bCs/>
          <w:sz w:val="24"/>
          <w:szCs w:val="24"/>
        </w:rPr>
        <w:t>, 942 P.2d 1308 (Colo. App. 1997) (lost profits may not be awarded if they are speculative, remote, imaginary, or impossible to ascertain).</w:t>
      </w:r>
    </w:p>
    <w:p w14:paraId="53FC89D9" w14:textId="77777777" w:rsidR="00B538B9" w:rsidRDefault="00B538B9">
      <w:pPr>
        <w:rPr>
          <w:rFonts w:eastAsia="Times New Roman"/>
          <w:bCs/>
          <w:sz w:val="24"/>
          <w:szCs w:val="24"/>
        </w:rPr>
      </w:pPr>
      <w:r>
        <w:rPr>
          <w:rFonts w:eastAsia="Times New Roman"/>
          <w:bCs/>
          <w:sz w:val="24"/>
          <w:szCs w:val="24"/>
        </w:rPr>
        <w:br w:type="page"/>
      </w:r>
    </w:p>
    <w:p w14:paraId="1A4123F9" w14:textId="77777777" w:rsidR="00B538B9" w:rsidRPr="009E3DA4" w:rsidRDefault="00B538B9" w:rsidP="00B538B9">
      <w:pPr>
        <w:spacing w:after="240"/>
        <w:ind w:left="720" w:hanging="720"/>
        <w:rPr>
          <w:rFonts w:eastAsia="Times New Roman"/>
          <w:b/>
          <w:sz w:val="24"/>
          <w:szCs w:val="24"/>
        </w:rPr>
      </w:pPr>
      <w:bookmarkStart w:id="46" w:name="a30_42"/>
      <w:bookmarkEnd w:id="46"/>
      <w:r w:rsidRPr="00B538B9">
        <w:rPr>
          <w:rFonts w:eastAsia="Times New Roman"/>
          <w:b/>
          <w:bCs/>
          <w:sz w:val="24"/>
          <w:szCs w:val="24"/>
        </w:rPr>
        <w:lastRenderedPageBreak/>
        <w:t xml:space="preserve">30:42 </w:t>
      </w:r>
      <w:r w:rsidRPr="00B538B9">
        <w:rPr>
          <w:rFonts w:eastAsia="Times New Roman"/>
          <w:b/>
          <w:bCs/>
          <w:sz w:val="24"/>
          <w:szCs w:val="24"/>
        </w:rPr>
        <w:tab/>
        <w:t>DAMAGES — PURCHASER’S FOR BREACH OF LAND PURCHASE CONTRACT</w:t>
      </w:r>
    </w:p>
    <w:p w14:paraId="500DCEA3" w14:textId="77777777" w:rsidR="00B538B9" w:rsidRPr="00B538B9" w:rsidRDefault="00B538B9" w:rsidP="00B538B9">
      <w:pPr>
        <w:spacing w:after="240"/>
        <w:ind w:firstLine="720"/>
        <w:rPr>
          <w:rFonts w:eastAsia="Times New Roman"/>
          <w:b/>
          <w:bCs/>
          <w:sz w:val="24"/>
          <w:szCs w:val="24"/>
        </w:rPr>
      </w:pPr>
      <w:r w:rsidRPr="00B538B9">
        <w:rPr>
          <w:rFonts w:eastAsia="Times New Roman"/>
          <w:b/>
          <w:bCs/>
          <w:sz w:val="24"/>
          <w:szCs w:val="24"/>
        </w:rPr>
        <w:t>(The amount of damages, if any, is the market value of the property at the time of the breach minus the contract price, plus all payments made by the plaintiff on the contract.)</w:t>
      </w:r>
    </w:p>
    <w:p w14:paraId="3CBD327C" w14:textId="77777777" w:rsidR="00B538B9" w:rsidRDefault="00B538B9" w:rsidP="00B538B9">
      <w:pPr>
        <w:jc w:val="center"/>
        <w:rPr>
          <w:rFonts w:eastAsia="Times New Roman"/>
          <w:sz w:val="24"/>
          <w:szCs w:val="24"/>
        </w:rPr>
      </w:pPr>
    </w:p>
    <w:p w14:paraId="41468EC5" w14:textId="77777777" w:rsidR="00B538B9" w:rsidRPr="0054263B" w:rsidRDefault="00B538B9" w:rsidP="00B538B9">
      <w:pPr>
        <w:keepNext/>
        <w:spacing w:after="240"/>
        <w:jc w:val="center"/>
        <w:rPr>
          <w:rFonts w:eastAsia="Times New Roman"/>
          <w:b/>
          <w:sz w:val="24"/>
          <w:szCs w:val="24"/>
        </w:rPr>
      </w:pPr>
      <w:r w:rsidRPr="0054263B">
        <w:rPr>
          <w:rFonts w:eastAsia="Times New Roman"/>
          <w:b/>
          <w:sz w:val="24"/>
          <w:szCs w:val="24"/>
        </w:rPr>
        <w:t>Notes on Use</w:t>
      </w:r>
    </w:p>
    <w:p w14:paraId="4ADFFF98"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1. When applicable, this instruction should be used as the insertion in Instruction 30:38.</w:t>
      </w:r>
    </w:p>
    <w:p w14:paraId="0E5D56DE"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2. If the plaintiff has not claimed to have made any payments on the contract, the last clause relating to such payments should be omitted.</w:t>
      </w:r>
    </w:p>
    <w:p w14:paraId="2DDA44A9"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3. When necessary, the definition of market value set out in the second paragraph of Instruction 36:3 may be given with this instruction.</w:t>
      </w:r>
    </w:p>
    <w:p w14:paraId="2988E236" w14:textId="77777777" w:rsidR="00B538B9" w:rsidRPr="0054263B" w:rsidRDefault="00B538B9" w:rsidP="00B538B9">
      <w:pPr>
        <w:keepNext/>
        <w:spacing w:after="240"/>
        <w:jc w:val="center"/>
        <w:rPr>
          <w:rFonts w:eastAsia="Times New Roman"/>
          <w:b/>
          <w:sz w:val="24"/>
          <w:szCs w:val="24"/>
        </w:rPr>
      </w:pPr>
      <w:r>
        <w:rPr>
          <w:rFonts w:eastAsia="Times New Roman"/>
          <w:b/>
          <w:sz w:val="24"/>
          <w:szCs w:val="24"/>
        </w:rPr>
        <w:t>Source and Authority</w:t>
      </w:r>
    </w:p>
    <w:p w14:paraId="035AEACB" w14:textId="131D030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 xml:space="preserve">This instruction is supported by </w:t>
      </w:r>
      <w:r w:rsidRPr="00B538B9">
        <w:rPr>
          <w:rFonts w:eastAsia="Times New Roman"/>
          <w:b/>
          <w:bCs/>
          <w:sz w:val="24"/>
          <w:szCs w:val="24"/>
        </w:rPr>
        <w:t>Medema Homes, Inc. v. Lynn</w:t>
      </w:r>
      <w:r w:rsidRPr="00B538B9">
        <w:rPr>
          <w:rFonts w:eastAsia="Times New Roman"/>
          <w:bCs/>
          <w:sz w:val="24"/>
          <w:szCs w:val="24"/>
        </w:rPr>
        <w:t xml:space="preserve">, 647 P.2d 664 (Colo. 1982) (citing a former version of this instruction); </w:t>
      </w:r>
      <w:r w:rsidRPr="00B538B9">
        <w:rPr>
          <w:rFonts w:eastAsia="Times New Roman"/>
          <w:b/>
          <w:bCs/>
          <w:sz w:val="24"/>
          <w:szCs w:val="24"/>
        </w:rPr>
        <w:t>Minshall v. Case</w:t>
      </w:r>
      <w:r w:rsidRPr="00B538B9">
        <w:rPr>
          <w:rFonts w:eastAsia="Times New Roman"/>
          <w:bCs/>
          <w:sz w:val="24"/>
          <w:szCs w:val="24"/>
        </w:rPr>
        <w:t xml:space="preserve">, 148 Colo. 12, 364 P.2d 868 (1961); </w:t>
      </w:r>
      <w:r w:rsidR="007E4729" w:rsidRPr="00647C5D">
        <w:rPr>
          <w:rFonts w:eastAsia="Times New Roman"/>
          <w:b/>
          <w:bCs/>
          <w:sz w:val="24"/>
          <w:szCs w:val="24"/>
        </w:rPr>
        <w:t>Kroesen v. Shenandoah Homeowners Ass’n</w:t>
      </w:r>
      <w:r w:rsidR="007E4729" w:rsidRPr="00647C5D">
        <w:rPr>
          <w:rFonts w:eastAsia="Times New Roman"/>
          <w:bCs/>
          <w:sz w:val="24"/>
          <w:szCs w:val="24"/>
        </w:rPr>
        <w:t>, 2020 COA 31, ¶ 57, 461 P.3d 672, 682 (“The standard measure of damages for the breach of a contract for the sale of real estate is the difference between the contract price and the fair market value of the property at the time of the breach.”)</w:t>
      </w:r>
      <w:r w:rsidR="007E4729" w:rsidRPr="006C5791">
        <w:rPr>
          <w:rFonts w:eastAsia="Times New Roman"/>
          <w:bCs/>
          <w:sz w:val="24"/>
          <w:szCs w:val="24"/>
        </w:rPr>
        <w:t xml:space="preserve">; </w:t>
      </w:r>
      <w:r w:rsidRPr="00B538B9">
        <w:rPr>
          <w:rFonts w:eastAsia="Times New Roman"/>
          <w:bCs/>
          <w:sz w:val="24"/>
          <w:szCs w:val="24"/>
        </w:rPr>
        <w:t xml:space="preserve">and </w:t>
      </w:r>
      <w:r w:rsidRPr="00B538B9">
        <w:rPr>
          <w:rFonts w:eastAsia="Times New Roman"/>
          <w:b/>
          <w:bCs/>
          <w:sz w:val="24"/>
          <w:szCs w:val="24"/>
        </w:rPr>
        <w:t>Bennett v. Price</w:t>
      </w:r>
      <w:r w:rsidRPr="00B538B9">
        <w:rPr>
          <w:rFonts w:eastAsia="Times New Roman"/>
          <w:bCs/>
          <w:sz w:val="24"/>
          <w:szCs w:val="24"/>
        </w:rPr>
        <w:t>, 692 P.2d 1138 (Colo. App. 1984) (also adopts as the definition of market value the definition set out in the second paragraph of Instruction 36:3).</w:t>
      </w:r>
    </w:p>
    <w:p w14:paraId="51EE1190" w14:textId="77777777" w:rsidR="00B538B9" w:rsidRDefault="00B538B9">
      <w:pPr>
        <w:rPr>
          <w:rFonts w:eastAsia="Times New Roman"/>
          <w:bCs/>
          <w:sz w:val="24"/>
          <w:szCs w:val="24"/>
        </w:rPr>
      </w:pPr>
      <w:r>
        <w:rPr>
          <w:rFonts w:eastAsia="Times New Roman"/>
          <w:bCs/>
          <w:sz w:val="24"/>
          <w:szCs w:val="24"/>
        </w:rPr>
        <w:br w:type="page"/>
      </w:r>
    </w:p>
    <w:p w14:paraId="35249469" w14:textId="77777777" w:rsidR="00B538B9" w:rsidRPr="009E3DA4" w:rsidRDefault="00190BD9" w:rsidP="00B538B9">
      <w:pPr>
        <w:spacing w:after="240"/>
        <w:ind w:left="720" w:hanging="720"/>
        <w:rPr>
          <w:rFonts w:eastAsia="Times New Roman"/>
          <w:b/>
          <w:sz w:val="24"/>
          <w:szCs w:val="24"/>
        </w:rPr>
      </w:pPr>
      <w:bookmarkStart w:id="47" w:name="a30_43"/>
      <w:bookmarkEnd w:id="47"/>
      <w:r w:rsidRPr="00190BD9">
        <w:rPr>
          <w:rFonts w:eastAsia="Times New Roman"/>
          <w:b/>
          <w:bCs/>
          <w:sz w:val="24"/>
          <w:szCs w:val="24"/>
        </w:rPr>
        <w:lastRenderedPageBreak/>
        <w:t xml:space="preserve">30:43 </w:t>
      </w:r>
      <w:r w:rsidRPr="00190BD9">
        <w:rPr>
          <w:rFonts w:eastAsia="Times New Roman"/>
          <w:b/>
          <w:bCs/>
          <w:sz w:val="24"/>
          <w:szCs w:val="24"/>
        </w:rPr>
        <w:tab/>
        <w:t>DAMAGES ― SELLER’S FOR BREACH OF LAND PURCHASE CONTRACT</w:t>
      </w:r>
    </w:p>
    <w:p w14:paraId="575E447A"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(The amount of damages, if any, is the contract price minus the market value of the property at the time of the breach, minus any payments made by the defendant on the contract.)</w:t>
      </w:r>
    </w:p>
    <w:p w14:paraId="5675EF56" w14:textId="77777777" w:rsidR="00B538B9" w:rsidRDefault="00B538B9" w:rsidP="00B538B9">
      <w:pPr>
        <w:jc w:val="center"/>
        <w:rPr>
          <w:rFonts w:eastAsia="Times New Roman"/>
          <w:sz w:val="24"/>
          <w:szCs w:val="24"/>
        </w:rPr>
      </w:pPr>
    </w:p>
    <w:p w14:paraId="056B891E" w14:textId="77777777" w:rsidR="00B538B9" w:rsidRPr="0054263B" w:rsidRDefault="00B538B9" w:rsidP="00B538B9">
      <w:pPr>
        <w:keepNext/>
        <w:spacing w:after="240"/>
        <w:jc w:val="center"/>
        <w:rPr>
          <w:rFonts w:eastAsia="Times New Roman"/>
          <w:b/>
          <w:sz w:val="24"/>
          <w:szCs w:val="24"/>
        </w:rPr>
      </w:pPr>
      <w:r w:rsidRPr="0054263B">
        <w:rPr>
          <w:rFonts w:eastAsia="Times New Roman"/>
          <w:b/>
          <w:sz w:val="24"/>
          <w:szCs w:val="24"/>
        </w:rPr>
        <w:t>Notes on Use</w:t>
      </w:r>
    </w:p>
    <w:p w14:paraId="0977F355"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1. When applicable, this instruction should be used as the insertion in Instruction 30:38.</w:t>
      </w:r>
    </w:p>
    <w:p w14:paraId="59BEB687"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2. If there is no dispute that the defendant in fact made no payments on the contract, the clause relating to such payments should be omitted.</w:t>
      </w:r>
    </w:p>
    <w:p w14:paraId="046D5128"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3. When necessary, the definition of market value set out in the second paragraph of Instruction 36:3 may be given with this instruction.</w:t>
      </w:r>
    </w:p>
    <w:p w14:paraId="70CF2586" w14:textId="77777777" w:rsidR="00B538B9" w:rsidRPr="0054263B" w:rsidRDefault="00B538B9" w:rsidP="00B538B9">
      <w:pPr>
        <w:keepNext/>
        <w:spacing w:after="240"/>
        <w:jc w:val="center"/>
        <w:rPr>
          <w:rFonts w:eastAsia="Times New Roman"/>
          <w:b/>
          <w:sz w:val="24"/>
          <w:szCs w:val="24"/>
        </w:rPr>
      </w:pPr>
      <w:r>
        <w:rPr>
          <w:rFonts w:eastAsia="Times New Roman"/>
          <w:b/>
          <w:sz w:val="24"/>
          <w:szCs w:val="24"/>
        </w:rPr>
        <w:t>Source and Authority</w:t>
      </w:r>
    </w:p>
    <w:p w14:paraId="55DF7625"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This instruction is supported by </w:t>
      </w:r>
      <w:r w:rsidRPr="00190BD9">
        <w:rPr>
          <w:rFonts w:eastAsia="Times New Roman"/>
          <w:b/>
          <w:bCs/>
          <w:sz w:val="24"/>
          <w:szCs w:val="24"/>
        </w:rPr>
        <w:t>Watrous v. Hilliard</w:t>
      </w:r>
      <w:r w:rsidRPr="00190BD9">
        <w:rPr>
          <w:rFonts w:eastAsia="Times New Roman"/>
          <w:bCs/>
          <w:sz w:val="24"/>
          <w:szCs w:val="24"/>
        </w:rPr>
        <w:t xml:space="preserve">, 38 Colo. 255, 88 P. 185 (1906). </w:t>
      </w:r>
      <w:r w:rsidRPr="00190BD9">
        <w:rPr>
          <w:rFonts w:eastAsia="Times New Roman"/>
          <w:bCs/>
          <w:i/>
          <w:sz w:val="24"/>
          <w:szCs w:val="24"/>
        </w:rPr>
        <w:t>See also</w:t>
      </w:r>
      <w:r w:rsidRPr="00190BD9">
        <w:rPr>
          <w:rFonts w:eastAsia="Times New Roman"/>
          <w:bCs/>
          <w:sz w:val="24"/>
          <w:szCs w:val="24"/>
        </w:rPr>
        <w:t xml:space="preserve"> </w:t>
      </w:r>
      <w:r w:rsidRPr="00190BD9">
        <w:rPr>
          <w:rFonts w:eastAsia="Times New Roman"/>
          <w:b/>
          <w:bCs/>
          <w:sz w:val="24"/>
          <w:szCs w:val="24"/>
        </w:rPr>
        <w:t>Higbie v. Johnson</w:t>
      </w:r>
      <w:r w:rsidRPr="00190BD9">
        <w:rPr>
          <w:rFonts w:eastAsia="Times New Roman"/>
          <w:bCs/>
          <w:sz w:val="24"/>
          <w:szCs w:val="24"/>
        </w:rPr>
        <w:t xml:space="preserve">, 626 P.2d 1147 (Colo. App. 1980); </w:t>
      </w:r>
      <w:r w:rsidRPr="00190BD9">
        <w:rPr>
          <w:rFonts w:eastAsia="Times New Roman"/>
          <w:b/>
          <w:bCs/>
          <w:sz w:val="24"/>
          <w:szCs w:val="24"/>
        </w:rPr>
        <w:t>Sorenson v. Connelly</w:t>
      </w:r>
      <w:r w:rsidRPr="00190BD9">
        <w:rPr>
          <w:rFonts w:eastAsia="Times New Roman"/>
          <w:bCs/>
          <w:sz w:val="24"/>
          <w:szCs w:val="24"/>
        </w:rPr>
        <w:t xml:space="preserve">, 36 Colo. App. 168, 536 P.2d 328 (1975); </w:t>
      </w:r>
      <w:r w:rsidRPr="00190BD9">
        <w:rPr>
          <w:rFonts w:eastAsia="Times New Roman"/>
          <w:b/>
          <w:bCs/>
          <w:sz w:val="24"/>
          <w:szCs w:val="24"/>
        </w:rPr>
        <w:t>F. Poss Farms, Inc. v. Miller</w:t>
      </w:r>
      <w:r w:rsidRPr="00190BD9">
        <w:rPr>
          <w:rFonts w:eastAsia="Times New Roman"/>
          <w:bCs/>
          <w:sz w:val="24"/>
          <w:szCs w:val="24"/>
        </w:rPr>
        <w:t>,</w:t>
      </w:r>
      <w:r w:rsidRPr="00190BD9">
        <w:rPr>
          <w:rFonts w:eastAsia="Times New Roman"/>
          <w:b/>
          <w:bCs/>
          <w:sz w:val="24"/>
          <w:szCs w:val="24"/>
        </w:rPr>
        <w:t xml:space="preserve"> </w:t>
      </w:r>
      <w:r w:rsidRPr="00190BD9">
        <w:rPr>
          <w:rFonts w:eastAsia="Times New Roman"/>
          <w:bCs/>
          <w:sz w:val="24"/>
          <w:szCs w:val="24"/>
        </w:rPr>
        <w:t>35 Colo. App. 152, 529 P.2d 1343 (1974).</w:t>
      </w:r>
    </w:p>
    <w:p w14:paraId="78C45C01" w14:textId="77777777" w:rsidR="00190BD9" w:rsidRDefault="00190BD9">
      <w:pPr>
        <w:rPr>
          <w:rFonts w:eastAsia="Times New Roman"/>
          <w:bCs/>
          <w:sz w:val="24"/>
          <w:szCs w:val="24"/>
        </w:rPr>
      </w:pPr>
      <w:r>
        <w:rPr>
          <w:rFonts w:eastAsia="Times New Roman"/>
          <w:bCs/>
          <w:sz w:val="24"/>
          <w:szCs w:val="24"/>
        </w:rPr>
        <w:br w:type="page"/>
      </w:r>
    </w:p>
    <w:p w14:paraId="200A8827" w14:textId="77777777" w:rsidR="00190BD9" w:rsidRPr="009E3DA4" w:rsidRDefault="00190BD9" w:rsidP="00190BD9">
      <w:pPr>
        <w:spacing w:after="240"/>
        <w:ind w:left="720" w:hanging="720"/>
        <w:rPr>
          <w:rFonts w:eastAsia="Times New Roman"/>
          <w:b/>
          <w:sz w:val="24"/>
          <w:szCs w:val="24"/>
        </w:rPr>
      </w:pPr>
      <w:bookmarkStart w:id="48" w:name="a30_44"/>
      <w:bookmarkEnd w:id="48"/>
      <w:r w:rsidRPr="00190BD9">
        <w:rPr>
          <w:rFonts w:eastAsia="Times New Roman"/>
          <w:b/>
          <w:bCs/>
          <w:sz w:val="24"/>
          <w:szCs w:val="24"/>
        </w:rPr>
        <w:lastRenderedPageBreak/>
        <w:t xml:space="preserve">30:44 </w:t>
      </w:r>
      <w:r w:rsidRPr="00190BD9">
        <w:rPr>
          <w:rFonts w:eastAsia="Times New Roman"/>
          <w:b/>
          <w:bCs/>
          <w:sz w:val="24"/>
          <w:szCs w:val="24"/>
        </w:rPr>
        <w:tab/>
        <w:t>DAMAGES ― EMPLOYER’S FOR EMPLOYEE’S BREACH OF PERSONAL SERVICE CONTRACT</w:t>
      </w:r>
    </w:p>
    <w:p w14:paraId="4F160853"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(The amount of damages, if any, is the reasonable cost of comparable services minus the amount the plaintiff originally agreed to pay the defendant.)</w:t>
      </w:r>
    </w:p>
    <w:p w14:paraId="1B4A2EEC" w14:textId="77777777" w:rsidR="00190BD9" w:rsidRDefault="00190BD9" w:rsidP="00190BD9">
      <w:pPr>
        <w:jc w:val="center"/>
        <w:rPr>
          <w:rFonts w:eastAsia="Times New Roman"/>
          <w:sz w:val="24"/>
          <w:szCs w:val="24"/>
        </w:rPr>
      </w:pPr>
    </w:p>
    <w:p w14:paraId="07F6D440"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23395DCA"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When applicable, this instruction should be used as the insertion in Instruction 30:38.</w:t>
      </w:r>
    </w:p>
    <w:p w14:paraId="6ACFCD3F"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t>Source and Authority</w:t>
      </w:r>
    </w:p>
    <w:p w14:paraId="4101D2F0"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This instruction is supported by </w:t>
      </w:r>
      <w:r w:rsidRPr="00190BD9">
        <w:rPr>
          <w:rFonts w:eastAsia="Times New Roman"/>
          <w:b/>
          <w:bCs/>
          <w:sz w:val="24"/>
          <w:szCs w:val="24"/>
        </w:rPr>
        <w:t>Cannon Coal Co. v. Taggart</w:t>
      </w:r>
      <w:r w:rsidRPr="00190BD9">
        <w:rPr>
          <w:rFonts w:eastAsia="Times New Roman"/>
          <w:bCs/>
          <w:sz w:val="24"/>
          <w:szCs w:val="24"/>
        </w:rPr>
        <w:t>, 1 Colo. App. 60, 27 P. 238 (1891).</w:t>
      </w:r>
    </w:p>
    <w:p w14:paraId="7E060E23" w14:textId="77777777" w:rsidR="00190BD9" w:rsidRDefault="00190BD9">
      <w:pPr>
        <w:rPr>
          <w:rFonts w:eastAsia="Times New Roman"/>
          <w:bCs/>
          <w:sz w:val="24"/>
          <w:szCs w:val="24"/>
        </w:rPr>
      </w:pPr>
      <w:r>
        <w:rPr>
          <w:rFonts w:eastAsia="Times New Roman"/>
          <w:bCs/>
          <w:sz w:val="24"/>
          <w:szCs w:val="24"/>
        </w:rPr>
        <w:br w:type="page"/>
      </w:r>
    </w:p>
    <w:p w14:paraId="49594375" w14:textId="77777777" w:rsidR="00190BD9" w:rsidRPr="009E3DA4" w:rsidRDefault="00190BD9" w:rsidP="00190BD9">
      <w:pPr>
        <w:spacing w:after="240"/>
        <w:ind w:left="720" w:hanging="720"/>
        <w:rPr>
          <w:rFonts w:eastAsia="Times New Roman"/>
          <w:b/>
          <w:sz w:val="24"/>
          <w:szCs w:val="24"/>
        </w:rPr>
      </w:pPr>
      <w:bookmarkStart w:id="49" w:name="a30_45"/>
      <w:bookmarkEnd w:id="49"/>
      <w:r w:rsidRPr="00190BD9">
        <w:rPr>
          <w:rFonts w:eastAsia="Times New Roman"/>
          <w:b/>
          <w:bCs/>
          <w:sz w:val="24"/>
          <w:szCs w:val="24"/>
        </w:rPr>
        <w:lastRenderedPageBreak/>
        <w:t xml:space="preserve">30:45 </w:t>
      </w:r>
      <w:r w:rsidRPr="00190BD9">
        <w:rPr>
          <w:rFonts w:eastAsia="Times New Roman"/>
          <w:b/>
          <w:bCs/>
          <w:sz w:val="24"/>
          <w:szCs w:val="24"/>
        </w:rPr>
        <w:tab/>
        <w:t>DAMAGES ― BUILDER’S FOR BREACH OF CONSTRUCTION CONTRACT BY OWNER PRIOR TO COMPLETION</w:t>
      </w:r>
    </w:p>
    <w:p w14:paraId="007DCB54"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(The contract price agreed upon by the parties:</w:t>
      </w:r>
    </w:p>
    <w:p w14:paraId="74EE1799"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(a) minus any payments made by the defendant on the contract; and</w:t>
      </w:r>
    </w:p>
    <w:p w14:paraId="6D0C50BA" w14:textId="570B902B"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 xml:space="preserve">(b) minus what it would have cost the plaintiff if </w:t>
      </w:r>
      <w:r w:rsidR="004F22EF">
        <w:rPr>
          <w:rFonts w:eastAsia="Times New Roman"/>
          <w:i/>
          <w:iCs/>
          <w:sz w:val="24"/>
          <w:szCs w:val="24"/>
        </w:rPr>
        <w:t>[</w:t>
      </w:r>
      <w:r w:rsidR="004F22EF" w:rsidRPr="0070684C">
        <w:rPr>
          <w:rFonts w:eastAsia="Times New Roman"/>
          <w:i/>
          <w:iCs/>
          <w:sz w:val="24"/>
          <w:szCs w:val="24"/>
        </w:rPr>
        <w:t>insert applicable pronoun</w:t>
      </w:r>
      <w:r w:rsidR="004F22EF">
        <w:rPr>
          <w:rFonts w:eastAsia="Times New Roman"/>
          <w:i/>
          <w:iCs/>
          <w:sz w:val="24"/>
          <w:szCs w:val="24"/>
        </w:rPr>
        <w:t>]</w:t>
      </w:r>
      <w:r w:rsidRPr="00190BD9">
        <w:rPr>
          <w:rFonts w:eastAsia="Times New Roman"/>
          <w:b/>
          <w:bCs/>
          <w:sz w:val="24"/>
          <w:szCs w:val="24"/>
        </w:rPr>
        <w:t xml:space="preserve"> had completed the </w:t>
      </w:r>
      <w:r w:rsidRPr="00190BD9">
        <w:rPr>
          <w:rFonts w:eastAsia="Times New Roman"/>
          <w:bCs/>
          <w:i/>
          <w:sz w:val="24"/>
          <w:szCs w:val="24"/>
        </w:rPr>
        <w:t>[describe the subject matter of the contract]</w:t>
      </w:r>
      <w:r w:rsidRPr="00190BD9">
        <w:rPr>
          <w:rFonts w:eastAsia="Times New Roman"/>
          <w:b/>
          <w:bCs/>
          <w:sz w:val="24"/>
          <w:szCs w:val="24"/>
        </w:rPr>
        <w:t xml:space="preserve"> according to the contract.)</w:t>
      </w:r>
    </w:p>
    <w:p w14:paraId="0C81D69A" w14:textId="77777777" w:rsidR="00190BD9" w:rsidRDefault="00190BD9" w:rsidP="00190BD9">
      <w:pPr>
        <w:jc w:val="center"/>
        <w:rPr>
          <w:rFonts w:eastAsia="Times New Roman"/>
          <w:sz w:val="24"/>
          <w:szCs w:val="24"/>
        </w:rPr>
      </w:pPr>
    </w:p>
    <w:p w14:paraId="6C127C21"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1C30E1F2"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1. When applicable, this instruction should be used as the insertion in Instruction 30:38.</w:t>
      </w:r>
    </w:p>
    <w:p w14:paraId="1A58C062"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2. If there is no dispute that the defendant has made no payments on the contract, clause (a) should be omitted.</w:t>
      </w:r>
    </w:p>
    <w:p w14:paraId="59D91D4E"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3. If necessary, Instruction 30:47 defining “agreed-upon contract price” should be given with this instruction.</w:t>
      </w:r>
    </w:p>
    <w:p w14:paraId="794631E4"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4. Also, if necessary, another instruction stating what factors should be considered in determining the builder’s cost of completion should be given.</w:t>
      </w:r>
    </w:p>
    <w:p w14:paraId="14F50200"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5. In a few cases, the builder’s damages may be the amount of the builder’s reasonable expenditures incurred prior to the time of the breach by the owner. In those cases, the instruction should be modified accordingly. Two such situations are when (a) the owner has repudiated the contract or the owner’s breach was such as to amount to a repudiation, thereby giving the builder the alternative restitutional remedy of </w:t>
      </w:r>
      <w:r w:rsidRPr="00190BD9">
        <w:rPr>
          <w:rFonts w:eastAsia="Times New Roman"/>
          <w:bCs/>
          <w:i/>
          <w:sz w:val="24"/>
          <w:szCs w:val="24"/>
        </w:rPr>
        <w:t>quantum meruit</w:t>
      </w:r>
      <w:r w:rsidRPr="00190BD9">
        <w:rPr>
          <w:rFonts w:eastAsia="Times New Roman"/>
          <w:bCs/>
          <w:sz w:val="24"/>
          <w:szCs w:val="24"/>
        </w:rPr>
        <w:t xml:space="preserve">, or (b) the plaintiff is unable to prove the cost of completing the contract. </w:t>
      </w:r>
      <w:r w:rsidRPr="00190BD9">
        <w:rPr>
          <w:rFonts w:eastAsia="Times New Roman"/>
          <w:bCs/>
          <w:i/>
          <w:sz w:val="24"/>
          <w:szCs w:val="24"/>
        </w:rPr>
        <w:t>See</w:t>
      </w:r>
      <w:r w:rsidRPr="00190BD9">
        <w:rPr>
          <w:rFonts w:eastAsia="Times New Roman"/>
          <w:bCs/>
          <w:sz w:val="24"/>
          <w:szCs w:val="24"/>
        </w:rPr>
        <w:t xml:space="preserve"> 11 </w:t>
      </w:r>
      <w:r w:rsidRPr="00190BD9">
        <w:rPr>
          <w:rFonts w:eastAsia="Times New Roman"/>
          <w:bCs/>
          <w:smallCaps/>
          <w:sz w:val="24"/>
          <w:szCs w:val="24"/>
        </w:rPr>
        <w:t>Joseph M. Perillo, Corbin on Contracts</w:t>
      </w:r>
      <w:r w:rsidRPr="00190BD9">
        <w:rPr>
          <w:rFonts w:eastAsia="Times New Roman"/>
          <w:bCs/>
          <w:sz w:val="24"/>
          <w:szCs w:val="24"/>
        </w:rPr>
        <w:t xml:space="preserve"> § 60.6 (rev. ed. 2005); </w:t>
      </w:r>
      <w:r w:rsidRPr="00190BD9">
        <w:rPr>
          <w:rFonts w:eastAsia="Times New Roman"/>
          <w:bCs/>
          <w:smallCaps/>
          <w:sz w:val="24"/>
          <w:szCs w:val="24"/>
        </w:rPr>
        <w:t>McCormick, Damages</w:t>
      </w:r>
      <w:r w:rsidRPr="00190BD9">
        <w:rPr>
          <w:rFonts w:eastAsia="Times New Roman"/>
          <w:bCs/>
          <w:sz w:val="24"/>
          <w:szCs w:val="24"/>
        </w:rPr>
        <w:t xml:space="preserve"> §§ 164-166 (1935).</w:t>
      </w:r>
    </w:p>
    <w:p w14:paraId="165A6B61"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6. When the builder has fully performed the contract, the builder’s measure of damages is the agreed-upon contract price. </w:t>
      </w:r>
      <w:r w:rsidRPr="00190BD9">
        <w:rPr>
          <w:rFonts w:eastAsia="Times New Roman"/>
          <w:bCs/>
          <w:smallCaps/>
          <w:sz w:val="24"/>
          <w:szCs w:val="24"/>
        </w:rPr>
        <w:t>Corbin on Contracts</w:t>
      </w:r>
      <w:r w:rsidRPr="00190BD9">
        <w:rPr>
          <w:rFonts w:eastAsia="Times New Roman"/>
          <w:bCs/>
          <w:sz w:val="24"/>
          <w:szCs w:val="24"/>
        </w:rPr>
        <w:t xml:space="preserve">, </w:t>
      </w:r>
      <w:r w:rsidRPr="00190BD9">
        <w:rPr>
          <w:rFonts w:eastAsia="Times New Roman"/>
          <w:bCs/>
          <w:i/>
          <w:sz w:val="24"/>
          <w:szCs w:val="24"/>
        </w:rPr>
        <w:t>supra</w:t>
      </w:r>
      <w:r w:rsidRPr="00190BD9">
        <w:rPr>
          <w:rFonts w:eastAsia="Times New Roman"/>
          <w:bCs/>
          <w:sz w:val="24"/>
          <w:szCs w:val="24"/>
        </w:rPr>
        <w:t>, at § 60.6. The measure of damages when the builder has substantially performed is set out in Instruction 30:46.</w:t>
      </w:r>
    </w:p>
    <w:p w14:paraId="25D6369D"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t>Source and Authority</w:t>
      </w:r>
    </w:p>
    <w:p w14:paraId="25F9FEBA" w14:textId="77777777" w:rsidR="00190BD9" w:rsidRDefault="00190BD9" w:rsidP="00190BD9">
      <w:pPr>
        <w:spacing w:after="240"/>
        <w:ind w:firstLine="720"/>
      </w:pPr>
      <w:r w:rsidRPr="00190BD9">
        <w:rPr>
          <w:rFonts w:eastAsia="Times New Roman"/>
          <w:bCs/>
          <w:sz w:val="24"/>
          <w:szCs w:val="24"/>
        </w:rPr>
        <w:t xml:space="preserve">This instruction is supported by </w:t>
      </w:r>
      <w:r w:rsidRPr="00190BD9">
        <w:rPr>
          <w:rFonts w:eastAsia="Times New Roman"/>
          <w:b/>
          <w:bCs/>
          <w:sz w:val="24"/>
          <w:szCs w:val="24"/>
        </w:rPr>
        <w:t>Gundersons, Inc. v. Tull</w:t>
      </w:r>
      <w:r w:rsidRPr="00190BD9">
        <w:rPr>
          <w:rFonts w:eastAsia="Times New Roman"/>
          <w:bCs/>
          <w:sz w:val="24"/>
          <w:szCs w:val="24"/>
        </w:rPr>
        <w:t xml:space="preserve">, 678 P.2d 1061 (Colo. App. 1983) (in proving lost profits in the form of the out-of-bargain measure of contract damages, once the fact of damage has been proved, uncertainty as to amount of damages will not bar recovery), </w:t>
      </w:r>
      <w:r w:rsidRPr="00190BD9">
        <w:rPr>
          <w:rFonts w:eastAsia="Times New Roman"/>
          <w:bCs/>
          <w:i/>
          <w:sz w:val="24"/>
          <w:szCs w:val="24"/>
        </w:rPr>
        <w:t>rev’d on other grounds</w:t>
      </w:r>
      <w:r w:rsidRPr="00190BD9">
        <w:rPr>
          <w:rFonts w:eastAsia="Times New Roman"/>
          <w:bCs/>
          <w:sz w:val="24"/>
          <w:szCs w:val="24"/>
        </w:rPr>
        <w:t xml:space="preserve">, 709 P.2d 940 (Colo. 1985); </w:t>
      </w:r>
      <w:r w:rsidRPr="00190BD9">
        <w:rPr>
          <w:rFonts w:eastAsia="Times New Roman"/>
          <w:b/>
          <w:bCs/>
          <w:sz w:val="24"/>
          <w:szCs w:val="24"/>
        </w:rPr>
        <w:t>Bruce Hughes, Inc. v. Ingels &amp; Associates, Inc.</w:t>
      </w:r>
      <w:r w:rsidRPr="00190BD9">
        <w:rPr>
          <w:rFonts w:eastAsia="Times New Roman"/>
          <w:bCs/>
          <w:sz w:val="24"/>
          <w:szCs w:val="24"/>
        </w:rPr>
        <w:t>,</w:t>
      </w:r>
      <w:r w:rsidRPr="00190BD9">
        <w:rPr>
          <w:rFonts w:eastAsia="Times New Roman"/>
          <w:b/>
          <w:bCs/>
          <w:sz w:val="24"/>
          <w:szCs w:val="24"/>
        </w:rPr>
        <w:t xml:space="preserve"> </w:t>
      </w:r>
      <w:r w:rsidRPr="00190BD9">
        <w:rPr>
          <w:rFonts w:eastAsia="Times New Roman"/>
          <w:bCs/>
          <w:sz w:val="24"/>
          <w:szCs w:val="24"/>
        </w:rPr>
        <w:t xml:space="preserve">653 P.2d 88 (Colo. App. 1982) (citing and approving the giving of this instruction); </w:t>
      </w:r>
      <w:r w:rsidRPr="00190BD9">
        <w:rPr>
          <w:rFonts w:eastAsia="Times New Roman"/>
          <w:b/>
          <w:bCs/>
          <w:sz w:val="24"/>
          <w:szCs w:val="24"/>
        </w:rPr>
        <w:t>Jasken v. Sheehy Construction Co.</w:t>
      </w:r>
      <w:r w:rsidRPr="00190BD9">
        <w:rPr>
          <w:rFonts w:eastAsia="Times New Roman"/>
          <w:bCs/>
          <w:sz w:val="24"/>
          <w:szCs w:val="24"/>
        </w:rPr>
        <w:t xml:space="preserve">, 642 P.2d 58 (Colo. App. 1982) (subcontractor entitled to same measure of damages for wrongful termination by contractor of construction subcontract); and </w:t>
      </w:r>
      <w:r w:rsidRPr="00190BD9">
        <w:rPr>
          <w:rFonts w:eastAsia="Times New Roman"/>
          <w:b/>
          <w:bCs/>
          <w:sz w:val="24"/>
          <w:szCs w:val="24"/>
        </w:rPr>
        <w:t>Comfort Homes, Inc. v. Peterson</w:t>
      </w:r>
      <w:r w:rsidRPr="00190BD9">
        <w:rPr>
          <w:rFonts w:eastAsia="Times New Roman"/>
          <w:bCs/>
          <w:sz w:val="24"/>
          <w:szCs w:val="24"/>
        </w:rPr>
        <w:t>,</w:t>
      </w:r>
      <w:r w:rsidRPr="00190BD9">
        <w:rPr>
          <w:rFonts w:eastAsia="Times New Roman"/>
          <w:b/>
          <w:bCs/>
          <w:sz w:val="24"/>
          <w:szCs w:val="24"/>
        </w:rPr>
        <w:t xml:space="preserve"> </w:t>
      </w:r>
      <w:r w:rsidRPr="00190BD9">
        <w:rPr>
          <w:rFonts w:eastAsia="Times New Roman"/>
          <w:bCs/>
          <w:sz w:val="24"/>
          <w:szCs w:val="24"/>
        </w:rPr>
        <w:t>37 Colo. App. 516, 549 P.2d 1087 (1976) (citing former version of this instruction and applying the rule stated).</w:t>
      </w:r>
      <w:r>
        <w:br w:type="page"/>
      </w:r>
    </w:p>
    <w:p w14:paraId="02ADE94F" w14:textId="77777777" w:rsidR="00190BD9" w:rsidRPr="009E3DA4" w:rsidRDefault="00190BD9" w:rsidP="00190BD9">
      <w:pPr>
        <w:spacing w:after="240"/>
        <w:ind w:left="720" w:hanging="720"/>
        <w:rPr>
          <w:rFonts w:eastAsia="Times New Roman"/>
          <w:b/>
          <w:sz w:val="24"/>
          <w:szCs w:val="24"/>
        </w:rPr>
      </w:pPr>
      <w:bookmarkStart w:id="50" w:name="a30_46"/>
      <w:bookmarkEnd w:id="50"/>
      <w:r w:rsidRPr="00190BD9">
        <w:rPr>
          <w:rFonts w:eastAsia="Times New Roman"/>
          <w:b/>
          <w:bCs/>
          <w:sz w:val="24"/>
          <w:szCs w:val="24"/>
        </w:rPr>
        <w:lastRenderedPageBreak/>
        <w:t xml:space="preserve">30:46 </w:t>
      </w:r>
      <w:r w:rsidRPr="00190BD9">
        <w:rPr>
          <w:rFonts w:eastAsia="Times New Roman"/>
          <w:b/>
          <w:bCs/>
          <w:sz w:val="24"/>
          <w:szCs w:val="24"/>
        </w:rPr>
        <w:tab/>
        <w:t>DAMAGES ― BUILDER’S FOR SUBSTANTIAL THOUGH NOT COMPLETE PERFORMANCE OF CONSTRUCTION CONTRACT</w:t>
      </w:r>
    </w:p>
    <w:p w14:paraId="64DC36F7"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(The contract price agreed to by the parties:</w:t>
      </w:r>
    </w:p>
    <w:p w14:paraId="6F359592"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(a) minus any payments made by the defendant, and</w:t>
      </w:r>
    </w:p>
    <w:p w14:paraId="75B7EBD6"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 xml:space="preserve">(b) minus the reasonable cost to the defendant of putting the </w:t>
      </w:r>
      <w:r w:rsidRPr="00190BD9">
        <w:rPr>
          <w:rFonts w:eastAsia="Times New Roman"/>
          <w:bCs/>
          <w:i/>
          <w:sz w:val="24"/>
          <w:szCs w:val="24"/>
        </w:rPr>
        <w:t>[describe the subject matter of the contract]</w:t>
      </w:r>
      <w:r w:rsidRPr="00190BD9">
        <w:rPr>
          <w:rFonts w:eastAsia="Times New Roman"/>
          <w:b/>
          <w:bCs/>
          <w:sz w:val="24"/>
          <w:szCs w:val="24"/>
        </w:rPr>
        <w:t xml:space="preserve"> in the condition it would have been in had the contract been performed according to its terms.)</w:t>
      </w:r>
    </w:p>
    <w:p w14:paraId="2BDF5CDE" w14:textId="77777777" w:rsidR="00190BD9" w:rsidRDefault="00190BD9" w:rsidP="00190BD9">
      <w:pPr>
        <w:jc w:val="center"/>
        <w:rPr>
          <w:rFonts w:eastAsia="Times New Roman"/>
          <w:sz w:val="24"/>
          <w:szCs w:val="24"/>
        </w:rPr>
      </w:pPr>
    </w:p>
    <w:p w14:paraId="32FA6852"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4B80EA0E"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1. When applicable, this instruction is to be used as the insertion in Instruction 30:38.</w:t>
      </w:r>
    </w:p>
    <w:p w14:paraId="2B9FF3E1"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2. Normally, in a construction contract, the full or at least substantial performance by the builder is a condition precedent to the builder’s right to recover against the owner on the contract. If the owner, pursuant to C.R.C.P. 9(c), has pleaded the lack of complete performance as the nonperformance of such a condition precedent, then the builder must prove either complete or substantial performance. </w:t>
      </w:r>
      <w:r w:rsidRPr="00190BD9">
        <w:rPr>
          <w:rFonts w:eastAsia="Times New Roman"/>
          <w:bCs/>
          <w:i/>
          <w:sz w:val="24"/>
          <w:szCs w:val="24"/>
        </w:rPr>
        <w:t>See</w:t>
      </w:r>
      <w:r w:rsidRPr="00190BD9">
        <w:rPr>
          <w:rFonts w:eastAsia="Times New Roman"/>
          <w:bCs/>
          <w:sz w:val="24"/>
          <w:szCs w:val="24"/>
        </w:rPr>
        <w:t xml:space="preserve"> Note 1 of the Notes on Use to Instruction 30:10 and Instruction 30:11 (defining “substantial performance”). This instruction is applicable to these cases and may be given as worded if there is no dispute as to the fact that the plaintiff, at most, rendered only substantial performance. However, if the plaintiff claims full performance and there is supporting evidence for the plaintiff’s claim, then this instruction should be appropriately modified so that it is clear to the jury that clause (b) applies only if they find the plaintiff rendered substantial performance as opposed to complete or full performance. Also, where clause (b) is applicable, while the burden of proving at least substantial performance is on the plaintiff, the burden of proving the cost of completing performance may in certain circumstances be on the defendant. In these circumstances, an additional instruction on this point should be given to the jury. </w:t>
      </w:r>
      <w:r w:rsidRPr="00190BD9">
        <w:rPr>
          <w:rFonts w:eastAsia="Times New Roman"/>
          <w:bCs/>
          <w:i/>
          <w:sz w:val="24"/>
          <w:szCs w:val="24"/>
        </w:rPr>
        <w:t xml:space="preserve">See </w:t>
      </w:r>
      <w:r w:rsidRPr="00190BD9">
        <w:rPr>
          <w:rFonts w:eastAsia="Times New Roman"/>
          <w:b/>
          <w:bCs/>
          <w:sz w:val="24"/>
          <w:szCs w:val="24"/>
        </w:rPr>
        <w:t>Zambakian v. Leson</w:t>
      </w:r>
      <w:r w:rsidRPr="00190BD9">
        <w:rPr>
          <w:rFonts w:eastAsia="Times New Roman"/>
          <w:bCs/>
          <w:sz w:val="24"/>
          <w:szCs w:val="24"/>
        </w:rPr>
        <w:t xml:space="preserve">, 79 Colo. 350, 246 P. 268 (1926); </w:t>
      </w:r>
      <w:r w:rsidRPr="00190BD9">
        <w:rPr>
          <w:rFonts w:eastAsia="Times New Roman"/>
          <w:b/>
          <w:bCs/>
          <w:sz w:val="24"/>
          <w:szCs w:val="24"/>
        </w:rPr>
        <w:t>Morris v. Hokosona</w:t>
      </w:r>
      <w:r w:rsidRPr="00190BD9">
        <w:rPr>
          <w:rFonts w:eastAsia="Times New Roman"/>
          <w:bCs/>
          <w:sz w:val="24"/>
          <w:szCs w:val="24"/>
        </w:rPr>
        <w:t>, 26 Colo. App. 251, 143 P. 826 (1914).</w:t>
      </w:r>
    </w:p>
    <w:p w14:paraId="325BBB95"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3. Even though the builder may not have rendered substantial performance and, therefore, cannot recover on the express contract, the builder may nonetheless be entitled to recover for the reasonable value of his or her services on the theory of </w:t>
      </w:r>
      <w:r w:rsidRPr="00190BD9">
        <w:rPr>
          <w:rFonts w:eastAsia="Times New Roman"/>
          <w:bCs/>
          <w:i/>
          <w:sz w:val="24"/>
          <w:szCs w:val="24"/>
        </w:rPr>
        <w:t>quantum meruit</w:t>
      </w:r>
      <w:r w:rsidRPr="00190BD9">
        <w:rPr>
          <w:rFonts w:eastAsia="Times New Roman"/>
          <w:bCs/>
          <w:sz w:val="24"/>
          <w:szCs w:val="24"/>
        </w:rPr>
        <w:t xml:space="preserve">, less any damages resulting to the other party because of the builder’s breach. </w:t>
      </w:r>
      <w:r w:rsidRPr="00190BD9">
        <w:rPr>
          <w:rFonts w:eastAsia="Times New Roman"/>
          <w:bCs/>
          <w:i/>
          <w:sz w:val="24"/>
          <w:szCs w:val="24"/>
        </w:rPr>
        <w:t>See</w:t>
      </w:r>
      <w:r w:rsidRPr="00190BD9">
        <w:rPr>
          <w:rFonts w:eastAsia="Times New Roman"/>
          <w:bCs/>
          <w:sz w:val="24"/>
          <w:szCs w:val="24"/>
        </w:rPr>
        <w:t xml:space="preserve"> </w:t>
      </w:r>
      <w:r w:rsidRPr="00190BD9">
        <w:rPr>
          <w:rFonts w:eastAsia="Times New Roman"/>
          <w:b/>
          <w:bCs/>
          <w:sz w:val="24"/>
          <w:szCs w:val="24"/>
        </w:rPr>
        <w:t>Reynolds v. Armstead</w:t>
      </w:r>
      <w:r w:rsidRPr="00190BD9">
        <w:rPr>
          <w:rFonts w:eastAsia="Times New Roman"/>
          <w:bCs/>
          <w:sz w:val="24"/>
          <w:szCs w:val="24"/>
        </w:rPr>
        <w:t xml:space="preserve">, 166 Colo. 372, 443 P.2d 990 (1968); </w:t>
      </w:r>
      <w:r w:rsidRPr="00190BD9">
        <w:rPr>
          <w:rFonts w:eastAsia="Times New Roman"/>
          <w:b/>
          <w:bCs/>
          <w:sz w:val="24"/>
          <w:szCs w:val="24"/>
        </w:rPr>
        <w:t>Denver Ventures, Inc. v. Arlington Lane Corp.</w:t>
      </w:r>
      <w:r w:rsidRPr="00190BD9">
        <w:rPr>
          <w:rFonts w:eastAsia="Times New Roman"/>
          <w:bCs/>
          <w:sz w:val="24"/>
          <w:szCs w:val="24"/>
        </w:rPr>
        <w:t>, 754 P.2d 785 (Colo. App. 1988).</w:t>
      </w:r>
    </w:p>
    <w:p w14:paraId="0438097E"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4. If there is no dispute that the defendant has made no payments on the contract, clause (a) should be omitted.</w:t>
      </w:r>
    </w:p>
    <w:p w14:paraId="74D0C963"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5. If the application of clause (b) by the jury would result in unreasonable economic waste, for example, the cost of substituting the specified brand of water pipe for that which the plaintiff did install, that was virtually identical, this instruction must be appropriately modified. </w:t>
      </w:r>
      <w:r w:rsidRPr="00190BD9">
        <w:rPr>
          <w:rFonts w:eastAsia="Times New Roman"/>
          <w:bCs/>
          <w:i/>
          <w:sz w:val="24"/>
          <w:szCs w:val="24"/>
        </w:rPr>
        <w:t>See</w:t>
      </w:r>
      <w:r w:rsidRPr="00190BD9">
        <w:rPr>
          <w:rFonts w:eastAsia="Times New Roman"/>
          <w:bCs/>
          <w:sz w:val="24"/>
          <w:szCs w:val="24"/>
        </w:rPr>
        <w:t xml:space="preserve"> </w:t>
      </w:r>
      <w:r w:rsidRPr="00190BD9">
        <w:rPr>
          <w:rFonts w:eastAsia="Times New Roman"/>
          <w:b/>
          <w:bCs/>
          <w:sz w:val="24"/>
          <w:szCs w:val="24"/>
        </w:rPr>
        <w:t>Campbell v. Koin</w:t>
      </w:r>
      <w:r w:rsidRPr="00190BD9">
        <w:rPr>
          <w:rFonts w:eastAsia="Times New Roman"/>
          <w:bCs/>
          <w:sz w:val="24"/>
          <w:szCs w:val="24"/>
        </w:rPr>
        <w:t>, 154 Colo. 425, 391 P.2d 365 (1964).</w:t>
      </w:r>
    </w:p>
    <w:p w14:paraId="08CAD806"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lastRenderedPageBreak/>
        <w:t>Source and Authority</w:t>
      </w:r>
    </w:p>
    <w:p w14:paraId="68CE17CC"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This instruction is supported by </w:t>
      </w:r>
      <w:r w:rsidRPr="00190BD9">
        <w:rPr>
          <w:rFonts w:eastAsia="Times New Roman"/>
          <w:b/>
          <w:bCs/>
          <w:sz w:val="24"/>
          <w:szCs w:val="24"/>
        </w:rPr>
        <w:t>Campbell</w:t>
      </w:r>
      <w:r w:rsidRPr="00190BD9">
        <w:rPr>
          <w:rFonts w:eastAsia="Times New Roman"/>
          <w:bCs/>
          <w:sz w:val="24"/>
          <w:szCs w:val="24"/>
        </w:rPr>
        <w:t xml:space="preserve">, 154 Colo. at 429-30, 391 P.2d at 367 (citing several earlier cases). </w:t>
      </w:r>
      <w:r w:rsidRPr="00190BD9">
        <w:rPr>
          <w:rFonts w:eastAsia="Times New Roman"/>
          <w:bCs/>
          <w:i/>
          <w:sz w:val="24"/>
          <w:szCs w:val="24"/>
        </w:rPr>
        <w:t xml:space="preserve">See also </w:t>
      </w:r>
      <w:r w:rsidRPr="00190BD9">
        <w:rPr>
          <w:rFonts w:eastAsia="Times New Roman"/>
          <w:b/>
          <w:bCs/>
          <w:sz w:val="24"/>
          <w:szCs w:val="24"/>
        </w:rPr>
        <w:t>Houy v. Davis Oil Co.</w:t>
      </w:r>
      <w:r w:rsidRPr="00190BD9">
        <w:rPr>
          <w:rFonts w:eastAsia="Times New Roman"/>
          <w:bCs/>
          <w:sz w:val="24"/>
          <w:szCs w:val="24"/>
        </w:rPr>
        <w:t xml:space="preserve">, 175 Colo. 180, 486 P.2d 18 (1971); </w:t>
      </w:r>
      <w:r w:rsidRPr="00190BD9">
        <w:rPr>
          <w:rFonts w:eastAsia="Times New Roman"/>
          <w:b/>
          <w:bCs/>
          <w:sz w:val="24"/>
          <w:szCs w:val="24"/>
        </w:rPr>
        <w:t>Little Thompson Water Ass’n v. Strawn</w:t>
      </w:r>
      <w:r w:rsidRPr="00190BD9">
        <w:rPr>
          <w:rFonts w:eastAsia="Times New Roman"/>
          <w:bCs/>
          <w:sz w:val="24"/>
          <w:szCs w:val="24"/>
        </w:rPr>
        <w:t>, 171 Colo. 295, 466 P.2d 915 (1970) (involving a service contract rather than a construction contract).</w:t>
      </w:r>
    </w:p>
    <w:p w14:paraId="4573E119" w14:textId="77777777" w:rsidR="00190BD9" w:rsidRDefault="00190BD9">
      <w:pPr>
        <w:rPr>
          <w:rFonts w:eastAsia="Times New Roman"/>
          <w:bCs/>
          <w:sz w:val="24"/>
          <w:szCs w:val="24"/>
        </w:rPr>
      </w:pPr>
      <w:r>
        <w:rPr>
          <w:rFonts w:eastAsia="Times New Roman"/>
          <w:bCs/>
          <w:sz w:val="24"/>
          <w:szCs w:val="24"/>
        </w:rPr>
        <w:br w:type="page"/>
      </w:r>
    </w:p>
    <w:p w14:paraId="098F5CD1" w14:textId="77777777" w:rsidR="00190BD9" w:rsidRPr="009E3DA4" w:rsidRDefault="00190BD9" w:rsidP="00190BD9">
      <w:pPr>
        <w:spacing w:after="240"/>
        <w:ind w:left="720" w:hanging="720"/>
        <w:rPr>
          <w:rFonts w:eastAsia="Times New Roman"/>
          <w:b/>
          <w:sz w:val="24"/>
          <w:szCs w:val="24"/>
        </w:rPr>
      </w:pPr>
      <w:bookmarkStart w:id="51" w:name="a30_47"/>
      <w:bookmarkEnd w:id="51"/>
      <w:r w:rsidRPr="00190BD9">
        <w:rPr>
          <w:rFonts w:eastAsia="Times New Roman"/>
          <w:b/>
          <w:bCs/>
          <w:sz w:val="24"/>
          <w:szCs w:val="24"/>
        </w:rPr>
        <w:lastRenderedPageBreak/>
        <w:t xml:space="preserve">30:47 </w:t>
      </w:r>
      <w:r w:rsidRPr="00190BD9">
        <w:rPr>
          <w:rFonts w:eastAsia="Times New Roman"/>
          <w:b/>
          <w:bCs/>
          <w:sz w:val="24"/>
          <w:szCs w:val="24"/>
        </w:rPr>
        <w:tab/>
        <w:t>DEFINITION ― CONTRACT PRICE AGREED UPON</w:t>
      </w:r>
    </w:p>
    <w:p w14:paraId="5BE88482"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The contract price agreed upon by the parties means the price originally agreed to in the contract, plus or minus adjustments for any later changes agreed to by the parties.</w:t>
      </w:r>
    </w:p>
    <w:p w14:paraId="02304D1E" w14:textId="77777777" w:rsidR="00190BD9" w:rsidRDefault="00190BD9" w:rsidP="00190BD9">
      <w:pPr>
        <w:jc w:val="center"/>
        <w:rPr>
          <w:rFonts w:eastAsia="Times New Roman"/>
          <w:sz w:val="24"/>
          <w:szCs w:val="24"/>
        </w:rPr>
      </w:pPr>
    </w:p>
    <w:p w14:paraId="120B1BDE"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4F38CE52"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When necessary, this instruction is to be used with such Instructions as 30:48and 30:49.</w:t>
      </w:r>
    </w:p>
    <w:p w14:paraId="514FF2E2"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t>Source and Authority</w:t>
      </w:r>
    </w:p>
    <w:p w14:paraId="0325B2CE"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This instruction is supported by </w:t>
      </w:r>
      <w:r w:rsidRPr="00190BD9">
        <w:rPr>
          <w:rFonts w:eastAsia="Times New Roman"/>
          <w:b/>
          <w:bCs/>
          <w:sz w:val="24"/>
          <w:szCs w:val="24"/>
        </w:rPr>
        <w:t>Granberry v. Perlmutter</w:t>
      </w:r>
      <w:r w:rsidRPr="00190BD9">
        <w:rPr>
          <w:rFonts w:eastAsia="Times New Roman"/>
          <w:bCs/>
          <w:sz w:val="24"/>
          <w:szCs w:val="24"/>
        </w:rPr>
        <w:t xml:space="preserve">, 147 Colo. 474, 364 P.2d 211 (1961) (by implication); </w:t>
      </w:r>
      <w:r w:rsidRPr="00190BD9">
        <w:rPr>
          <w:rFonts w:eastAsia="Times New Roman"/>
          <w:b/>
          <w:bCs/>
          <w:sz w:val="24"/>
          <w:szCs w:val="24"/>
        </w:rPr>
        <w:t>Hottel v. Poudre Valley Reservoir Co.</w:t>
      </w:r>
      <w:r w:rsidRPr="00190BD9">
        <w:rPr>
          <w:rFonts w:eastAsia="Times New Roman"/>
          <w:bCs/>
          <w:sz w:val="24"/>
          <w:szCs w:val="24"/>
        </w:rPr>
        <w:t xml:space="preserve">, 41 Colo. 370, 92 P. 918 (1907); and </w:t>
      </w:r>
      <w:r w:rsidRPr="00190BD9">
        <w:rPr>
          <w:rFonts w:eastAsia="Times New Roman"/>
          <w:b/>
          <w:bCs/>
          <w:sz w:val="24"/>
          <w:szCs w:val="24"/>
        </w:rPr>
        <w:t>Sisters of Charity v. Burke</w:t>
      </w:r>
      <w:r w:rsidRPr="00190BD9">
        <w:rPr>
          <w:rFonts w:eastAsia="Times New Roman"/>
          <w:bCs/>
          <w:sz w:val="24"/>
          <w:szCs w:val="24"/>
        </w:rPr>
        <w:t>,</w:t>
      </w:r>
      <w:r w:rsidRPr="00190BD9">
        <w:rPr>
          <w:rFonts w:eastAsia="Times New Roman"/>
          <w:b/>
          <w:bCs/>
          <w:sz w:val="24"/>
          <w:szCs w:val="24"/>
        </w:rPr>
        <w:t xml:space="preserve"> </w:t>
      </w:r>
      <w:r w:rsidRPr="00190BD9">
        <w:rPr>
          <w:rFonts w:eastAsia="Times New Roman"/>
          <w:bCs/>
          <w:sz w:val="24"/>
          <w:szCs w:val="24"/>
        </w:rPr>
        <w:t>22 Colo. App. 230, 124 P. 472 (1912).</w:t>
      </w:r>
    </w:p>
    <w:p w14:paraId="58492F20" w14:textId="77777777" w:rsidR="00190BD9" w:rsidRDefault="00190BD9">
      <w:pPr>
        <w:rPr>
          <w:rFonts w:eastAsia="Times New Roman"/>
          <w:bCs/>
          <w:sz w:val="24"/>
          <w:szCs w:val="24"/>
        </w:rPr>
      </w:pPr>
      <w:r>
        <w:rPr>
          <w:rFonts w:eastAsia="Times New Roman"/>
          <w:bCs/>
          <w:sz w:val="24"/>
          <w:szCs w:val="24"/>
        </w:rPr>
        <w:br w:type="page"/>
      </w:r>
    </w:p>
    <w:p w14:paraId="0AA1B180" w14:textId="77777777" w:rsidR="00190BD9" w:rsidRPr="009E3DA4" w:rsidRDefault="008B39B8" w:rsidP="00190BD9">
      <w:pPr>
        <w:spacing w:after="240"/>
        <w:ind w:left="720" w:hanging="720"/>
        <w:rPr>
          <w:rFonts w:eastAsia="Times New Roman"/>
          <w:b/>
          <w:sz w:val="24"/>
          <w:szCs w:val="24"/>
        </w:rPr>
      </w:pPr>
      <w:bookmarkStart w:id="52" w:name="a30_48"/>
      <w:bookmarkEnd w:id="52"/>
      <w:r w:rsidRPr="008B39B8">
        <w:rPr>
          <w:rFonts w:eastAsia="Times New Roman"/>
          <w:b/>
          <w:bCs/>
          <w:sz w:val="24"/>
          <w:szCs w:val="24"/>
        </w:rPr>
        <w:lastRenderedPageBreak/>
        <w:t xml:space="preserve">30:48 </w:t>
      </w:r>
      <w:r w:rsidRPr="008B39B8">
        <w:rPr>
          <w:rFonts w:eastAsia="Times New Roman"/>
          <w:b/>
          <w:bCs/>
          <w:sz w:val="24"/>
          <w:szCs w:val="24"/>
        </w:rPr>
        <w:tab/>
        <w:t>DAMAGES ― BUILDER’S FOR OWNER’S PARTIAL BREACH — FAILURE TO MAKE INSTALLMENT PAYMENT</w:t>
      </w:r>
    </w:p>
    <w:p w14:paraId="782341EE" w14:textId="77777777" w:rsidR="008B39B8" w:rsidRPr="008B39B8" w:rsidRDefault="008B39B8" w:rsidP="008B39B8">
      <w:pPr>
        <w:spacing w:after="240"/>
        <w:ind w:firstLine="720"/>
        <w:rPr>
          <w:rFonts w:eastAsia="Times New Roman"/>
          <w:b/>
          <w:bCs/>
          <w:sz w:val="24"/>
          <w:szCs w:val="24"/>
        </w:rPr>
      </w:pPr>
      <w:r w:rsidRPr="008B39B8">
        <w:rPr>
          <w:rFonts w:eastAsia="Times New Roman"/>
          <w:b/>
          <w:bCs/>
          <w:sz w:val="24"/>
          <w:szCs w:val="24"/>
        </w:rPr>
        <w:t>(The amount of any installment payment[s] due the plaintiff under the contract.)</w:t>
      </w:r>
    </w:p>
    <w:p w14:paraId="7BA53DC5" w14:textId="77777777" w:rsidR="00190BD9" w:rsidRDefault="00190BD9" w:rsidP="00190BD9">
      <w:pPr>
        <w:jc w:val="center"/>
        <w:rPr>
          <w:rFonts w:eastAsia="Times New Roman"/>
          <w:sz w:val="24"/>
          <w:szCs w:val="24"/>
        </w:rPr>
      </w:pPr>
    </w:p>
    <w:p w14:paraId="0D3FA794"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5E0C99BA"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When applicable, this instruction should be used as the insertion in Instruction 30:38.</w:t>
      </w:r>
    </w:p>
    <w:p w14:paraId="247260EB"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t>Source and Authority</w:t>
      </w:r>
    </w:p>
    <w:p w14:paraId="52FCE3DF"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 xml:space="preserve">This instruction is supported by 11 </w:t>
      </w:r>
      <w:r w:rsidRPr="008B39B8">
        <w:rPr>
          <w:rFonts w:eastAsia="Times New Roman"/>
          <w:bCs/>
          <w:smallCaps/>
          <w:sz w:val="24"/>
          <w:szCs w:val="24"/>
        </w:rPr>
        <w:t>Joseph M. Perillo, Corbin on Contracts</w:t>
      </w:r>
      <w:r w:rsidRPr="008B39B8">
        <w:rPr>
          <w:rFonts w:eastAsia="Times New Roman"/>
          <w:bCs/>
          <w:sz w:val="24"/>
          <w:szCs w:val="24"/>
        </w:rPr>
        <w:t xml:space="preserve"> § 60.4 (rev. ed. 2005).</w:t>
      </w:r>
    </w:p>
    <w:p w14:paraId="4ABECD4F" w14:textId="77777777" w:rsidR="008B39B8" w:rsidRDefault="008B39B8">
      <w:pPr>
        <w:rPr>
          <w:rFonts w:eastAsia="Times New Roman"/>
          <w:bCs/>
          <w:sz w:val="24"/>
          <w:szCs w:val="24"/>
        </w:rPr>
      </w:pPr>
      <w:r>
        <w:rPr>
          <w:rFonts w:eastAsia="Times New Roman"/>
          <w:bCs/>
          <w:sz w:val="24"/>
          <w:szCs w:val="24"/>
        </w:rPr>
        <w:br w:type="page"/>
      </w:r>
    </w:p>
    <w:p w14:paraId="14D72DBD" w14:textId="77777777" w:rsidR="008B39B8" w:rsidRPr="009E3DA4" w:rsidRDefault="008B39B8" w:rsidP="008B39B8">
      <w:pPr>
        <w:spacing w:after="240"/>
        <w:ind w:left="720" w:hanging="720"/>
        <w:rPr>
          <w:rFonts w:eastAsia="Times New Roman"/>
          <w:b/>
          <w:sz w:val="24"/>
          <w:szCs w:val="24"/>
        </w:rPr>
      </w:pPr>
      <w:bookmarkStart w:id="53" w:name="a30_49"/>
      <w:bookmarkEnd w:id="53"/>
      <w:r w:rsidRPr="008B39B8">
        <w:rPr>
          <w:rFonts w:eastAsia="Times New Roman"/>
          <w:b/>
          <w:bCs/>
          <w:sz w:val="24"/>
          <w:szCs w:val="24"/>
        </w:rPr>
        <w:lastRenderedPageBreak/>
        <w:t xml:space="preserve">30:49 </w:t>
      </w:r>
      <w:r w:rsidRPr="008B39B8">
        <w:rPr>
          <w:rFonts w:eastAsia="Times New Roman"/>
          <w:b/>
          <w:bCs/>
          <w:sz w:val="24"/>
          <w:szCs w:val="24"/>
        </w:rPr>
        <w:tab/>
        <w:t>DAMAGES ― OWNER’S FOR BREACH OF CONSTRUCTION CONTRACT BY BUILDER</w:t>
      </w:r>
    </w:p>
    <w:p w14:paraId="1E025D91" w14:textId="77777777" w:rsidR="008B39B8" w:rsidRPr="008B39B8" w:rsidRDefault="008B39B8" w:rsidP="008B39B8">
      <w:pPr>
        <w:spacing w:after="240"/>
        <w:ind w:firstLine="720"/>
        <w:rPr>
          <w:rFonts w:eastAsia="Times New Roman"/>
          <w:b/>
          <w:bCs/>
          <w:sz w:val="24"/>
          <w:szCs w:val="24"/>
        </w:rPr>
      </w:pPr>
      <w:r w:rsidRPr="008B39B8">
        <w:rPr>
          <w:rFonts w:eastAsia="Times New Roman"/>
          <w:b/>
          <w:bCs/>
          <w:sz w:val="24"/>
          <w:szCs w:val="24"/>
        </w:rPr>
        <w:t xml:space="preserve">(The reasonable cost to the plaintiff of completing the </w:t>
      </w:r>
      <w:r w:rsidRPr="008B39B8">
        <w:rPr>
          <w:rFonts w:eastAsia="Times New Roman"/>
          <w:bCs/>
          <w:i/>
          <w:sz w:val="24"/>
          <w:szCs w:val="24"/>
        </w:rPr>
        <w:t>[describe the subject matter of the contract]</w:t>
      </w:r>
      <w:r w:rsidRPr="008B39B8">
        <w:rPr>
          <w:rFonts w:eastAsia="Times New Roman"/>
          <w:b/>
          <w:bCs/>
          <w:sz w:val="24"/>
          <w:szCs w:val="24"/>
        </w:rPr>
        <w:t xml:space="preserve"> according to the contract, minus any unpaid balance of the contract price.)</w:t>
      </w:r>
    </w:p>
    <w:p w14:paraId="5BCC361A" w14:textId="77777777" w:rsidR="008B39B8" w:rsidRDefault="008B39B8" w:rsidP="008B39B8">
      <w:pPr>
        <w:jc w:val="center"/>
        <w:rPr>
          <w:rFonts w:eastAsia="Times New Roman"/>
          <w:sz w:val="24"/>
          <w:szCs w:val="24"/>
        </w:rPr>
      </w:pPr>
    </w:p>
    <w:p w14:paraId="444466A7" w14:textId="77777777" w:rsidR="008B39B8" w:rsidRPr="0054263B" w:rsidRDefault="008B39B8" w:rsidP="008B39B8">
      <w:pPr>
        <w:keepNext/>
        <w:spacing w:after="240"/>
        <w:jc w:val="center"/>
        <w:rPr>
          <w:rFonts w:eastAsia="Times New Roman"/>
          <w:b/>
          <w:sz w:val="24"/>
          <w:szCs w:val="24"/>
        </w:rPr>
      </w:pPr>
      <w:r w:rsidRPr="0054263B">
        <w:rPr>
          <w:rFonts w:eastAsia="Times New Roman"/>
          <w:b/>
          <w:sz w:val="24"/>
          <w:szCs w:val="24"/>
        </w:rPr>
        <w:t>Notes on Use</w:t>
      </w:r>
    </w:p>
    <w:p w14:paraId="0F22DB07"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1. When applicable, this instruction should be used as the insertion in Instruction 30:38.</w:t>
      </w:r>
    </w:p>
    <w:p w14:paraId="47396486"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2</w:t>
      </w:r>
      <w:r w:rsidR="008B39B8" w:rsidRPr="008B39B8">
        <w:rPr>
          <w:rFonts w:eastAsia="Times New Roman"/>
          <w:bCs/>
          <w:sz w:val="24"/>
          <w:szCs w:val="24"/>
        </w:rPr>
        <w:t xml:space="preserve">. In addition to the damages covered by this instruction, the plaintiff may also be entitled to recover damages for delay. </w:t>
      </w:r>
      <w:r w:rsidR="008B39B8" w:rsidRPr="008B39B8">
        <w:rPr>
          <w:rFonts w:eastAsia="Times New Roman"/>
          <w:bCs/>
          <w:i/>
          <w:sz w:val="24"/>
          <w:szCs w:val="24"/>
        </w:rPr>
        <w:t>See</w:t>
      </w:r>
      <w:r w:rsidR="008B39B8" w:rsidRPr="008B39B8">
        <w:rPr>
          <w:rFonts w:eastAsia="Times New Roman"/>
          <w:bCs/>
          <w:sz w:val="24"/>
          <w:szCs w:val="24"/>
        </w:rPr>
        <w:t xml:space="preserve"> Instruction 30:50.</w:t>
      </w:r>
    </w:p>
    <w:p w14:paraId="7FD23F5E"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3</w:t>
      </w:r>
      <w:r w:rsidR="008B39B8" w:rsidRPr="008B39B8">
        <w:rPr>
          <w:rFonts w:eastAsia="Times New Roman"/>
          <w:bCs/>
          <w:sz w:val="24"/>
          <w:szCs w:val="24"/>
        </w:rPr>
        <w:t xml:space="preserve">. In cases in which unreasonable economic waste would result if this instruction were given, the following should be substituted: “The market value of the (describe the subject matter of the contract) had the contract been fully performed less the market value of the (describe the subject matter of the contract) as it now exists.” </w:t>
      </w:r>
      <w:r w:rsidR="008B39B8" w:rsidRPr="008B39B8">
        <w:rPr>
          <w:rFonts w:eastAsia="Times New Roman"/>
          <w:bCs/>
          <w:i/>
          <w:sz w:val="24"/>
          <w:szCs w:val="24"/>
        </w:rPr>
        <w:t>See</w:t>
      </w:r>
      <w:r w:rsidR="008B39B8" w:rsidRPr="008B39B8">
        <w:rPr>
          <w:rFonts w:eastAsia="Times New Roman"/>
          <w:bCs/>
          <w:sz w:val="24"/>
          <w:szCs w:val="24"/>
        </w:rPr>
        <w:t xml:space="preserve"> </w:t>
      </w:r>
      <w:r w:rsidR="008B39B8" w:rsidRPr="008B39B8">
        <w:rPr>
          <w:rFonts w:eastAsia="Times New Roman"/>
          <w:b/>
          <w:bCs/>
          <w:sz w:val="24"/>
          <w:szCs w:val="24"/>
        </w:rPr>
        <w:t>Gold Rush Invs., Inc. v. G.E. Johnson Constr. Co.</w:t>
      </w:r>
      <w:r w:rsidR="008B39B8" w:rsidRPr="008B39B8">
        <w:rPr>
          <w:rFonts w:eastAsia="Times New Roman"/>
          <w:bCs/>
          <w:sz w:val="24"/>
          <w:szCs w:val="24"/>
        </w:rPr>
        <w:t>,</w:t>
      </w:r>
      <w:r w:rsidR="008B39B8" w:rsidRPr="008B39B8">
        <w:rPr>
          <w:rFonts w:eastAsia="Times New Roman"/>
          <w:b/>
          <w:bCs/>
          <w:sz w:val="24"/>
          <w:szCs w:val="24"/>
        </w:rPr>
        <w:t xml:space="preserve"> </w:t>
      </w:r>
      <w:r w:rsidR="008B39B8" w:rsidRPr="008B39B8">
        <w:rPr>
          <w:rFonts w:eastAsia="Times New Roman"/>
          <w:bCs/>
          <w:sz w:val="24"/>
          <w:szCs w:val="24"/>
        </w:rPr>
        <w:t xml:space="preserve">807 P.2d 1169 (Colo. App. 1990); </w:t>
      </w:r>
      <w:r w:rsidR="008B39B8" w:rsidRPr="008B39B8">
        <w:rPr>
          <w:rFonts w:eastAsia="Times New Roman"/>
          <w:bCs/>
          <w:i/>
          <w:sz w:val="24"/>
          <w:szCs w:val="24"/>
        </w:rPr>
        <w:t>see also</w:t>
      </w:r>
      <w:r w:rsidR="008B39B8" w:rsidRPr="008B39B8">
        <w:rPr>
          <w:rFonts w:eastAsia="Times New Roman"/>
          <w:bCs/>
          <w:sz w:val="24"/>
          <w:szCs w:val="24"/>
        </w:rPr>
        <w:t xml:space="preserve"> </w:t>
      </w:r>
      <w:r w:rsidR="008B39B8" w:rsidRPr="008B39B8">
        <w:rPr>
          <w:rFonts w:eastAsia="Times New Roman"/>
          <w:b/>
          <w:bCs/>
          <w:sz w:val="24"/>
          <w:szCs w:val="24"/>
        </w:rPr>
        <w:t>Campbell v. Koin</w:t>
      </w:r>
      <w:r w:rsidR="008B39B8" w:rsidRPr="008B39B8">
        <w:rPr>
          <w:rFonts w:eastAsia="Times New Roman"/>
          <w:bCs/>
          <w:sz w:val="24"/>
          <w:szCs w:val="24"/>
        </w:rPr>
        <w:t xml:space="preserve">, 154 Colo. 425, 391 P.2d 365 (1964); </w:t>
      </w:r>
      <w:r w:rsidR="008B39B8" w:rsidRPr="008B39B8">
        <w:rPr>
          <w:rFonts w:eastAsia="Times New Roman"/>
          <w:b/>
          <w:bCs/>
          <w:sz w:val="24"/>
          <w:szCs w:val="24"/>
        </w:rPr>
        <w:t>Sanford v. Kobey Bros. Constr. Corp.</w:t>
      </w:r>
      <w:r w:rsidR="008B39B8" w:rsidRPr="008B39B8">
        <w:rPr>
          <w:rFonts w:eastAsia="Times New Roman"/>
          <w:bCs/>
          <w:sz w:val="24"/>
          <w:szCs w:val="24"/>
        </w:rPr>
        <w:t>,</w:t>
      </w:r>
      <w:r w:rsidR="008B39B8" w:rsidRPr="008B39B8">
        <w:rPr>
          <w:rFonts w:eastAsia="Times New Roman"/>
          <w:b/>
          <w:bCs/>
          <w:sz w:val="24"/>
          <w:szCs w:val="24"/>
        </w:rPr>
        <w:t xml:space="preserve"> </w:t>
      </w:r>
      <w:r w:rsidR="008B39B8" w:rsidRPr="008B39B8">
        <w:rPr>
          <w:rFonts w:eastAsia="Times New Roman"/>
          <w:bCs/>
          <w:sz w:val="24"/>
          <w:szCs w:val="24"/>
        </w:rPr>
        <w:t xml:space="preserve">689 P.2d 724 (Colo. App. 1984); </w:t>
      </w:r>
      <w:r w:rsidR="008B39B8" w:rsidRPr="008B39B8">
        <w:rPr>
          <w:rFonts w:eastAsia="Times New Roman"/>
          <w:b/>
          <w:bCs/>
          <w:sz w:val="24"/>
          <w:szCs w:val="24"/>
        </w:rPr>
        <w:t>Worthen Bank &amp; Trust Co. v. Silvercool Serv. Co.</w:t>
      </w:r>
      <w:r w:rsidR="008B39B8" w:rsidRPr="008B39B8">
        <w:rPr>
          <w:rFonts w:eastAsia="Times New Roman"/>
          <w:bCs/>
          <w:sz w:val="24"/>
          <w:szCs w:val="24"/>
        </w:rPr>
        <w:t>,</w:t>
      </w:r>
      <w:r w:rsidR="008B39B8" w:rsidRPr="008B39B8">
        <w:rPr>
          <w:rFonts w:eastAsia="Times New Roman"/>
          <w:b/>
          <w:bCs/>
          <w:sz w:val="24"/>
          <w:szCs w:val="24"/>
        </w:rPr>
        <w:t xml:space="preserve"> </w:t>
      </w:r>
      <w:r w:rsidR="008B39B8" w:rsidRPr="008B39B8">
        <w:rPr>
          <w:rFonts w:eastAsia="Times New Roman"/>
          <w:bCs/>
          <w:sz w:val="24"/>
          <w:szCs w:val="24"/>
        </w:rPr>
        <w:t>687 P.2d 464 (Colo. App. 1984). The phrase “as it now exists” may not always be appropriate, and should be modified if necessary, e.g., if the building had been damaged after the plaintiff took control of it from the defendant, or the plaintiff, after taking control, made improvements, thereby increasing its value.</w:t>
      </w:r>
    </w:p>
    <w:p w14:paraId="3FD5FF6C"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4</w:t>
      </w:r>
      <w:r w:rsidR="008B39B8" w:rsidRPr="008B39B8">
        <w:rPr>
          <w:rFonts w:eastAsia="Times New Roman"/>
          <w:bCs/>
          <w:sz w:val="24"/>
          <w:szCs w:val="24"/>
        </w:rPr>
        <w:t xml:space="preserve">. “If the defect is remedial, recovery will be based on the [reasonable] cost to repair the defect,” even though that cost may significantly exceed the original contract price. </w:t>
      </w:r>
      <w:r w:rsidR="008B39B8" w:rsidRPr="008B39B8">
        <w:rPr>
          <w:rFonts w:eastAsia="Times New Roman"/>
          <w:b/>
          <w:bCs/>
          <w:sz w:val="24"/>
          <w:szCs w:val="24"/>
        </w:rPr>
        <w:t>Olson Plumbing &amp; Heating, Inc. v. Douglas Jardine, Inc.</w:t>
      </w:r>
      <w:r w:rsidR="008B39B8" w:rsidRPr="008B39B8">
        <w:rPr>
          <w:rFonts w:eastAsia="Times New Roman"/>
          <w:bCs/>
          <w:sz w:val="24"/>
          <w:szCs w:val="24"/>
        </w:rPr>
        <w:t xml:space="preserve">, 626 P.2d 750, 752 (Colo. App. 1981). “Where . . . part of the deficiencies can be repaired [or completed] at reasonable cost and part cannot, the cost of repair [or completion] can be assessed as the measure of damages [as] to the former and the difference in market value can be used as to the latter.” </w:t>
      </w:r>
      <w:r w:rsidR="008B39B8" w:rsidRPr="008B39B8">
        <w:rPr>
          <w:rFonts w:eastAsia="Times New Roman"/>
          <w:b/>
          <w:bCs/>
          <w:sz w:val="24"/>
          <w:szCs w:val="24"/>
        </w:rPr>
        <w:t>Summit Constr. Co. v. Yeager Garden Acres, Inc.</w:t>
      </w:r>
      <w:r w:rsidR="008B39B8" w:rsidRPr="008B39B8">
        <w:rPr>
          <w:rFonts w:eastAsia="Times New Roman"/>
          <w:bCs/>
          <w:sz w:val="24"/>
          <w:szCs w:val="24"/>
        </w:rPr>
        <w:t>, 28 Colo. App. 110, 121, 470 P.2d 870, 875</w:t>
      </w:r>
      <w:r w:rsidR="008B39B8" w:rsidRPr="008B39B8">
        <w:rPr>
          <w:rFonts w:eastAsia="Times New Roman"/>
          <w:bCs/>
          <w:i/>
          <w:sz w:val="24"/>
          <w:szCs w:val="24"/>
        </w:rPr>
        <w:t xml:space="preserve"> </w:t>
      </w:r>
      <w:r w:rsidR="008B39B8" w:rsidRPr="008B39B8">
        <w:rPr>
          <w:rFonts w:eastAsia="Times New Roman"/>
          <w:bCs/>
          <w:sz w:val="24"/>
          <w:szCs w:val="24"/>
        </w:rPr>
        <w:t xml:space="preserve">(1970); </w:t>
      </w:r>
      <w:r w:rsidR="008B39B8" w:rsidRPr="008B39B8">
        <w:rPr>
          <w:rFonts w:eastAsia="Times New Roman"/>
          <w:bCs/>
          <w:i/>
          <w:sz w:val="24"/>
          <w:szCs w:val="24"/>
        </w:rPr>
        <w:t>see</w:t>
      </w:r>
      <w:r w:rsidR="008B39B8" w:rsidRPr="008B39B8">
        <w:rPr>
          <w:rFonts w:eastAsia="Times New Roman"/>
          <w:bCs/>
          <w:sz w:val="24"/>
          <w:szCs w:val="24"/>
        </w:rPr>
        <w:t xml:space="preserve"> </w:t>
      </w:r>
      <w:r w:rsidR="008B39B8" w:rsidRPr="008B39B8">
        <w:rPr>
          <w:rFonts w:eastAsia="Times New Roman"/>
          <w:b/>
          <w:bCs/>
          <w:sz w:val="24"/>
          <w:szCs w:val="24"/>
        </w:rPr>
        <w:t>Sanford</w:t>
      </w:r>
      <w:r w:rsidR="008B39B8" w:rsidRPr="008B39B8">
        <w:rPr>
          <w:rFonts w:eastAsia="Times New Roman"/>
          <w:bCs/>
          <w:sz w:val="24"/>
          <w:szCs w:val="24"/>
        </w:rPr>
        <w:t>, 689 P.2d at 726. In those cases an appropriate instruction combining the principal instruction and the alternate instruction should be given.</w:t>
      </w:r>
    </w:p>
    <w:p w14:paraId="0FB498E5"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5</w:t>
      </w:r>
      <w:r w:rsidR="008B39B8" w:rsidRPr="008B39B8">
        <w:rPr>
          <w:rFonts w:eastAsia="Times New Roman"/>
          <w:bCs/>
          <w:sz w:val="24"/>
          <w:szCs w:val="24"/>
        </w:rPr>
        <w:t xml:space="preserve">. Where a builder-developer breaches a “promise to construct general amenities located on property not owned by the promisee, commonly referred to as ‘off-site’ facilities[,]” the proper measure of damages is “the diminution in value of the property purchased” by the promisee, rather than the cost of completing such off-site work. </w:t>
      </w:r>
      <w:r w:rsidR="008B39B8" w:rsidRPr="008B39B8">
        <w:rPr>
          <w:rFonts w:eastAsia="Times New Roman"/>
          <w:b/>
          <w:bCs/>
          <w:sz w:val="24"/>
          <w:szCs w:val="24"/>
        </w:rPr>
        <w:t>Kniffin v. Colo. W. Dev. Co.</w:t>
      </w:r>
      <w:r w:rsidR="008B39B8" w:rsidRPr="008B39B8">
        <w:rPr>
          <w:rFonts w:eastAsia="Times New Roman"/>
          <w:bCs/>
          <w:sz w:val="24"/>
          <w:szCs w:val="24"/>
        </w:rPr>
        <w:t xml:space="preserve">, 622 P.2d 586, 591 (Colo. App. 1980); </w:t>
      </w:r>
      <w:r w:rsidR="008B39B8" w:rsidRPr="008B39B8">
        <w:rPr>
          <w:rFonts w:eastAsia="Times New Roman"/>
          <w:bCs/>
          <w:i/>
          <w:sz w:val="24"/>
          <w:szCs w:val="24"/>
        </w:rPr>
        <w:t xml:space="preserve">accord </w:t>
      </w:r>
      <w:r w:rsidR="008B39B8" w:rsidRPr="008B39B8">
        <w:rPr>
          <w:rFonts w:eastAsia="Times New Roman"/>
          <w:b/>
          <w:bCs/>
          <w:sz w:val="24"/>
          <w:szCs w:val="24"/>
        </w:rPr>
        <w:t>Seago v. Fellet</w:t>
      </w:r>
      <w:r w:rsidR="008B39B8" w:rsidRPr="008B39B8">
        <w:rPr>
          <w:rFonts w:eastAsia="Times New Roman"/>
          <w:bCs/>
          <w:sz w:val="24"/>
          <w:szCs w:val="24"/>
        </w:rPr>
        <w:t xml:space="preserve">, 676 P.2d 1224 (Colo. App. 1983). In those circumstances, an instruction setting forth this “difference in market value” measure of damages should be given, rather than this instruction. </w:t>
      </w:r>
      <w:r w:rsidR="008B39B8" w:rsidRPr="008B39B8">
        <w:rPr>
          <w:rFonts w:eastAsia="Times New Roman"/>
          <w:bCs/>
          <w:i/>
          <w:sz w:val="24"/>
          <w:szCs w:val="24"/>
        </w:rPr>
        <w:t>See, e.g.</w:t>
      </w:r>
      <w:r w:rsidR="008B39B8" w:rsidRPr="008B39B8">
        <w:rPr>
          <w:rFonts w:eastAsia="Times New Roman"/>
          <w:bCs/>
          <w:sz w:val="24"/>
          <w:szCs w:val="24"/>
        </w:rPr>
        <w:t>, Instruction 6:11, appropriately modified.</w:t>
      </w:r>
    </w:p>
    <w:p w14:paraId="1E5A47AF" w14:textId="77777777" w:rsidR="008B39B8" w:rsidRPr="0054263B" w:rsidRDefault="008B39B8" w:rsidP="008B39B8">
      <w:pPr>
        <w:keepNext/>
        <w:spacing w:after="240"/>
        <w:jc w:val="center"/>
        <w:rPr>
          <w:rFonts w:eastAsia="Times New Roman"/>
          <w:b/>
          <w:sz w:val="24"/>
          <w:szCs w:val="24"/>
        </w:rPr>
      </w:pPr>
      <w:r>
        <w:rPr>
          <w:rFonts w:eastAsia="Times New Roman"/>
          <w:b/>
          <w:sz w:val="24"/>
          <w:szCs w:val="24"/>
        </w:rPr>
        <w:lastRenderedPageBreak/>
        <w:t>Source and Authority</w:t>
      </w:r>
    </w:p>
    <w:p w14:paraId="087CCAC9" w14:textId="77777777" w:rsidR="008B39B8" w:rsidRDefault="008B39B8" w:rsidP="008B39B8">
      <w:pPr>
        <w:spacing w:after="240"/>
        <w:ind w:firstLine="720"/>
        <w:rPr>
          <w:rFonts w:eastAsia="Times New Roman"/>
          <w:bCs/>
          <w:sz w:val="24"/>
          <w:szCs w:val="24"/>
        </w:rPr>
      </w:pPr>
      <w:r w:rsidRPr="008B39B8">
        <w:rPr>
          <w:rFonts w:eastAsia="Times New Roman"/>
          <w:bCs/>
          <w:sz w:val="24"/>
          <w:szCs w:val="24"/>
        </w:rPr>
        <w:t xml:space="preserve">1. This instruction is supported by </w:t>
      </w:r>
      <w:r w:rsidRPr="008B39B8">
        <w:rPr>
          <w:rFonts w:eastAsia="Times New Roman"/>
          <w:b/>
          <w:bCs/>
          <w:sz w:val="24"/>
          <w:szCs w:val="24"/>
        </w:rPr>
        <w:t>Fleming v. Scott</w:t>
      </w:r>
      <w:r w:rsidRPr="008B39B8">
        <w:rPr>
          <w:rFonts w:eastAsia="Times New Roman"/>
          <w:bCs/>
          <w:sz w:val="24"/>
          <w:szCs w:val="24"/>
        </w:rPr>
        <w:t>,</w:t>
      </w:r>
      <w:r w:rsidRPr="008B39B8">
        <w:rPr>
          <w:rFonts w:eastAsia="Times New Roman"/>
          <w:b/>
          <w:bCs/>
          <w:sz w:val="24"/>
          <w:szCs w:val="24"/>
        </w:rPr>
        <w:t xml:space="preserve"> </w:t>
      </w:r>
      <w:r w:rsidRPr="008B39B8">
        <w:rPr>
          <w:rFonts w:eastAsia="Times New Roman"/>
          <w:bCs/>
          <w:sz w:val="24"/>
          <w:szCs w:val="24"/>
        </w:rPr>
        <w:t xml:space="preserve">141 Colo. 449, 348 P.2d 701 (1960); </w:t>
      </w:r>
      <w:r w:rsidRPr="008B39B8">
        <w:rPr>
          <w:rFonts w:eastAsia="Times New Roman"/>
          <w:b/>
          <w:bCs/>
          <w:sz w:val="24"/>
          <w:szCs w:val="24"/>
        </w:rPr>
        <w:t>Newcomb v. Schaeffler</w:t>
      </w:r>
      <w:r w:rsidRPr="008B39B8">
        <w:rPr>
          <w:rFonts w:eastAsia="Times New Roman"/>
          <w:bCs/>
          <w:sz w:val="24"/>
          <w:szCs w:val="24"/>
        </w:rPr>
        <w:t xml:space="preserve">, 131 Colo. 56, 279 P.2d 409 (1955); and </w:t>
      </w:r>
      <w:r w:rsidRPr="008B39B8">
        <w:rPr>
          <w:rFonts w:eastAsia="Times New Roman"/>
          <w:b/>
          <w:bCs/>
          <w:sz w:val="24"/>
          <w:szCs w:val="24"/>
        </w:rPr>
        <w:t>McKinley v. Willow Construction Co., Inc.</w:t>
      </w:r>
      <w:r w:rsidRPr="008B39B8">
        <w:rPr>
          <w:rFonts w:eastAsia="Times New Roman"/>
          <w:bCs/>
          <w:sz w:val="24"/>
          <w:szCs w:val="24"/>
        </w:rPr>
        <w:t>, 693 P.2d 1023 (Colo. App. 1984).</w:t>
      </w:r>
    </w:p>
    <w:p w14:paraId="367C3C10" w14:textId="77777777" w:rsidR="00BB32CE" w:rsidRPr="008B39B8" w:rsidRDefault="00BB32CE" w:rsidP="008B39B8">
      <w:pPr>
        <w:spacing w:after="240"/>
        <w:ind w:firstLine="720"/>
        <w:rPr>
          <w:rFonts w:eastAsia="Times New Roman"/>
          <w:bCs/>
          <w:sz w:val="24"/>
          <w:szCs w:val="24"/>
        </w:rPr>
      </w:pPr>
      <w:r w:rsidRPr="008B39B8">
        <w:rPr>
          <w:rFonts w:eastAsia="Times New Roman"/>
          <w:bCs/>
          <w:sz w:val="24"/>
          <w:szCs w:val="24"/>
        </w:rPr>
        <w:t xml:space="preserve">2. Generally, the measure of damages for breach of a construction contract by the contractor is an amount that would put the owner “in the same position he would have been had the breach not occurred.” </w:t>
      </w:r>
      <w:r w:rsidRPr="008B39B8">
        <w:rPr>
          <w:rFonts w:eastAsia="Times New Roman"/>
          <w:b/>
          <w:bCs/>
          <w:sz w:val="24"/>
          <w:szCs w:val="24"/>
        </w:rPr>
        <w:t>Pomeranz v. McDonald’s Corp.</w:t>
      </w:r>
      <w:r w:rsidRPr="008B39B8">
        <w:rPr>
          <w:rFonts w:eastAsia="Times New Roman"/>
          <w:bCs/>
          <w:sz w:val="24"/>
          <w:szCs w:val="24"/>
        </w:rPr>
        <w:t>,</w:t>
      </w:r>
      <w:r w:rsidRPr="008B39B8">
        <w:rPr>
          <w:rFonts w:eastAsia="Times New Roman"/>
          <w:b/>
          <w:bCs/>
          <w:sz w:val="24"/>
          <w:szCs w:val="24"/>
        </w:rPr>
        <w:t xml:space="preserve"> </w:t>
      </w:r>
      <w:r w:rsidRPr="008B39B8">
        <w:rPr>
          <w:rFonts w:eastAsia="Times New Roman"/>
          <w:bCs/>
          <w:sz w:val="24"/>
          <w:szCs w:val="24"/>
        </w:rPr>
        <w:t xml:space="preserve">843 P.2d 1378, 1381 (Colo. 1993); </w:t>
      </w:r>
      <w:r w:rsidRPr="008B39B8">
        <w:rPr>
          <w:rFonts w:eastAsia="Times New Roman"/>
          <w:bCs/>
          <w:i/>
          <w:sz w:val="24"/>
          <w:szCs w:val="24"/>
        </w:rPr>
        <w:t>see</w:t>
      </w:r>
      <w:r w:rsidRPr="008B39B8">
        <w:rPr>
          <w:rFonts w:eastAsia="Times New Roman"/>
          <w:bCs/>
          <w:sz w:val="24"/>
          <w:szCs w:val="24"/>
        </w:rPr>
        <w:t xml:space="preserve"> </w:t>
      </w:r>
      <w:r w:rsidRPr="008B39B8">
        <w:rPr>
          <w:rFonts w:eastAsia="Times New Roman"/>
          <w:b/>
          <w:bCs/>
          <w:sz w:val="24"/>
          <w:szCs w:val="24"/>
        </w:rPr>
        <w:t>City of Westminster v. Centric-Jones Constructors</w:t>
      </w:r>
      <w:r w:rsidRPr="008B39B8">
        <w:rPr>
          <w:rFonts w:eastAsia="Times New Roman"/>
          <w:bCs/>
          <w:sz w:val="24"/>
          <w:szCs w:val="24"/>
        </w:rPr>
        <w:t xml:space="preserve">, 100 P.3d 472 (Colo. App. 2003) (applying benefit-of-bargain rule). </w:t>
      </w:r>
    </w:p>
    <w:p w14:paraId="571910BF"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3</w:t>
      </w:r>
      <w:r w:rsidR="008B39B8" w:rsidRPr="008B39B8">
        <w:rPr>
          <w:rFonts w:eastAsia="Times New Roman"/>
          <w:bCs/>
          <w:sz w:val="24"/>
          <w:szCs w:val="24"/>
        </w:rPr>
        <w:t xml:space="preserve">. Under section 5-12-102(1)(a) and (3), C.R.S., prejudgment interest may be awarded on damages for breach of a construction contract, as money wrongfully withheld, even though the amount of such damages was unliquidated at the time of the breach. </w:t>
      </w:r>
      <w:r w:rsidR="008B39B8" w:rsidRPr="008B39B8">
        <w:rPr>
          <w:rFonts w:eastAsia="Times New Roman"/>
          <w:b/>
          <w:bCs/>
          <w:sz w:val="24"/>
          <w:szCs w:val="24"/>
        </w:rPr>
        <w:t>Hott v. Tillotson-Lewis Constr. Co.</w:t>
      </w:r>
      <w:r w:rsidR="008B39B8" w:rsidRPr="008B39B8">
        <w:rPr>
          <w:rFonts w:eastAsia="Times New Roman"/>
          <w:bCs/>
          <w:sz w:val="24"/>
          <w:szCs w:val="24"/>
        </w:rPr>
        <w:t xml:space="preserve">, 682 P.2d 1220 (Colo. App. 1983). Under section 5-12-102(1)(b), where damages for costs to replace a defective heating system are appropriate, interest accrues from the time of the replacement. </w:t>
      </w:r>
      <w:r w:rsidR="008B39B8" w:rsidRPr="008B39B8">
        <w:rPr>
          <w:rFonts w:eastAsia="Times New Roman"/>
          <w:b/>
          <w:bCs/>
          <w:sz w:val="24"/>
          <w:szCs w:val="24"/>
        </w:rPr>
        <w:t>Goodyear Tire &amp; Rubber Co. v. Holmes</w:t>
      </w:r>
      <w:r w:rsidR="008B39B8" w:rsidRPr="008B39B8">
        <w:rPr>
          <w:rFonts w:eastAsia="Times New Roman"/>
          <w:bCs/>
          <w:sz w:val="24"/>
          <w:szCs w:val="24"/>
        </w:rPr>
        <w:t>, 193 P.3d 821 (Colo. 2008) (strict liability case).</w:t>
      </w:r>
    </w:p>
    <w:p w14:paraId="77A44E8B" w14:textId="77777777" w:rsidR="008B39B8" w:rsidRDefault="008B39B8">
      <w:pPr>
        <w:rPr>
          <w:rFonts w:eastAsia="Times New Roman"/>
          <w:bCs/>
          <w:sz w:val="24"/>
          <w:szCs w:val="24"/>
        </w:rPr>
      </w:pPr>
      <w:r>
        <w:rPr>
          <w:rFonts w:eastAsia="Times New Roman"/>
          <w:bCs/>
          <w:sz w:val="24"/>
          <w:szCs w:val="24"/>
        </w:rPr>
        <w:br w:type="page"/>
      </w:r>
    </w:p>
    <w:p w14:paraId="75661E8F" w14:textId="77777777" w:rsidR="008B39B8" w:rsidRPr="009E3DA4" w:rsidRDefault="008B39B8" w:rsidP="008B39B8">
      <w:pPr>
        <w:spacing w:after="240"/>
        <w:ind w:left="720" w:hanging="720"/>
        <w:rPr>
          <w:rFonts w:eastAsia="Times New Roman"/>
          <w:b/>
          <w:sz w:val="24"/>
          <w:szCs w:val="24"/>
        </w:rPr>
      </w:pPr>
      <w:bookmarkStart w:id="54" w:name="a30_50"/>
      <w:bookmarkEnd w:id="54"/>
      <w:r w:rsidRPr="008B39B8">
        <w:rPr>
          <w:rFonts w:eastAsia="Times New Roman"/>
          <w:b/>
          <w:bCs/>
          <w:sz w:val="24"/>
          <w:szCs w:val="24"/>
        </w:rPr>
        <w:lastRenderedPageBreak/>
        <w:t xml:space="preserve">30:50 </w:t>
      </w:r>
      <w:r w:rsidRPr="008B39B8">
        <w:rPr>
          <w:rFonts w:eastAsia="Times New Roman"/>
          <w:b/>
          <w:bCs/>
          <w:sz w:val="24"/>
          <w:szCs w:val="24"/>
        </w:rPr>
        <w:tab/>
        <w:t>DAMAGES ― OWNER’S FOR DELAY IN COMPLETION OF CONSTRUCTION CONTRACT</w:t>
      </w:r>
    </w:p>
    <w:p w14:paraId="69AF3BB9" w14:textId="77777777" w:rsidR="008B39B8" w:rsidRPr="008B39B8" w:rsidRDefault="008B39B8" w:rsidP="008B39B8">
      <w:pPr>
        <w:spacing w:after="240"/>
        <w:ind w:firstLine="720"/>
        <w:rPr>
          <w:rFonts w:eastAsia="Times New Roman"/>
          <w:b/>
          <w:bCs/>
          <w:sz w:val="24"/>
          <w:szCs w:val="24"/>
        </w:rPr>
      </w:pPr>
      <w:r w:rsidRPr="008B39B8">
        <w:rPr>
          <w:rFonts w:eastAsia="Times New Roman"/>
          <w:b/>
          <w:bCs/>
          <w:sz w:val="24"/>
          <w:szCs w:val="24"/>
        </w:rPr>
        <w:t xml:space="preserve">(The reasonable net rental value, that is, the gross rental value of the </w:t>
      </w:r>
      <w:r w:rsidRPr="008B39B8">
        <w:rPr>
          <w:rFonts w:eastAsia="Times New Roman"/>
          <w:bCs/>
          <w:i/>
          <w:sz w:val="24"/>
          <w:szCs w:val="24"/>
        </w:rPr>
        <w:t>[describe the subject matter of the contract]</w:t>
      </w:r>
      <w:r w:rsidRPr="008B39B8">
        <w:rPr>
          <w:rFonts w:eastAsia="Times New Roman"/>
          <w:b/>
          <w:bCs/>
          <w:sz w:val="24"/>
          <w:szCs w:val="24"/>
        </w:rPr>
        <w:t xml:space="preserve"> minus all reasonable expenses that normally would be incurred in connection with the occupancy of the </w:t>
      </w:r>
      <w:r w:rsidRPr="008B39B8">
        <w:rPr>
          <w:rFonts w:eastAsia="Times New Roman"/>
          <w:bCs/>
          <w:i/>
          <w:sz w:val="24"/>
          <w:szCs w:val="24"/>
        </w:rPr>
        <w:t>[describe the subject matter of the contract]</w:t>
      </w:r>
      <w:r w:rsidRPr="008B39B8">
        <w:rPr>
          <w:rFonts w:eastAsia="Times New Roman"/>
          <w:b/>
          <w:bCs/>
          <w:sz w:val="24"/>
          <w:szCs w:val="24"/>
        </w:rPr>
        <w:t xml:space="preserve"> during the period for which the completion was delayed.)</w:t>
      </w:r>
    </w:p>
    <w:p w14:paraId="02931814" w14:textId="77777777" w:rsidR="008B39B8" w:rsidRDefault="008B39B8" w:rsidP="008B39B8">
      <w:pPr>
        <w:jc w:val="center"/>
        <w:rPr>
          <w:rFonts w:eastAsia="Times New Roman"/>
          <w:sz w:val="24"/>
          <w:szCs w:val="24"/>
        </w:rPr>
      </w:pPr>
    </w:p>
    <w:p w14:paraId="600F7202" w14:textId="77777777" w:rsidR="008B39B8" w:rsidRPr="0054263B" w:rsidRDefault="008B39B8" w:rsidP="008B39B8">
      <w:pPr>
        <w:keepNext/>
        <w:spacing w:after="240"/>
        <w:jc w:val="center"/>
        <w:rPr>
          <w:rFonts w:eastAsia="Times New Roman"/>
          <w:b/>
          <w:sz w:val="24"/>
          <w:szCs w:val="24"/>
        </w:rPr>
      </w:pPr>
      <w:r w:rsidRPr="0054263B">
        <w:rPr>
          <w:rFonts w:eastAsia="Times New Roman"/>
          <w:b/>
          <w:sz w:val="24"/>
          <w:szCs w:val="24"/>
        </w:rPr>
        <w:t>Notes on Use</w:t>
      </w:r>
    </w:p>
    <w:p w14:paraId="4B95A027"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 xml:space="preserve">1. When applicable, this instruction should be used as the insertion in Instruction 30:38. A delay may result in certain special damages that may also be recoverable. </w:t>
      </w:r>
      <w:r w:rsidRPr="008B39B8">
        <w:rPr>
          <w:rFonts w:eastAsia="Times New Roman"/>
          <w:bCs/>
          <w:i/>
          <w:sz w:val="24"/>
          <w:szCs w:val="24"/>
        </w:rPr>
        <w:t>See, e.g.</w:t>
      </w:r>
      <w:r w:rsidRPr="008B39B8">
        <w:rPr>
          <w:rFonts w:eastAsia="Times New Roman"/>
          <w:bCs/>
          <w:sz w:val="24"/>
          <w:szCs w:val="24"/>
        </w:rPr>
        <w:t xml:space="preserve">, </w:t>
      </w:r>
      <w:r w:rsidRPr="00205E29">
        <w:rPr>
          <w:rFonts w:eastAsia="Times New Roman"/>
          <w:bCs/>
          <w:smallCaps/>
          <w:sz w:val="24"/>
          <w:szCs w:val="24"/>
        </w:rPr>
        <w:t>Charles T. McCormick, Law of Damages</w:t>
      </w:r>
      <w:r w:rsidRPr="008B39B8">
        <w:rPr>
          <w:rFonts w:eastAsia="Times New Roman"/>
          <w:bCs/>
          <w:sz w:val="24"/>
          <w:szCs w:val="24"/>
        </w:rPr>
        <w:t xml:space="preserve"> § 170 (1935); </w:t>
      </w:r>
      <w:r w:rsidRPr="008B39B8">
        <w:rPr>
          <w:rFonts w:eastAsia="Times New Roman"/>
          <w:bCs/>
          <w:i/>
          <w:sz w:val="24"/>
          <w:szCs w:val="24"/>
        </w:rPr>
        <w:t>see also</w:t>
      </w:r>
      <w:r w:rsidRPr="008B39B8">
        <w:rPr>
          <w:rFonts w:eastAsia="Times New Roman"/>
          <w:bCs/>
          <w:sz w:val="24"/>
          <w:szCs w:val="24"/>
        </w:rPr>
        <w:t xml:space="preserve"> </w:t>
      </w:r>
      <w:r w:rsidRPr="008B39B8">
        <w:rPr>
          <w:rFonts w:eastAsia="Times New Roman"/>
          <w:b/>
          <w:bCs/>
          <w:sz w:val="24"/>
          <w:szCs w:val="24"/>
        </w:rPr>
        <w:t>Tricon Kent Co. v. Lafarge N. Am., Inc.</w:t>
      </w:r>
      <w:r w:rsidRPr="008B39B8">
        <w:rPr>
          <w:rFonts w:eastAsia="Times New Roman"/>
          <w:bCs/>
          <w:sz w:val="24"/>
          <w:szCs w:val="24"/>
        </w:rPr>
        <w:t>, 186 P.3d 155 (Colo. App. 2008) (In a suit by a subcontractor against a general contractor, the “no damages for delay” clause was valid and enforceable, but construed against the general contractor and invalidated on the basis of the general contractor’s affirmative and willful interference with the subcontractor’s performance. In dicta, the court stated that the general rule also applies to contracts with owners.).</w:t>
      </w:r>
    </w:p>
    <w:p w14:paraId="462DD873"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 xml:space="preserve">2. This instruction is applicable whether or not the owner intended to rent the building upon completion. 11 </w:t>
      </w:r>
      <w:r w:rsidRPr="008B39B8">
        <w:rPr>
          <w:rFonts w:eastAsia="Times New Roman"/>
          <w:bCs/>
          <w:smallCaps/>
          <w:sz w:val="24"/>
          <w:szCs w:val="24"/>
        </w:rPr>
        <w:t>Joseph M. Perillo, Corbin on Contracts</w:t>
      </w:r>
      <w:r w:rsidRPr="008B39B8">
        <w:rPr>
          <w:rFonts w:eastAsia="Times New Roman"/>
          <w:bCs/>
          <w:sz w:val="24"/>
          <w:szCs w:val="24"/>
        </w:rPr>
        <w:t xml:space="preserve"> § 60.4 (rev. ed. 2005).</w:t>
      </w:r>
    </w:p>
    <w:p w14:paraId="67D59D46"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3. If the damages for delay have been covered by a liquidated damages provision, Instruction 30:40 will normally be the appropriate instruction rather than this instruction.</w:t>
      </w:r>
    </w:p>
    <w:p w14:paraId="08FF7D0B" w14:textId="77777777" w:rsidR="008B39B8" w:rsidRPr="0054263B" w:rsidRDefault="008B39B8" w:rsidP="008B39B8">
      <w:pPr>
        <w:keepNext/>
        <w:spacing w:after="240"/>
        <w:jc w:val="center"/>
        <w:rPr>
          <w:rFonts w:eastAsia="Times New Roman"/>
          <w:b/>
          <w:sz w:val="24"/>
          <w:szCs w:val="24"/>
        </w:rPr>
      </w:pPr>
      <w:r>
        <w:rPr>
          <w:rFonts w:eastAsia="Times New Roman"/>
          <w:b/>
          <w:sz w:val="24"/>
          <w:szCs w:val="24"/>
        </w:rPr>
        <w:t>Source and Authority</w:t>
      </w:r>
    </w:p>
    <w:p w14:paraId="4C6CD714"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 xml:space="preserve">This instruction is supported by </w:t>
      </w:r>
      <w:r w:rsidRPr="008B39B8">
        <w:rPr>
          <w:rFonts w:eastAsia="Times New Roman"/>
          <w:b/>
          <w:bCs/>
          <w:sz w:val="24"/>
          <w:szCs w:val="24"/>
        </w:rPr>
        <w:t>McIntire v. Barnes</w:t>
      </w:r>
      <w:r w:rsidRPr="008B39B8">
        <w:rPr>
          <w:rFonts w:eastAsia="Times New Roman"/>
          <w:bCs/>
          <w:sz w:val="24"/>
          <w:szCs w:val="24"/>
        </w:rPr>
        <w:t>, 4 Colo. 285 (1878).</w:t>
      </w:r>
    </w:p>
    <w:p w14:paraId="0683EA11" w14:textId="77777777" w:rsidR="00A76271" w:rsidRDefault="00A76271">
      <w:pPr>
        <w:rPr>
          <w:rFonts w:eastAsia="Times New Roman"/>
          <w:bCs/>
          <w:sz w:val="24"/>
          <w:szCs w:val="24"/>
        </w:rPr>
      </w:pPr>
      <w:r>
        <w:rPr>
          <w:rFonts w:eastAsia="Times New Roman"/>
          <w:bCs/>
          <w:sz w:val="24"/>
          <w:szCs w:val="24"/>
        </w:rPr>
        <w:br w:type="page"/>
      </w:r>
    </w:p>
    <w:p w14:paraId="0DB752D0" w14:textId="77777777" w:rsidR="00A76271" w:rsidRPr="009E3DA4" w:rsidRDefault="00A76271" w:rsidP="00A76271">
      <w:pPr>
        <w:spacing w:after="240"/>
        <w:ind w:left="720" w:hanging="720"/>
        <w:rPr>
          <w:rFonts w:eastAsia="Times New Roman"/>
          <w:b/>
          <w:sz w:val="24"/>
          <w:szCs w:val="24"/>
        </w:rPr>
      </w:pPr>
      <w:bookmarkStart w:id="55" w:name="a30_51"/>
      <w:bookmarkEnd w:id="55"/>
      <w:r w:rsidRPr="00A76271">
        <w:rPr>
          <w:rFonts w:eastAsia="Times New Roman"/>
          <w:b/>
          <w:bCs/>
          <w:sz w:val="24"/>
          <w:szCs w:val="24"/>
        </w:rPr>
        <w:lastRenderedPageBreak/>
        <w:t xml:space="preserve">30:51 </w:t>
      </w:r>
      <w:r w:rsidRPr="00A76271">
        <w:rPr>
          <w:rFonts w:eastAsia="Times New Roman"/>
          <w:b/>
          <w:bCs/>
          <w:sz w:val="24"/>
          <w:szCs w:val="24"/>
        </w:rPr>
        <w:tab/>
        <w:t>DAMAGES ― BROKER’S FOR BREACH OF REAL ESTATE COMMISSION CONTRACT</w:t>
      </w:r>
    </w:p>
    <w:p w14:paraId="4CF0B7B9" w14:textId="5D37C38F"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 xml:space="preserve">(That percentage of the sales price the defendant agreed to pay the plaintiff as </w:t>
      </w:r>
      <w:r w:rsidR="004F22EF">
        <w:rPr>
          <w:rFonts w:eastAsia="Times New Roman"/>
          <w:i/>
          <w:iCs/>
          <w:sz w:val="24"/>
          <w:szCs w:val="24"/>
        </w:rPr>
        <w:t>[</w:t>
      </w:r>
      <w:r w:rsidR="004F22EF" w:rsidRPr="0070684C">
        <w:rPr>
          <w:rFonts w:eastAsia="Times New Roman"/>
          <w:i/>
          <w:iCs/>
          <w:sz w:val="24"/>
          <w:szCs w:val="24"/>
        </w:rPr>
        <w:t>insert applicable pronoun</w:t>
      </w:r>
      <w:r w:rsidR="004F22EF">
        <w:rPr>
          <w:rFonts w:eastAsia="Times New Roman"/>
          <w:i/>
          <w:iCs/>
          <w:sz w:val="24"/>
          <w:szCs w:val="24"/>
        </w:rPr>
        <w:t>]</w:t>
      </w:r>
      <w:r w:rsidRPr="00A76271">
        <w:rPr>
          <w:rFonts w:eastAsia="Times New Roman"/>
          <w:b/>
          <w:bCs/>
          <w:sz w:val="24"/>
          <w:szCs w:val="24"/>
        </w:rPr>
        <w:t xml:space="preserve"> commission.)</w:t>
      </w:r>
    </w:p>
    <w:p w14:paraId="49C51CF5" w14:textId="77777777" w:rsidR="00A76271" w:rsidRDefault="00A76271" w:rsidP="00A76271">
      <w:pPr>
        <w:jc w:val="center"/>
        <w:rPr>
          <w:rFonts w:eastAsia="Times New Roman"/>
          <w:sz w:val="24"/>
          <w:szCs w:val="24"/>
        </w:rPr>
      </w:pPr>
    </w:p>
    <w:p w14:paraId="29F4BA4C" w14:textId="77777777" w:rsidR="00A76271" w:rsidRPr="0054263B" w:rsidRDefault="00A76271" w:rsidP="00A76271">
      <w:pPr>
        <w:keepNext/>
        <w:spacing w:after="240"/>
        <w:jc w:val="center"/>
        <w:rPr>
          <w:rFonts w:eastAsia="Times New Roman"/>
          <w:b/>
          <w:sz w:val="24"/>
          <w:szCs w:val="24"/>
        </w:rPr>
      </w:pPr>
      <w:r w:rsidRPr="0054263B">
        <w:rPr>
          <w:rFonts w:eastAsia="Times New Roman"/>
          <w:b/>
          <w:sz w:val="24"/>
          <w:szCs w:val="24"/>
        </w:rPr>
        <w:t>Notes on Use</w:t>
      </w:r>
    </w:p>
    <w:p w14:paraId="2C9BC08A" w14:textId="5B90A5BF"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1. When applicable, </w:t>
      </w:r>
      <w:r w:rsidRPr="00A76271">
        <w:rPr>
          <w:rFonts w:eastAsia="Times New Roman"/>
          <w:bCs/>
          <w:i/>
          <w:sz w:val="24"/>
          <w:szCs w:val="24"/>
        </w:rPr>
        <w:t>see</w:t>
      </w:r>
      <w:r w:rsidRPr="00A76271">
        <w:rPr>
          <w:rFonts w:eastAsia="Times New Roman"/>
          <w:bCs/>
          <w:sz w:val="24"/>
          <w:szCs w:val="24"/>
        </w:rPr>
        <w:t xml:space="preserve"> Instruction 30:5</w:t>
      </w:r>
      <w:r w:rsidR="007A6434">
        <w:rPr>
          <w:rFonts w:eastAsia="Times New Roman"/>
          <w:bCs/>
          <w:sz w:val="24"/>
          <w:szCs w:val="24"/>
        </w:rPr>
        <w:t>7</w:t>
      </w:r>
      <w:r w:rsidRPr="00A76271">
        <w:rPr>
          <w:rFonts w:eastAsia="Times New Roman"/>
          <w:bCs/>
          <w:sz w:val="24"/>
          <w:szCs w:val="24"/>
        </w:rPr>
        <w:t xml:space="preserve"> (listing elements of liability for a real estate commission claim), this instruction should be used as the insertion in Instruction 30:38.</w:t>
      </w:r>
    </w:p>
    <w:p w14:paraId="6E363A2F" w14:textId="134FEABA"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2. This instruction has been drafted for what is believed to be the typical situation, namely, that the defendant did consummate the sale to the purchaser. When that is not the case, this instruction should be appropriately modified. For example, in a case where the plaintiff found a buyer to purchase on the defendant’s original terms and then the defendant refused to sell, the following would generally be more appropriate: “that percentage of the selling price the defendant agreed to pay the plaintiff as </w:t>
      </w:r>
      <w:r w:rsidR="00355A8E">
        <w:rPr>
          <w:rFonts w:eastAsia="Times New Roman"/>
          <w:i/>
          <w:iCs/>
          <w:sz w:val="24"/>
          <w:szCs w:val="24"/>
        </w:rPr>
        <w:t>[</w:t>
      </w:r>
      <w:r w:rsidR="00355A8E" w:rsidRPr="0070684C">
        <w:rPr>
          <w:rFonts w:eastAsia="Times New Roman"/>
          <w:i/>
          <w:iCs/>
          <w:sz w:val="24"/>
          <w:szCs w:val="24"/>
        </w:rPr>
        <w:t>insert applicable pronoun</w:t>
      </w:r>
      <w:r w:rsidR="00355A8E">
        <w:rPr>
          <w:rFonts w:eastAsia="Times New Roman"/>
          <w:i/>
          <w:iCs/>
          <w:sz w:val="24"/>
          <w:szCs w:val="24"/>
        </w:rPr>
        <w:t>]</w:t>
      </w:r>
      <w:r w:rsidRPr="00A76271">
        <w:rPr>
          <w:rFonts w:eastAsia="Times New Roman"/>
          <w:bCs/>
          <w:sz w:val="24"/>
          <w:szCs w:val="24"/>
        </w:rPr>
        <w:t xml:space="preserve"> commission if the property were sold at that or a better price.”</w:t>
      </w:r>
    </w:p>
    <w:p w14:paraId="316304ED"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3. If the parties agreed to a different measure for the commission, this instruction should be modified accordingly.</w:t>
      </w:r>
    </w:p>
    <w:p w14:paraId="3EC0C8A5" w14:textId="77777777" w:rsidR="00A76271" w:rsidRPr="0054263B" w:rsidRDefault="00A76271" w:rsidP="00A76271">
      <w:pPr>
        <w:keepNext/>
        <w:spacing w:after="240"/>
        <w:jc w:val="center"/>
        <w:rPr>
          <w:rFonts w:eastAsia="Times New Roman"/>
          <w:b/>
          <w:sz w:val="24"/>
          <w:szCs w:val="24"/>
        </w:rPr>
      </w:pPr>
      <w:r>
        <w:rPr>
          <w:rFonts w:eastAsia="Times New Roman"/>
          <w:b/>
          <w:sz w:val="24"/>
          <w:szCs w:val="24"/>
        </w:rPr>
        <w:t>Source and Authority</w:t>
      </w:r>
    </w:p>
    <w:p w14:paraId="04DE45E6" w14:textId="449F63BF"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This instruction is supported by </w:t>
      </w:r>
      <w:r w:rsidRPr="00A76271">
        <w:rPr>
          <w:rFonts w:eastAsia="Times New Roman"/>
          <w:b/>
          <w:bCs/>
          <w:sz w:val="24"/>
          <w:szCs w:val="24"/>
        </w:rPr>
        <w:t>Watson v. United Farm Agency, Inc.</w:t>
      </w:r>
      <w:r w:rsidRPr="00A76271">
        <w:rPr>
          <w:rFonts w:eastAsia="Times New Roman"/>
          <w:bCs/>
          <w:sz w:val="24"/>
          <w:szCs w:val="24"/>
        </w:rPr>
        <w:t xml:space="preserve">, 165 Colo. 439, 439 P.2d 738 (1968) (broker’s commission is dependent upon terms of the listing agreement). </w:t>
      </w:r>
      <w:r w:rsidRPr="00A76271">
        <w:rPr>
          <w:rFonts w:eastAsia="Times New Roman"/>
          <w:bCs/>
          <w:i/>
          <w:sz w:val="24"/>
          <w:szCs w:val="24"/>
        </w:rPr>
        <w:t>See also</w:t>
      </w:r>
      <w:r w:rsidRPr="00A76271">
        <w:rPr>
          <w:rFonts w:eastAsia="Times New Roman"/>
          <w:bCs/>
          <w:sz w:val="24"/>
          <w:szCs w:val="24"/>
        </w:rPr>
        <w:t xml:space="preserve"> Notes on Use and Source and Authority to Instruction 30:5</w:t>
      </w:r>
      <w:r w:rsidR="007A6434">
        <w:rPr>
          <w:rFonts w:eastAsia="Times New Roman"/>
          <w:bCs/>
          <w:sz w:val="24"/>
          <w:szCs w:val="24"/>
        </w:rPr>
        <w:t>7</w:t>
      </w:r>
      <w:r w:rsidRPr="00A76271">
        <w:rPr>
          <w:rFonts w:eastAsia="Times New Roman"/>
          <w:bCs/>
          <w:sz w:val="24"/>
          <w:szCs w:val="24"/>
        </w:rPr>
        <w:t xml:space="preserve">. </w:t>
      </w:r>
    </w:p>
    <w:p w14:paraId="5E2C47DE" w14:textId="77777777" w:rsidR="00A76271" w:rsidRDefault="00A76271">
      <w:pPr>
        <w:rPr>
          <w:rFonts w:eastAsia="Times New Roman"/>
          <w:bCs/>
          <w:sz w:val="24"/>
          <w:szCs w:val="24"/>
        </w:rPr>
      </w:pPr>
      <w:r>
        <w:rPr>
          <w:rFonts w:eastAsia="Times New Roman"/>
          <w:bCs/>
          <w:sz w:val="24"/>
          <w:szCs w:val="24"/>
        </w:rPr>
        <w:br w:type="page"/>
      </w:r>
    </w:p>
    <w:p w14:paraId="63CDFC25" w14:textId="76DB1E72" w:rsidR="00A76271" w:rsidRPr="009E3DA4" w:rsidRDefault="003333C4" w:rsidP="00A76271">
      <w:pPr>
        <w:spacing w:after="240"/>
        <w:ind w:left="720" w:hanging="720"/>
        <w:rPr>
          <w:rFonts w:eastAsia="Times New Roman"/>
          <w:b/>
          <w:sz w:val="24"/>
          <w:szCs w:val="24"/>
        </w:rPr>
      </w:pPr>
      <w:bookmarkStart w:id="56" w:name="a30_52"/>
      <w:bookmarkEnd w:id="56"/>
      <w:r>
        <w:rPr>
          <w:rFonts w:eastAsia="Times New Roman"/>
          <w:b/>
          <w:bCs/>
          <w:sz w:val="24"/>
          <w:szCs w:val="24"/>
        </w:rPr>
        <w:lastRenderedPageBreak/>
        <w:t>30:52</w:t>
      </w:r>
      <w:r w:rsidR="00A76271" w:rsidRPr="00A76271">
        <w:rPr>
          <w:rFonts w:eastAsia="Times New Roman"/>
          <w:b/>
          <w:bCs/>
          <w:sz w:val="24"/>
          <w:szCs w:val="24"/>
        </w:rPr>
        <w:tab/>
        <w:t>DAMAGES — OWNER’S FOR WRONGFUL DEPRIVATION OF USE OF A CHATTEL</w:t>
      </w:r>
    </w:p>
    <w:p w14:paraId="704EF1E1"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(Loss of use may be measured by either lost profits or reasonable rental value.)</w:t>
      </w:r>
    </w:p>
    <w:p w14:paraId="1FA227CC" w14:textId="77777777" w:rsidR="00A76271" w:rsidRDefault="00A76271" w:rsidP="00A76271">
      <w:pPr>
        <w:jc w:val="center"/>
        <w:rPr>
          <w:rFonts w:eastAsia="Times New Roman"/>
          <w:sz w:val="24"/>
          <w:szCs w:val="24"/>
        </w:rPr>
      </w:pPr>
    </w:p>
    <w:p w14:paraId="2ADD75AF" w14:textId="77777777" w:rsidR="00A76271" w:rsidRPr="0054263B" w:rsidRDefault="00A76271" w:rsidP="00A76271">
      <w:pPr>
        <w:keepNext/>
        <w:spacing w:after="240"/>
        <w:jc w:val="center"/>
        <w:rPr>
          <w:rFonts w:eastAsia="Times New Roman"/>
          <w:b/>
          <w:sz w:val="24"/>
          <w:szCs w:val="24"/>
        </w:rPr>
      </w:pPr>
      <w:r w:rsidRPr="0054263B">
        <w:rPr>
          <w:rFonts w:eastAsia="Times New Roman"/>
          <w:b/>
          <w:sz w:val="24"/>
          <w:szCs w:val="24"/>
        </w:rPr>
        <w:t>Notes on Use</w:t>
      </w:r>
    </w:p>
    <w:p w14:paraId="0CF87360"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When applicable, this instruction should be used as the insertion in Instruction 30:38.</w:t>
      </w:r>
    </w:p>
    <w:p w14:paraId="326ED137" w14:textId="77777777" w:rsidR="00A76271" w:rsidRPr="0054263B" w:rsidRDefault="00A76271" w:rsidP="00A76271">
      <w:pPr>
        <w:keepNext/>
        <w:spacing w:after="240"/>
        <w:jc w:val="center"/>
        <w:rPr>
          <w:rFonts w:eastAsia="Times New Roman"/>
          <w:b/>
          <w:sz w:val="24"/>
          <w:szCs w:val="24"/>
        </w:rPr>
      </w:pPr>
      <w:r>
        <w:rPr>
          <w:rFonts w:eastAsia="Times New Roman"/>
          <w:b/>
          <w:sz w:val="24"/>
          <w:szCs w:val="24"/>
        </w:rPr>
        <w:t>Source and Authority</w:t>
      </w:r>
    </w:p>
    <w:p w14:paraId="605CEC51"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This instruction is supported by </w:t>
      </w:r>
      <w:r w:rsidRPr="00A76271">
        <w:rPr>
          <w:rFonts w:eastAsia="Times New Roman"/>
          <w:b/>
          <w:bCs/>
          <w:sz w:val="24"/>
          <w:szCs w:val="24"/>
        </w:rPr>
        <w:t>Koenig v. PurCo Fleet Services, Inc.</w:t>
      </w:r>
      <w:r w:rsidRPr="00A76271">
        <w:rPr>
          <w:rFonts w:eastAsia="Times New Roman"/>
          <w:bCs/>
          <w:sz w:val="24"/>
          <w:szCs w:val="24"/>
        </w:rPr>
        <w:t>, 2012 CO 56, ¶ 16, 285 P.3d 979 (the loss of use damages can be measured by either lost profits or reasonable rental value without proof of probable rental income).</w:t>
      </w:r>
    </w:p>
    <w:p w14:paraId="67E2C840" w14:textId="77777777" w:rsidR="00A76271" w:rsidRDefault="00A76271">
      <w:pPr>
        <w:rPr>
          <w:rFonts w:eastAsia="Times New Roman"/>
          <w:bCs/>
          <w:sz w:val="24"/>
          <w:szCs w:val="24"/>
        </w:rPr>
      </w:pPr>
      <w:r>
        <w:rPr>
          <w:rFonts w:eastAsia="Times New Roman"/>
          <w:bCs/>
          <w:sz w:val="24"/>
          <w:szCs w:val="24"/>
        </w:rPr>
        <w:br w:type="page"/>
      </w:r>
    </w:p>
    <w:p w14:paraId="02291D84" w14:textId="77777777" w:rsidR="00A76271" w:rsidRPr="009E3DA4" w:rsidRDefault="00A76271" w:rsidP="00A76271">
      <w:pPr>
        <w:spacing w:after="240"/>
        <w:ind w:left="720" w:hanging="720"/>
        <w:rPr>
          <w:rFonts w:eastAsia="Times New Roman"/>
          <w:b/>
          <w:sz w:val="24"/>
          <w:szCs w:val="24"/>
        </w:rPr>
      </w:pPr>
      <w:bookmarkStart w:id="57" w:name="a30_53"/>
      <w:bookmarkStart w:id="58" w:name="_Hlk140934272"/>
      <w:bookmarkEnd w:id="57"/>
      <w:r w:rsidRPr="00A76271">
        <w:rPr>
          <w:rFonts w:eastAsia="Times New Roman"/>
          <w:b/>
          <w:bCs/>
          <w:sz w:val="24"/>
          <w:szCs w:val="24"/>
        </w:rPr>
        <w:lastRenderedPageBreak/>
        <w:t>30:53</w:t>
      </w:r>
      <w:r w:rsidRPr="00A76271">
        <w:rPr>
          <w:rFonts w:eastAsia="Times New Roman"/>
          <w:b/>
          <w:bCs/>
          <w:sz w:val="24"/>
          <w:szCs w:val="24"/>
        </w:rPr>
        <w:tab/>
        <w:t>DAMAGES — OWNER’S FOR BREACH OF A COVENANT AGAINST ENCUMBRANCES</w:t>
      </w:r>
    </w:p>
    <w:p w14:paraId="7E5DF165"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(The difference between the fair market value of the property with and without the encumbrance.)</w:t>
      </w:r>
    </w:p>
    <w:p w14:paraId="7502A27B" w14:textId="77777777" w:rsidR="00A76271" w:rsidRDefault="00A76271" w:rsidP="00A76271">
      <w:pPr>
        <w:jc w:val="center"/>
        <w:rPr>
          <w:rFonts w:eastAsia="Times New Roman"/>
          <w:sz w:val="24"/>
          <w:szCs w:val="24"/>
        </w:rPr>
      </w:pPr>
    </w:p>
    <w:p w14:paraId="01204418" w14:textId="77777777" w:rsidR="00A76271" w:rsidRPr="0054263B" w:rsidRDefault="00A76271" w:rsidP="00A76271">
      <w:pPr>
        <w:keepNext/>
        <w:spacing w:after="240"/>
        <w:jc w:val="center"/>
        <w:rPr>
          <w:rFonts w:eastAsia="Times New Roman"/>
          <w:b/>
          <w:sz w:val="24"/>
          <w:szCs w:val="24"/>
        </w:rPr>
      </w:pPr>
      <w:r w:rsidRPr="0054263B">
        <w:rPr>
          <w:rFonts w:eastAsia="Times New Roman"/>
          <w:b/>
          <w:sz w:val="24"/>
          <w:szCs w:val="24"/>
        </w:rPr>
        <w:t>Notes on Use</w:t>
      </w:r>
    </w:p>
    <w:p w14:paraId="4DE1067D"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When applicable, this instruction should be used as the insertion in Instruction 30:38.</w:t>
      </w:r>
    </w:p>
    <w:p w14:paraId="4CC2C4F9" w14:textId="77777777" w:rsidR="00A76271" w:rsidRPr="0054263B" w:rsidRDefault="00A76271" w:rsidP="00A76271">
      <w:pPr>
        <w:keepNext/>
        <w:spacing w:after="240"/>
        <w:jc w:val="center"/>
        <w:rPr>
          <w:rFonts w:eastAsia="Times New Roman"/>
          <w:b/>
          <w:sz w:val="24"/>
          <w:szCs w:val="24"/>
        </w:rPr>
      </w:pPr>
      <w:r>
        <w:rPr>
          <w:rFonts w:eastAsia="Times New Roman"/>
          <w:b/>
          <w:sz w:val="24"/>
          <w:szCs w:val="24"/>
        </w:rPr>
        <w:t>Source and Authority</w:t>
      </w:r>
    </w:p>
    <w:p w14:paraId="670B6869" w14:textId="77777777" w:rsidR="00A76271" w:rsidRDefault="00A76271" w:rsidP="00A76271">
      <w:pPr>
        <w:spacing w:after="240"/>
        <w:ind w:firstLine="720"/>
        <w:rPr>
          <w:rFonts w:eastAsia="Times New Roman"/>
          <w:bCs/>
          <w:sz w:val="24"/>
          <w:szCs w:val="24"/>
        </w:rPr>
      </w:pPr>
      <w:r w:rsidRPr="00A76271">
        <w:rPr>
          <w:rFonts w:eastAsia="Times New Roman"/>
          <w:bCs/>
          <w:sz w:val="24"/>
          <w:szCs w:val="24"/>
        </w:rPr>
        <w:t xml:space="preserve">This instruction is supported by </w:t>
      </w:r>
      <w:r w:rsidRPr="00A76271">
        <w:rPr>
          <w:rFonts w:eastAsia="Times New Roman"/>
          <w:b/>
          <w:bCs/>
          <w:sz w:val="24"/>
          <w:szCs w:val="24"/>
        </w:rPr>
        <w:t>Loveland Essential Group, LLC v. Grommon Farms, Inc.</w:t>
      </w:r>
      <w:r w:rsidRPr="00A76271">
        <w:rPr>
          <w:rFonts w:eastAsia="Times New Roman"/>
          <w:bCs/>
          <w:sz w:val="24"/>
          <w:szCs w:val="24"/>
        </w:rPr>
        <w:t>, 251 P.3d 1109 (Colo. App. 2010) (where the encumbrance at issue is a lease, and the lease is not the highest and best use of the property, the measure of damages is the difference between the fair market value of the property with the lease and the fair market value without the lease).</w:t>
      </w:r>
    </w:p>
    <w:bookmarkEnd w:id="58"/>
    <w:p w14:paraId="1D51E996" w14:textId="77777777" w:rsidR="00381B91" w:rsidRDefault="00381B91">
      <w:pPr>
        <w:rPr>
          <w:rFonts w:eastAsia="Times New Roman"/>
          <w:bCs/>
          <w:sz w:val="24"/>
          <w:szCs w:val="24"/>
        </w:rPr>
      </w:pPr>
      <w:r>
        <w:rPr>
          <w:rFonts w:eastAsia="Times New Roman"/>
          <w:bCs/>
          <w:sz w:val="24"/>
          <w:szCs w:val="24"/>
        </w:rPr>
        <w:br w:type="page"/>
      </w:r>
    </w:p>
    <w:p w14:paraId="6A7ADD9B" w14:textId="77777777" w:rsidR="00381B91" w:rsidRPr="009E3DA4" w:rsidRDefault="00381B91" w:rsidP="00381B91">
      <w:pPr>
        <w:spacing w:after="240"/>
        <w:ind w:left="720" w:hanging="720"/>
        <w:rPr>
          <w:rFonts w:eastAsia="Times New Roman"/>
          <w:b/>
          <w:sz w:val="24"/>
          <w:szCs w:val="24"/>
        </w:rPr>
      </w:pPr>
      <w:bookmarkStart w:id="59" w:name="a30_54new"/>
      <w:bookmarkEnd w:id="59"/>
      <w:r w:rsidRPr="00A76271">
        <w:rPr>
          <w:rFonts w:eastAsia="Times New Roman"/>
          <w:b/>
          <w:bCs/>
          <w:sz w:val="24"/>
          <w:szCs w:val="24"/>
        </w:rPr>
        <w:lastRenderedPageBreak/>
        <w:t>30:</w:t>
      </w:r>
      <w:r>
        <w:rPr>
          <w:rFonts w:eastAsia="Times New Roman"/>
          <w:b/>
          <w:bCs/>
          <w:sz w:val="24"/>
          <w:szCs w:val="24"/>
        </w:rPr>
        <w:t xml:space="preserve">54 </w:t>
      </w:r>
      <w:r>
        <w:rPr>
          <w:rFonts w:eastAsia="Times New Roman"/>
          <w:b/>
          <w:bCs/>
          <w:sz w:val="24"/>
          <w:szCs w:val="24"/>
        </w:rPr>
        <w:tab/>
      </w:r>
      <w:r w:rsidRPr="00A76271">
        <w:rPr>
          <w:rFonts w:eastAsia="Times New Roman"/>
          <w:b/>
          <w:bCs/>
          <w:sz w:val="24"/>
          <w:szCs w:val="24"/>
        </w:rPr>
        <w:t xml:space="preserve">DAMAGES — </w:t>
      </w:r>
      <w:r>
        <w:rPr>
          <w:rFonts w:eastAsia="Times New Roman"/>
          <w:b/>
          <w:bCs/>
          <w:sz w:val="24"/>
          <w:szCs w:val="24"/>
        </w:rPr>
        <w:t>LANDLORD FOR TENANT’S BREACH OF COMMERCIAL LEASE</w:t>
      </w:r>
    </w:p>
    <w:p w14:paraId="06947368" w14:textId="77777777" w:rsidR="00381B91" w:rsidRDefault="00381B91" w:rsidP="00381B91">
      <w:pPr>
        <w:spacing w:after="240"/>
        <w:ind w:firstLine="720"/>
        <w:rPr>
          <w:rFonts w:eastAsia="Times New Roman"/>
          <w:b/>
          <w:bCs/>
          <w:sz w:val="24"/>
          <w:szCs w:val="24"/>
        </w:rPr>
      </w:pPr>
      <w:r w:rsidRPr="00A76271">
        <w:rPr>
          <w:rFonts w:eastAsia="Times New Roman"/>
          <w:b/>
          <w:bCs/>
          <w:sz w:val="24"/>
          <w:szCs w:val="24"/>
        </w:rPr>
        <w:t>(</w:t>
      </w:r>
      <w:r>
        <w:rPr>
          <w:rFonts w:eastAsia="Times New Roman"/>
          <w:b/>
          <w:bCs/>
          <w:sz w:val="24"/>
          <w:szCs w:val="24"/>
        </w:rPr>
        <w:t>The difference between the rent remaining to be paid on the lease and the reasonable rental value of the premises for the remainder of the lease term following the breach.</w:t>
      </w:r>
      <w:r w:rsidRPr="00A76271">
        <w:rPr>
          <w:rFonts w:eastAsia="Times New Roman"/>
          <w:b/>
          <w:bCs/>
          <w:sz w:val="24"/>
          <w:szCs w:val="24"/>
        </w:rPr>
        <w:t>)</w:t>
      </w:r>
    </w:p>
    <w:p w14:paraId="081C0612" w14:textId="77777777" w:rsidR="00381B91" w:rsidRDefault="00381B91" w:rsidP="00381B91">
      <w:pPr>
        <w:jc w:val="center"/>
        <w:rPr>
          <w:rFonts w:eastAsia="Times New Roman"/>
          <w:sz w:val="24"/>
          <w:szCs w:val="24"/>
        </w:rPr>
      </w:pPr>
    </w:p>
    <w:p w14:paraId="3621973D" w14:textId="77777777" w:rsidR="00381B91" w:rsidRPr="0054263B" w:rsidRDefault="00381B91" w:rsidP="00381B91">
      <w:pPr>
        <w:keepNext/>
        <w:spacing w:after="240"/>
        <w:jc w:val="center"/>
        <w:rPr>
          <w:rFonts w:eastAsia="Times New Roman"/>
          <w:b/>
          <w:sz w:val="24"/>
          <w:szCs w:val="24"/>
        </w:rPr>
      </w:pPr>
      <w:r w:rsidRPr="0054263B">
        <w:rPr>
          <w:rFonts w:eastAsia="Times New Roman"/>
          <w:b/>
          <w:sz w:val="24"/>
          <w:szCs w:val="24"/>
        </w:rPr>
        <w:t>Notes on Use</w:t>
      </w:r>
    </w:p>
    <w:p w14:paraId="41B3C990" w14:textId="77777777" w:rsidR="00381B91" w:rsidRDefault="00381B91" w:rsidP="000D55AD">
      <w:pPr>
        <w:pStyle w:val="ListParagraph"/>
        <w:spacing w:after="240"/>
        <w:ind w:left="0" w:firstLine="720"/>
        <w:rPr>
          <w:rFonts w:eastAsia="Times New Roman"/>
          <w:bCs/>
          <w:sz w:val="24"/>
          <w:szCs w:val="24"/>
        </w:rPr>
      </w:pPr>
      <w:r>
        <w:rPr>
          <w:rFonts w:eastAsia="Times New Roman"/>
          <w:bCs/>
          <w:sz w:val="24"/>
          <w:szCs w:val="24"/>
        </w:rPr>
        <w:t xml:space="preserve">1. </w:t>
      </w:r>
      <w:r w:rsidRPr="00FF6911">
        <w:rPr>
          <w:rFonts w:eastAsia="Times New Roman"/>
          <w:bCs/>
          <w:sz w:val="24"/>
          <w:szCs w:val="24"/>
        </w:rPr>
        <w:t>When applicable, this instruction should be used as the insertion in Instruction 30:38.</w:t>
      </w:r>
    </w:p>
    <w:p w14:paraId="29488151" w14:textId="77777777" w:rsidR="00381B91" w:rsidRDefault="00381B91" w:rsidP="000D55AD">
      <w:pPr>
        <w:pStyle w:val="ListParagraph"/>
        <w:spacing w:after="240"/>
        <w:ind w:left="0" w:firstLine="720"/>
        <w:rPr>
          <w:rFonts w:eastAsia="Times New Roman"/>
          <w:bCs/>
          <w:sz w:val="24"/>
          <w:szCs w:val="24"/>
        </w:rPr>
      </w:pPr>
    </w:p>
    <w:p w14:paraId="5D95B865" w14:textId="77777777" w:rsidR="00381B91" w:rsidRPr="00FF6911" w:rsidRDefault="00381B91" w:rsidP="000D55AD">
      <w:pPr>
        <w:pStyle w:val="ListParagraph"/>
        <w:spacing w:after="240"/>
        <w:ind w:left="0" w:firstLine="720"/>
        <w:rPr>
          <w:rFonts w:eastAsia="Times New Roman"/>
          <w:bCs/>
          <w:sz w:val="24"/>
          <w:szCs w:val="24"/>
        </w:rPr>
      </w:pPr>
      <w:r>
        <w:rPr>
          <w:rFonts w:eastAsia="Times New Roman"/>
          <w:bCs/>
          <w:sz w:val="24"/>
          <w:szCs w:val="24"/>
        </w:rPr>
        <w:t xml:space="preserve">2. When supported by evidence, </w:t>
      </w:r>
      <w:r w:rsidRPr="00FF6911">
        <w:rPr>
          <w:rFonts w:eastAsia="Times New Roman"/>
          <w:bCs/>
          <w:sz w:val="24"/>
          <w:szCs w:val="24"/>
        </w:rPr>
        <w:t>Instruction 30:39</w:t>
      </w:r>
      <w:r>
        <w:rPr>
          <w:rFonts w:eastAsia="Times New Roman"/>
          <w:bCs/>
          <w:sz w:val="24"/>
          <w:szCs w:val="24"/>
        </w:rPr>
        <w:t xml:space="preserve"> on special/consequential damages should be given with this instruction.</w:t>
      </w:r>
    </w:p>
    <w:p w14:paraId="53CFEED4" w14:textId="77777777" w:rsidR="00381B91" w:rsidRPr="00FF6911" w:rsidRDefault="00381B91" w:rsidP="000D55AD">
      <w:pPr>
        <w:pStyle w:val="ListParagraph"/>
        <w:spacing w:after="240"/>
        <w:ind w:left="0" w:firstLine="720"/>
        <w:rPr>
          <w:rFonts w:eastAsia="Times New Roman"/>
          <w:bCs/>
          <w:sz w:val="24"/>
          <w:szCs w:val="24"/>
        </w:rPr>
      </w:pPr>
    </w:p>
    <w:p w14:paraId="6B0A29AF" w14:textId="77777777" w:rsidR="00381B91" w:rsidRPr="00FF6911" w:rsidRDefault="00381B91" w:rsidP="000D55AD">
      <w:pPr>
        <w:pStyle w:val="ListParagraph"/>
        <w:spacing w:after="240"/>
        <w:ind w:left="0" w:firstLine="720"/>
        <w:rPr>
          <w:rFonts w:eastAsia="Times New Roman"/>
          <w:bCs/>
          <w:sz w:val="24"/>
          <w:szCs w:val="24"/>
        </w:rPr>
      </w:pPr>
      <w:r>
        <w:rPr>
          <w:rFonts w:eastAsia="Times New Roman"/>
          <w:bCs/>
          <w:sz w:val="24"/>
          <w:szCs w:val="24"/>
        </w:rPr>
        <w:t xml:space="preserve">3. </w:t>
      </w:r>
      <w:r w:rsidRPr="008303E6">
        <w:rPr>
          <w:rFonts w:eastAsia="Times New Roman"/>
          <w:bCs/>
          <w:sz w:val="24"/>
          <w:szCs w:val="24"/>
        </w:rPr>
        <w:t xml:space="preserve">If the landlord is unable to secure a suitable tenant after a reasonable effort or if the premises have </w:t>
      </w:r>
      <w:r>
        <w:rPr>
          <w:rFonts w:eastAsia="Times New Roman"/>
          <w:bCs/>
          <w:sz w:val="24"/>
          <w:szCs w:val="24"/>
        </w:rPr>
        <w:t>become</w:t>
      </w:r>
      <w:r w:rsidRPr="008303E6">
        <w:rPr>
          <w:rFonts w:eastAsia="Times New Roman"/>
          <w:bCs/>
          <w:sz w:val="24"/>
          <w:szCs w:val="24"/>
        </w:rPr>
        <w:t xml:space="preserve"> unmarketable, this instruction should be modified to award the landlord </w:t>
      </w:r>
      <w:r>
        <w:rPr>
          <w:rFonts w:eastAsia="Times New Roman"/>
          <w:bCs/>
          <w:sz w:val="24"/>
          <w:szCs w:val="24"/>
        </w:rPr>
        <w:t>the remaining amount to be paid on the lease.</w:t>
      </w:r>
    </w:p>
    <w:p w14:paraId="7FEE0346" w14:textId="77777777" w:rsidR="00381B91" w:rsidRPr="0054263B" w:rsidRDefault="00381B91" w:rsidP="00381B91">
      <w:pPr>
        <w:keepNext/>
        <w:spacing w:after="240"/>
        <w:jc w:val="center"/>
        <w:rPr>
          <w:rFonts w:eastAsia="Times New Roman"/>
          <w:b/>
          <w:sz w:val="24"/>
          <w:szCs w:val="24"/>
        </w:rPr>
      </w:pPr>
      <w:r>
        <w:rPr>
          <w:rFonts w:eastAsia="Times New Roman"/>
          <w:b/>
          <w:sz w:val="24"/>
          <w:szCs w:val="24"/>
        </w:rPr>
        <w:t>Source and Authority</w:t>
      </w:r>
    </w:p>
    <w:p w14:paraId="6900996D" w14:textId="77777777" w:rsidR="00381B91" w:rsidRPr="00FF6911" w:rsidRDefault="00381B91" w:rsidP="00381B91">
      <w:pPr>
        <w:pStyle w:val="ListParagraph"/>
        <w:spacing w:after="240"/>
        <w:ind w:left="0" w:firstLine="720"/>
        <w:rPr>
          <w:rFonts w:eastAsia="Times New Roman"/>
          <w:bCs/>
          <w:sz w:val="24"/>
          <w:szCs w:val="24"/>
        </w:rPr>
      </w:pPr>
      <w:r w:rsidRPr="00FF6911">
        <w:rPr>
          <w:rFonts w:eastAsia="Times New Roman"/>
          <w:bCs/>
          <w:sz w:val="24"/>
          <w:szCs w:val="24"/>
        </w:rPr>
        <w:t xml:space="preserve">This instruction is supported by </w:t>
      </w:r>
      <w:r w:rsidRPr="00FF6911">
        <w:rPr>
          <w:rFonts w:eastAsia="Times New Roman"/>
          <w:b/>
          <w:sz w:val="24"/>
          <w:szCs w:val="24"/>
        </w:rPr>
        <w:t>Schneiker v. Gordon</w:t>
      </w:r>
      <w:r w:rsidRPr="00FF6911">
        <w:rPr>
          <w:rFonts w:eastAsia="Times New Roman"/>
          <w:bCs/>
          <w:sz w:val="24"/>
          <w:szCs w:val="24"/>
        </w:rPr>
        <w:t>, 732 P.2d 603, 612 (Colo. 1987) (“The measure of damages is the amount it takes to place the landlord in the position he would have occupied had the breach not occurred, taking into account the landlord’s duty to mitigate</w:t>
      </w:r>
      <w:r>
        <w:rPr>
          <w:rFonts w:eastAsia="Times New Roman"/>
          <w:bCs/>
          <w:sz w:val="24"/>
          <w:szCs w:val="24"/>
        </w:rPr>
        <w:t xml:space="preserve"> </w:t>
      </w:r>
      <w:r w:rsidRPr="00FF6911">
        <w:rPr>
          <w:rFonts w:eastAsia="Times New Roman"/>
          <w:bCs/>
          <w:sz w:val="24"/>
          <w:szCs w:val="24"/>
        </w:rPr>
        <w:t>. . .</w:t>
      </w:r>
      <w:r>
        <w:rPr>
          <w:rFonts w:eastAsia="Times New Roman"/>
          <w:bCs/>
          <w:sz w:val="24"/>
          <w:szCs w:val="24"/>
        </w:rPr>
        <w:t xml:space="preserve"> .</w:t>
      </w:r>
      <w:r w:rsidRPr="00FF6911">
        <w:rPr>
          <w:rFonts w:eastAsia="Times New Roman"/>
          <w:bCs/>
          <w:sz w:val="24"/>
          <w:szCs w:val="24"/>
        </w:rPr>
        <w:t xml:space="preserve"> Usually this will be the difference between the rent reserved in the lease and the reasonable rental value of the premises for the duration of the term of the lease, plus any other consequential damages caused by the breach.”); </w:t>
      </w:r>
      <w:r w:rsidRPr="00FF6911">
        <w:rPr>
          <w:rFonts w:eastAsia="Times New Roman"/>
          <w:bCs/>
          <w:i/>
          <w:iCs/>
          <w:sz w:val="24"/>
          <w:szCs w:val="24"/>
        </w:rPr>
        <w:t>see also</w:t>
      </w:r>
      <w:r w:rsidRPr="00FF6911">
        <w:rPr>
          <w:rFonts w:eastAsia="Times New Roman"/>
          <w:bCs/>
          <w:sz w:val="24"/>
          <w:szCs w:val="24"/>
        </w:rPr>
        <w:t xml:space="preserve"> </w:t>
      </w:r>
      <w:r w:rsidRPr="00FF6911">
        <w:rPr>
          <w:rFonts w:eastAsia="Times New Roman"/>
          <w:b/>
          <w:sz w:val="24"/>
          <w:szCs w:val="24"/>
        </w:rPr>
        <w:t>Tremitek, LLC v. Resilience Code, LLC</w:t>
      </w:r>
      <w:r w:rsidRPr="00FF6911">
        <w:rPr>
          <w:rFonts w:eastAsia="Times New Roman"/>
          <w:bCs/>
          <w:sz w:val="24"/>
          <w:szCs w:val="24"/>
        </w:rPr>
        <w:t xml:space="preserve">, 2023 COA 54, ¶ 19 (same); </w:t>
      </w:r>
      <w:r w:rsidRPr="00FF6911">
        <w:rPr>
          <w:rFonts w:eastAsia="Times New Roman"/>
          <w:b/>
          <w:sz w:val="24"/>
          <w:szCs w:val="24"/>
        </w:rPr>
        <w:t>Highlands Broadway OPCO, LLC v. Barre Boss LLC</w:t>
      </w:r>
      <w:r w:rsidRPr="00FF6911">
        <w:rPr>
          <w:rFonts w:eastAsia="Times New Roman"/>
          <w:bCs/>
          <w:sz w:val="24"/>
          <w:szCs w:val="24"/>
        </w:rPr>
        <w:t>, 2023 COA 5, ¶ 23, 528 P.3d 517, 522  (“the record supports the trial court’s factual determination that landlord undertook reasonable efforts to mitigate its damages”);</w:t>
      </w:r>
      <w:r w:rsidRPr="00FF6911">
        <w:rPr>
          <w:rFonts w:eastAsia="Times New Roman"/>
          <w:b/>
          <w:sz w:val="24"/>
          <w:szCs w:val="24"/>
        </w:rPr>
        <w:t xml:space="preserve"> Renco Assocs. v. D’Lance, Inc.</w:t>
      </w:r>
      <w:r w:rsidRPr="00FF6911">
        <w:rPr>
          <w:rFonts w:eastAsia="Times New Roman"/>
          <w:bCs/>
          <w:sz w:val="24"/>
          <w:szCs w:val="24"/>
        </w:rPr>
        <w:t>, 214 P.3d 1069, 1071 (Colo. App. 2009) (“a plaintiff m</w:t>
      </w:r>
      <w:r>
        <w:rPr>
          <w:rFonts w:eastAsia="Times New Roman"/>
          <w:bCs/>
          <w:sz w:val="24"/>
          <w:szCs w:val="24"/>
        </w:rPr>
        <w:t>a</w:t>
      </w:r>
      <w:r w:rsidRPr="00FF6911">
        <w:rPr>
          <w:rFonts w:eastAsia="Times New Roman"/>
          <w:bCs/>
          <w:sz w:val="24"/>
          <w:szCs w:val="24"/>
        </w:rPr>
        <w:t xml:space="preserve">y recover past due rent, including late charges on rent in default, in an FED action involving a lease that provides for rental payments”); </w:t>
      </w:r>
      <w:r w:rsidRPr="00FF6911">
        <w:rPr>
          <w:rFonts w:eastAsia="Times New Roman"/>
          <w:b/>
          <w:sz w:val="24"/>
          <w:szCs w:val="24"/>
        </w:rPr>
        <w:t>Del E. Webb Realty and Mgmt. Co. v. Wessbecker</w:t>
      </w:r>
      <w:r w:rsidRPr="00FF6911">
        <w:rPr>
          <w:rFonts w:eastAsia="Times New Roman"/>
          <w:bCs/>
          <w:sz w:val="24"/>
          <w:szCs w:val="24"/>
        </w:rPr>
        <w:t xml:space="preserve">, 628 P.2d 114, 116 (Colo. App. 1980) (“the trial court’s finding that the landlord failed to mitigate damages is not supported by the evidence”).  </w:t>
      </w:r>
    </w:p>
    <w:p w14:paraId="3BB169D3" w14:textId="553E9629" w:rsidR="00A76271" w:rsidRDefault="00A76271">
      <w:pPr>
        <w:rPr>
          <w:rFonts w:eastAsia="Times New Roman"/>
          <w:bCs/>
          <w:sz w:val="24"/>
          <w:szCs w:val="24"/>
        </w:rPr>
      </w:pPr>
      <w:r>
        <w:rPr>
          <w:rFonts w:eastAsia="Times New Roman"/>
          <w:bCs/>
          <w:sz w:val="24"/>
          <w:szCs w:val="24"/>
        </w:rPr>
        <w:br w:type="page"/>
      </w:r>
    </w:p>
    <w:p w14:paraId="203589CA" w14:textId="46989644" w:rsidR="00A76271" w:rsidRDefault="00A76271" w:rsidP="00A76271">
      <w:pPr>
        <w:spacing w:after="240"/>
        <w:jc w:val="center"/>
        <w:rPr>
          <w:rFonts w:eastAsia="Times New Roman"/>
          <w:b/>
          <w:sz w:val="24"/>
          <w:szCs w:val="24"/>
        </w:rPr>
      </w:pPr>
      <w:bookmarkStart w:id="60" w:name="_Hlk140834632"/>
      <w:r w:rsidRPr="00A76271">
        <w:rPr>
          <w:rFonts w:eastAsia="Times New Roman"/>
          <w:b/>
          <w:sz w:val="24"/>
          <w:szCs w:val="24"/>
        </w:rPr>
        <w:lastRenderedPageBreak/>
        <w:t>F. PARTICULAR CONTRACTS</w:t>
      </w:r>
    </w:p>
    <w:p w14:paraId="40F3BE75" w14:textId="7AB1EA6B" w:rsidR="00A76271" w:rsidRPr="009E3DA4" w:rsidRDefault="00A76271" w:rsidP="00A76271">
      <w:pPr>
        <w:spacing w:after="240"/>
        <w:ind w:left="720" w:hanging="720"/>
        <w:rPr>
          <w:rFonts w:eastAsia="Times New Roman"/>
          <w:b/>
          <w:sz w:val="24"/>
          <w:szCs w:val="24"/>
        </w:rPr>
      </w:pPr>
      <w:bookmarkStart w:id="61" w:name="a30_54"/>
      <w:bookmarkEnd w:id="61"/>
      <w:r w:rsidRPr="00A76271">
        <w:rPr>
          <w:rFonts w:eastAsia="Times New Roman"/>
          <w:b/>
          <w:bCs/>
          <w:sz w:val="24"/>
          <w:szCs w:val="24"/>
        </w:rPr>
        <w:t>30:5</w:t>
      </w:r>
      <w:r w:rsidR="007A6434">
        <w:rPr>
          <w:rFonts w:eastAsia="Times New Roman"/>
          <w:b/>
          <w:bCs/>
          <w:sz w:val="24"/>
          <w:szCs w:val="24"/>
        </w:rPr>
        <w:t>5</w:t>
      </w:r>
      <w:r w:rsidRPr="00A76271">
        <w:rPr>
          <w:rFonts w:eastAsia="Times New Roman"/>
          <w:b/>
          <w:bCs/>
          <w:sz w:val="24"/>
          <w:szCs w:val="24"/>
        </w:rPr>
        <w:t xml:space="preserve"> </w:t>
      </w:r>
      <w:r w:rsidRPr="00A76271">
        <w:rPr>
          <w:rFonts w:eastAsia="Times New Roman"/>
          <w:b/>
          <w:bCs/>
          <w:sz w:val="24"/>
          <w:szCs w:val="24"/>
        </w:rPr>
        <w:tab/>
        <w:t>CLAIM ― BUILDING C</w:t>
      </w:r>
      <w:r>
        <w:rPr>
          <w:rFonts w:eastAsia="Times New Roman"/>
          <w:b/>
          <w:bCs/>
          <w:sz w:val="24"/>
          <w:szCs w:val="24"/>
        </w:rPr>
        <w:t xml:space="preserve">ONTRACTOR’S BREACH OF IMPLIED </w:t>
      </w:r>
      <w:r w:rsidRPr="00A76271">
        <w:rPr>
          <w:rFonts w:eastAsia="Times New Roman"/>
          <w:b/>
          <w:bCs/>
          <w:sz w:val="24"/>
          <w:szCs w:val="24"/>
        </w:rPr>
        <w:t>WARRANTY ― ELEMENTS OF LIABILITY</w:t>
      </w:r>
    </w:p>
    <w:bookmarkEnd w:id="60"/>
    <w:p w14:paraId="61DE718F" w14:textId="20FA36FD"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 xml:space="preserve">For the plaintiff, </w:t>
      </w:r>
      <w:r w:rsidRPr="00A76271">
        <w:rPr>
          <w:rFonts w:eastAsia="Times New Roman"/>
          <w:bCs/>
          <w:i/>
          <w:sz w:val="24"/>
          <w:szCs w:val="24"/>
        </w:rPr>
        <w:t>(name)</w:t>
      </w:r>
      <w:r w:rsidRPr="00A76271">
        <w:rPr>
          <w:rFonts w:eastAsia="Times New Roman"/>
          <w:b/>
          <w:bCs/>
          <w:sz w:val="24"/>
          <w:szCs w:val="24"/>
        </w:rPr>
        <w:t xml:space="preserve">, to recover from the defendant, </w:t>
      </w:r>
      <w:r w:rsidRPr="00A76271">
        <w:rPr>
          <w:rFonts w:eastAsia="Times New Roman"/>
          <w:bCs/>
          <w:i/>
          <w:sz w:val="24"/>
          <w:szCs w:val="24"/>
        </w:rPr>
        <w:t>(name)</w:t>
      </w:r>
      <w:r w:rsidRPr="00A76271">
        <w:rPr>
          <w:rFonts w:eastAsia="Times New Roman"/>
          <w:b/>
          <w:bCs/>
          <w:sz w:val="24"/>
          <w:szCs w:val="24"/>
        </w:rPr>
        <w:t xml:space="preserve">, on </w:t>
      </w:r>
      <w:r w:rsidR="004F22EF" w:rsidRPr="0070684C">
        <w:rPr>
          <w:rFonts w:eastAsia="Times New Roman"/>
          <w:i/>
          <w:iCs/>
          <w:sz w:val="24"/>
          <w:szCs w:val="24"/>
        </w:rPr>
        <w:t>(insert applicable pronoun</w:t>
      </w:r>
      <w:r w:rsidR="004F22EF">
        <w:rPr>
          <w:rFonts w:eastAsia="Times New Roman"/>
          <w:i/>
          <w:iCs/>
          <w:sz w:val="24"/>
          <w:szCs w:val="24"/>
        </w:rPr>
        <w:t>)</w:t>
      </w:r>
      <w:r w:rsidRPr="00A76271">
        <w:rPr>
          <w:rFonts w:eastAsia="Times New Roman"/>
          <w:b/>
          <w:bCs/>
          <w:sz w:val="24"/>
          <w:szCs w:val="24"/>
        </w:rPr>
        <w:t xml:space="preserve"> claim of breach of implied warranty, you must find both of the following have been proved by a preponderance of the evidence:</w:t>
      </w:r>
    </w:p>
    <w:p w14:paraId="2DB759BC" w14:textId="3A83C65A"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 xml:space="preserve">1. (As a business venture, the) (The) defendant (entered into a contract with the plaintiff to build </w:t>
      </w:r>
      <w:r w:rsidRPr="00A76271">
        <w:rPr>
          <w:rFonts w:eastAsia="Times New Roman"/>
          <w:bCs/>
          <w:i/>
          <w:sz w:val="24"/>
          <w:szCs w:val="24"/>
        </w:rPr>
        <w:t>[insert an appropriate description, e.g., “a house for the plaintiff”]</w:t>
      </w:r>
      <w:r w:rsidRPr="00A76271">
        <w:rPr>
          <w:rFonts w:eastAsia="Times New Roman"/>
          <w:b/>
          <w:bCs/>
          <w:sz w:val="24"/>
          <w:szCs w:val="24"/>
        </w:rPr>
        <w:t xml:space="preserve">) ([built] [or] [had built] </w:t>
      </w:r>
      <w:r w:rsidRPr="00A76271">
        <w:rPr>
          <w:rFonts w:eastAsia="Times New Roman"/>
          <w:bCs/>
          <w:i/>
          <w:sz w:val="24"/>
          <w:szCs w:val="24"/>
        </w:rPr>
        <w:t>[insert an appropriate description, e.g., “a house”]</w:t>
      </w:r>
      <w:r w:rsidRPr="00A76271">
        <w:rPr>
          <w:rFonts w:eastAsia="Times New Roman"/>
          <w:b/>
          <w:bCs/>
          <w:sz w:val="24"/>
          <w:szCs w:val="24"/>
        </w:rPr>
        <w:t xml:space="preserve"> which </w:t>
      </w:r>
      <w:r w:rsidR="004F22EF">
        <w:rPr>
          <w:rFonts w:eastAsia="Times New Roman"/>
          <w:i/>
          <w:iCs/>
          <w:sz w:val="24"/>
          <w:szCs w:val="24"/>
        </w:rPr>
        <w:t>[</w:t>
      </w:r>
      <w:r w:rsidR="004F22EF" w:rsidRPr="0070684C">
        <w:rPr>
          <w:rFonts w:eastAsia="Times New Roman"/>
          <w:i/>
          <w:iCs/>
          <w:sz w:val="24"/>
          <w:szCs w:val="24"/>
        </w:rPr>
        <w:t>insert applicable pronoun</w:t>
      </w:r>
      <w:r w:rsidR="004F22EF">
        <w:rPr>
          <w:rFonts w:eastAsia="Times New Roman"/>
          <w:i/>
          <w:iCs/>
          <w:sz w:val="24"/>
          <w:szCs w:val="24"/>
        </w:rPr>
        <w:t>]</w:t>
      </w:r>
      <w:r w:rsidRPr="00A76271">
        <w:rPr>
          <w:rFonts w:eastAsia="Times New Roman"/>
          <w:b/>
          <w:bCs/>
          <w:sz w:val="24"/>
          <w:szCs w:val="24"/>
        </w:rPr>
        <w:t xml:space="preserve"> [sold to the plaintiff]); and</w:t>
      </w:r>
    </w:p>
    <w:p w14:paraId="6DFA5284"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 xml:space="preserve">2. When the defendant (gave possession of) (sold) the </w:t>
      </w:r>
      <w:r w:rsidRPr="00A76271">
        <w:rPr>
          <w:rFonts w:eastAsia="Times New Roman"/>
          <w:bCs/>
          <w:i/>
          <w:sz w:val="24"/>
          <w:szCs w:val="24"/>
        </w:rPr>
        <w:t>(insert appropriate description, e.g., “house”)</w:t>
      </w:r>
      <w:r w:rsidRPr="00A76271">
        <w:rPr>
          <w:rFonts w:eastAsia="Times New Roman"/>
          <w:b/>
          <w:bCs/>
          <w:sz w:val="24"/>
          <w:szCs w:val="24"/>
        </w:rPr>
        <w:t xml:space="preserve"> to the plaintiff, the </w:t>
      </w:r>
      <w:r w:rsidRPr="00A76271">
        <w:rPr>
          <w:rFonts w:eastAsia="Times New Roman"/>
          <w:bCs/>
          <w:i/>
          <w:sz w:val="24"/>
          <w:szCs w:val="24"/>
        </w:rPr>
        <w:t>(insert appropriate description, e.g., “house”)</w:t>
      </w:r>
      <w:r w:rsidRPr="00A76271">
        <w:rPr>
          <w:rFonts w:eastAsia="Times New Roman"/>
          <w:b/>
          <w:bCs/>
          <w:sz w:val="24"/>
          <w:szCs w:val="24"/>
        </w:rPr>
        <w:t xml:space="preserve"> did not comply with one or more of the warranties the law implies as part of such a (construction contract) (contract of sale).</w:t>
      </w:r>
    </w:p>
    <w:p w14:paraId="373C8E43" w14:textId="77777777" w:rsidR="00A76271" w:rsidRPr="00A76271" w:rsidRDefault="00A76271" w:rsidP="00A76271">
      <w:pPr>
        <w:spacing w:after="240"/>
        <w:ind w:firstLine="720"/>
        <w:rPr>
          <w:rFonts w:eastAsia="Times New Roman"/>
          <w:b/>
          <w:bCs/>
          <w:sz w:val="24"/>
          <w:szCs w:val="24"/>
        </w:rPr>
      </w:pPr>
      <w:bookmarkStart w:id="62" w:name="_Hlk142046422"/>
      <w:r w:rsidRPr="00A76271">
        <w:rPr>
          <w:rFonts w:eastAsia="Times New Roman"/>
          <w:b/>
          <w:bCs/>
          <w:sz w:val="24"/>
          <w:szCs w:val="24"/>
        </w:rPr>
        <w:t>If you find that either one or both of these statements has not been proved, then your verdict must be for the defendant.</w:t>
      </w:r>
    </w:p>
    <w:bookmarkEnd w:id="62"/>
    <w:p w14:paraId="292A6101"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 xml:space="preserve">On the other hand, if you find that both of these statements have been proved, (then your verdict must be for the plaintiff) (then you must consider the defendant’s affirmative defense(s) of </w:t>
      </w:r>
      <w:r w:rsidRPr="00A76271">
        <w:rPr>
          <w:rFonts w:eastAsia="Times New Roman"/>
          <w:bCs/>
          <w:i/>
          <w:sz w:val="24"/>
          <w:szCs w:val="24"/>
        </w:rPr>
        <w:t>[insert any affirmative defense that would be a complete defense to plaintiff’s claim]</w:t>
      </w:r>
      <w:r w:rsidRPr="00A76271">
        <w:rPr>
          <w:rFonts w:eastAsia="Times New Roman"/>
          <w:b/>
          <w:bCs/>
          <w:sz w:val="24"/>
          <w:szCs w:val="24"/>
        </w:rPr>
        <w:t>).</w:t>
      </w:r>
    </w:p>
    <w:p w14:paraId="59D833D6"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If you find that (this affirmative defense has) (any one or more of these affirmative defenses have) been proved by a preponderance of the evidence, then your verdict must be for the defendant.</w:t>
      </w:r>
    </w:p>
    <w:p w14:paraId="564975BA"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However, if you find that (this affirmative defense has not) (none of these affirmative defenses have) been proved, then your verdict must be for the plaintiff.</w:t>
      </w:r>
    </w:p>
    <w:p w14:paraId="5B364A5E" w14:textId="77777777" w:rsidR="00A76271" w:rsidRDefault="00A76271" w:rsidP="00A76271">
      <w:pPr>
        <w:jc w:val="center"/>
        <w:rPr>
          <w:rFonts w:eastAsia="Times New Roman"/>
          <w:sz w:val="24"/>
          <w:szCs w:val="24"/>
        </w:rPr>
      </w:pPr>
    </w:p>
    <w:p w14:paraId="4CCFE445" w14:textId="77777777" w:rsidR="00A76271" w:rsidRPr="0054263B" w:rsidRDefault="00A76271" w:rsidP="00A76271">
      <w:pPr>
        <w:keepNext/>
        <w:spacing w:after="240"/>
        <w:jc w:val="center"/>
        <w:rPr>
          <w:rFonts w:eastAsia="Times New Roman"/>
          <w:b/>
          <w:sz w:val="24"/>
          <w:szCs w:val="24"/>
        </w:rPr>
      </w:pPr>
      <w:r w:rsidRPr="0054263B">
        <w:rPr>
          <w:rFonts w:eastAsia="Times New Roman"/>
          <w:b/>
          <w:sz w:val="24"/>
          <w:szCs w:val="24"/>
        </w:rPr>
        <w:t>Notes on Use</w:t>
      </w:r>
    </w:p>
    <w:p w14:paraId="5E750906" w14:textId="17379662"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1. Whenever this instruction is given, Instruction 30:5</w:t>
      </w:r>
      <w:r w:rsidR="007A6434">
        <w:rPr>
          <w:rFonts w:eastAsia="Times New Roman"/>
          <w:bCs/>
          <w:sz w:val="24"/>
          <w:szCs w:val="24"/>
        </w:rPr>
        <w:t>6</w:t>
      </w:r>
      <w:r w:rsidRPr="00A76271">
        <w:rPr>
          <w:rFonts w:eastAsia="Times New Roman"/>
          <w:bCs/>
          <w:sz w:val="24"/>
          <w:szCs w:val="24"/>
        </w:rPr>
        <w:t xml:space="preserve"> (building contractor’s implied warranties) must also be given or, in lieu of giving that instruction, this instruction may be appropriately modified to describe specifically the implied warranty or warranties the plaintiff claims (and has presented sufficient evidence of) the defendant failed to comply with, e.g., a building set-back requirement set out in the local zoning ordinance.</w:t>
      </w:r>
    </w:p>
    <w:p w14:paraId="4AE822D7"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2. Omit either numbered paragraph, the facts of which are not in dispute, and revise the other portions of the instruction as necessary.</w:t>
      </w:r>
    </w:p>
    <w:p w14:paraId="468D6F04"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lastRenderedPageBreak/>
        <w:t>3. Use whichever parenthesized or bracketed words and phrases are most appropriate, and omit the last two paragraphs if the defendant has put no affirmative defense in issue or there is insufficient evidence to support any defense.</w:t>
      </w:r>
    </w:p>
    <w:p w14:paraId="3AE8CF49"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4. Though mitigation of damages is an affirmative defense, </w:t>
      </w:r>
      <w:r w:rsidRPr="00A76271">
        <w:rPr>
          <w:rFonts w:eastAsia="Times New Roman"/>
          <w:bCs/>
          <w:i/>
          <w:sz w:val="24"/>
          <w:szCs w:val="24"/>
        </w:rPr>
        <w:t>see</w:t>
      </w:r>
      <w:r w:rsidRPr="00A76271">
        <w:rPr>
          <w:rFonts w:eastAsia="Times New Roman"/>
          <w:bCs/>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1064ED67" w14:textId="77777777" w:rsidR="00A76271" w:rsidRPr="0054263B" w:rsidRDefault="00A76271" w:rsidP="00A76271">
      <w:pPr>
        <w:keepNext/>
        <w:spacing w:after="240"/>
        <w:jc w:val="center"/>
        <w:rPr>
          <w:rFonts w:eastAsia="Times New Roman"/>
          <w:b/>
          <w:sz w:val="24"/>
          <w:szCs w:val="24"/>
        </w:rPr>
      </w:pPr>
      <w:r>
        <w:rPr>
          <w:rFonts w:eastAsia="Times New Roman"/>
          <w:b/>
          <w:sz w:val="24"/>
          <w:szCs w:val="24"/>
        </w:rPr>
        <w:t>Source and Authority</w:t>
      </w:r>
    </w:p>
    <w:p w14:paraId="0AF43FA5"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1. This instruction is supported by </w:t>
      </w:r>
      <w:r w:rsidRPr="00A76271">
        <w:rPr>
          <w:rFonts w:eastAsia="Times New Roman"/>
          <w:b/>
          <w:bCs/>
          <w:sz w:val="24"/>
          <w:szCs w:val="24"/>
        </w:rPr>
        <w:t>Carpenter v. Donohoe</w:t>
      </w:r>
      <w:r w:rsidRPr="00A76271">
        <w:rPr>
          <w:rFonts w:eastAsia="Times New Roman"/>
          <w:bCs/>
          <w:sz w:val="24"/>
          <w:szCs w:val="24"/>
        </w:rPr>
        <w:t xml:space="preserve">, 154 Colo. 78, 388 P.2d 399 (1964), in which the court also held that the warranties applied whether the house was sold while under construction or after it had been completed. </w:t>
      </w:r>
      <w:r w:rsidRPr="00A76271">
        <w:rPr>
          <w:rFonts w:eastAsia="Times New Roman"/>
          <w:bCs/>
          <w:i/>
          <w:sz w:val="24"/>
          <w:szCs w:val="24"/>
        </w:rPr>
        <w:t>See also</w:t>
      </w:r>
      <w:r w:rsidRPr="00A76271">
        <w:rPr>
          <w:rFonts w:eastAsia="Times New Roman"/>
          <w:bCs/>
          <w:sz w:val="24"/>
          <w:szCs w:val="24"/>
        </w:rPr>
        <w:t xml:space="preserve"> </w:t>
      </w:r>
      <w:r w:rsidRPr="00A76271">
        <w:rPr>
          <w:rFonts w:eastAsia="Times New Roman"/>
          <w:b/>
          <w:bCs/>
          <w:sz w:val="24"/>
          <w:szCs w:val="24"/>
        </w:rPr>
        <w:t>Mulhern v. Hederich</w:t>
      </w:r>
      <w:r w:rsidRPr="00A76271">
        <w:rPr>
          <w:rFonts w:eastAsia="Times New Roman"/>
          <w:bCs/>
          <w:sz w:val="24"/>
          <w:szCs w:val="24"/>
        </w:rPr>
        <w:t xml:space="preserve">, 163 Colo. 275, 430 P.2d 469 (1967); </w:t>
      </w:r>
      <w:r w:rsidRPr="00A76271">
        <w:rPr>
          <w:rFonts w:eastAsia="Times New Roman"/>
          <w:b/>
          <w:bCs/>
          <w:sz w:val="24"/>
          <w:szCs w:val="24"/>
        </w:rPr>
        <w:t>Glisan v. Smolenske</w:t>
      </w:r>
      <w:r w:rsidRPr="00A76271">
        <w:rPr>
          <w:rFonts w:eastAsia="Times New Roman"/>
          <w:bCs/>
          <w:sz w:val="24"/>
          <w:szCs w:val="24"/>
        </w:rPr>
        <w:t xml:space="preserve">, 153 Colo. 274, 387 P.2d 260 (1963); </w:t>
      </w:r>
      <w:r w:rsidRPr="00A76271">
        <w:rPr>
          <w:rFonts w:eastAsia="Times New Roman"/>
          <w:b/>
          <w:bCs/>
          <w:sz w:val="24"/>
          <w:szCs w:val="24"/>
        </w:rPr>
        <w:t>Wall v. Foster Petroleum Corp.</w:t>
      </w:r>
      <w:r w:rsidRPr="00A76271">
        <w:rPr>
          <w:rFonts w:eastAsia="Times New Roman"/>
          <w:bCs/>
          <w:sz w:val="24"/>
          <w:szCs w:val="24"/>
        </w:rPr>
        <w:t>, 791 P.2d 1148 (Colo. App. 1989) (allowing rescission and restitution as an alternative remedy for breach of warranty damages).</w:t>
      </w:r>
    </w:p>
    <w:p w14:paraId="232F6BAE" w14:textId="77777777" w:rsidR="006B7995" w:rsidRDefault="00A76271" w:rsidP="00D21951">
      <w:pPr>
        <w:spacing w:after="240"/>
        <w:ind w:firstLine="720"/>
        <w:rPr>
          <w:rFonts w:eastAsia="Times New Roman"/>
          <w:bCs/>
          <w:sz w:val="24"/>
          <w:szCs w:val="24"/>
        </w:rPr>
      </w:pPr>
      <w:r w:rsidRPr="00A76271">
        <w:rPr>
          <w:rFonts w:eastAsia="Times New Roman"/>
          <w:bCs/>
          <w:sz w:val="24"/>
          <w:szCs w:val="24"/>
        </w:rPr>
        <w:t xml:space="preserve">2. </w:t>
      </w:r>
      <w:r w:rsidR="006B7995">
        <w:rPr>
          <w:rFonts w:eastAsia="Times New Roman"/>
          <w:bCs/>
          <w:sz w:val="24"/>
          <w:szCs w:val="24"/>
        </w:rPr>
        <w:t xml:space="preserve">This instruction, as revised by the trial court, was cited with approval in </w:t>
      </w:r>
      <w:r w:rsidR="006B7995" w:rsidRPr="001B22B7">
        <w:rPr>
          <w:rFonts w:eastAsia="Times New Roman"/>
          <w:b/>
          <w:sz w:val="24"/>
          <w:szCs w:val="24"/>
        </w:rPr>
        <w:t>Brooktree Village Homeowners Ass’n v. Brooktree Village</w:t>
      </w:r>
      <w:r w:rsidR="006B7995">
        <w:rPr>
          <w:rFonts w:eastAsia="Times New Roman"/>
          <w:b/>
          <w:sz w:val="24"/>
          <w:szCs w:val="24"/>
        </w:rPr>
        <w:t>,</w:t>
      </w:r>
      <w:r w:rsidR="006B7995" w:rsidRPr="001B22B7">
        <w:rPr>
          <w:rFonts w:eastAsia="Times New Roman"/>
          <w:b/>
          <w:sz w:val="24"/>
          <w:szCs w:val="24"/>
        </w:rPr>
        <w:t xml:space="preserve"> LLC</w:t>
      </w:r>
      <w:r w:rsidR="006B7995">
        <w:rPr>
          <w:rFonts w:eastAsia="Times New Roman"/>
          <w:bCs/>
          <w:sz w:val="24"/>
          <w:szCs w:val="24"/>
        </w:rPr>
        <w:t>, 2020 COA 165, ¶ 53, 479 P.3d 86, 97 (affirming jury verdict awarding damages to homeowner association for developer and builder’s breach of implied warranties in construction of common areas).</w:t>
      </w:r>
    </w:p>
    <w:p w14:paraId="573A4B65" w14:textId="334AE68C" w:rsidR="00A76271" w:rsidRPr="00A76271" w:rsidRDefault="006B7995" w:rsidP="00D21951">
      <w:pPr>
        <w:spacing w:after="240"/>
        <w:ind w:firstLine="720"/>
        <w:rPr>
          <w:rFonts w:eastAsia="Times New Roman"/>
          <w:bCs/>
          <w:sz w:val="24"/>
          <w:szCs w:val="24"/>
        </w:rPr>
      </w:pPr>
      <w:r>
        <w:rPr>
          <w:rFonts w:eastAsia="Times New Roman"/>
          <w:bCs/>
          <w:sz w:val="24"/>
          <w:szCs w:val="24"/>
        </w:rPr>
        <w:t xml:space="preserve">3. </w:t>
      </w:r>
      <w:r w:rsidR="00A76271" w:rsidRPr="00A76271">
        <w:rPr>
          <w:rFonts w:eastAsia="Times New Roman"/>
          <w:bCs/>
          <w:sz w:val="24"/>
          <w:szCs w:val="24"/>
        </w:rPr>
        <w:t xml:space="preserve">The failure to correct defects caused by hazards of soil, weather, labor, and other like conditions that are the responsibility of the builder is a failure to construct the building in a workmanlike manner. </w:t>
      </w:r>
      <w:r w:rsidR="00A76271" w:rsidRPr="00A76271">
        <w:rPr>
          <w:rFonts w:eastAsia="Times New Roman"/>
          <w:b/>
          <w:bCs/>
          <w:sz w:val="24"/>
          <w:szCs w:val="24"/>
        </w:rPr>
        <w:t>Newcomb v. Schaeffler</w:t>
      </w:r>
      <w:r w:rsidR="00A76271" w:rsidRPr="00A76271">
        <w:rPr>
          <w:rFonts w:eastAsia="Times New Roman"/>
          <w:bCs/>
          <w:sz w:val="24"/>
          <w:szCs w:val="24"/>
        </w:rPr>
        <w:t>, 131 Colo. 56, 279 P.2d 409 (1955).</w:t>
      </w:r>
    </w:p>
    <w:p w14:paraId="726B5334" w14:textId="47F4E6E2" w:rsidR="00A76271" w:rsidRPr="00A76271" w:rsidRDefault="006B7995" w:rsidP="00A76271">
      <w:pPr>
        <w:spacing w:after="240"/>
        <w:ind w:firstLine="720"/>
        <w:rPr>
          <w:rFonts w:eastAsia="Times New Roman"/>
          <w:bCs/>
          <w:sz w:val="24"/>
          <w:szCs w:val="24"/>
        </w:rPr>
      </w:pPr>
      <w:r>
        <w:rPr>
          <w:rFonts w:eastAsia="Times New Roman"/>
          <w:bCs/>
          <w:sz w:val="24"/>
          <w:szCs w:val="24"/>
        </w:rPr>
        <w:t>4</w:t>
      </w:r>
      <w:r w:rsidR="00A76271" w:rsidRPr="00A76271">
        <w:rPr>
          <w:rFonts w:eastAsia="Times New Roman"/>
          <w:bCs/>
          <w:sz w:val="24"/>
          <w:szCs w:val="24"/>
        </w:rPr>
        <w:t xml:space="preserve">. Privity is an essential element of claims for breach of implied warranties arising from transactions involving real property. </w:t>
      </w:r>
      <w:r w:rsidR="00A76271" w:rsidRPr="00A76271">
        <w:rPr>
          <w:rFonts w:eastAsia="Times New Roman"/>
          <w:b/>
          <w:bCs/>
          <w:sz w:val="24"/>
          <w:szCs w:val="24"/>
        </w:rPr>
        <w:t>Forest City Stapleton Inc. v. Rogers</w:t>
      </w:r>
      <w:r w:rsidR="00A76271" w:rsidRPr="00A76271">
        <w:rPr>
          <w:rFonts w:eastAsia="Times New Roman"/>
          <w:bCs/>
          <w:sz w:val="24"/>
          <w:szCs w:val="24"/>
        </w:rPr>
        <w:t xml:space="preserve">, 2017 CO 23, ¶ 7, 393 P.3d 487, 489 (“We hold that, because breach of the implied warranty of suitability is a contract claim, privity of contract is required to prevail on such a claim.”). The implied warranty of fitness for habitation does not extend to a purchaser against a seller of a house which had previously been occupied. </w:t>
      </w:r>
      <w:r w:rsidR="00A76271" w:rsidRPr="00A76271">
        <w:rPr>
          <w:rFonts w:eastAsia="Times New Roman"/>
          <w:bCs/>
          <w:i/>
          <w:sz w:val="24"/>
          <w:szCs w:val="24"/>
        </w:rPr>
        <w:t>See</w:t>
      </w:r>
      <w:r w:rsidR="00A76271" w:rsidRPr="00A76271">
        <w:rPr>
          <w:rFonts w:eastAsia="Times New Roman"/>
          <w:bCs/>
          <w:sz w:val="24"/>
          <w:szCs w:val="24"/>
        </w:rPr>
        <w:t xml:space="preserve"> </w:t>
      </w:r>
      <w:r w:rsidR="00A76271" w:rsidRPr="00A76271">
        <w:rPr>
          <w:rFonts w:eastAsia="Times New Roman"/>
          <w:b/>
          <w:bCs/>
          <w:sz w:val="24"/>
          <w:szCs w:val="24"/>
        </w:rPr>
        <w:t>H.B. Bolas Enters., Inc. v. Zarlengo</w:t>
      </w:r>
      <w:r w:rsidR="00A76271" w:rsidRPr="00A76271">
        <w:rPr>
          <w:rFonts w:eastAsia="Times New Roman"/>
          <w:bCs/>
          <w:sz w:val="24"/>
          <w:szCs w:val="24"/>
        </w:rPr>
        <w:t xml:space="preserve">, 156 Colo. 530, 400 P.2d 447 (1965); </w:t>
      </w:r>
      <w:r w:rsidR="00A76271" w:rsidRPr="00A76271">
        <w:rPr>
          <w:rFonts w:eastAsia="Times New Roman"/>
          <w:bCs/>
          <w:i/>
          <w:sz w:val="24"/>
          <w:szCs w:val="24"/>
        </w:rPr>
        <w:t xml:space="preserve">see also </w:t>
      </w:r>
      <w:r w:rsidR="00A76271" w:rsidRPr="00A76271">
        <w:rPr>
          <w:rFonts w:eastAsia="Times New Roman"/>
          <w:b/>
          <w:bCs/>
          <w:sz w:val="24"/>
          <w:szCs w:val="24"/>
        </w:rPr>
        <w:t>Gallegos v. Graff</w:t>
      </w:r>
      <w:r w:rsidR="00A76271" w:rsidRPr="00A76271">
        <w:rPr>
          <w:rFonts w:eastAsia="Times New Roman"/>
          <w:bCs/>
          <w:sz w:val="24"/>
          <w:szCs w:val="24"/>
        </w:rPr>
        <w:t>,</w:t>
      </w:r>
      <w:r w:rsidR="00A76271" w:rsidRPr="00A76271">
        <w:rPr>
          <w:rFonts w:eastAsia="Times New Roman"/>
          <w:b/>
          <w:bCs/>
          <w:sz w:val="24"/>
          <w:szCs w:val="24"/>
        </w:rPr>
        <w:t xml:space="preserve"> </w:t>
      </w:r>
      <w:r w:rsidR="00A76271" w:rsidRPr="00A76271">
        <w:rPr>
          <w:rFonts w:eastAsia="Times New Roman"/>
          <w:bCs/>
          <w:sz w:val="24"/>
          <w:szCs w:val="24"/>
        </w:rPr>
        <w:t xml:space="preserve">32 Colo. App. 213, 215, 508 P.2d 798, 799 (1973) (“implied warranty . . . is available to the buyer of a newly constructed house against the builder-vendor . . . [but] this . . . warranty . . . does not extend to purchasers of a used home from [the original purchasers and occupiers] who were not the builders”); </w:t>
      </w:r>
      <w:r w:rsidR="00A76271" w:rsidRPr="00A76271">
        <w:rPr>
          <w:rFonts w:eastAsia="Times New Roman"/>
          <w:b/>
          <w:bCs/>
          <w:sz w:val="24"/>
          <w:szCs w:val="24"/>
        </w:rPr>
        <w:t>Utz v. Moss</w:t>
      </w:r>
      <w:r w:rsidR="00A76271" w:rsidRPr="00A76271">
        <w:rPr>
          <w:rFonts w:eastAsia="Times New Roman"/>
          <w:bCs/>
          <w:sz w:val="24"/>
          <w:szCs w:val="24"/>
        </w:rPr>
        <w:t xml:space="preserve">, 31 Colo. App. 475, 478, 503 P.2d 365, 367 (1972) (where “construction company knows, or should know, that the intended purchaser and first occupant will not be the realty company [having the house built], but rather the initial home owner, the implied warranty . . . extends to that first purchaser”). </w:t>
      </w:r>
      <w:r w:rsidR="00A76271" w:rsidRPr="00A76271">
        <w:rPr>
          <w:rFonts w:eastAsia="Times New Roman"/>
          <w:bCs/>
          <w:i/>
          <w:sz w:val="24"/>
          <w:szCs w:val="24"/>
        </w:rPr>
        <w:t>But see</w:t>
      </w:r>
      <w:r w:rsidR="00A76271" w:rsidRPr="00A76271">
        <w:rPr>
          <w:rFonts w:eastAsia="Times New Roman"/>
          <w:bCs/>
          <w:sz w:val="24"/>
          <w:szCs w:val="24"/>
        </w:rPr>
        <w:t xml:space="preserve"> </w:t>
      </w:r>
      <w:r w:rsidR="00A76271" w:rsidRPr="00A76271">
        <w:rPr>
          <w:rFonts w:eastAsia="Times New Roman"/>
          <w:b/>
          <w:bCs/>
          <w:sz w:val="24"/>
          <w:szCs w:val="24"/>
        </w:rPr>
        <w:t>Duncan v. Schuster-Graham Homes, Inc.</w:t>
      </w:r>
      <w:r w:rsidR="00A76271" w:rsidRPr="00A76271">
        <w:rPr>
          <w:rFonts w:eastAsia="Times New Roman"/>
          <w:bCs/>
          <w:sz w:val="24"/>
          <w:szCs w:val="24"/>
        </w:rPr>
        <w:t>, 194 Colo. 441, 578 P.2d 637 (1978) (implied warranty does run to second buyer where builder repurchased from first buyer, refurbished the home, and resold it as a new home to second buyer).</w:t>
      </w:r>
    </w:p>
    <w:p w14:paraId="1A63F937" w14:textId="194A4CFD" w:rsidR="00A76271" w:rsidRPr="00A76271" w:rsidRDefault="006B7995" w:rsidP="00A76271">
      <w:pPr>
        <w:spacing w:after="240"/>
        <w:ind w:firstLine="720"/>
        <w:rPr>
          <w:rFonts w:eastAsia="Times New Roman"/>
          <w:bCs/>
          <w:sz w:val="24"/>
          <w:szCs w:val="24"/>
        </w:rPr>
      </w:pPr>
      <w:r>
        <w:rPr>
          <w:rFonts w:eastAsia="Times New Roman"/>
          <w:bCs/>
          <w:sz w:val="24"/>
          <w:szCs w:val="24"/>
        </w:rPr>
        <w:t>5</w:t>
      </w:r>
      <w:r w:rsidR="003333C4">
        <w:rPr>
          <w:rFonts w:eastAsia="Times New Roman"/>
          <w:bCs/>
          <w:sz w:val="24"/>
          <w:szCs w:val="24"/>
        </w:rPr>
        <w:t xml:space="preserve">. </w:t>
      </w:r>
      <w:r w:rsidR="00A76271" w:rsidRPr="00A76271">
        <w:rPr>
          <w:rFonts w:eastAsia="Times New Roman"/>
          <w:bCs/>
          <w:sz w:val="24"/>
          <w:szCs w:val="24"/>
        </w:rPr>
        <w:t xml:space="preserve">The implied warranty of suitability arises when a commercial developer improves and sells land for the express purpose of residential construction. </w:t>
      </w:r>
      <w:r w:rsidR="00A76271" w:rsidRPr="00A76271">
        <w:rPr>
          <w:rFonts w:eastAsia="Times New Roman"/>
          <w:b/>
          <w:bCs/>
          <w:sz w:val="24"/>
          <w:szCs w:val="24"/>
        </w:rPr>
        <w:t xml:space="preserve">Rusch v. Lincoln-Devore Testing </w:t>
      </w:r>
      <w:r w:rsidR="00A76271" w:rsidRPr="00A76271">
        <w:rPr>
          <w:rFonts w:eastAsia="Times New Roman"/>
          <w:b/>
          <w:bCs/>
          <w:sz w:val="24"/>
          <w:szCs w:val="24"/>
        </w:rPr>
        <w:lastRenderedPageBreak/>
        <w:t>Lab., Inc</w:t>
      </w:r>
      <w:r w:rsidR="00A76271" w:rsidRPr="00A76271">
        <w:rPr>
          <w:rFonts w:eastAsia="Times New Roman"/>
          <w:bCs/>
          <w:sz w:val="24"/>
          <w:szCs w:val="24"/>
        </w:rPr>
        <w:t>., 698 P.2d 832 (Colo.</w:t>
      </w:r>
      <w:r w:rsidR="00A76271" w:rsidRPr="00D93394">
        <w:rPr>
          <w:rFonts w:eastAsia="Times New Roman"/>
          <w:bCs/>
          <w:sz w:val="24"/>
          <w:szCs w:val="24"/>
        </w:rPr>
        <w:t xml:space="preserve"> App. 1984). The warranty of suitability has three elements: (1) land is improved and sold for a particular</w:t>
      </w:r>
      <w:r w:rsidR="00A76271" w:rsidRPr="00A76271">
        <w:rPr>
          <w:rFonts w:eastAsia="Times New Roman"/>
          <w:bCs/>
          <w:sz w:val="24"/>
          <w:szCs w:val="24"/>
        </w:rPr>
        <w:t xml:space="preserve"> purpose; (2) a vendor has reason to know that the purchaser is relying upon the skill or expertise of the vendor in improving the parcel for that particular purpose; and (3) the purchaser does in fact rely</w:t>
      </w:r>
      <w:r w:rsidR="003333C4">
        <w:rPr>
          <w:rFonts w:eastAsia="Times New Roman"/>
          <w:bCs/>
          <w:sz w:val="24"/>
          <w:szCs w:val="24"/>
        </w:rPr>
        <w:t>.</w:t>
      </w:r>
      <w:r w:rsidR="00A76271" w:rsidRPr="00A76271">
        <w:rPr>
          <w:rFonts w:eastAsia="Times New Roman"/>
          <w:bCs/>
          <w:sz w:val="24"/>
          <w:szCs w:val="24"/>
        </w:rPr>
        <w:t xml:space="preserve"> </w:t>
      </w:r>
    </w:p>
    <w:p w14:paraId="085C6842" w14:textId="52783411" w:rsidR="00A76271" w:rsidRPr="00A76271" w:rsidRDefault="006B7995" w:rsidP="00A76271">
      <w:pPr>
        <w:spacing w:after="240"/>
        <w:ind w:firstLine="720"/>
        <w:rPr>
          <w:rFonts w:eastAsia="Times New Roman"/>
          <w:bCs/>
          <w:sz w:val="24"/>
          <w:szCs w:val="24"/>
        </w:rPr>
      </w:pPr>
      <w:r>
        <w:rPr>
          <w:rFonts w:eastAsia="Times New Roman"/>
          <w:bCs/>
          <w:sz w:val="24"/>
          <w:szCs w:val="24"/>
        </w:rPr>
        <w:t>6</w:t>
      </w:r>
      <w:r w:rsidR="00A76271" w:rsidRPr="00A76271">
        <w:rPr>
          <w:rFonts w:eastAsia="Times New Roman"/>
          <w:bCs/>
          <w:sz w:val="24"/>
          <w:szCs w:val="24"/>
        </w:rPr>
        <w:t>. In actions or proceedings filed on or after April 25, 2003, asserting a “claim, counterclaim, cross-claim, or third party claim for damages or loss to, or the loss of use of, real or personal property or personal injury caused by a defect in the design or construction of an improvement to real property,” see the Construction Defect Action Reform Act, §§ 13-20-801 to -808, C.R.S. § 13-20-802.5(1). In particular, with respect to claims based on breach of warranty, especially those based on express warranty, see section 13-20-807.</w:t>
      </w:r>
    </w:p>
    <w:p w14:paraId="5C186512" w14:textId="687245D1" w:rsidR="00A76271" w:rsidRPr="00A76271" w:rsidRDefault="006B7995" w:rsidP="00A76271">
      <w:pPr>
        <w:spacing w:after="240"/>
        <w:ind w:firstLine="720"/>
        <w:rPr>
          <w:rFonts w:eastAsia="Times New Roman"/>
          <w:bCs/>
          <w:sz w:val="24"/>
          <w:szCs w:val="24"/>
        </w:rPr>
      </w:pPr>
      <w:r>
        <w:rPr>
          <w:rFonts w:eastAsia="Times New Roman"/>
          <w:bCs/>
          <w:sz w:val="24"/>
          <w:szCs w:val="24"/>
        </w:rPr>
        <w:t>7</w:t>
      </w:r>
      <w:r w:rsidR="00A76271" w:rsidRPr="00A76271">
        <w:rPr>
          <w:rFonts w:eastAsia="Times New Roman"/>
          <w:bCs/>
          <w:sz w:val="24"/>
          <w:szCs w:val="24"/>
        </w:rPr>
        <w:t xml:space="preserve">. As an alternative remedy to a contract action for breach of implied warranties under this instruction, a subsequent purchaser may sue on the theory of negligence to recover property damage to the structure caused by the negligence of the home builder. Further, because “Colorado has recognized recovery of damages for negligence without the parties being in privity of contract,” a remote subsequent purchaser, not in privity of contract with the home builder, may maintain such a negligence action. </w:t>
      </w:r>
      <w:r w:rsidR="00A76271" w:rsidRPr="00A76271">
        <w:rPr>
          <w:rFonts w:eastAsia="Times New Roman"/>
          <w:b/>
          <w:bCs/>
          <w:sz w:val="24"/>
          <w:szCs w:val="24"/>
        </w:rPr>
        <w:t>Weller v. Cosmopolitan Homes, Inc.</w:t>
      </w:r>
      <w:r w:rsidR="00A76271" w:rsidRPr="00A76271">
        <w:rPr>
          <w:rFonts w:eastAsia="Times New Roman"/>
          <w:bCs/>
          <w:sz w:val="24"/>
          <w:szCs w:val="24"/>
        </w:rPr>
        <w:t xml:space="preserve">, 44 Colo. App. 470, 471, 622 P.2d 577, 578 (1980), </w:t>
      </w:r>
      <w:r w:rsidR="00A76271" w:rsidRPr="00A76271">
        <w:rPr>
          <w:rFonts w:eastAsia="Times New Roman"/>
          <w:bCs/>
          <w:i/>
          <w:sz w:val="24"/>
          <w:szCs w:val="24"/>
        </w:rPr>
        <w:t>aff’d</w:t>
      </w:r>
      <w:r w:rsidR="00A76271" w:rsidRPr="00A76271">
        <w:rPr>
          <w:rFonts w:eastAsia="Times New Roman"/>
          <w:bCs/>
          <w:sz w:val="24"/>
          <w:szCs w:val="24"/>
        </w:rPr>
        <w:t xml:space="preserve">, 663 P.2d 1041 (Colo. 1983) (limiting the rule of the case “to latent defects which the purchaser was unable to discover prior to purchase”); </w:t>
      </w:r>
      <w:r w:rsidR="00A76271" w:rsidRPr="00A76271">
        <w:rPr>
          <w:rFonts w:eastAsia="Times New Roman"/>
          <w:bCs/>
          <w:i/>
          <w:sz w:val="24"/>
          <w:szCs w:val="24"/>
        </w:rPr>
        <w:t>see also</w:t>
      </w:r>
      <w:r w:rsidR="00A76271" w:rsidRPr="00A76271">
        <w:rPr>
          <w:rFonts w:eastAsia="Times New Roman"/>
          <w:bCs/>
          <w:sz w:val="24"/>
          <w:szCs w:val="24"/>
        </w:rPr>
        <w:t xml:space="preserve"> </w:t>
      </w:r>
      <w:r w:rsidR="00A76271" w:rsidRPr="00A76271">
        <w:rPr>
          <w:rFonts w:eastAsia="Times New Roman"/>
          <w:b/>
          <w:bCs/>
          <w:sz w:val="24"/>
          <w:szCs w:val="24"/>
        </w:rPr>
        <w:t>Johnson v. Graham</w:t>
      </w:r>
      <w:r w:rsidR="00A76271" w:rsidRPr="00A76271">
        <w:rPr>
          <w:rFonts w:eastAsia="Times New Roman"/>
          <w:bCs/>
          <w:sz w:val="24"/>
          <w:szCs w:val="24"/>
        </w:rPr>
        <w:t xml:space="preserve">, 679 P.2d 1090 (Colo. App. 1983) (undiscovered failure to install drain or properly compact soil could be considered latent defects), </w:t>
      </w:r>
      <w:r w:rsidR="00A76271" w:rsidRPr="00A76271">
        <w:rPr>
          <w:rFonts w:eastAsia="Times New Roman"/>
          <w:bCs/>
          <w:i/>
          <w:sz w:val="24"/>
          <w:szCs w:val="24"/>
        </w:rPr>
        <w:t>rev’d in part on other grounds sub nom.</w:t>
      </w:r>
      <w:r w:rsidR="00A76271" w:rsidRPr="00A76271">
        <w:rPr>
          <w:rFonts w:eastAsia="Times New Roman"/>
          <w:bCs/>
          <w:sz w:val="24"/>
          <w:szCs w:val="24"/>
        </w:rPr>
        <w:t xml:space="preserve"> </w:t>
      </w:r>
      <w:r w:rsidR="00A76271" w:rsidRPr="00A76271">
        <w:rPr>
          <w:rFonts w:eastAsia="Times New Roman"/>
          <w:b/>
          <w:bCs/>
          <w:sz w:val="24"/>
          <w:szCs w:val="24"/>
        </w:rPr>
        <w:t>Tri-Aspen Constr. Co. v. Johnson</w:t>
      </w:r>
      <w:r w:rsidR="00A76271" w:rsidRPr="00A76271">
        <w:rPr>
          <w:rFonts w:eastAsia="Times New Roman"/>
          <w:bCs/>
          <w:sz w:val="24"/>
          <w:szCs w:val="24"/>
        </w:rPr>
        <w:t>,</w:t>
      </w:r>
      <w:r w:rsidR="00A76271" w:rsidRPr="00A76271">
        <w:rPr>
          <w:rFonts w:eastAsia="Times New Roman"/>
          <w:b/>
          <w:bCs/>
          <w:sz w:val="24"/>
          <w:szCs w:val="24"/>
        </w:rPr>
        <w:t xml:space="preserve"> </w:t>
      </w:r>
      <w:r w:rsidR="00A76271" w:rsidRPr="00A76271">
        <w:rPr>
          <w:rFonts w:eastAsia="Times New Roman"/>
          <w:bCs/>
          <w:sz w:val="24"/>
          <w:szCs w:val="24"/>
        </w:rPr>
        <w:t xml:space="preserve">714 P.2d 484 (Colo. 1986). </w:t>
      </w:r>
    </w:p>
    <w:p w14:paraId="2EEA4D1D" w14:textId="02ED545F" w:rsidR="00A76271" w:rsidRPr="00A76271" w:rsidRDefault="006B7995" w:rsidP="00A76271">
      <w:pPr>
        <w:spacing w:after="240"/>
        <w:ind w:firstLine="720"/>
        <w:rPr>
          <w:rFonts w:eastAsia="Times New Roman"/>
          <w:bCs/>
          <w:sz w:val="24"/>
          <w:szCs w:val="24"/>
        </w:rPr>
      </w:pPr>
      <w:r>
        <w:rPr>
          <w:rFonts w:eastAsia="Times New Roman"/>
          <w:bCs/>
          <w:sz w:val="24"/>
          <w:szCs w:val="24"/>
        </w:rPr>
        <w:t>8</w:t>
      </w:r>
      <w:r w:rsidR="00A76271" w:rsidRPr="00A76271">
        <w:rPr>
          <w:rFonts w:eastAsia="Times New Roman"/>
          <w:bCs/>
          <w:sz w:val="24"/>
          <w:szCs w:val="24"/>
        </w:rPr>
        <w:t xml:space="preserve">. To be liable as a builder under this instruction the defendant must have been a person regularly engaged in the “business of building” so that the sale is commercial in nature, rather than casual or personal. </w:t>
      </w:r>
      <w:r w:rsidR="00A76271" w:rsidRPr="00A76271">
        <w:rPr>
          <w:rFonts w:eastAsia="Times New Roman"/>
          <w:b/>
          <w:bCs/>
          <w:sz w:val="24"/>
          <w:szCs w:val="24"/>
        </w:rPr>
        <w:t>Mazurek v. Nielsen</w:t>
      </w:r>
      <w:r w:rsidR="00A76271" w:rsidRPr="00A76271">
        <w:rPr>
          <w:rFonts w:eastAsia="Times New Roman"/>
          <w:bCs/>
          <w:sz w:val="24"/>
          <w:szCs w:val="24"/>
        </w:rPr>
        <w:t xml:space="preserve">, 42 Colo. App. 386, 599 P.2d 269; </w:t>
      </w:r>
      <w:r w:rsidR="00A76271" w:rsidRPr="00A76271">
        <w:rPr>
          <w:rFonts w:eastAsia="Times New Roman"/>
          <w:bCs/>
          <w:i/>
          <w:sz w:val="24"/>
          <w:szCs w:val="24"/>
        </w:rPr>
        <w:t>accord</w:t>
      </w:r>
      <w:r w:rsidR="00A76271" w:rsidRPr="00A76271">
        <w:rPr>
          <w:rFonts w:eastAsia="Times New Roman"/>
          <w:bCs/>
          <w:sz w:val="24"/>
          <w:szCs w:val="24"/>
        </w:rPr>
        <w:t xml:space="preserve"> </w:t>
      </w:r>
      <w:r w:rsidR="00A76271" w:rsidRPr="00A76271">
        <w:rPr>
          <w:rFonts w:eastAsia="Times New Roman"/>
          <w:b/>
          <w:bCs/>
          <w:sz w:val="24"/>
          <w:szCs w:val="24"/>
        </w:rPr>
        <w:t>Erickson v. Oberlohr</w:t>
      </w:r>
      <w:r w:rsidR="00A76271" w:rsidRPr="00A76271">
        <w:rPr>
          <w:rFonts w:eastAsia="Times New Roman"/>
          <w:bCs/>
          <w:sz w:val="24"/>
          <w:szCs w:val="24"/>
        </w:rPr>
        <w:t xml:space="preserve">, 749 P.2d 996 (Colo. App. 1987). Even though a builder-vendor may have begun construction of a house as a personal residence, if, before completion, he or she puts the house on the market in the capacity of a builder-vendor, a subsequent sale is a “commercial” one to which the implied warranties set out in this instruction attach. </w:t>
      </w:r>
      <w:r w:rsidR="00A76271" w:rsidRPr="00A76271">
        <w:rPr>
          <w:rFonts w:eastAsia="Times New Roman"/>
          <w:b/>
          <w:bCs/>
          <w:sz w:val="24"/>
          <w:szCs w:val="24"/>
        </w:rPr>
        <w:t>Sloat v. Matheny</w:t>
      </w:r>
      <w:r w:rsidR="00A76271" w:rsidRPr="00A76271">
        <w:rPr>
          <w:rFonts w:eastAsia="Times New Roman"/>
          <w:bCs/>
          <w:sz w:val="24"/>
          <w:szCs w:val="24"/>
        </w:rPr>
        <w:t xml:space="preserve">, 625 P.2d 1031 (Colo. 1981); </w:t>
      </w:r>
      <w:r w:rsidR="00A76271" w:rsidRPr="00A76271">
        <w:rPr>
          <w:rFonts w:eastAsia="Times New Roman"/>
          <w:bCs/>
          <w:i/>
          <w:sz w:val="24"/>
          <w:szCs w:val="24"/>
        </w:rPr>
        <w:t>see also</w:t>
      </w:r>
      <w:r w:rsidR="00A76271" w:rsidRPr="00A76271">
        <w:rPr>
          <w:rFonts w:eastAsia="Times New Roman"/>
          <w:bCs/>
          <w:sz w:val="24"/>
          <w:szCs w:val="24"/>
        </w:rPr>
        <w:t xml:space="preserve"> </w:t>
      </w:r>
      <w:r w:rsidR="00A76271" w:rsidRPr="00A76271">
        <w:rPr>
          <w:rFonts w:eastAsia="Times New Roman"/>
          <w:b/>
          <w:bCs/>
          <w:sz w:val="24"/>
          <w:szCs w:val="24"/>
        </w:rPr>
        <w:t>Davies v. Bradley</w:t>
      </w:r>
      <w:r w:rsidR="00A76271" w:rsidRPr="00A76271">
        <w:rPr>
          <w:rFonts w:eastAsia="Times New Roman"/>
          <w:bCs/>
          <w:sz w:val="24"/>
          <w:szCs w:val="24"/>
        </w:rPr>
        <w:t>, 676 P.2d 1242 (Colo. App. 1983) (fact that purchasers were unaware the seller was also the builder does not preclude purchaser’s claim for breach of warranty).</w:t>
      </w:r>
    </w:p>
    <w:p w14:paraId="6D9D28C0" w14:textId="65CA7423" w:rsidR="00A76271" w:rsidRPr="00A76271" w:rsidRDefault="006B7995" w:rsidP="00A76271">
      <w:pPr>
        <w:spacing w:after="240"/>
        <w:ind w:firstLine="720"/>
        <w:rPr>
          <w:rFonts w:eastAsia="Times New Roman"/>
          <w:bCs/>
          <w:sz w:val="24"/>
          <w:szCs w:val="24"/>
        </w:rPr>
      </w:pPr>
      <w:r>
        <w:rPr>
          <w:rFonts w:eastAsia="Times New Roman"/>
          <w:bCs/>
          <w:sz w:val="24"/>
          <w:szCs w:val="24"/>
        </w:rPr>
        <w:t>9</w:t>
      </w:r>
      <w:r w:rsidR="00A76271" w:rsidRPr="00A76271">
        <w:rPr>
          <w:rFonts w:eastAsia="Times New Roman"/>
          <w:bCs/>
          <w:sz w:val="24"/>
          <w:szCs w:val="24"/>
        </w:rPr>
        <w:t xml:space="preserve">. To recover on the theory of breach of the implied warranty of habitability, a purchaser need not first have made an inspection of the property. Moreover, the willful concealment of defects obviates any requirement of inspection, even for obvious defects, because in a case of concealment the purchaser need only have been ignorant of the facts concealed. </w:t>
      </w:r>
      <w:r w:rsidR="00A76271" w:rsidRPr="00A76271">
        <w:rPr>
          <w:rFonts w:eastAsia="Times New Roman"/>
          <w:bCs/>
          <w:i/>
          <w:sz w:val="24"/>
          <w:szCs w:val="24"/>
        </w:rPr>
        <w:t>Id</w:t>
      </w:r>
      <w:r w:rsidR="00A76271" w:rsidRPr="00A76271">
        <w:rPr>
          <w:rFonts w:eastAsia="Times New Roman"/>
          <w:bCs/>
          <w:sz w:val="24"/>
          <w:szCs w:val="24"/>
        </w:rPr>
        <w:t>.</w:t>
      </w:r>
    </w:p>
    <w:p w14:paraId="41313813" w14:textId="22D64254" w:rsidR="00A76271" w:rsidRPr="00A76271" w:rsidRDefault="006B7995" w:rsidP="00A76271">
      <w:pPr>
        <w:spacing w:after="240"/>
        <w:ind w:firstLine="720"/>
        <w:rPr>
          <w:rFonts w:eastAsia="Times New Roman"/>
          <w:bCs/>
          <w:sz w:val="24"/>
          <w:szCs w:val="24"/>
        </w:rPr>
      </w:pPr>
      <w:r>
        <w:rPr>
          <w:rFonts w:eastAsia="Times New Roman"/>
          <w:bCs/>
          <w:sz w:val="24"/>
          <w:szCs w:val="24"/>
        </w:rPr>
        <w:t>10</w:t>
      </w:r>
      <w:r w:rsidR="00A76271" w:rsidRPr="00A76271">
        <w:rPr>
          <w:rFonts w:eastAsia="Times New Roman"/>
          <w:bCs/>
          <w:sz w:val="24"/>
          <w:szCs w:val="24"/>
        </w:rPr>
        <w:t xml:space="preserve">. An implied warranty comparable to the warranties covered by this instruction may arise from the sale of land by a commercial developer who improves land and sells it for an express purpose. </w:t>
      </w:r>
      <w:r w:rsidR="00A76271" w:rsidRPr="00A76271">
        <w:rPr>
          <w:rFonts w:eastAsia="Times New Roman"/>
          <w:bCs/>
          <w:i/>
          <w:sz w:val="24"/>
          <w:szCs w:val="24"/>
        </w:rPr>
        <w:t>See, e.g.</w:t>
      </w:r>
      <w:r w:rsidR="00A76271" w:rsidRPr="00A76271">
        <w:rPr>
          <w:rFonts w:eastAsia="Times New Roman"/>
          <w:bCs/>
          <w:sz w:val="24"/>
          <w:szCs w:val="24"/>
        </w:rPr>
        <w:t xml:space="preserve">, </w:t>
      </w:r>
      <w:r w:rsidR="00A76271" w:rsidRPr="00A76271">
        <w:rPr>
          <w:rFonts w:eastAsia="Times New Roman"/>
          <w:b/>
          <w:bCs/>
          <w:sz w:val="24"/>
          <w:szCs w:val="24"/>
        </w:rPr>
        <w:t>Rusch</w:t>
      </w:r>
      <w:r w:rsidR="00A76271" w:rsidRPr="00A76271">
        <w:rPr>
          <w:rFonts w:eastAsia="Times New Roman"/>
          <w:bCs/>
          <w:sz w:val="24"/>
          <w:szCs w:val="24"/>
        </w:rPr>
        <w:t>, 698 P.2d at 835 (recognizing an implied warranty of fitness for a particular purpose).</w:t>
      </w:r>
    </w:p>
    <w:p w14:paraId="18410127" w14:textId="10BB524E" w:rsidR="00A76271" w:rsidRPr="00A76271" w:rsidRDefault="006B7995" w:rsidP="00A76271">
      <w:pPr>
        <w:spacing w:after="240"/>
        <w:ind w:firstLine="720"/>
        <w:rPr>
          <w:rFonts w:eastAsia="Times New Roman"/>
          <w:bCs/>
          <w:sz w:val="24"/>
          <w:szCs w:val="24"/>
        </w:rPr>
      </w:pPr>
      <w:r>
        <w:rPr>
          <w:rFonts w:eastAsia="Times New Roman"/>
          <w:bCs/>
          <w:sz w:val="24"/>
          <w:szCs w:val="24"/>
        </w:rPr>
        <w:t>11</w:t>
      </w:r>
      <w:r w:rsidR="00A76271" w:rsidRPr="00A76271">
        <w:rPr>
          <w:rFonts w:eastAsia="Times New Roman"/>
          <w:bCs/>
          <w:sz w:val="24"/>
          <w:szCs w:val="24"/>
        </w:rPr>
        <w:t xml:space="preserve">. A builder or developer of residential construction must “provide the purchaser with a copy of a summary report of the analysis and the site recommendations” concerning soils and </w:t>
      </w:r>
      <w:r w:rsidR="00A76271" w:rsidRPr="00A76271">
        <w:rPr>
          <w:rFonts w:eastAsia="Times New Roman"/>
          <w:bCs/>
          <w:sz w:val="24"/>
          <w:szCs w:val="24"/>
        </w:rPr>
        <w:lastRenderedPageBreak/>
        <w:t>land hazards. § 6-6.5-101(1), C.R.S. In addition to “any other liability or penalty,” the failure to provide such a report renders the developer or builder liable to the purchaser for a $500.00 civil penalty. § 6-6.5-101(2).</w:t>
      </w:r>
    </w:p>
    <w:p w14:paraId="10D5FD41" w14:textId="77777777" w:rsidR="00D21951" w:rsidRDefault="00D21951">
      <w:pPr>
        <w:rPr>
          <w:rFonts w:eastAsia="Times New Roman"/>
          <w:bCs/>
          <w:sz w:val="24"/>
          <w:szCs w:val="24"/>
        </w:rPr>
      </w:pPr>
      <w:r>
        <w:rPr>
          <w:rFonts w:eastAsia="Times New Roman"/>
          <w:bCs/>
          <w:sz w:val="24"/>
          <w:szCs w:val="24"/>
        </w:rPr>
        <w:br w:type="page"/>
      </w:r>
    </w:p>
    <w:p w14:paraId="7C61500C" w14:textId="06F47F69" w:rsidR="00D21951" w:rsidRPr="009E3DA4" w:rsidRDefault="00D21951" w:rsidP="00D21951">
      <w:pPr>
        <w:spacing w:after="240"/>
        <w:ind w:left="720" w:hanging="720"/>
        <w:rPr>
          <w:rFonts w:eastAsia="Times New Roman"/>
          <w:b/>
          <w:sz w:val="24"/>
          <w:szCs w:val="24"/>
        </w:rPr>
      </w:pPr>
      <w:bookmarkStart w:id="63" w:name="a30_55"/>
      <w:bookmarkEnd w:id="63"/>
      <w:r w:rsidRPr="00D21951">
        <w:rPr>
          <w:rFonts w:eastAsia="Times New Roman"/>
          <w:b/>
          <w:bCs/>
          <w:sz w:val="24"/>
          <w:szCs w:val="24"/>
        </w:rPr>
        <w:lastRenderedPageBreak/>
        <w:t>30:5</w:t>
      </w:r>
      <w:r w:rsidR="007A6434">
        <w:rPr>
          <w:rFonts w:eastAsia="Times New Roman"/>
          <w:b/>
          <w:bCs/>
          <w:sz w:val="24"/>
          <w:szCs w:val="24"/>
        </w:rPr>
        <w:t>6</w:t>
      </w:r>
      <w:r w:rsidRPr="00D21951">
        <w:rPr>
          <w:rFonts w:eastAsia="Times New Roman"/>
          <w:b/>
          <w:bCs/>
          <w:sz w:val="24"/>
          <w:szCs w:val="24"/>
        </w:rPr>
        <w:t xml:space="preserve"> </w:t>
      </w:r>
      <w:r w:rsidRPr="00D21951">
        <w:rPr>
          <w:rFonts w:eastAsia="Times New Roman"/>
          <w:b/>
          <w:bCs/>
          <w:sz w:val="24"/>
          <w:szCs w:val="24"/>
        </w:rPr>
        <w:tab/>
        <w:t>DEFINITION ― BUILDING CONTRACTOR’S IMPLIED WARRANTIES</w:t>
      </w:r>
    </w:p>
    <w:p w14:paraId="3C48C75C" w14:textId="77777777" w:rsidR="00D21951" w:rsidRPr="00D21951" w:rsidRDefault="00D21951" w:rsidP="00D21951">
      <w:pPr>
        <w:spacing w:after="240"/>
        <w:ind w:firstLine="720"/>
        <w:rPr>
          <w:rFonts w:eastAsia="Times New Roman"/>
          <w:b/>
          <w:bCs/>
          <w:sz w:val="24"/>
          <w:szCs w:val="24"/>
        </w:rPr>
      </w:pPr>
      <w:r w:rsidRPr="00D21951">
        <w:rPr>
          <w:rFonts w:eastAsia="Times New Roman"/>
          <w:b/>
          <w:bCs/>
          <w:sz w:val="24"/>
          <w:szCs w:val="24"/>
        </w:rPr>
        <w:t>A person who enters into a contract to build a building or structure for another or who, as a business venture, builds or has built a structure or building and sells that structure or building to another impliedly warrants, that is, impliedly promises, that:</w:t>
      </w:r>
    </w:p>
    <w:p w14:paraId="4F14D695" w14:textId="77777777" w:rsidR="00D21951" w:rsidRPr="00D21951" w:rsidRDefault="00D21951" w:rsidP="00D21951">
      <w:pPr>
        <w:spacing w:after="240"/>
        <w:ind w:firstLine="720"/>
        <w:rPr>
          <w:rFonts w:eastAsia="Times New Roman"/>
          <w:b/>
          <w:bCs/>
          <w:sz w:val="24"/>
          <w:szCs w:val="24"/>
        </w:rPr>
      </w:pPr>
      <w:r w:rsidRPr="00D21951">
        <w:rPr>
          <w:rFonts w:eastAsia="Times New Roman"/>
          <w:b/>
          <w:bCs/>
          <w:sz w:val="24"/>
          <w:szCs w:val="24"/>
        </w:rPr>
        <w:t xml:space="preserve">1. All relevant provisions of the </w:t>
      </w:r>
      <w:r w:rsidRPr="00D21951">
        <w:rPr>
          <w:rFonts w:eastAsia="Times New Roman"/>
          <w:bCs/>
          <w:i/>
          <w:sz w:val="24"/>
          <w:szCs w:val="24"/>
        </w:rPr>
        <w:t xml:space="preserve">(describe any relevant codes) </w:t>
      </w:r>
      <w:r w:rsidRPr="00D21951">
        <w:rPr>
          <w:rFonts w:eastAsia="Times New Roman"/>
          <w:b/>
          <w:bCs/>
          <w:sz w:val="24"/>
          <w:szCs w:val="24"/>
        </w:rPr>
        <w:t>applicable to the construction of the structure or building have been complied with;</w:t>
      </w:r>
    </w:p>
    <w:p w14:paraId="6D78FAE0" w14:textId="77777777" w:rsidR="00D21951" w:rsidRPr="00D21951" w:rsidRDefault="00D21951" w:rsidP="00D21951">
      <w:pPr>
        <w:spacing w:after="240"/>
        <w:ind w:firstLine="720"/>
        <w:rPr>
          <w:rFonts w:eastAsia="Times New Roman"/>
          <w:b/>
          <w:bCs/>
          <w:sz w:val="24"/>
          <w:szCs w:val="24"/>
        </w:rPr>
      </w:pPr>
      <w:r w:rsidRPr="00D21951">
        <w:rPr>
          <w:rFonts w:eastAsia="Times New Roman"/>
          <w:b/>
          <w:bCs/>
          <w:sz w:val="24"/>
          <w:szCs w:val="24"/>
        </w:rPr>
        <w:t>2. All work on the structure or the building has been done in a workmanlike manner; and</w:t>
      </w:r>
    </w:p>
    <w:p w14:paraId="553D6107" w14:textId="77777777" w:rsidR="00D21951" w:rsidRPr="00D21951" w:rsidRDefault="00D21951" w:rsidP="00D21951">
      <w:pPr>
        <w:spacing w:after="240"/>
        <w:ind w:firstLine="720"/>
        <w:rPr>
          <w:rFonts w:eastAsia="Times New Roman"/>
          <w:b/>
          <w:bCs/>
          <w:sz w:val="24"/>
          <w:szCs w:val="24"/>
        </w:rPr>
      </w:pPr>
      <w:r w:rsidRPr="00D21951">
        <w:rPr>
          <w:rFonts w:eastAsia="Times New Roman"/>
          <w:b/>
          <w:bCs/>
          <w:sz w:val="24"/>
          <w:szCs w:val="24"/>
        </w:rPr>
        <w:t>3. The building or structure is suitable for the ordinary purposes for which it might reasonably be used.</w:t>
      </w:r>
    </w:p>
    <w:p w14:paraId="2EC03AE9" w14:textId="77777777" w:rsidR="00D21951" w:rsidRDefault="00D21951" w:rsidP="00D21951">
      <w:pPr>
        <w:jc w:val="center"/>
        <w:rPr>
          <w:rFonts w:eastAsia="Times New Roman"/>
          <w:sz w:val="24"/>
          <w:szCs w:val="24"/>
        </w:rPr>
      </w:pPr>
    </w:p>
    <w:p w14:paraId="1FA0CFAB" w14:textId="77777777" w:rsidR="00D21951" w:rsidRPr="0054263B" w:rsidRDefault="00D21951" w:rsidP="00D21951">
      <w:pPr>
        <w:keepNext/>
        <w:spacing w:after="240"/>
        <w:jc w:val="center"/>
        <w:rPr>
          <w:rFonts w:eastAsia="Times New Roman"/>
          <w:b/>
          <w:sz w:val="24"/>
          <w:szCs w:val="24"/>
        </w:rPr>
      </w:pPr>
      <w:r w:rsidRPr="0054263B">
        <w:rPr>
          <w:rFonts w:eastAsia="Times New Roman"/>
          <w:b/>
          <w:sz w:val="24"/>
          <w:szCs w:val="24"/>
        </w:rPr>
        <w:t>Notes on Use</w:t>
      </w:r>
    </w:p>
    <w:p w14:paraId="774B907C" w14:textId="13A4558D"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1. Note 1 of the Notes on Use to Instruction 30:5</w:t>
      </w:r>
      <w:r w:rsidR="007A6434">
        <w:rPr>
          <w:rFonts w:eastAsia="Times New Roman"/>
          <w:bCs/>
          <w:sz w:val="24"/>
          <w:szCs w:val="24"/>
        </w:rPr>
        <w:t>5</w:t>
      </w:r>
      <w:r w:rsidRPr="00D21951">
        <w:rPr>
          <w:rFonts w:eastAsia="Times New Roman"/>
          <w:bCs/>
          <w:sz w:val="24"/>
          <w:szCs w:val="24"/>
        </w:rPr>
        <w:t xml:space="preserve"> (listing elements of liability for building contractor’s breach of implied warranty claim) is also applicable to this instruction.</w:t>
      </w:r>
    </w:p>
    <w:p w14:paraId="28F2DC2F"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2. Omit any numbered subparagraph or other portions of this instruction that are not appropriate to the evidence in the case.</w:t>
      </w:r>
    </w:p>
    <w:p w14:paraId="07F5C9B9" w14:textId="77777777" w:rsidR="00D21951" w:rsidRPr="0054263B" w:rsidRDefault="00D21951" w:rsidP="00D21951">
      <w:pPr>
        <w:keepNext/>
        <w:spacing w:after="240"/>
        <w:jc w:val="center"/>
        <w:rPr>
          <w:rFonts w:eastAsia="Times New Roman"/>
          <w:b/>
          <w:sz w:val="24"/>
          <w:szCs w:val="24"/>
        </w:rPr>
      </w:pPr>
      <w:r>
        <w:rPr>
          <w:rFonts w:eastAsia="Times New Roman"/>
          <w:b/>
          <w:sz w:val="24"/>
          <w:szCs w:val="24"/>
        </w:rPr>
        <w:t>Source and Authority</w:t>
      </w:r>
    </w:p>
    <w:p w14:paraId="7B487F17"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 xml:space="preserve">1. This instruction is supported by </w:t>
      </w:r>
      <w:r w:rsidRPr="00D21951">
        <w:rPr>
          <w:rFonts w:eastAsia="Times New Roman"/>
          <w:b/>
          <w:bCs/>
          <w:sz w:val="24"/>
          <w:szCs w:val="24"/>
        </w:rPr>
        <w:t>Carpenter v. Donohoe</w:t>
      </w:r>
      <w:r w:rsidRPr="00D21951">
        <w:rPr>
          <w:rFonts w:eastAsia="Times New Roman"/>
          <w:bCs/>
          <w:sz w:val="24"/>
          <w:szCs w:val="24"/>
        </w:rPr>
        <w:t>, 154 Colo. 78, 388 P.2d 399 (1964).</w:t>
      </w:r>
    </w:p>
    <w:p w14:paraId="2740A119"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 xml:space="preserve">2. A builder of a new house impliedly warrants the house has been built in a workmanlike manner and that it is fit for habitation. This implied warranty includes a garage “built and sold as an integral part of the purchase of the house.” </w:t>
      </w:r>
      <w:r w:rsidRPr="00D21951">
        <w:rPr>
          <w:rFonts w:eastAsia="Times New Roman"/>
          <w:b/>
          <w:bCs/>
          <w:sz w:val="24"/>
          <w:szCs w:val="24"/>
        </w:rPr>
        <w:t>Roper v. Spring Lake Dev. Co.</w:t>
      </w:r>
      <w:r w:rsidRPr="00D21951">
        <w:rPr>
          <w:rFonts w:eastAsia="Times New Roman"/>
          <w:bCs/>
          <w:sz w:val="24"/>
          <w:szCs w:val="24"/>
        </w:rPr>
        <w:t>,</w:t>
      </w:r>
      <w:r w:rsidRPr="00D21951">
        <w:rPr>
          <w:rFonts w:eastAsia="Times New Roman"/>
          <w:b/>
          <w:bCs/>
          <w:sz w:val="24"/>
          <w:szCs w:val="24"/>
        </w:rPr>
        <w:t xml:space="preserve"> </w:t>
      </w:r>
      <w:r w:rsidRPr="00D21951">
        <w:rPr>
          <w:rFonts w:eastAsia="Times New Roman"/>
          <w:bCs/>
          <w:sz w:val="24"/>
          <w:szCs w:val="24"/>
        </w:rPr>
        <w:t xml:space="preserve">789 P.2d 483, 486 (Colo. App. 1990) (foul odor in attached garage rendered townhouse unfit for its intended use). The implied warranty that the structure was built in a workmanlike manner includes the workmanlike grading of the surrounding premises when the construction of the structure cannot be divorced from that work and the responsibility for doing that work has been undertaken by the contractor. </w:t>
      </w:r>
      <w:r w:rsidRPr="00D21951">
        <w:rPr>
          <w:rFonts w:eastAsia="Times New Roman"/>
          <w:b/>
          <w:bCs/>
          <w:sz w:val="24"/>
          <w:szCs w:val="24"/>
        </w:rPr>
        <w:t>Shiffers v. Cunningham Shepherd Builders Co.</w:t>
      </w:r>
      <w:r w:rsidRPr="00D21951">
        <w:rPr>
          <w:rFonts w:eastAsia="Times New Roman"/>
          <w:bCs/>
          <w:sz w:val="24"/>
          <w:szCs w:val="24"/>
        </w:rPr>
        <w:t xml:space="preserve">, 28 Colo. App. 29, 470 P.2d 593 (1970). The implied warranty of habitability of a house (i.e., “suitable for its intended use”) also includes a water supply sufficient in quantity and quality for its useful occupancy. </w:t>
      </w:r>
      <w:r w:rsidRPr="00D21951">
        <w:rPr>
          <w:rFonts w:eastAsia="Times New Roman"/>
          <w:b/>
          <w:bCs/>
          <w:sz w:val="24"/>
          <w:szCs w:val="24"/>
        </w:rPr>
        <w:t>Mazurek v. Nielsen</w:t>
      </w:r>
      <w:r w:rsidRPr="00D21951">
        <w:rPr>
          <w:rFonts w:eastAsia="Times New Roman"/>
          <w:bCs/>
          <w:sz w:val="24"/>
          <w:szCs w:val="24"/>
        </w:rPr>
        <w:t>, 42 Colo. App. 386, 599 P.2d 269 (1979). It does not include, “[h]owever, a claim based solely</w:t>
      </w:r>
      <w:r w:rsidRPr="00D21951">
        <w:rPr>
          <w:rFonts w:eastAsia="Times New Roman"/>
          <w:bCs/>
          <w:i/>
          <w:sz w:val="24"/>
          <w:szCs w:val="24"/>
        </w:rPr>
        <w:t xml:space="preserve"> </w:t>
      </w:r>
      <w:r w:rsidRPr="00D21951">
        <w:rPr>
          <w:rFonts w:eastAsia="Times New Roman"/>
          <w:bCs/>
          <w:sz w:val="24"/>
          <w:szCs w:val="24"/>
        </w:rPr>
        <w:t xml:space="preserve">on the lack of a certificate of occupancy . . . [because the] warranty protects against construction defects, not procedural defects.” </w:t>
      </w:r>
      <w:r w:rsidRPr="00D21951">
        <w:rPr>
          <w:rFonts w:eastAsia="Times New Roman"/>
          <w:b/>
          <w:bCs/>
          <w:sz w:val="24"/>
          <w:szCs w:val="24"/>
        </w:rPr>
        <w:t>Dann v. Perrotti &amp; Hauptman Dev. Co.</w:t>
      </w:r>
      <w:r w:rsidRPr="00D21951">
        <w:rPr>
          <w:rFonts w:eastAsia="Times New Roman"/>
          <w:bCs/>
          <w:sz w:val="24"/>
          <w:szCs w:val="24"/>
        </w:rPr>
        <w:t>, 670 P.2d 448, 451 (Colo. App. 1983). In cases involving these and similar situations, this instruction should be modified according to the particular facts.</w:t>
      </w:r>
    </w:p>
    <w:p w14:paraId="75710CC7"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 xml:space="preserve">3. “These warranties may be limited by an express provision in the contract between the parties. However, such limitation must be accomplished by clear and unambiguous language.” </w:t>
      </w:r>
      <w:r w:rsidRPr="00D21951">
        <w:rPr>
          <w:rFonts w:eastAsia="Times New Roman"/>
          <w:b/>
          <w:bCs/>
          <w:sz w:val="24"/>
          <w:szCs w:val="24"/>
        </w:rPr>
        <w:t>Belt v. Spencer</w:t>
      </w:r>
      <w:r w:rsidRPr="00D21951">
        <w:rPr>
          <w:rFonts w:eastAsia="Times New Roman"/>
          <w:bCs/>
          <w:sz w:val="24"/>
          <w:szCs w:val="24"/>
        </w:rPr>
        <w:t xml:space="preserve">, 41 Colo. App. 227, 230, 585 P.2d 922, 925 (1978); </w:t>
      </w:r>
      <w:r w:rsidRPr="00D21951">
        <w:rPr>
          <w:rFonts w:eastAsia="Times New Roman"/>
          <w:bCs/>
          <w:i/>
          <w:sz w:val="24"/>
          <w:szCs w:val="24"/>
        </w:rPr>
        <w:t>accord</w:t>
      </w:r>
      <w:r w:rsidRPr="00D21951">
        <w:rPr>
          <w:rFonts w:eastAsia="Times New Roman"/>
          <w:bCs/>
          <w:sz w:val="24"/>
          <w:szCs w:val="24"/>
        </w:rPr>
        <w:t xml:space="preserve"> </w:t>
      </w:r>
      <w:r w:rsidRPr="00D21951">
        <w:rPr>
          <w:rFonts w:eastAsia="Times New Roman"/>
          <w:b/>
          <w:bCs/>
          <w:sz w:val="24"/>
          <w:szCs w:val="24"/>
        </w:rPr>
        <w:t>Sloat v. Matheny</w:t>
      </w:r>
      <w:r w:rsidRPr="00D21951">
        <w:rPr>
          <w:rFonts w:eastAsia="Times New Roman"/>
          <w:bCs/>
          <w:sz w:val="24"/>
          <w:szCs w:val="24"/>
        </w:rPr>
        <w:t xml:space="preserve">, </w:t>
      </w:r>
      <w:r w:rsidRPr="00D21951">
        <w:rPr>
          <w:rFonts w:eastAsia="Times New Roman"/>
          <w:bCs/>
          <w:sz w:val="24"/>
          <w:szCs w:val="24"/>
        </w:rPr>
        <w:lastRenderedPageBreak/>
        <w:t xml:space="preserve">625 P.2d 1031 (Colo. 1981) (ambiguous language held insufficient to constitute disclaimer); </w:t>
      </w:r>
      <w:r w:rsidRPr="00D21951">
        <w:rPr>
          <w:rFonts w:eastAsia="Times New Roman"/>
          <w:b/>
          <w:bCs/>
          <w:sz w:val="24"/>
          <w:szCs w:val="24"/>
        </w:rPr>
        <w:t>Davies v. Bradley</w:t>
      </w:r>
      <w:r w:rsidRPr="00D21951">
        <w:rPr>
          <w:rFonts w:eastAsia="Times New Roman"/>
          <w:bCs/>
          <w:sz w:val="24"/>
          <w:szCs w:val="24"/>
        </w:rPr>
        <w:t>,</w:t>
      </w:r>
      <w:r w:rsidRPr="00D21951">
        <w:rPr>
          <w:rFonts w:eastAsia="Times New Roman"/>
          <w:b/>
          <w:bCs/>
          <w:sz w:val="24"/>
          <w:szCs w:val="24"/>
        </w:rPr>
        <w:t xml:space="preserve"> </w:t>
      </w:r>
      <w:r w:rsidRPr="00D21951">
        <w:rPr>
          <w:rFonts w:eastAsia="Times New Roman"/>
          <w:bCs/>
          <w:sz w:val="24"/>
          <w:szCs w:val="24"/>
        </w:rPr>
        <w:t>676 P.2d 1242 (Colo. App. 1983) (“as is” language may not be sufficient to disclaim an implied warranty).</w:t>
      </w:r>
    </w:p>
    <w:p w14:paraId="0D042030"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 xml:space="preserve">4. In </w:t>
      </w:r>
      <w:r w:rsidRPr="00D21951">
        <w:rPr>
          <w:rFonts w:eastAsia="Times New Roman"/>
          <w:b/>
          <w:bCs/>
          <w:sz w:val="24"/>
          <w:szCs w:val="24"/>
        </w:rPr>
        <w:t>Town of Alma v. AZCO Construction, Inc.</w:t>
      </w:r>
      <w:r w:rsidRPr="00D21951">
        <w:rPr>
          <w:rFonts w:eastAsia="Times New Roman"/>
          <w:bCs/>
          <w:sz w:val="24"/>
          <w:szCs w:val="24"/>
        </w:rPr>
        <w:t xml:space="preserve">, 985 P.2d 56 (Colo. App. 1999), </w:t>
      </w:r>
      <w:r w:rsidRPr="00D21951">
        <w:rPr>
          <w:rFonts w:eastAsia="Times New Roman"/>
          <w:bCs/>
          <w:i/>
          <w:sz w:val="24"/>
          <w:szCs w:val="24"/>
        </w:rPr>
        <w:t>aff’d on other grounds</w:t>
      </w:r>
      <w:r w:rsidRPr="00D21951">
        <w:rPr>
          <w:rFonts w:eastAsia="Times New Roman"/>
          <w:bCs/>
          <w:sz w:val="24"/>
          <w:szCs w:val="24"/>
        </w:rPr>
        <w:t>, 10 P.3d 1256 (Colo. 2000), the court declined to recognize a claim for breach of implied warranty of sound workmanship on a public works contract.</w:t>
      </w:r>
    </w:p>
    <w:p w14:paraId="72538882" w14:textId="77777777" w:rsidR="008D41E0" w:rsidRDefault="008D41E0">
      <w:pPr>
        <w:rPr>
          <w:rFonts w:eastAsia="Times New Roman"/>
          <w:bCs/>
          <w:sz w:val="24"/>
          <w:szCs w:val="24"/>
        </w:rPr>
      </w:pPr>
      <w:r>
        <w:rPr>
          <w:rFonts w:eastAsia="Times New Roman"/>
          <w:bCs/>
          <w:sz w:val="24"/>
          <w:szCs w:val="24"/>
        </w:rPr>
        <w:br w:type="page"/>
      </w:r>
    </w:p>
    <w:p w14:paraId="09A8D07A" w14:textId="4E990801" w:rsidR="008D41E0" w:rsidRPr="009E3DA4" w:rsidRDefault="008D41E0" w:rsidP="008D41E0">
      <w:pPr>
        <w:spacing w:after="240"/>
        <w:ind w:left="720" w:hanging="720"/>
        <w:rPr>
          <w:rFonts w:eastAsia="Times New Roman"/>
          <w:b/>
          <w:sz w:val="24"/>
          <w:szCs w:val="24"/>
        </w:rPr>
      </w:pPr>
      <w:bookmarkStart w:id="64" w:name="a30_56"/>
      <w:bookmarkEnd w:id="64"/>
      <w:r w:rsidRPr="008D41E0">
        <w:rPr>
          <w:rFonts w:eastAsia="Times New Roman"/>
          <w:b/>
          <w:bCs/>
          <w:sz w:val="24"/>
          <w:szCs w:val="24"/>
        </w:rPr>
        <w:lastRenderedPageBreak/>
        <w:t>30:5</w:t>
      </w:r>
      <w:r w:rsidR="007A6434">
        <w:rPr>
          <w:rFonts w:eastAsia="Times New Roman"/>
          <w:b/>
          <w:bCs/>
          <w:sz w:val="24"/>
          <w:szCs w:val="24"/>
        </w:rPr>
        <w:t>7</w:t>
      </w:r>
      <w:r w:rsidRPr="008D41E0">
        <w:rPr>
          <w:rFonts w:eastAsia="Times New Roman"/>
          <w:b/>
          <w:bCs/>
          <w:sz w:val="24"/>
          <w:szCs w:val="24"/>
        </w:rPr>
        <w:t xml:space="preserve"> </w:t>
      </w:r>
      <w:r w:rsidRPr="008D41E0">
        <w:rPr>
          <w:rFonts w:eastAsia="Times New Roman"/>
          <w:b/>
          <w:bCs/>
          <w:sz w:val="24"/>
          <w:szCs w:val="24"/>
        </w:rPr>
        <w:tab/>
        <w:t>CLAIM ― REAL ESTATE COMMISSION ― ELEMENTS OF LIABILITY</w:t>
      </w:r>
    </w:p>
    <w:p w14:paraId="2C528581" w14:textId="433EA7E3"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 xml:space="preserve">For the plaintiff, </w:t>
      </w:r>
      <w:r w:rsidRPr="008D41E0">
        <w:rPr>
          <w:rFonts w:eastAsia="Times New Roman"/>
          <w:bCs/>
          <w:i/>
          <w:sz w:val="24"/>
          <w:szCs w:val="24"/>
        </w:rPr>
        <w:t>(name)</w:t>
      </w:r>
      <w:r w:rsidRPr="008D41E0">
        <w:rPr>
          <w:rFonts w:eastAsia="Times New Roman"/>
          <w:b/>
          <w:bCs/>
          <w:sz w:val="24"/>
          <w:szCs w:val="24"/>
        </w:rPr>
        <w:t xml:space="preserve">, to recover from the defendant, </w:t>
      </w:r>
      <w:r w:rsidRPr="008D41E0">
        <w:rPr>
          <w:rFonts w:eastAsia="Times New Roman"/>
          <w:bCs/>
          <w:i/>
          <w:sz w:val="24"/>
          <w:szCs w:val="24"/>
        </w:rPr>
        <w:t>(name)</w:t>
      </w:r>
      <w:r w:rsidRPr="008D41E0">
        <w:rPr>
          <w:rFonts w:eastAsia="Times New Roman"/>
          <w:b/>
          <w:bCs/>
          <w:sz w:val="24"/>
          <w:szCs w:val="24"/>
        </w:rPr>
        <w:t xml:space="preserve">, on </w:t>
      </w:r>
      <w:r w:rsidR="004F22EF" w:rsidRPr="0070684C">
        <w:rPr>
          <w:rFonts w:eastAsia="Times New Roman"/>
          <w:i/>
          <w:iCs/>
          <w:sz w:val="24"/>
          <w:szCs w:val="24"/>
        </w:rPr>
        <w:t>(insert applicable pronoun</w:t>
      </w:r>
      <w:r w:rsidR="004F22EF">
        <w:rPr>
          <w:rFonts w:eastAsia="Times New Roman"/>
          <w:i/>
          <w:iCs/>
          <w:sz w:val="24"/>
          <w:szCs w:val="24"/>
        </w:rPr>
        <w:t>)</w:t>
      </w:r>
      <w:r w:rsidRPr="008D41E0">
        <w:rPr>
          <w:rFonts w:eastAsia="Times New Roman"/>
          <w:b/>
          <w:bCs/>
          <w:sz w:val="24"/>
          <w:szCs w:val="24"/>
        </w:rPr>
        <w:t xml:space="preserve"> claim to recover a real estate commission, you must find all of the following have been proved by a preponderance of the evidence:</w:t>
      </w:r>
    </w:p>
    <w:p w14:paraId="74D86DA4"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1. The plaintiff held a valid license as a real estate broker under the laws of Colorado;</w:t>
      </w:r>
    </w:p>
    <w:p w14:paraId="2DF32D3B"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2. The plaintiff, acting as a real estate broker, entered into a listing agreement with the defendant to sell the defendant’s property;</w:t>
      </w:r>
    </w:p>
    <w:p w14:paraId="651B05A0"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 xml:space="preserve">3. </w:t>
      </w:r>
      <w:r w:rsidRPr="008D41E0">
        <w:rPr>
          <w:rFonts w:eastAsia="Times New Roman"/>
          <w:bCs/>
          <w:i/>
          <w:sz w:val="24"/>
          <w:szCs w:val="24"/>
        </w:rPr>
        <w:t>[insert the performance or occurrence of any conditions precedent the defendant has denied under C.R.C.P. 9(c)]</w:t>
      </w:r>
      <w:r w:rsidRPr="008D41E0">
        <w:rPr>
          <w:rFonts w:eastAsia="Times New Roman"/>
          <w:b/>
          <w:bCs/>
          <w:sz w:val="24"/>
          <w:szCs w:val="24"/>
        </w:rPr>
        <w:t>;</w:t>
      </w:r>
    </w:p>
    <w:p w14:paraId="58B3B91E"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4. The plaintiff produced a purchaser who was ready, willing and able to complete the purchase of the property according to the terms of the listing agreement; and</w:t>
      </w:r>
    </w:p>
    <w:p w14:paraId="01D1A69E"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5. The sale of the property was (completed between the defendant and the purchaser) (prevented by the defendant’s refusal or neglect to complete the sale).</w:t>
      </w:r>
    </w:p>
    <w:p w14:paraId="62F1B265"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 xml:space="preserve">If you find that any one or more of these </w:t>
      </w:r>
      <w:r w:rsidRPr="008D41E0">
        <w:rPr>
          <w:rFonts w:eastAsia="Times New Roman"/>
          <w:bCs/>
          <w:i/>
          <w:sz w:val="24"/>
          <w:szCs w:val="24"/>
        </w:rPr>
        <w:t>(number)</w:t>
      </w:r>
      <w:r w:rsidRPr="008D41E0">
        <w:rPr>
          <w:rFonts w:eastAsia="Times New Roman"/>
          <w:b/>
          <w:bCs/>
          <w:sz w:val="24"/>
          <w:szCs w:val="24"/>
        </w:rPr>
        <w:t xml:space="preserve"> statements has not been proved, then your verdict must be for the defendant.</w:t>
      </w:r>
    </w:p>
    <w:p w14:paraId="6D55B2F8"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 xml:space="preserve">On the other hand, if you find that all of these </w:t>
      </w:r>
      <w:r w:rsidRPr="008D41E0">
        <w:rPr>
          <w:rFonts w:eastAsia="Times New Roman"/>
          <w:bCs/>
          <w:i/>
          <w:sz w:val="24"/>
          <w:szCs w:val="24"/>
        </w:rPr>
        <w:t>(number)</w:t>
      </w:r>
      <w:r w:rsidRPr="008D41E0">
        <w:rPr>
          <w:rFonts w:eastAsia="Times New Roman"/>
          <w:b/>
          <w:bCs/>
          <w:sz w:val="24"/>
          <w:szCs w:val="24"/>
        </w:rPr>
        <w:t xml:space="preserve"> statements have been proved, (then your verdict must be for the plaintiff) (then you must consider the defendant’s affirmative defense(s) of </w:t>
      </w:r>
      <w:r w:rsidRPr="008D41E0">
        <w:rPr>
          <w:rFonts w:eastAsia="Times New Roman"/>
          <w:bCs/>
          <w:i/>
          <w:sz w:val="24"/>
          <w:szCs w:val="24"/>
        </w:rPr>
        <w:t>[insert any affirmative defense that would be a complete defense to plaintiff’s claim]</w:t>
      </w:r>
      <w:r w:rsidRPr="008D41E0">
        <w:rPr>
          <w:rFonts w:eastAsia="Times New Roman"/>
          <w:b/>
          <w:bCs/>
          <w:sz w:val="24"/>
          <w:szCs w:val="24"/>
        </w:rPr>
        <w:t>).</w:t>
      </w:r>
    </w:p>
    <w:p w14:paraId="0BBFC29E"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If you find that (this affirmative defense has) (any one or more of these affirmative defenses have not) been proved by a preponderance of the evidence, then your verdict must be for the defendant.</w:t>
      </w:r>
    </w:p>
    <w:p w14:paraId="5699D7E0"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However, if you find that (this affirmative defense has not) (none of these affirmative defenses have) been proved, then your verdict must be for the plaintiff.</w:t>
      </w:r>
    </w:p>
    <w:p w14:paraId="66FB9A38" w14:textId="77777777" w:rsidR="008D41E0" w:rsidRDefault="008D41E0" w:rsidP="008D41E0">
      <w:pPr>
        <w:jc w:val="center"/>
        <w:rPr>
          <w:rFonts w:eastAsia="Times New Roman"/>
          <w:sz w:val="24"/>
          <w:szCs w:val="24"/>
        </w:rPr>
      </w:pPr>
    </w:p>
    <w:p w14:paraId="5D583B1F" w14:textId="77777777" w:rsidR="008D41E0" w:rsidRPr="0054263B" w:rsidRDefault="008D41E0" w:rsidP="008D41E0">
      <w:pPr>
        <w:keepNext/>
        <w:spacing w:after="240"/>
        <w:jc w:val="center"/>
        <w:rPr>
          <w:rFonts w:eastAsia="Times New Roman"/>
          <w:b/>
          <w:sz w:val="24"/>
          <w:szCs w:val="24"/>
        </w:rPr>
      </w:pPr>
      <w:r w:rsidRPr="0054263B">
        <w:rPr>
          <w:rFonts w:eastAsia="Times New Roman"/>
          <w:b/>
          <w:sz w:val="24"/>
          <w:szCs w:val="24"/>
        </w:rPr>
        <w:t>Notes on Use</w:t>
      </w:r>
    </w:p>
    <w:p w14:paraId="1CE0F9DE"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1. Use whichever parenthesized phrase in numbered paragraph 5 of the instruction is more appropriate.</w:t>
      </w:r>
    </w:p>
    <w:p w14:paraId="7DDE78CF"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2. Omit any numbered paragraphs, the facts of which are not in dispute, and omit the last two paragraphs if the defendant has put no affirmative defense in issue or there is insufficient evidence to support any defense.</w:t>
      </w:r>
    </w:p>
    <w:p w14:paraId="5ACDA21F" w14:textId="3057C6D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3. Though mitigation of damages is an affirmative defense, </w:t>
      </w:r>
      <w:r w:rsidRPr="008D41E0">
        <w:rPr>
          <w:rFonts w:eastAsia="Times New Roman"/>
          <w:bCs/>
          <w:i/>
          <w:sz w:val="24"/>
          <w:szCs w:val="24"/>
        </w:rPr>
        <w:t>see</w:t>
      </w:r>
      <w:r w:rsidRPr="008D41E0">
        <w:rPr>
          <w:rFonts w:eastAsia="Times New Roman"/>
          <w:bCs/>
          <w:sz w:val="24"/>
          <w:szCs w:val="24"/>
        </w:rPr>
        <w:t xml:space="preserve"> Instruction 5:2, only rarely, if ever, will it be a complete defense. For this reason, mitigation should not be identified </w:t>
      </w:r>
      <w:r w:rsidRPr="008D41E0">
        <w:rPr>
          <w:rFonts w:eastAsia="Times New Roman"/>
          <w:bCs/>
          <w:sz w:val="24"/>
          <w:szCs w:val="24"/>
        </w:rPr>
        <w:lastRenderedPageBreak/>
        <w:t>as an affirmative defense in the concluding paragraphs of this instruction. Instead, if supported by sufficient evidence, Instruction 5:2 should be given along with the actual damages instruction appropriate to the claim and the evidence in the case.</w:t>
      </w:r>
    </w:p>
    <w:p w14:paraId="1DD16218"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4. When necessary, other appropriate instructions defining such terms as “real estate broker” must also be given with this instruction.</w:t>
      </w:r>
    </w:p>
    <w:p w14:paraId="04ACFC9A" w14:textId="77777777" w:rsidR="008D41E0" w:rsidRPr="0054263B" w:rsidRDefault="008D41E0" w:rsidP="008D41E0">
      <w:pPr>
        <w:keepNext/>
        <w:spacing w:after="240"/>
        <w:jc w:val="center"/>
        <w:rPr>
          <w:rFonts w:eastAsia="Times New Roman"/>
          <w:b/>
          <w:sz w:val="24"/>
          <w:szCs w:val="24"/>
        </w:rPr>
      </w:pPr>
      <w:r>
        <w:rPr>
          <w:rFonts w:eastAsia="Times New Roman"/>
          <w:b/>
          <w:sz w:val="24"/>
          <w:szCs w:val="24"/>
        </w:rPr>
        <w:t>Source and Authority</w:t>
      </w:r>
    </w:p>
    <w:p w14:paraId="7B63572A"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1. This instruction is supported by </w:t>
      </w:r>
      <w:r w:rsidRPr="008D41E0">
        <w:rPr>
          <w:rFonts w:eastAsia="Times New Roman"/>
          <w:b/>
          <w:bCs/>
          <w:sz w:val="24"/>
          <w:szCs w:val="24"/>
        </w:rPr>
        <w:t>Fletcher v. Garrett</w:t>
      </w:r>
      <w:r w:rsidRPr="008D41E0">
        <w:rPr>
          <w:rFonts w:eastAsia="Times New Roman"/>
          <w:bCs/>
          <w:sz w:val="24"/>
          <w:szCs w:val="24"/>
        </w:rPr>
        <w:t xml:space="preserve">, 167 Colo. 60, 445 P.2d 401 (1968) (supports numbered paragraph 4 of the instruction and also holds contract required in numbered paragraph 2 may be implied from the circumstances); </w:t>
      </w:r>
      <w:r w:rsidRPr="008D41E0">
        <w:rPr>
          <w:rFonts w:eastAsia="Times New Roman"/>
          <w:b/>
          <w:bCs/>
          <w:sz w:val="24"/>
          <w:szCs w:val="24"/>
        </w:rPr>
        <w:t>Osborn v. Razatos Realty Co.</w:t>
      </w:r>
      <w:r w:rsidRPr="008D41E0">
        <w:rPr>
          <w:rFonts w:eastAsia="Times New Roman"/>
          <w:bCs/>
          <w:sz w:val="24"/>
          <w:szCs w:val="24"/>
        </w:rPr>
        <w:t xml:space="preserve">, 158 Colo. 446, 407 P.2d 342 (1965) (oral contract of employment as an agent sufficient); </w:t>
      </w:r>
      <w:r w:rsidRPr="008D41E0">
        <w:rPr>
          <w:rFonts w:eastAsia="Times New Roman"/>
          <w:b/>
          <w:bCs/>
          <w:sz w:val="24"/>
          <w:szCs w:val="24"/>
        </w:rPr>
        <w:t>Stavely v. Johnson</w:t>
      </w:r>
      <w:r w:rsidRPr="008D41E0">
        <w:rPr>
          <w:rFonts w:eastAsia="Times New Roman"/>
          <w:bCs/>
          <w:sz w:val="24"/>
          <w:szCs w:val="24"/>
        </w:rPr>
        <w:t xml:space="preserve">, 157 Colo. 56, 400 P.2d 922 (1965) (contract between plaintiff and defendant essential); </w:t>
      </w:r>
      <w:r w:rsidRPr="008D41E0">
        <w:rPr>
          <w:rFonts w:eastAsia="Times New Roman"/>
          <w:b/>
          <w:bCs/>
          <w:sz w:val="24"/>
          <w:szCs w:val="24"/>
        </w:rPr>
        <w:t>Circle T Corp. v. Crocker</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155 Colo. 263, 393 P.2d 744 (1964) (actual consummation of the sale not a condition to broker’s right to commission); </w:t>
      </w:r>
      <w:r w:rsidRPr="008D41E0">
        <w:rPr>
          <w:rFonts w:eastAsia="Times New Roman"/>
          <w:b/>
          <w:bCs/>
          <w:sz w:val="24"/>
          <w:szCs w:val="24"/>
        </w:rPr>
        <w:t>Garrett v. Richardson</w:t>
      </w:r>
      <w:r w:rsidRPr="008D41E0">
        <w:rPr>
          <w:rFonts w:eastAsia="Times New Roman"/>
          <w:bCs/>
          <w:sz w:val="24"/>
          <w:szCs w:val="24"/>
        </w:rPr>
        <w:t xml:space="preserve">, 149 Colo. 449, 369 P.2d 566 (1962) (“exclusive” listing becomes irrevocable for the period of time agreed upon where broker expends money or renders services in reliance); </w:t>
      </w:r>
      <w:r w:rsidRPr="008D41E0">
        <w:rPr>
          <w:rFonts w:eastAsia="Times New Roman"/>
          <w:b/>
          <w:bCs/>
          <w:sz w:val="24"/>
          <w:szCs w:val="24"/>
        </w:rPr>
        <w:t>Hayutin v. De Andrea</w:t>
      </w:r>
      <w:r w:rsidRPr="008D41E0">
        <w:rPr>
          <w:rFonts w:eastAsia="Times New Roman"/>
          <w:bCs/>
          <w:sz w:val="24"/>
          <w:szCs w:val="24"/>
        </w:rPr>
        <w:t xml:space="preserve">, 139 Colo. 40, 337 P.2d 383 (1959) (not necessary that broker be the sole cause of the sale, but he must be a predominating effective cause and not merely indirect, incidental, or contributing cause); </w:t>
      </w:r>
      <w:r w:rsidRPr="008D41E0">
        <w:rPr>
          <w:rFonts w:eastAsia="Times New Roman"/>
          <w:b/>
          <w:bCs/>
          <w:sz w:val="24"/>
          <w:szCs w:val="24"/>
        </w:rPr>
        <w:t>Carpenter v. Francis</w:t>
      </w:r>
      <w:r w:rsidRPr="008D41E0">
        <w:rPr>
          <w:rFonts w:eastAsia="Times New Roman"/>
          <w:bCs/>
          <w:sz w:val="24"/>
          <w:szCs w:val="24"/>
        </w:rPr>
        <w:t xml:space="preserve">, 136 Colo. 494, 319 P.2d 497 (1957) (states rules of numbered paragraphs 2 and 4); </w:t>
      </w:r>
      <w:r w:rsidRPr="008D41E0">
        <w:rPr>
          <w:rFonts w:eastAsia="Times New Roman"/>
          <w:b/>
          <w:bCs/>
          <w:sz w:val="24"/>
          <w:szCs w:val="24"/>
        </w:rPr>
        <w:t>McCullough v. Thompson</w:t>
      </w:r>
      <w:r w:rsidRPr="008D41E0">
        <w:rPr>
          <w:rFonts w:eastAsia="Times New Roman"/>
          <w:bCs/>
          <w:sz w:val="24"/>
          <w:szCs w:val="24"/>
        </w:rPr>
        <w:t xml:space="preserve">, 133 Colo. 352, 295 P.2d 221 (1956) (consummation of the sale not a condition to broker’s right to recover); </w:t>
      </w:r>
      <w:r w:rsidRPr="008D41E0">
        <w:rPr>
          <w:rFonts w:eastAsia="Times New Roman"/>
          <w:b/>
          <w:bCs/>
          <w:sz w:val="24"/>
          <w:szCs w:val="24"/>
        </w:rPr>
        <w:t>Benham v. Heyde</w:t>
      </w:r>
      <w:r w:rsidRPr="008D41E0">
        <w:rPr>
          <w:rFonts w:eastAsia="Times New Roman"/>
          <w:bCs/>
          <w:sz w:val="24"/>
          <w:szCs w:val="24"/>
        </w:rPr>
        <w:t xml:space="preserve">, 122 Colo. 233, 221 P.2d 1078 (1950) (supports the requirement set out in numbered paragraph 1); </w:t>
      </w:r>
      <w:r w:rsidRPr="008D41E0">
        <w:rPr>
          <w:rFonts w:eastAsia="Times New Roman"/>
          <w:b/>
          <w:bCs/>
          <w:sz w:val="24"/>
          <w:szCs w:val="24"/>
        </w:rPr>
        <w:t>Dunton v. Stemme</w:t>
      </w:r>
      <w:r w:rsidRPr="008D41E0">
        <w:rPr>
          <w:rFonts w:eastAsia="Times New Roman"/>
          <w:bCs/>
          <w:sz w:val="24"/>
          <w:szCs w:val="24"/>
        </w:rPr>
        <w:t xml:space="preserve">, 117 Colo. 327, 187 P.2d 593 (1947) (proof of one of the statutory conditions set out in numbered paragraph 5 essential to broker’s right to recover commission); </w:t>
      </w:r>
      <w:r w:rsidRPr="008D41E0">
        <w:rPr>
          <w:rFonts w:eastAsia="Times New Roman"/>
          <w:b/>
          <w:bCs/>
          <w:sz w:val="24"/>
          <w:szCs w:val="24"/>
        </w:rPr>
        <w:t>Mapes v. City of Walsenburg</w:t>
      </w:r>
      <w:r w:rsidRPr="008D41E0">
        <w:rPr>
          <w:rFonts w:eastAsia="Times New Roman"/>
          <w:bCs/>
          <w:sz w:val="24"/>
          <w:szCs w:val="24"/>
        </w:rPr>
        <w:t xml:space="preserve">, 151 P.3d 574 (Colo. App. 2006) (broker entitled to commission once qualified buyer produced even though seller refuses to consummate transaction); and </w:t>
      </w:r>
      <w:r w:rsidRPr="008D41E0">
        <w:rPr>
          <w:rFonts w:eastAsia="Times New Roman"/>
          <w:b/>
          <w:bCs/>
          <w:sz w:val="24"/>
          <w:szCs w:val="24"/>
        </w:rPr>
        <w:t>Denver 1500, Inc. v. Wall</w:t>
      </w:r>
      <w:r w:rsidRPr="008D41E0">
        <w:rPr>
          <w:rFonts w:eastAsia="Times New Roman"/>
          <w:bCs/>
          <w:sz w:val="24"/>
          <w:szCs w:val="24"/>
        </w:rPr>
        <w:t>, 43 Colo. App. 282, 602 P.2d 903 (1979) (under paragraph 5, a broker who thwarts the closing of a sale is not entitled to a commission on the basis of the claim that the seller refused or neglected to make the sale).</w:t>
      </w:r>
    </w:p>
    <w:p w14:paraId="2D13E171"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2. “It has long been the law in Colorado that a broker who breaches his fiduciary duty forfeits his right to a commission.” </w:t>
      </w:r>
      <w:r w:rsidRPr="008D41E0">
        <w:rPr>
          <w:rFonts w:eastAsia="Times New Roman"/>
          <w:b/>
          <w:bCs/>
          <w:sz w:val="24"/>
          <w:szCs w:val="24"/>
        </w:rPr>
        <w:t>T-A-L-L, Inc. v. Moore &amp; Co.</w:t>
      </w:r>
      <w:r w:rsidRPr="008D41E0">
        <w:rPr>
          <w:rFonts w:eastAsia="Times New Roman"/>
          <w:bCs/>
          <w:sz w:val="24"/>
          <w:szCs w:val="24"/>
        </w:rPr>
        <w:t xml:space="preserve">, 765 P.2d 1039, 1041 (Colo. App. 1988), </w:t>
      </w:r>
      <w:r w:rsidRPr="008D41E0">
        <w:rPr>
          <w:rFonts w:eastAsia="Times New Roman"/>
          <w:bCs/>
          <w:i/>
          <w:sz w:val="24"/>
          <w:szCs w:val="24"/>
        </w:rPr>
        <w:t>aff’d in part, rev’d in part on other grounds</w:t>
      </w:r>
      <w:r w:rsidRPr="008D41E0">
        <w:rPr>
          <w:rFonts w:eastAsia="Times New Roman"/>
          <w:bCs/>
          <w:sz w:val="24"/>
          <w:szCs w:val="24"/>
        </w:rPr>
        <w:t xml:space="preserve">, 792 P.2d 794 (Colo. 1990); </w:t>
      </w:r>
      <w:r w:rsidRPr="008D41E0">
        <w:rPr>
          <w:rFonts w:eastAsia="Times New Roman"/>
          <w:bCs/>
          <w:i/>
          <w:sz w:val="24"/>
          <w:szCs w:val="24"/>
        </w:rPr>
        <w:t>accord</w:t>
      </w:r>
      <w:r w:rsidRPr="008D41E0">
        <w:rPr>
          <w:rFonts w:eastAsia="Times New Roman"/>
          <w:bCs/>
          <w:sz w:val="24"/>
          <w:szCs w:val="24"/>
        </w:rPr>
        <w:t xml:space="preserve"> </w:t>
      </w:r>
      <w:r w:rsidRPr="008D41E0">
        <w:rPr>
          <w:rFonts w:eastAsia="Times New Roman"/>
          <w:b/>
          <w:bCs/>
          <w:sz w:val="24"/>
          <w:szCs w:val="24"/>
        </w:rPr>
        <w:t>Mabry v. Tom Sanger &amp; Co.</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33 P.3d 1206 (Colo. App. 2001).</w:t>
      </w:r>
    </w:p>
    <w:p w14:paraId="6EBC7734"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3. The requirement in paragraph 1 of the instruction that the plaintiff be a licensed broker is based on sections 12-61-102, 12-61-117, and 12-61-119, C.R.S.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Kerr v. Australia Pac. Res., Ltd.</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841 P.2d 401 (Colo. App. 1992);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Barton v. Sittner</w:t>
      </w:r>
      <w:r w:rsidRPr="008D41E0">
        <w:rPr>
          <w:rFonts w:eastAsia="Times New Roman"/>
          <w:bCs/>
          <w:sz w:val="24"/>
          <w:szCs w:val="24"/>
        </w:rPr>
        <w:t xml:space="preserve">, 723 P.2d 153 (Colo. App. 1986); </w:t>
      </w:r>
      <w:r w:rsidRPr="008D41E0">
        <w:rPr>
          <w:rFonts w:eastAsia="Times New Roman"/>
          <w:b/>
          <w:bCs/>
          <w:sz w:val="24"/>
          <w:szCs w:val="24"/>
        </w:rPr>
        <w:t>Brakhage v. Georgetown Assocs., Inc.</w:t>
      </w:r>
      <w:r w:rsidRPr="008D41E0">
        <w:rPr>
          <w:rFonts w:eastAsia="Times New Roman"/>
          <w:bCs/>
          <w:sz w:val="24"/>
          <w:szCs w:val="24"/>
        </w:rPr>
        <w:t xml:space="preserve">, 33 Colo. App. 385, 523 P.2d 145 (1974). This requirement applies in an action for a commission for the sale of a business if the sale includes a transfer of any interest in real estate, even though the latter is not a dominant feature of the whole transaction.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Broughall v. Black Forest Dev. Co.</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196 Colo. 503, 593 P.2d 314 (1978) (overruling </w:t>
      </w:r>
      <w:r w:rsidRPr="008D41E0">
        <w:rPr>
          <w:rFonts w:eastAsia="Times New Roman"/>
          <w:b/>
          <w:bCs/>
          <w:sz w:val="24"/>
          <w:szCs w:val="24"/>
        </w:rPr>
        <w:t>Cary v. Borden Co.</w:t>
      </w:r>
      <w:r w:rsidRPr="008D41E0">
        <w:rPr>
          <w:rFonts w:eastAsia="Times New Roman"/>
          <w:bCs/>
          <w:sz w:val="24"/>
          <w:szCs w:val="24"/>
        </w:rPr>
        <w:t>, 153 Colo. 344, 386 P.2d 585 (1963)</w:t>
      </w:r>
      <w:r w:rsidRPr="00FB29B2">
        <w:rPr>
          <w:rFonts w:eastAsia="Times New Roman"/>
          <w:bCs/>
          <w:sz w:val="24"/>
          <w:szCs w:val="24"/>
        </w:rPr>
        <w:t>,</w:t>
      </w:r>
      <w:r w:rsidRPr="008D41E0">
        <w:rPr>
          <w:rFonts w:eastAsia="Times New Roman"/>
          <w:bCs/>
          <w:sz w:val="24"/>
          <w:szCs w:val="24"/>
        </w:rPr>
        <w:t xml:space="preserve"> in effect, because of an intervening change in the statutory definition of real estate broker);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 xml:space="preserve">Lieff v. </w:t>
      </w:r>
      <w:r w:rsidRPr="008D41E0">
        <w:rPr>
          <w:rFonts w:eastAsia="Times New Roman"/>
          <w:b/>
          <w:bCs/>
          <w:sz w:val="24"/>
          <w:szCs w:val="24"/>
        </w:rPr>
        <w:lastRenderedPageBreak/>
        <w:t>Medco Prof’l Servs. Corp.</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973 P.2d 1276 (Colo. App. 1998) (licensure requirements of statute apply where entire stock of corporation which holds leasehold interest in property is sold).</w:t>
      </w:r>
    </w:p>
    <w:p w14:paraId="4F35E6D9"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4. While a broker licensed in another state may receive a share of a commission on a cooperative transaction with a broker licensed in Colorado, </w:t>
      </w:r>
      <w:r w:rsidRPr="008D41E0">
        <w:rPr>
          <w:rFonts w:eastAsia="Times New Roman"/>
          <w:bCs/>
          <w:i/>
          <w:sz w:val="24"/>
          <w:szCs w:val="24"/>
        </w:rPr>
        <w:t>see</w:t>
      </w:r>
      <w:r w:rsidRPr="008D41E0">
        <w:rPr>
          <w:rFonts w:eastAsia="Times New Roman"/>
          <w:bCs/>
          <w:sz w:val="24"/>
          <w:szCs w:val="24"/>
        </w:rPr>
        <w:t xml:space="preserve"> § 12-61-101(2)(b)(XIV), C.R.S., such a broker may not, because of the provisions of section 12-61-102, recover the commission (or a share of the commission) directly in his or her own right in an action against the seller. Notwithstanding this restriction, such a broker may, however, sue the seller directly as an assignee of the rights of the broker licensed in Colorado or on the basis of his or her own right to recover on the theory of unjust enrichment. </w:t>
      </w:r>
      <w:r w:rsidRPr="008D41E0">
        <w:rPr>
          <w:rFonts w:eastAsia="Times New Roman"/>
          <w:b/>
          <w:bCs/>
          <w:sz w:val="24"/>
          <w:szCs w:val="24"/>
        </w:rPr>
        <w:t>Backus v. Apishapa Land &amp; Cattle Co.</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44 Colo. App. 59, 615 P.2d 42 (1980). The fact that a broker, otherwise properly licensed, is operating out of a branch office for which a duplicate license has not been obtained does not render commission contracts entered into through such office void. </w:t>
      </w:r>
      <w:r w:rsidRPr="008D41E0">
        <w:rPr>
          <w:rFonts w:eastAsia="Times New Roman"/>
          <w:b/>
          <w:bCs/>
          <w:sz w:val="24"/>
          <w:szCs w:val="24"/>
        </w:rPr>
        <w:t>Holter v. Moore &amp; Co.</w:t>
      </w:r>
      <w:r w:rsidRPr="008D41E0">
        <w:rPr>
          <w:rFonts w:eastAsia="Times New Roman"/>
          <w:bCs/>
          <w:sz w:val="24"/>
          <w:szCs w:val="24"/>
        </w:rPr>
        <w:t xml:space="preserve">, 681 P.2d 962 (Colo. App. 1983) (analyzing a former version of section 12-61-103(2), C.R.S., that required a separate license for each branch office). A corporation acting on its own behalf through its agent to acquire an interest in real property for itself and another as partners is not required to be licensed as a real estate broker. </w:t>
      </w:r>
      <w:r w:rsidRPr="008D41E0">
        <w:rPr>
          <w:rFonts w:eastAsia="Times New Roman"/>
          <w:b/>
          <w:bCs/>
          <w:sz w:val="24"/>
          <w:szCs w:val="24"/>
        </w:rPr>
        <w:t>Am. W. Motel Brokers, Inc. v. Wu</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697 P.2d 34 (Colo. 1985) (citing and applying former section 12-61-101(4)(d), C.R.S.).</w:t>
      </w:r>
    </w:p>
    <w:p w14:paraId="61E5EE78"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5. For the definition of a real estate broker, see section 12-61-101(2)(a). When the contract of employment was allegedly entered into by an authorized agent of the broker, numbered paragraph 2 of the instruction should be appropriately modified.</w:t>
      </w:r>
    </w:p>
    <w:p w14:paraId="4CFA510D"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6. “Oral listing contracts for the sale of real estate are valid, and may be implied from surrounding circumstances.” </w:t>
      </w:r>
      <w:r w:rsidRPr="008D41E0">
        <w:rPr>
          <w:rFonts w:eastAsia="Times New Roman"/>
          <w:b/>
          <w:bCs/>
          <w:sz w:val="24"/>
          <w:szCs w:val="24"/>
        </w:rPr>
        <w:t>Hayes v. N. Table Mtn. Corp.</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43 Colo. App. 467, 469, 608 P.2d 830, 831 (1979).</w:t>
      </w:r>
    </w:p>
    <w:p w14:paraId="3A04494C"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7. Numbered paragraph 4 of the instruction sets out the first basic condition required by section 12-61-201, C.R.S.</w:t>
      </w:r>
    </w:p>
    <w:p w14:paraId="517CBFD3"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8. If more than one broker was employed to find a buyer, the plaintiff must establish that he or she was the first to find a buyer who was ready, willing, and able to make the purchase, and numbered paragraph 4 in such circumstances should be appropriately modified.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City of Pueblo v. Leach Realty Co.</w:t>
      </w:r>
      <w:r w:rsidRPr="008D41E0">
        <w:rPr>
          <w:rFonts w:eastAsia="Times New Roman"/>
          <w:bCs/>
          <w:sz w:val="24"/>
          <w:szCs w:val="24"/>
        </w:rPr>
        <w:t xml:space="preserve">, 149 Colo. 92, 368 P.2d 195 (1962). This rule does not apply, however, if the parties in their contract have provided otherwise, as, e.g., with an “exclusive” listing contract. </w:t>
      </w:r>
      <w:r w:rsidRPr="008D41E0">
        <w:rPr>
          <w:rFonts w:eastAsia="Times New Roman"/>
          <w:bCs/>
          <w:i/>
          <w:sz w:val="24"/>
          <w:szCs w:val="24"/>
        </w:rPr>
        <w:t>See, e.g.</w:t>
      </w:r>
      <w:r w:rsidRPr="008D41E0">
        <w:rPr>
          <w:rFonts w:eastAsia="Times New Roman"/>
          <w:bCs/>
          <w:sz w:val="24"/>
          <w:szCs w:val="24"/>
        </w:rPr>
        <w:t xml:space="preserve">, </w:t>
      </w:r>
      <w:r w:rsidRPr="008D41E0">
        <w:rPr>
          <w:rFonts w:eastAsia="Times New Roman"/>
          <w:b/>
          <w:bCs/>
          <w:sz w:val="24"/>
          <w:szCs w:val="24"/>
        </w:rPr>
        <w:t>Cooley Inv. Co. v. Jones</w:t>
      </w:r>
      <w:r w:rsidRPr="008D41E0">
        <w:rPr>
          <w:rFonts w:eastAsia="Times New Roman"/>
          <w:bCs/>
          <w:sz w:val="24"/>
          <w:szCs w:val="24"/>
        </w:rPr>
        <w:t>, 780 P.2d 29, 31 (Colo. App. 1989) (“Generally, under an exclusive right to sell contract, if the property is sold within the time prescribed, the broker is entitled to a commission, irrespective of how the sale came about.”).</w:t>
      </w:r>
    </w:p>
    <w:p w14:paraId="39D7EBFA"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9. The plaintiff has proved that he or she “produced” a purchaser when the plaintiff has established that he or she or his or her employee or agent was the efficient agent or procuring cause of the sale,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Dickey v. Waggoner</w:t>
      </w:r>
      <w:r w:rsidRPr="008D41E0">
        <w:rPr>
          <w:rFonts w:eastAsia="Times New Roman"/>
          <w:bCs/>
          <w:sz w:val="24"/>
          <w:szCs w:val="24"/>
        </w:rPr>
        <w:t xml:space="preserve">, 108 Colo. 197, 114 P.2d 1097 (1941), or that the plaintiff had found a purchaser who was willing to purchase on the terms and conditions originally prescribed by the defendant or on terms the defendant subsequently agreed were acceptable.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City of</w:t>
      </w:r>
      <w:r w:rsidRPr="008D41E0">
        <w:rPr>
          <w:rFonts w:eastAsia="Times New Roman"/>
          <w:bCs/>
          <w:sz w:val="24"/>
          <w:szCs w:val="24"/>
        </w:rPr>
        <w:t xml:space="preserve"> </w:t>
      </w:r>
      <w:r w:rsidRPr="008D41E0">
        <w:rPr>
          <w:rFonts w:eastAsia="Times New Roman"/>
          <w:b/>
          <w:bCs/>
          <w:sz w:val="24"/>
          <w:szCs w:val="24"/>
        </w:rPr>
        <w:t>Pueblo v. Leach Realty Co.</w:t>
      </w:r>
      <w:r w:rsidRPr="008D41E0">
        <w:rPr>
          <w:rFonts w:eastAsia="Times New Roman"/>
          <w:bCs/>
          <w:sz w:val="24"/>
          <w:szCs w:val="24"/>
        </w:rPr>
        <w:t xml:space="preserve">, 149 Colo. 92, 368 P.2d 195 (1962); </w:t>
      </w:r>
      <w:r w:rsidRPr="008D41E0">
        <w:rPr>
          <w:rFonts w:eastAsia="Times New Roman"/>
          <w:b/>
          <w:bCs/>
          <w:sz w:val="24"/>
          <w:szCs w:val="24"/>
        </w:rPr>
        <w:t>Bradley Realty Inv. Co. v. Shwartz</w:t>
      </w:r>
      <w:r w:rsidRPr="008D41E0">
        <w:rPr>
          <w:rFonts w:eastAsia="Times New Roman"/>
          <w:bCs/>
          <w:sz w:val="24"/>
          <w:szCs w:val="24"/>
        </w:rPr>
        <w:t xml:space="preserve">, 145 Colo. 65, 357 P.2d 638 (1960);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Sherman Agency v. Carey</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195 Colo. 277, 577 P.2d 759 (1978); </w:t>
      </w:r>
      <w:r w:rsidRPr="008D41E0">
        <w:rPr>
          <w:rFonts w:eastAsia="Times New Roman"/>
          <w:b/>
          <w:bCs/>
          <w:sz w:val="24"/>
          <w:szCs w:val="24"/>
        </w:rPr>
        <w:t>Circle T Corp. v. Deerfield</w:t>
      </w:r>
      <w:r w:rsidRPr="008D41E0">
        <w:rPr>
          <w:rFonts w:eastAsia="Times New Roman"/>
          <w:bCs/>
          <w:sz w:val="24"/>
          <w:szCs w:val="24"/>
        </w:rPr>
        <w:t xml:space="preserve">, 166 Colo. </w:t>
      </w:r>
      <w:r w:rsidRPr="008D41E0">
        <w:rPr>
          <w:rFonts w:eastAsia="Times New Roman"/>
          <w:bCs/>
          <w:sz w:val="24"/>
          <w:szCs w:val="24"/>
        </w:rPr>
        <w:lastRenderedPageBreak/>
        <w:t xml:space="preserve">238, 444 P.2d 404 (1968); </w:t>
      </w:r>
      <w:r w:rsidRPr="008D41E0">
        <w:rPr>
          <w:rFonts w:eastAsia="Times New Roman"/>
          <w:b/>
          <w:bCs/>
          <w:sz w:val="24"/>
          <w:szCs w:val="24"/>
        </w:rPr>
        <w:t>Shands v. Wm R. Winton, Ltd.</w:t>
      </w:r>
      <w:r w:rsidRPr="008D41E0">
        <w:rPr>
          <w:rFonts w:eastAsia="Times New Roman"/>
          <w:bCs/>
          <w:sz w:val="24"/>
          <w:szCs w:val="24"/>
        </w:rPr>
        <w:t xml:space="preserve">, 91 P.3d 416 (Colo. App. 2003) (broker entitled to commission even though property sold to entity that seller did not know had been formed by parties with whom broker had been negotiating); </w:t>
      </w:r>
      <w:r w:rsidRPr="008D41E0">
        <w:rPr>
          <w:rFonts w:eastAsia="Times New Roman"/>
          <w:b/>
          <w:bCs/>
          <w:sz w:val="24"/>
          <w:szCs w:val="24"/>
        </w:rPr>
        <w:t>Real Equity Diversification, Inc. v. Coville</w:t>
      </w:r>
      <w:r w:rsidRPr="008D41E0">
        <w:rPr>
          <w:rFonts w:eastAsia="Times New Roman"/>
          <w:bCs/>
          <w:sz w:val="24"/>
          <w:szCs w:val="24"/>
        </w:rPr>
        <w:t>, 744 P.2d 756 (Colo. App. 1987).</w:t>
      </w:r>
    </w:p>
    <w:p w14:paraId="2B84A5FF"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10. It is not necessary for the plaintiff to prove the defendant actually entered into a contract of sale with the purchaser. </w:t>
      </w:r>
      <w:r w:rsidRPr="008D41E0">
        <w:rPr>
          <w:rFonts w:eastAsia="Times New Roman"/>
          <w:b/>
          <w:bCs/>
          <w:sz w:val="24"/>
          <w:szCs w:val="24"/>
        </w:rPr>
        <w:t>Leach Realty Co.</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149 Colo. at 94, 368 P.2d at 196; </w:t>
      </w:r>
      <w:r w:rsidRPr="008D41E0">
        <w:rPr>
          <w:rFonts w:eastAsia="Times New Roman"/>
          <w:b/>
          <w:bCs/>
          <w:sz w:val="24"/>
          <w:szCs w:val="24"/>
        </w:rPr>
        <w:t>Brewer v. Williams</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147 Colo. 146, 362 P.2d 1033 (1961) (by implication); </w:t>
      </w:r>
      <w:r w:rsidRPr="008D41E0">
        <w:rPr>
          <w:rFonts w:eastAsia="Times New Roman"/>
          <w:b/>
          <w:bCs/>
          <w:sz w:val="24"/>
          <w:szCs w:val="24"/>
        </w:rPr>
        <w:t>Mapes</w:t>
      </w:r>
      <w:r w:rsidRPr="008D41E0">
        <w:rPr>
          <w:rFonts w:eastAsia="Times New Roman"/>
          <w:bCs/>
          <w:sz w:val="24"/>
          <w:szCs w:val="24"/>
        </w:rPr>
        <w:t xml:space="preserve">, 151 P.3d at 578 (broker entitled to commission once qualified buyer produced even though seller refuses to consummate transaction); </w:t>
      </w:r>
      <w:r w:rsidRPr="008D41E0">
        <w:rPr>
          <w:rFonts w:eastAsia="Times New Roman"/>
          <w:b/>
          <w:bCs/>
          <w:sz w:val="24"/>
          <w:szCs w:val="24"/>
        </w:rPr>
        <w:t>Mack v. McKanna</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687 P.2d 1326 (Colo. App. 1984). “To be considered an ‘able’ purchaser, one . . . need not have cash in hand equivalent to the entire purchase price at the time the offer is made. . . . Rather the offeror must be shown to have had the financial ability to complete the purchase within the time permitted by the offer.” </w:t>
      </w:r>
      <w:r w:rsidRPr="008D41E0">
        <w:rPr>
          <w:rFonts w:eastAsia="Times New Roman"/>
          <w:b/>
          <w:bCs/>
          <w:sz w:val="24"/>
          <w:szCs w:val="24"/>
        </w:rPr>
        <w:t>McGill Corp. v. Werner</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631 P.2d 1178, 1180 (Colo. App. 1981);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Daybreak Constr. Specialties, Inc. v. Saghatoleslami</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712 P.2d 1028, 1032 (Colo. App. 1985) (same definition of “able”). Depending on the circumstances of the particular case, another instruction defining “produced” in numbered paragraph 4 may be necessary or the paragraph should be modified to state the requirement in terms more relevant to the particular facts in dispute between the parties.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Winston Fin. Grp., Inc. v. Fults Mgmt., Inc.</w:t>
      </w:r>
      <w:r w:rsidRPr="008D41E0">
        <w:rPr>
          <w:rFonts w:eastAsia="Times New Roman"/>
          <w:bCs/>
          <w:sz w:val="24"/>
          <w:szCs w:val="24"/>
        </w:rPr>
        <w:t>, 872 P.2d 1356 (Colo. App. 1994) (where broker sets in motion a chain of events that, without break in continuity, results in lease of commercial property, broker is the procuring cause of lease and is entitled to a commission).</w:t>
      </w:r>
      <w:r w:rsidRPr="008D41E0">
        <w:rPr>
          <w:rFonts w:eastAsia="Times New Roman"/>
          <w:bCs/>
          <w:i/>
          <w:sz w:val="24"/>
          <w:szCs w:val="24"/>
        </w:rPr>
        <w:t xml:space="preserve"> But</w:t>
      </w:r>
      <w:r w:rsidRPr="008D41E0">
        <w:rPr>
          <w:rFonts w:eastAsia="Times New Roman"/>
          <w:bCs/>
          <w:sz w:val="24"/>
          <w:szCs w:val="24"/>
        </w:rPr>
        <w:t xml:space="preserve"> </w:t>
      </w:r>
      <w:r w:rsidRPr="008D41E0">
        <w:rPr>
          <w:rFonts w:eastAsia="Times New Roman"/>
          <w:bCs/>
          <w:i/>
          <w:sz w:val="24"/>
          <w:szCs w:val="24"/>
        </w:rPr>
        <w:t>see</w:t>
      </w:r>
      <w:r w:rsidRPr="008D41E0">
        <w:rPr>
          <w:rFonts w:eastAsia="Times New Roman"/>
          <w:bCs/>
          <w:sz w:val="24"/>
          <w:szCs w:val="24"/>
        </w:rPr>
        <w:t xml:space="preserve"> § 12-61-201 (broker is not entitled to commission until the sale is consummated or defeated by the refusal or neglect of the owner to consummate the sale); § 12-61-202, C.R.S. (broker is not entitled to commission when a proposed purchaser fails to complete the purchase because of title defects).</w:t>
      </w:r>
    </w:p>
    <w:p w14:paraId="1AE0E8C1"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11. Numbered paragraph 5 sets out the second basic condition required by section 12-61-201. </w:t>
      </w:r>
      <w:r w:rsidRPr="008D41E0">
        <w:rPr>
          <w:rFonts w:eastAsia="Times New Roman"/>
          <w:bCs/>
          <w:i/>
          <w:sz w:val="24"/>
          <w:szCs w:val="24"/>
        </w:rPr>
        <w:t xml:space="preserve">See also </w:t>
      </w:r>
      <w:r w:rsidRPr="008D41E0">
        <w:rPr>
          <w:rFonts w:eastAsia="Times New Roman"/>
          <w:b/>
          <w:bCs/>
          <w:sz w:val="24"/>
          <w:szCs w:val="24"/>
        </w:rPr>
        <w:t>Colo. Inv. Servs., Inc. v. Hager</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685 P.2d 1371 (Colo. App. 1984).</w:t>
      </w:r>
    </w:p>
    <w:p w14:paraId="414DE1AC"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12. Where the defendant’s neglect is the failure to bring legal proceedings to correct title defects to which the purchaser objects, section 12-61-202 and section 12-61-203, C.R.S., are applicable. In such circumstances, numbered paragraph 4 and, if necessary, paragraph 5 must be appropriately modified.</w:t>
      </w:r>
    </w:p>
    <w:p w14:paraId="697C30ED" w14:textId="342A9729" w:rsidR="003257F6" w:rsidRDefault="008D41E0" w:rsidP="00FB33C7">
      <w:pPr>
        <w:spacing w:after="240"/>
        <w:ind w:firstLine="720"/>
        <w:rPr>
          <w:rFonts w:eastAsia="Times New Roman"/>
          <w:bCs/>
          <w:sz w:val="24"/>
          <w:szCs w:val="24"/>
        </w:rPr>
      </w:pPr>
      <w:r w:rsidRPr="008D41E0">
        <w:rPr>
          <w:rFonts w:eastAsia="Times New Roman"/>
          <w:bCs/>
          <w:sz w:val="24"/>
          <w:szCs w:val="24"/>
        </w:rPr>
        <w:t xml:space="preserve">13. “[A] seller may not defeat a broker’s right to a commission by rejecting an offer solicited by his broker, without explanation, when the variations between [the terms and conditions of] the listing and the offer are of a minor nature . . . . [T]he broker should be given the opportunity to rectify minor variations . . . . However, where . . . the variation between the offer and the listing is substantial, a seller [may] reject the offer without explanation, and the broker may not use the failure to state specific objections as grounds for claiming a commission.” </w:t>
      </w:r>
      <w:r w:rsidRPr="008D41E0">
        <w:rPr>
          <w:rFonts w:eastAsia="Times New Roman"/>
          <w:b/>
          <w:bCs/>
          <w:sz w:val="24"/>
          <w:szCs w:val="24"/>
        </w:rPr>
        <w:t>Horton-Cavey Realty Co. v. Reese</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34 Colo. App. 323, 328, 527 P.2d 914, 917 (1974);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McGill Corp. v. Werner</w:t>
      </w:r>
      <w:r w:rsidRPr="008D41E0">
        <w:rPr>
          <w:rFonts w:eastAsia="Times New Roman"/>
          <w:bCs/>
          <w:sz w:val="24"/>
          <w:szCs w:val="24"/>
        </w:rPr>
        <w:t xml:space="preserve">, 631 P.2d 1178 (Colo. App. 1981) (minor and immaterial variations). Also, the “broker is charged with knowledge that the substantial variation exists when he submits the offer.” </w:t>
      </w:r>
      <w:r w:rsidRPr="008D41E0">
        <w:rPr>
          <w:rFonts w:eastAsia="Times New Roman"/>
          <w:b/>
          <w:bCs/>
          <w:sz w:val="24"/>
          <w:szCs w:val="24"/>
        </w:rPr>
        <w:t>Colo. City Dev. Co. v. Jones-Healy Realty, Inc.</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195 Colo. 114, 116-17, 576 P.2d 160, 162 (1978); </w:t>
      </w:r>
      <w:r w:rsidRPr="008D41E0">
        <w:rPr>
          <w:rFonts w:eastAsia="Times New Roman"/>
          <w:bCs/>
          <w:i/>
          <w:sz w:val="24"/>
          <w:szCs w:val="24"/>
        </w:rPr>
        <w:t xml:space="preserve">see </w:t>
      </w:r>
      <w:r w:rsidRPr="008D41E0">
        <w:rPr>
          <w:rFonts w:eastAsia="Times New Roman"/>
          <w:b/>
          <w:bCs/>
          <w:sz w:val="24"/>
          <w:szCs w:val="24"/>
        </w:rPr>
        <w:t>Brady v. Hoeppner</w:t>
      </w:r>
      <w:r w:rsidRPr="008D41E0">
        <w:rPr>
          <w:rFonts w:eastAsia="Times New Roman"/>
          <w:bCs/>
          <w:sz w:val="24"/>
          <w:szCs w:val="24"/>
        </w:rPr>
        <w:t xml:space="preserve">, 38 Colo. App. 495, 558 P.2d 1009 (1977) (broker not entitled to commission when sale fails because of a defect of title or a contingency of which the broker was aware when he was employed);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 xml:space="preserve">Re/Max </w:t>
      </w:r>
      <w:r w:rsidRPr="008D41E0">
        <w:rPr>
          <w:rFonts w:eastAsia="Times New Roman"/>
          <w:b/>
          <w:bCs/>
          <w:sz w:val="24"/>
          <w:szCs w:val="24"/>
        </w:rPr>
        <w:lastRenderedPageBreak/>
        <w:t>Suburban, Inc. v. Widener</w:t>
      </w:r>
      <w:r w:rsidRPr="008D41E0">
        <w:rPr>
          <w:rFonts w:eastAsia="Times New Roman"/>
          <w:bCs/>
          <w:sz w:val="24"/>
          <w:szCs w:val="24"/>
        </w:rPr>
        <w:t>, 633 P.2d 530 (Colo. App. 1981) (broker not entitled to commission when sale failed to close due to fault of broker).</w:t>
      </w:r>
    </w:p>
    <w:p w14:paraId="60F5CA85" w14:textId="50674D39" w:rsidR="00381B91" w:rsidRDefault="00381B91">
      <w:pPr>
        <w:rPr>
          <w:rFonts w:eastAsia="Times New Roman"/>
          <w:bCs/>
          <w:sz w:val="24"/>
          <w:szCs w:val="24"/>
        </w:rPr>
      </w:pPr>
      <w:r>
        <w:rPr>
          <w:rFonts w:eastAsia="Times New Roman"/>
          <w:bCs/>
          <w:sz w:val="24"/>
          <w:szCs w:val="24"/>
        </w:rPr>
        <w:br w:type="page"/>
      </w:r>
    </w:p>
    <w:p w14:paraId="33A7AAE7" w14:textId="77777777" w:rsidR="00381B91" w:rsidRPr="004A61D4" w:rsidRDefault="00381B91" w:rsidP="00381B91">
      <w:pPr>
        <w:spacing w:after="240"/>
        <w:jc w:val="center"/>
        <w:rPr>
          <w:rFonts w:eastAsia="Times New Roman"/>
          <w:b/>
          <w:sz w:val="24"/>
          <w:szCs w:val="24"/>
        </w:rPr>
      </w:pPr>
      <w:bookmarkStart w:id="65" w:name="a30_58"/>
      <w:bookmarkStart w:id="66" w:name="_Hlk144992122"/>
      <w:bookmarkEnd w:id="65"/>
      <w:r w:rsidRPr="004A61D4">
        <w:rPr>
          <w:rFonts w:eastAsia="Times New Roman"/>
          <w:b/>
          <w:sz w:val="24"/>
          <w:szCs w:val="24"/>
        </w:rPr>
        <w:lastRenderedPageBreak/>
        <w:t>G. CLAIMS BASED ON IMPLIED AGREEMENTS</w:t>
      </w:r>
    </w:p>
    <w:p w14:paraId="42542C45" w14:textId="77777777" w:rsidR="00381B91" w:rsidRPr="00483C32" w:rsidRDefault="00381B91" w:rsidP="00381B91">
      <w:pPr>
        <w:spacing w:after="240"/>
        <w:ind w:left="720" w:hanging="720"/>
        <w:rPr>
          <w:rFonts w:eastAsia="Times New Roman"/>
          <w:bCs/>
          <w:sz w:val="24"/>
          <w:szCs w:val="24"/>
        </w:rPr>
      </w:pPr>
      <w:r w:rsidRPr="00822E5D">
        <w:rPr>
          <w:rFonts w:eastAsia="Times New Roman"/>
          <w:b/>
          <w:sz w:val="24"/>
          <w:szCs w:val="24"/>
        </w:rPr>
        <w:t>30:5</w:t>
      </w:r>
      <w:r>
        <w:rPr>
          <w:rFonts w:eastAsia="Times New Roman"/>
          <w:b/>
          <w:sz w:val="24"/>
          <w:szCs w:val="24"/>
        </w:rPr>
        <w:t>8</w:t>
      </w:r>
      <w:r>
        <w:rPr>
          <w:rFonts w:eastAsia="Times New Roman"/>
          <w:bCs/>
          <w:sz w:val="24"/>
          <w:szCs w:val="24"/>
        </w:rPr>
        <w:tab/>
      </w:r>
      <w:r w:rsidRPr="004A61D4">
        <w:rPr>
          <w:rFonts w:eastAsia="Times New Roman"/>
          <w:b/>
          <w:caps/>
          <w:sz w:val="24"/>
          <w:szCs w:val="24"/>
        </w:rPr>
        <w:t>Goods and Services Rendered (Quantum Meruit/Quantum Valebat)</w:t>
      </w:r>
      <w:bookmarkEnd w:id="66"/>
    </w:p>
    <w:p w14:paraId="3233306E" w14:textId="77777777" w:rsidR="00381B91" w:rsidRPr="004A61D4" w:rsidRDefault="00381B91" w:rsidP="000D55AD">
      <w:pPr>
        <w:spacing w:after="240"/>
        <w:ind w:firstLine="720"/>
        <w:rPr>
          <w:rFonts w:eastAsia="Times New Roman"/>
          <w:b/>
          <w:sz w:val="24"/>
          <w:szCs w:val="24"/>
        </w:rPr>
      </w:pPr>
      <w:r w:rsidRPr="004A61D4">
        <w:rPr>
          <w:rFonts w:eastAsia="Times New Roman"/>
          <w:b/>
          <w:sz w:val="24"/>
          <w:szCs w:val="24"/>
        </w:rPr>
        <w:t xml:space="preserve">For the plaintiff, </w:t>
      </w:r>
      <w:r w:rsidRPr="004A61D4">
        <w:rPr>
          <w:rFonts w:eastAsia="Times New Roman"/>
          <w:bCs/>
          <w:i/>
          <w:sz w:val="24"/>
          <w:szCs w:val="24"/>
        </w:rPr>
        <w:t>(name)</w:t>
      </w:r>
      <w:r w:rsidRPr="004A61D4">
        <w:rPr>
          <w:rFonts w:eastAsia="Times New Roman"/>
          <w:b/>
          <w:sz w:val="24"/>
          <w:szCs w:val="24"/>
        </w:rPr>
        <w:t xml:space="preserve">, to recover from the defendant, </w:t>
      </w:r>
      <w:r w:rsidRPr="004A61D4">
        <w:rPr>
          <w:rFonts w:eastAsia="Times New Roman"/>
          <w:bCs/>
          <w:i/>
          <w:sz w:val="24"/>
          <w:szCs w:val="24"/>
        </w:rPr>
        <w:t>(name)</w:t>
      </w:r>
      <w:r w:rsidRPr="004A61D4">
        <w:rPr>
          <w:rFonts w:eastAsia="Times New Roman"/>
          <w:b/>
          <w:sz w:val="24"/>
          <w:szCs w:val="24"/>
        </w:rPr>
        <w:t xml:space="preserve">, on </w:t>
      </w:r>
      <w:r w:rsidRPr="005914E3">
        <w:rPr>
          <w:rFonts w:eastAsia="Times New Roman"/>
          <w:bCs/>
          <w:i/>
          <w:iCs/>
          <w:sz w:val="24"/>
          <w:szCs w:val="24"/>
        </w:rPr>
        <w:t>(insert applicable pronoun)</w:t>
      </w:r>
      <w:r w:rsidRPr="004A61D4">
        <w:rPr>
          <w:rFonts w:eastAsia="Times New Roman"/>
          <w:b/>
          <w:sz w:val="24"/>
          <w:szCs w:val="24"/>
        </w:rPr>
        <w:t xml:space="preserve"> claim for money for </w:t>
      </w:r>
      <w:r>
        <w:rPr>
          <w:rFonts w:eastAsia="Times New Roman"/>
          <w:b/>
          <w:sz w:val="24"/>
          <w:szCs w:val="24"/>
        </w:rPr>
        <w:t>(</w:t>
      </w:r>
      <w:r w:rsidRPr="004A61D4">
        <w:rPr>
          <w:rFonts w:eastAsia="Times New Roman"/>
          <w:b/>
          <w:sz w:val="24"/>
          <w:szCs w:val="24"/>
        </w:rPr>
        <w:t>goods delivered</w:t>
      </w:r>
      <w:r>
        <w:rPr>
          <w:rFonts w:eastAsia="Times New Roman"/>
          <w:b/>
          <w:sz w:val="24"/>
          <w:szCs w:val="24"/>
        </w:rPr>
        <w:t>) (</w:t>
      </w:r>
      <w:r w:rsidRPr="004A61D4">
        <w:rPr>
          <w:rFonts w:eastAsia="Times New Roman"/>
          <w:b/>
          <w:sz w:val="24"/>
          <w:szCs w:val="24"/>
        </w:rPr>
        <w:t>services rendered</w:t>
      </w:r>
      <w:r>
        <w:rPr>
          <w:rFonts w:eastAsia="Times New Roman"/>
          <w:b/>
          <w:sz w:val="24"/>
          <w:szCs w:val="24"/>
        </w:rPr>
        <w:t xml:space="preserve">), you must find that all of the </w:t>
      </w:r>
      <w:r w:rsidRPr="004A61D4">
        <w:rPr>
          <w:rFonts w:eastAsia="Times New Roman"/>
          <w:b/>
          <w:sz w:val="24"/>
          <w:szCs w:val="24"/>
        </w:rPr>
        <w:t xml:space="preserve">following </w:t>
      </w:r>
      <w:r>
        <w:rPr>
          <w:rFonts w:eastAsia="Times New Roman"/>
          <w:b/>
          <w:sz w:val="24"/>
          <w:szCs w:val="24"/>
        </w:rPr>
        <w:t xml:space="preserve">have been proved </w:t>
      </w:r>
      <w:r w:rsidRPr="004A61D4">
        <w:rPr>
          <w:rFonts w:eastAsia="Times New Roman"/>
          <w:b/>
          <w:sz w:val="24"/>
          <w:szCs w:val="24"/>
        </w:rPr>
        <w:t>by a preponderance of the evidence:</w:t>
      </w:r>
    </w:p>
    <w:p w14:paraId="70D5ABDF" w14:textId="77777777" w:rsidR="00381B91" w:rsidRPr="004A61D4" w:rsidRDefault="00381B91" w:rsidP="000D55AD">
      <w:pPr>
        <w:pStyle w:val="ListParagraph"/>
        <w:spacing w:after="240"/>
        <w:ind w:left="0" w:firstLine="720"/>
        <w:contextualSpacing w:val="0"/>
        <w:rPr>
          <w:rFonts w:eastAsia="Times New Roman"/>
          <w:b/>
          <w:sz w:val="24"/>
          <w:szCs w:val="24"/>
        </w:rPr>
      </w:pPr>
      <w:r>
        <w:rPr>
          <w:rFonts w:eastAsia="Times New Roman"/>
          <w:b/>
          <w:sz w:val="24"/>
          <w:szCs w:val="24"/>
        </w:rPr>
        <w:t>1. T</w:t>
      </w:r>
      <w:r w:rsidRPr="004A61D4">
        <w:rPr>
          <w:rFonts w:eastAsia="Times New Roman"/>
          <w:b/>
          <w:sz w:val="24"/>
          <w:szCs w:val="24"/>
        </w:rPr>
        <w:t xml:space="preserve">he defendant requested, by words or conduct, that the plaintiff </w:t>
      </w:r>
      <w:r>
        <w:rPr>
          <w:rFonts w:eastAsia="Times New Roman"/>
          <w:b/>
          <w:sz w:val="24"/>
          <w:szCs w:val="24"/>
        </w:rPr>
        <w:t>(</w:t>
      </w:r>
      <w:r w:rsidRPr="004A61D4">
        <w:rPr>
          <w:rFonts w:eastAsia="Times New Roman"/>
          <w:b/>
          <w:sz w:val="24"/>
          <w:szCs w:val="24"/>
        </w:rPr>
        <w:t>perform services</w:t>
      </w:r>
      <w:r>
        <w:rPr>
          <w:rFonts w:eastAsia="Times New Roman"/>
          <w:b/>
          <w:sz w:val="24"/>
          <w:szCs w:val="24"/>
        </w:rPr>
        <w:t>) (</w:t>
      </w:r>
      <w:r w:rsidRPr="004A61D4">
        <w:rPr>
          <w:rFonts w:eastAsia="Times New Roman"/>
          <w:b/>
          <w:sz w:val="24"/>
          <w:szCs w:val="24"/>
        </w:rPr>
        <w:t>deliver goods</w:t>
      </w:r>
      <w:r>
        <w:rPr>
          <w:rFonts w:eastAsia="Times New Roman"/>
          <w:b/>
          <w:sz w:val="24"/>
          <w:szCs w:val="24"/>
        </w:rPr>
        <w:t>)</w:t>
      </w:r>
      <w:r w:rsidRPr="004A61D4">
        <w:rPr>
          <w:rFonts w:eastAsia="Times New Roman"/>
          <w:b/>
          <w:sz w:val="24"/>
          <w:szCs w:val="24"/>
        </w:rPr>
        <w:t xml:space="preserve"> for the benefit of the defendant;</w:t>
      </w:r>
    </w:p>
    <w:p w14:paraId="4A7D15A9" w14:textId="77777777" w:rsidR="00381B91" w:rsidRPr="004A61D4" w:rsidRDefault="00381B91" w:rsidP="000D55AD">
      <w:pPr>
        <w:pStyle w:val="ListParagraph"/>
        <w:spacing w:after="240"/>
        <w:ind w:left="0" w:firstLine="720"/>
        <w:contextualSpacing w:val="0"/>
        <w:rPr>
          <w:rFonts w:eastAsia="Times New Roman"/>
          <w:b/>
          <w:sz w:val="24"/>
          <w:szCs w:val="24"/>
        </w:rPr>
      </w:pPr>
      <w:r>
        <w:rPr>
          <w:rFonts w:eastAsia="Times New Roman"/>
          <w:b/>
          <w:sz w:val="24"/>
          <w:szCs w:val="24"/>
        </w:rPr>
        <w:t xml:space="preserve">2. </w:t>
      </w:r>
      <w:r w:rsidRPr="004A61D4">
        <w:rPr>
          <w:rFonts w:eastAsia="Times New Roman"/>
          <w:b/>
          <w:sz w:val="24"/>
          <w:szCs w:val="24"/>
        </w:rPr>
        <w:t xml:space="preserve">The plaintiff </w:t>
      </w:r>
      <w:r>
        <w:rPr>
          <w:rFonts w:eastAsia="Times New Roman"/>
          <w:b/>
          <w:sz w:val="24"/>
          <w:szCs w:val="24"/>
        </w:rPr>
        <w:t>(</w:t>
      </w:r>
      <w:r w:rsidRPr="004A61D4">
        <w:rPr>
          <w:rFonts w:eastAsia="Times New Roman"/>
          <w:b/>
          <w:sz w:val="24"/>
          <w:szCs w:val="24"/>
        </w:rPr>
        <w:t>performed the services</w:t>
      </w:r>
      <w:r>
        <w:rPr>
          <w:rFonts w:eastAsia="Times New Roman"/>
          <w:b/>
          <w:sz w:val="24"/>
          <w:szCs w:val="24"/>
        </w:rPr>
        <w:t>) (</w:t>
      </w:r>
      <w:r w:rsidRPr="004A61D4">
        <w:rPr>
          <w:rFonts w:eastAsia="Times New Roman"/>
          <w:b/>
          <w:sz w:val="24"/>
          <w:szCs w:val="24"/>
        </w:rPr>
        <w:t>delivered the goods</w:t>
      </w:r>
      <w:r>
        <w:rPr>
          <w:rFonts w:eastAsia="Times New Roman"/>
          <w:b/>
          <w:sz w:val="24"/>
          <w:szCs w:val="24"/>
        </w:rPr>
        <w:t>)</w:t>
      </w:r>
      <w:r w:rsidRPr="004A61D4">
        <w:rPr>
          <w:rFonts w:eastAsia="Times New Roman"/>
          <w:b/>
          <w:sz w:val="24"/>
          <w:szCs w:val="24"/>
        </w:rPr>
        <w:t xml:space="preserve"> as requested; </w:t>
      </w:r>
      <w:r>
        <w:rPr>
          <w:rFonts w:eastAsia="Times New Roman"/>
          <w:b/>
          <w:sz w:val="24"/>
          <w:szCs w:val="24"/>
        </w:rPr>
        <w:t>and</w:t>
      </w:r>
    </w:p>
    <w:p w14:paraId="242D3064" w14:textId="77777777" w:rsidR="00381B91" w:rsidRPr="004A61D4" w:rsidRDefault="00381B91" w:rsidP="000D55AD">
      <w:pPr>
        <w:pStyle w:val="ListParagraph"/>
        <w:spacing w:after="240"/>
        <w:ind w:left="0" w:firstLine="720"/>
        <w:contextualSpacing w:val="0"/>
        <w:rPr>
          <w:rFonts w:eastAsia="Times New Roman"/>
          <w:b/>
          <w:sz w:val="24"/>
          <w:szCs w:val="24"/>
        </w:rPr>
      </w:pPr>
      <w:r>
        <w:rPr>
          <w:rFonts w:eastAsia="Times New Roman"/>
          <w:b/>
          <w:sz w:val="24"/>
          <w:szCs w:val="24"/>
        </w:rPr>
        <w:t xml:space="preserve">3. </w:t>
      </w:r>
      <w:r w:rsidRPr="004A61D4">
        <w:rPr>
          <w:rFonts w:eastAsia="Times New Roman"/>
          <w:b/>
          <w:sz w:val="24"/>
          <w:szCs w:val="24"/>
        </w:rPr>
        <w:t xml:space="preserve">The defendant has not paid </w:t>
      </w:r>
      <w:r>
        <w:rPr>
          <w:rFonts w:eastAsia="Times New Roman"/>
          <w:b/>
          <w:sz w:val="24"/>
          <w:szCs w:val="24"/>
        </w:rPr>
        <w:t xml:space="preserve">the </w:t>
      </w:r>
      <w:r w:rsidRPr="004A61D4">
        <w:rPr>
          <w:rFonts w:eastAsia="Times New Roman"/>
          <w:b/>
          <w:sz w:val="24"/>
          <w:szCs w:val="24"/>
        </w:rPr>
        <w:t xml:space="preserve">plaintiff </w:t>
      </w:r>
      <w:r>
        <w:rPr>
          <w:rFonts w:eastAsia="Times New Roman"/>
          <w:b/>
          <w:sz w:val="24"/>
          <w:szCs w:val="24"/>
        </w:rPr>
        <w:t>the reasonable value of</w:t>
      </w:r>
      <w:r w:rsidRPr="004A61D4">
        <w:rPr>
          <w:rFonts w:eastAsia="Times New Roman"/>
          <w:b/>
          <w:sz w:val="24"/>
          <w:szCs w:val="24"/>
        </w:rPr>
        <w:t xml:space="preserve"> the </w:t>
      </w:r>
      <w:r>
        <w:rPr>
          <w:rFonts w:eastAsia="Times New Roman"/>
          <w:b/>
          <w:sz w:val="24"/>
          <w:szCs w:val="24"/>
        </w:rPr>
        <w:t>(</w:t>
      </w:r>
      <w:r w:rsidRPr="004A61D4">
        <w:rPr>
          <w:rFonts w:eastAsia="Times New Roman"/>
          <w:b/>
          <w:sz w:val="24"/>
          <w:szCs w:val="24"/>
        </w:rPr>
        <w:t>services</w:t>
      </w:r>
      <w:r>
        <w:rPr>
          <w:rFonts w:eastAsia="Times New Roman"/>
          <w:b/>
          <w:sz w:val="24"/>
          <w:szCs w:val="24"/>
        </w:rPr>
        <w:t>) (</w:t>
      </w:r>
      <w:r w:rsidRPr="004A61D4">
        <w:rPr>
          <w:rFonts w:eastAsia="Times New Roman"/>
          <w:b/>
          <w:sz w:val="24"/>
          <w:szCs w:val="24"/>
        </w:rPr>
        <w:t>goods</w:t>
      </w:r>
      <w:r>
        <w:rPr>
          <w:rFonts w:eastAsia="Times New Roman"/>
          <w:b/>
          <w:sz w:val="24"/>
          <w:szCs w:val="24"/>
        </w:rPr>
        <w:t>).</w:t>
      </w:r>
    </w:p>
    <w:p w14:paraId="26DF33D3" w14:textId="77777777" w:rsidR="00381B91" w:rsidRPr="004A61D4" w:rsidRDefault="00381B91" w:rsidP="000D55AD">
      <w:pPr>
        <w:pStyle w:val="ListParagraph"/>
        <w:spacing w:after="240"/>
        <w:ind w:left="0" w:firstLine="720"/>
        <w:contextualSpacing w:val="0"/>
        <w:rPr>
          <w:rFonts w:eastAsia="Times New Roman"/>
          <w:b/>
          <w:sz w:val="24"/>
          <w:szCs w:val="24"/>
        </w:rPr>
      </w:pPr>
      <w:r w:rsidRPr="004A61D4">
        <w:rPr>
          <w:rFonts w:eastAsia="Times New Roman"/>
          <w:b/>
          <w:sz w:val="24"/>
          <w:szCs w:val="24"/>
        </w:rPr>
        <w:t xml:space="preserve">If you find that any one or more of these </w:t>
      </w:r>
      <w:r>
        <w:rPr>
          <w:rFonts w:eastAsia="Times New Roman"/>
          <w:b/>
          <w:sz w:val="24"/>
          <w:szCs w:val="24"/>
        </w:rPr>
        <w:t>three</w:t>
      </w:r>
      <w:r w:rsidRPr="004A61D4">
        <w:rPr>
          <w:rFonts w:eastAsia="Times New Roman"/>
          <w:b/>
          <w:sz w:val="24"/>
          <w:szCs w:val="24"/>
        </w:rPr>
        <w:t xml:space="preserve"> statements has not been proved, then you</w:t>
      </w:r>
      <w:r>
        <w:rPr>
          <w:rFonts w:eastAsia="Times New Roman"/>
          <w:b/>
          <w:sz w:val="24"/>
          <w:szCs w:val="24"/>
        </w:rPr>
        <w:t>r</w:t>
      </w:r>
      <w:r w:rsidRPr="004A61D4">
        <w:rPr>
          <w:rFonts w:eastAsia="Times New Roman"/>
          <w:b/>
          <w:sz w:val="24"/>
          <w:szCs w:val="24"/>
        </w:rPr>
        <w:t xml:space="preserve"> verdict must be for the defendant.</w:t>
      </w:r>
    </w:p>
    <w:p w14:paraId="6D1A6C2B" w14:textId="77777777" w:rsidR="00381B91" w:rsidRPr="004A61D4" w:rsidRDefault="00381B91" w:rsidP="000D55AD">
      <w:pPr>
        <w:pStyle w:val="ListParagraph"/>
        <w:spacing w:after="240"/>
        <w:ind w:left="0" w:firstLine="720"/>
        <w:contextualSpacing w:val="0"/>
        <w:rPr>
          <w:rFonts w:eastAsia="Times New Roman"/>
          <w:b/>
          <w:sz w:val="24"/>
          <w:szCs w:val="24"/>
        </w:rPr>
      </w:pPr>
      <w:r w:rsidRPr="004A61D4">
        <w:rPr>
          <w:rFonts w:eastAsia="Times New Roman"/>
          <w:b/>
          <w:sz w:val="24"/>
          <w:szCs w:val="24"/>
        </w:rPr>
        <w:t xml:space="preserve">On the other hand, if you find that all of these </w:t>
      </w:r>
      <w:r>
        <w:rPr>
          <w:rFonts w:eastAsia="Times New Roman"/>
          <w:b/>
          <w:sz w:val="24"/>
          <w:szCs w:val="24"/>
        </w:rPr>
        <w:t>three</w:t>
      </w:r>
      <w:r w:rsidRPr="004A61D4">
        <w:rPr>
          <w:rFonts w:eastAsia="Times New Roman"/>
          <w:b/>
          <w:sz w:val="24"/>
          <w:szCs w:val="24"/>
        </w:rPr>
        <w:t xml:space="preserve"> statements have been proved</w:t>
      </w:r>
      <w:r>
        <w:rPr>
          <w:rFonts w:eastAsia="Times New Roman"/>
          <w:b/>
          <w:sz w:val="24"/>
          <w:szCs w:val="24"/>
        </w:rPr>
        <w:t>,</w:t>
      </w:r>
      <w:r w:rsidRPr="004A61D4">
        <w:rPr>
          <w:rFonts w:eastAsia="Times New Roman"/>
          <w:b/>
          <w:sz w:val="24"/>
          <w:szCs w:val="24"/>
        </w:rPr>
        <w:t xml:space="preserve"> (then your verdict must be for the plaintiff) (then you must consider </w:t>
      </w:r>
      <w:r>
        <w:rPr>
          <w:rFonts w:eastAsia="Times New Roman"/>
          <w:b/>
          <w:sz w:val="24"/>
          <w:szCs w:val="24"/>
        </w:rPr>
        <w:t xml:space="preserve">the </w:t>
      </w:r>
      <w:r w:rsidRPr="004A61D4">
        <w:rPr>
          <w:rFonts w:eastAsia="Times New Roman"/>
          <w:b/>
          <w:sz w:val="24"/>
          <w:szCs w:val="24"/>
        </w:rPr>
        <w:t>defendant’s affirmative defense(s)</w:t>
      </w:r>
      <w:r>
        <w:rPr>
          <w:rFonts w:eastAsia="Times New Roman"/>
          <w:b/>
          <w:sz w:val="24"/>
          <w:szCs w:val="24"/>
        </w:rPr>
        <w:t xml:space="preserve"> of </w:t>
      </w:r>
      <w:r w:rsidRPr="00A76271">
        <w:rPr>
          <w:rFonts w:eastAsia="Times New Roman"/>
          <w:bCs/>
          <w:i/>
          <w:sz w:val="24"/>
          <w:szCs w:val="24"/>
        </w:rPr>
        <w:t>[insert any affirmative defense that would be a complete defense to plaintiff’s claim]</w:t>
      </w:r>
      <w:r w:rsidRPr="004A61D4">
        <w:rPr>
          <w:rFonts w:eastAsia="Times New Roman"/>
          <w:b/>
          <w:sz w:val="24"/>
          <w:szCs w:val="24"/>
        </w:rPr>
        <w:t>).</w:t>
      </w:r>
    </w:p>
    <w:p w14:paraId="13B10713" w14:textId="77777777" w:rsidR="00381B91" w:rsidRDefault="00381B91" w:rsidP="000D55AD">
      <w:pPr>
        <w:pStyle w:val="ListParagraph"/>
        <w:spacing w:after="240"/>
        <w:ind w:left="0" w:firstLine="720"/>
        <w:contextualSpacing w:val="0"/>
        <w:rPr>
          <w:rFonts w:eastAsia="Times New Roman"/>
          <w:b/>
          <w:sz w:val="24"/>
          <w:szCs w:val="24"/>
        </w:rPr>
      </w:pPr>
      <w:r w:rsidRPr="004A61D4">
        <w:rPr>
          <w:rFonts w:eastAsia="Times New Roman"/>
          <w:b/>
          <w:sz w:val="24"/>
          <w:szCs w:val="24"/>
        </w:rPr>
        <w:t xml:space="preserve">However, if you find that </w:t>
      </w:r>
      <w:r>
        <w:rPr>
          <w:rFonts w:eastAsia="Times New Roman"/>
          <w:b/>
          <w:sz w:val="24"/>
          <w:szCs w:val="24"/>
        </w:rPr>
        <w:t>(this</w:t>
      </w:r>
      <w:r w:rsidRPr="004A61D4">
        <w:rPr>
          <w:rFonts w:eastAsia="Times New Roman"/>
          <w:b/>
          <w:sz w:val="24"/>
          <w:szCs w:val="24"/>
        </w:rPr>
        <w:t xml:space="preserve"> affirmative defense has not</w:t>
      </w:r>
      <w:r>
        <w:rPr>
          <w:rFonts w:eastAsia="Times New Roman"/>
          <w:b/>
          <w:sz w:val="24"/>
          <w:szCs w:val="24"/>
        </w:rPr>
        <w:t>) (</w:t>
      </w:r>
      <w:r w:rsidRPr="00A76271">
        <w:rPr>
          <w:rFonts w:eastAsia="Times New Roman"/>
          <w:b/>
          <w:bCs/>
          <w:sz w:val="24"/>
          <w:szCs w:val="24"/>
        </w:rPr>
        <w:t>none of these affirmative defenses have)</w:t>
      </w:r>
      <w:r w:rsidRPr="004A61D4">
        <w:rPr>
          <w:rFonts w:eastAsia="Times New Roman"/>
          <w:b/>
          <w:sz w:val="24"/>
          <w:szCs w:val="24"/>
        </w:rPr>
        <w:t xml:space="preserve"> been proved, then your verdict must be for the plaintiff</w:t>
      </w:r>
      <w:r>
        <w:rPr>
          <w:rFonts w:eastAsia="Times New Roman"/>
          <w:b/>
          <w:sz w:val="24"/>
          <w:szCs w:val="24"/>
        </w:rPr>
        <w:t>.</w:t>
      </w:r>
    </w:p>
    <w:p w14:paraId="09692073" w14:textId="77777777" w:rsidR="00381B91" w:rsidRPr="004A61D4" w:rsidRDefault="00381B91" w:rsidP="00381B91">
      <w:pPr>
        <w:pStyle w:val="ListParagraph"/>
        <w:spacing w:after="240"/>
        <w:ind w:left="0" w:firstLine="720"/>
        <w:rPr>
          <w:rFonts w:eastAsia="Times New Roman"/>
          <w:b/>
          <w:sz w:val="24"/>
          <w:szCs w:val="24"/>
        </w:rPr>
      </w:pPr>
    </w:p>
    <w:p w14:paraId="210E8644" w14:textId="77777777" w:rsidR="00381B91" w:rsidRPr="003718E5" w:rsidRDefault="00381B91" w:rsidP="00381B91">
      <w:pPr>
        <w:spacing w:after="240"/>
        <w:jc w:val="center"/>
        <w:rPr>
          <w:rFonts w:eastAsia="Times New Roman"/>
          <w:b/>
          <w:sz w:val="24"/>
          <w:szCs w:val="24"/>
        </w:rPr>
      </w:pPr>
      <w:r w:rsidRPr="003718E5">
        <w:rPr>
          <w:rFonts w:eastAsia="Times New Roman"/>
          <w:b/>
          <w:sz w:val="24"/>
          <w:szCs w:val="24"/>
        </w:rPr>
        <w:t>Notes on Use</w:t>
      </w:r>
    </w:p>
    <w:p w14:paraId="454191CE" w14:textId="77777777" w:rsidR="00381B91" w:rsidRDefault="00381B91" w:rsidP="000D55AD">
      <w:pPr>
        <w:pStyle w:val="ListParagraph"/>
        <w:spacing w:after="240"/>
        <w:ind w:left="0" w:firstLine="720"/>
        <w:contextualSpacing w:val="0"/>
        <w:rPr>
          <w:rFonts w:eastAsia="Times New Roman"/>
          <w:bCs/>
          <w:sz w:val="24"/>
          <w:szCs w:val="24"/>
        </w:rPr>
      </w:pPr>
      <w:r>
        <w:rPr>
          <w:rFonts w:eastAsia="Times New Roman"/>
          <w:bCs/>
          <w:sz w:val="24"/>
          <w:szCs w:val="24"/>
        </w:rPr>
        <w:t xml:space="preserve">1. </w:t>
      </w:r>
      <w:r w:rsidRPr="00060F82">
        <w:rPr>
          <w:rFonts w:eastAsia="Times New Roman"/>
          <w:bCs/>
          <w:sz w:val="24"/>
          <w:szCs w:val="24"/>
        </w:rPr>
        <w:t xml:space="preserve">Quantum meruit literally means “what </w:t>
      </w:r>
      <w:r>
        <w:rPr>
          <w:rFonts w:eastAsia="Times New Roman"/>
          <w:bCs/>
          <w:sz w:val="24"/>
          <w:szCs w:val="24"/>
        </w:rPr>
        <w:t>one</w:t>
      </w:r>
      <w:r w:rsidRPr="00060F82">
        <w:rPr>
          <w:rFonts w:eastAsia="Times New Roman"/>
          <w:bCs/>
          <w:sz w:val="24"/>
          <w:szCs w:val="24"/>
        </w:rPr>
        <w:t xml:space="preserve"> deserves” </w:t>
      </w:r>
      <w:r>
        <w:rPr>
          <w:rFonts w:eastAsia="Times New Roman"/>
          <w:bCs/>
          <w:sz w:val="24"/>
          <w:szCs w:val="24"/>
        </w:rPr>
        <w:t xml:space="preserve">or “as much as is deserved” and was a common law claim to recover the reasonable value of services rendered. Quantum valebat literally means “as much as it is worth” and was a common law claim to recover the reasonable value of goods provided. </w:t>
      </w:r>
      <w:r w:rsidRPr="00060F82">
        <w:rPr>
          <w:rFonts w:eastAsia="Times New Roman"/>
          <w:bCs/>
          <w:sz w:val="24"/>
          <w:szCs w:val="24"/>
        </w:rPr>
        <w:t>The common law claim</w:t>
      </w:r>
      <w:r>
        <w:rPr>
          <w:rFonts w:eastAsia="Times New Roman"/>
          <w:bCs/>
          <w:sz w:val="24"/>
          <w:szCs w:val="24"/>
        </w:rPr>
        <w:t xml:space="preserve">s reflected </w:t>
      </w:r>
      <w:r w:rsidRPr="00060F82">
        <w:rPr>
          <w:rFonts w:eastAsia="Times New Roman"/>
          <w:bCs/>
          <w:sz w:val="24"/>
          <w:szCs w:val="24"/>
        </w:rPr>
        <w:t xml:space="preserve">the </w:t>
      </w:r>
      <w:r>
        <w:rPr>
          <w:rFonts w:eastAsia="Times New Roman"/>
          <w:bCs/>
          <w:sz w:val="24"/>
          <w:szCs w:val="24"/>
        </w:rPr>
        <w:t>fundamental</w:t>
      </w:r>
      <w:r w:rsidRPr="00060F82">
        <w:rPr>
          <w:rFonts w:eastAsia="Times New Roman"/>
          <w:bCs/>
          <w:sz w:val="24"/>
          <w:szCs w:val="24"/>
        </w:rPr>
        <w:t xml:space="preserve"> principle that the law implies a promise to pay for services performed or goods delivered under circumstances establishing that they were not gratuitously rendered. Accordingly, to recover under quantum meruit</w:t>
      </w:r>
      <w:r>
        <w:rPr>
          <w:rFonts w:eastAsia="Times New Roman"/>
          <w:bCs/>
          <w:sz w:val="24"/>
          <w:szCs w:val="24"/>
        </w:rPr>
        <w:t xml:space="preserve"> or quantum valebat</w:t>
      </w:r>
      <w:r w:rsidRPr="00060F82">
        <w:rPr>
          <w:rFonts w:eastAsia="Times New Roman"/>
          <w:bCs/>
          <w:sz w:val="24"/>
          <w:szCs w:val="24"/>
        </w:rPr>
        <w:t xml:space="preserve"> a party must show that the services or goods were provided with an understanding by both parties that </w:t>
      </w:r>
      <w:r>
        <w:rPr>
          <w:rFonts w:eastAsia="Times New Roman"/>
          <w:bCs/>
          <w:sz w:val="24"/>
          <w:szCs w:val="24"/>
        </w:rPr>
        <w:t>there would be compensation</w:t>
      </w:r>
      <w:r w:rsidRPr="00060F82">
        <w:rPr>
          <w:rFonts w:eastAsia="Times New Roman"/>
          <w:bCs/>
          <w:sz w:val="24"/>
          <w:szCs w:val="24"/>
        </w:rPr>
        <w:t xml:space="preserve">. The </w:t>
      </w:r>
      <w:r>
        <w:rPr>
          <w:rFonts w:eastAsia="Times New Roman"/>
          <w:bCs/>
          <w:sz w:val="24"/>
          <w:szCs w:val="24"/>
        </w:rPr>
        <w:t>claim was recognized by common law courts applying contract law</w:t>
      </w:r>
      <w:r w:rsidRPr="00060F82">
        <w:rPr>
          <w:rFonts w:eastAsia="Times New Roman"/>
          <w:bCs/>
          <w:sz w:val="24"/>
          <w:szCs w:val="24"/>
        </w:rPr>
        <w:t xml:space="preserve"> to avoid unjust enrichment and restore the aggrieved party to his </w:t>
      </w:r>
      <w:r>
        <w:rPr>
          <w:rFonts w:eastAsia="Times New Roman"/>
          <w:bCs/>
          <w:sz w:val="24"/>
          <w:szCs w:val="24"/>
        </w:rPr>
        <w:t xml:space="preserve">or her </w:t>
      </w:r>
      <w:r w:rsidRPr="00060F82">
        <w:rPr>
          <w:rFonts w:eastAsia="Times New Roman"/>
          <w:bCs/>
          <w:sz w:val="24"/>
          <w:szCs w:val="24"/>
        </w:rPr>
        <w:t>former position by returning the thing or equivalent in money. The action was traditionally enforced by courts of law</w:t>
      </w:r>
      <w:r>
        <w:rPr>
          <w:rFonts w:eastAsia="Times New Roman"/>
          <w:bCs/>
          <w:sz w:val="24"/>
          <w:szCs w:val="24"/>
        </w:rPr>
        <w:t xml:space="preserve"> to prevent unjust enrichment</w:t>
      </w:r>
      <w:r w:rsidRPr="00060F82">
        <w:rPr>
          <w:rFonts w:eastAsia="Times New Roman"/>
          <w:bCs/>
          <w:sz w:val="24"/>
          <w:szCs w:val="24"/>
        </w:rPr>
        <w:t xml:space="preserve">, along with other </w:t>
      </w:r>
      <w:r>
        <w:rPr>
          <w:rFonts w:eastAsia="Times New Roman"/>
          <w:bCs/>
          <w:sz w:val="24"/>
          <w:szCs w:val="24"/>
        </w:rPr>
        <w:t>assumpsit</w:t>
      </w:r>
      <w:r w:rsidRPr="00060F82">
        <w:rPr>
          <w:rFonts w:eastAsia="Times New Roman"/>
          <w:bCs/>
          <w:sz w:val="24"/>
          <w:szCs w:val="24"/>
        </w:rPr>
        <w:t xml:space="preserve"> claims </w:t>
      </w:r>
      <w:r>
        <w:rPr>
          <w:rFonts w:eastAsia="Times New Roman"/>
          <w:bCs/>
          <w:sz w:val="24"/>
          <w:szCs w:val="24"/>
        </w:rPr>
        <w:t>such as</w:t>
      </w:r>
      <w:r w:rsidRPr="00060F82">
        <w:rPr>
          <w:rFonts w:eastAsia="Times New Roman"/>
          <w:bCs/>
          <w:sz w:val="24"/>
          <w:szCs w:val="24"/>
        </w:rPr>
        <w:t xml:space="preserve"> money had and received, account stated, and mistaken receipt</w:t>
      </w:r>
      <w:r>
        <w:rPr>
          <w:rFonts w:eastAsia="Times New Roman"/>
          <w:bCs/>
          <w:sz w:val="24"/>
          <w:szCs w:val="24"/>
        </w:rPr>
        <w:t>.</w:t>
      </w:r>
    </w:p>
    <w:p w14:paraId="6E2E3789" w14:textId="77777777" w:rsidR="00381B91" w:rsidRDefault="00381B91" w:rsidP="000D55AD">
      <w:pPr>
        <w:pStyle w:val="ListParagraph"/>
        <w:spacing w:after="240"/>
        <w:ind w:left="0" w:firstLine="720"/>
        <w:contextualSpacing w:val="0"/>
        <w:rPr>
          <w:rFonts w:eastAsia="Times New Roman"/>
          <w:bCs/>
          <w:sz w:val="24"/>
          <w:szCs w:val="24"/>
        </w:rPr>
      </w:pPr>
      <w:r>
        <w:rPr>
          <w:rFonts w:eastAsia="Times New Roman"/>
          <w:bCs/>
          <w:sz w:val="24"/>
          <w:szCs w:val="24"/>
        </w:rPr>
        <w:t xml:space="preserve">2. When a defendant has made partial payment he or she is entitled to credit against the reasonable value and these instructions should be modified accordingly. The verdict form should </w:t>
      </w:r>
      <w:r>
        <w:rPr>
          <w:rFonts w:eastAsia="Times New Roman"/>
          <w:bCs/>
          <w:sz w:val="24"/>
          <w:szCs w:val="24"/>
        </w:rPr>
        <w:lastRenderedPageBreak/>
        <w:t>ask the jury to state the amount the jury finds to be the reasonable value of the goods or services, and to state the amount of partial payments, if any, the jury finds were made by the defendant.</w:t>
      </w:r>
    </w:p>
    <w:p w14:paraId="7E15757B" w14:textId="77777777" w:rsidR="00381B91" w:rsidRPr="00F56F00" w:rsidRDefault="00381B91" w:rsidP="00381B91">
      <w:pPr>
        <w:spacing w:after="240"/>
        <w:jc w:val="center"/>
        <w:rPr>
          <w:rFonts w:eastAsia="Times New Roman"/>
          <w:b/>
          <w:sz w:val="24"/>
          <w:szCs w:val="24"/>
        </w:rPr>
      </w:pPr>
      <w:r w:rsidRPr="00F56F00">
        <w:rPr>
          <w:rFonts w:eastAsia="Times New Roman"/>
          <w:b/>
          <w:sz w:val="24"/>
          <w:szCs w:val="24"/>
        </w:rPr>
        <w:t>Source and Authority</w:t>
      </w:r>
    </w:p>
    <w:p w14:paraId="1848F37C" w14:textId="77777777" w:rsidR="00381B91" w:rsidRPr="0095133C" w:rsidRDefault="00381B91" w:rsidP="000D55AD">
      <w:pPr>
        <w:pStyle w:val="ListParagraph"/>
        <w:tabs>
          <w:tab w:val="left" w:pos="540"/>
        </w:tabs>
        <w:spacing w:after="240"/>
        <w:ind w:left="0" w:firstLine="720"/>
        <w:contextualSpacing w:val="0"/>
        <w:rPr>
          <w:sz w:val="24"/>
          <w:szCs w:val="24"/>
        </w:rPr>
      </w:pPr>
      <w:r>
        <w:rPr>
          <w:rFonts w:eastAsia="Times New Roman"/>
          <w:bCs/>
          <w:sz w:val="24"/>
          <w:szCs w:val="24"/>
        </w:rPr>
        <w:t xml:space="preserve">1. </w:t>
      </w:r>
      <w:r w:rsidRPr="000D7FE6">
        <w:rPr>
          <w:rFonts w:eastAsia="Times New Roman"/>
          <w:bCs/>
          <w:sz w:val="24"/>
          <w:szCs w:val="24"/>
        </w:rPr>
        <w:t xml:space="preserve">This instruction is supported by </w:t>
      </w:r>
      <w:r w:rsidRPr="000D7FE6">
        <w:rPr>
          <w:rFonts w:eastAsia="Times New Roman"/>
          <w:b/>
          <w:sz w:val="24"/>
          <w:szCs w:val="24"/>
        </w:rPr>
        <w:t>Melat, Pressman</w:t>
      </w:r>
      <w:r>
        <w:rPr>
          <w:rFonts w:eastAsia="Times New Roman"/>
          <w:b/>
          <w:sz w:val="24"/>
          <w:szCs w:val="24"/>
        </w:rPr>
        <w:t>, Ezell</w:t>
      </w:r>
      <w:r w:rsidRPr="000D7FE6">
        <w:rPr>
          <w:rFonts w:eastAsia="Times New Roman"/>
          <w:b/>
          <w:sz w:val="24"/>
          <w:szCs w:val="24"/>
        </w:rPr>
        <w:t xml:space="preserve"> &amp; Higbie L</w:t>
      </w:r>
      <w:r>
        <w:rPr>
          <w:rFonts w:eastAsia="Times New Roman"/>
          <w:b/>
          <w:sz w:val="24"/>
          <w:szCs w:val="24"/>
        </w:rPr>
        <w:t>.</w:t>
      </w:r>
      <w:r w:rsidRPr="000D7FE6">
        <w:rPr>
          <w:rFonts w:eastAsia="Times New Roman"/>
          <w:b/>
          <w:sz w:val="24"/>
          <w:szCs w:val="24"/>
        </w:rPr>
        <w:t>L</w:t>
      </w:r>
      <w:r>
        <w:rPr>
          <w:rFonts w:eastAsia="Times New Roman"/>
          <w:b/>
          <w:sz w:val="24"/>
          <w:szCs w:val="24"/>
        </w:rPr>
        <w:t>.</w:t>
      </w:r>
      <w:r w:rsidRPr="000D7FE6">
        <w:rPr>
          <w:rFonts w:eastAsia="Times New Roman"/>
          <w:b/>
          <w:sz w:val="24"/>
          <w:szCs w:val="24"/>
        </w:rPr>
        <w:t>P</w:t>
      </w:r>
      <w:r>
        <w:rPr>
          <w:rFonts w:eastAsia="Times New Roman"/>
          <w:b/>
          <w:sz w:val="24"/>
          <w:szCs w:val="24"/>
        </w:rPr>
        <w:t>.</w:t>
      </w:r>
      <w:r w:rsidRPr="000D7FE6">
        <w:rPr>
          <w:rFonts w:eastAsia="Times New Roman"/>
          <w:b/>
          <w:sz w:val="24"/>
          <w:szCs w:val="24"/>
        </w:rPr>
        <w:t xml:space="preserve"> v. Hannon L</w:t>
      </w:r>
      <w:r>
        <w:rPr>
          <w:rFonts w:eastAsia="Times New Roman"/>
          <w:b/>
          <w:sz w:val="24"/>
          <w:szCs w:val="24"/>
        </w:rPr>
        <w:t>aw</w:t>
      </w:r>
      <w:r w:rsidRPr="000D7FE6">
        <w:rPr>
          <w:rFonts w:eastAsia="Times New Roman"/>
          <w:b/>
          <w:sz w:val="24"/>
          <w:szCs w:val="24"/>
        </w:rPr>
        <w:t xml:space="preserve"> Firm L</w:t>
      </w:r>
      <w:r>
        <w:rPr>
          <w:rFonts w:eastAsia="Times New Roman"/>
          <w:b/>
          <w:sz w:val="24"/>
          <w:szCs w:val="24"/>
        </w:rPr>
        <w:t>.</w:t>
      </w:r>
      <w:r w:rsidRPr="000D7FE6">
        <w:rPr>
          <w:rFonts w:eastAsia="Times New Roman"/>
          <w:b/>
          <w:sz w:val="24"/>
          <w:szCs w:val="24"/>
        </w:rPr>
        <w:t>L</w:t>
      </w:r>
      <w:r>
        <w:rPr>
          <w:rFonts w:eastAsia="Times New Roman"/>
          <w:b/>
          <w:sz w:val="24"/>
          <w:szCs w:val="24"/>
        </w:rPr>
        <w:t>.</w:t>
      </w:r>
      <w:r w:rsidRPr="000D7FE6">
        <w:rPr>
          <w:rFonts w:eastAsia="Times New Roman"/>
          <w:b/>
          <w:sz w:val="24"/>
          <w:szCs w:val="24"/>
        </w:rPr>
        <w:t>C</w:t>
      </w:r>
      <w:r>
        <w:rPr>
          <w:rFonts w:eastAsia="Times New Roman"/>
          <w:b/>
          <w:sz w:val="24"/>
          <w:szCs w:val="24"/>
        </w:rPr>
        <w:t>.</w:t>
      </w:r>
      <w:r w:rsidRPr="005D5EF3">
        <w:rPr>
          <w:rFonts w:eastAsia="Times New Roman"/>
          <w:bCs/>
          <w:sz w:val="24"/>
          <w:szCs w:val="24"/>
        </w:rPr>
        <w:t>,</w:t>
      </w:r>
      <w:r w:rsidRPr="000D7FE6">
        <w:rPr>
          <w:rFonts w:eastAsia="Times New Roman"/>
          <w:bCs/>
          <w:sz w:val="24"/>
          <w:szCs w:val="24"/>
        </w:rPr>
        <w:t xml:space="preserve"> 2012 CO 61, ¶ 19, 287 P.3d 842</w:t>
      </w:r>
      <w:r>
        <w:rPr>
          <w:rFonts w:eastAsia="Times New Roman"/>
          <w:bCs/>
          <w:sz w:val="24"/>
          <w:szCs w:val="24"/>
        </w:rPr>
        <w:t>, 847</w:t>
      </w:r>
      <w:r w:rsidRPr="000D7FE6">
        <w:rPr>
          <w:rFonts w:eastAsia="Times New Roman"/>
          <w:bCs/>
          <w:sz w:val="24"/>
          <w:szCs w:val="24"/>
        </w:rPr>
        <w:t xml:space="preserve"> (“Quantum meruit allows a party to recover the reasonable value of the services provided when the parties either have no express contract or have abrogated it</w:t>
      </w:r>
      <w:r>
        <w:rPr>
          <w:rFonts w:eastAsia="Times New Roman"/>
          <w:bCs/>
          <w:sz w:val="24"/>
          <w:szCs w:val="24"/>
        </w:rPr>
        <w:t>.</w:t>
      </w:r>
      <w:r w:rsidRPr="000D7FE6">
        <w:rPr>
          <w:rFonts w:eastAsia="Times New Roman"/>
          <w:bCs/>
          <w:sz w:val="24"/>
          <w:szCs w:val="24"/>
        </w:rPr>
        <w:t xml:space="preserve">”); </w:t>
      </w:r>
      <w:r w:rsidRPr="000D7FE6">
        <w:rPr>
          <w:rFonts w:eastAsia="Times New Roman"/>
          <w:b/>
          <w:sz w:val="24"/>
          <w:szCs w:val="24"/>
        </w:rPr>
        <w:t>Dudding v. Norton Frickey &amp; Assocs</w:t>
      </w:r>
      <w:r w:rsidRPr="005D5EF3">
        <w:rPr>
          <w:rFonts w:eastAsia="Times New Roman"/>
          <w:b/>
          <w:sz w:val="24"/>
          <w:szCs w:val="24"/>
        </w:rPr>
        <w:t>.</w:t>
      </w:r>
      <w:r w:rsidRPr="000D7FE6">
        <w:rPr>
          <w:rFonts w:eastAsia="Times New Roman"/>
          <w:bCs/>
          <w:sz w:val="24"/>
          <w:szCs w:val="24"/>
        </w:rPr>
        <w:t>, 11 P.3d 441, 444 (Colo. 2000) (Quantum meruit “arises out of the need to avoid unjust enrichment to a party even in the absence of an actual agreement to pay for services rendered</w:t>
      </w:r>
      <w:r>
        <w:rPr>
          <w:rFonts w:eastAsia="Times New Roman"/>
          <w:bCs/>
          <w:sz w:val="24"/>
          <w:szCs w:val="24"/>
        </w:rPr>
        <w:t>.</w:t>
      </w:r>
      <w:r w:rsidRPr="000D7FE6">
        <w:rPr>
          <w:rFonts w:eastAsia="Times New Roman"/>
          <w:bCs/>
          <w:sz w:val="24"/>
          <w:szCs w:val="24"/>
        </w:rPr>
        <w:t xml:space="preserve">”); </w:t>
      </w:r>
      <w:r w:rsidRPr="000D7FE6">
        <w:rPr>
          <w:rFonts w:eastAsia="Times New Roman"/>
          <w:b/>
          <w:sz w:val="24"/>
          <w:szCs w:val="24"/>
        </w:rPr>
        <w:t>Larson v. American National Bank</w:t>
      </w:r>
      <w:r w:rsidRPr="000D7FE6">
        <w:rPr>
          <w:rFonts w:eastAsia="Times New Roman"/>
          <w:bCs/>
          <w:sz w:val="24"/>
          <w:szCs w:val="24"/>
        </w:rPr>
        <w:t xml:space="preserve">, 174 Colo. 424, </w:t>
      </w:r>
      <w:r>
        <w:rPr>
          <w:rFonts w:eastAsia="Times New Roman"/>
          <w:bCs/>
          <w:sz w:val="24"/>
          <w:szCs w:val="24"/>
        </w:rPr>
        <w:t xml:space="preserve">429, </w:t>
      </w:r>
      <w:r w:rsidRPr="000D7FE6">
        <w:rPr>
          <w:rFonts w:eastAsia="Times New Roman"/>
          <w:bCs/>
          <w:sz w:val="24"/>
          <w:szCs w:val="24"/>
        </w:rPr>
        <w:t>484 P</w:t>
      </w:r>
      <w:r>
        <w:rPr>
          <w:rFonts w:eastAsia="Times New Roman"/>
          <w:bCs/>
          <w:sz w:val="24"/>
          <w:szCs w:val="24"/>
        </w:rPr>
        <w:t>.</w:t>
      </w:r>
      <w:r w:rsidRPr="000D7FE6">
        <w:rPr>
          <w:rFonts w:eastAsia="Times New Roman"/>
          <w:bCs/>
          <w:sz w:val="24"/>
          <w:szCs w:val="24"/>
        </w:rPr>
        <w:t>2d 1230</w:t>
      </w:r>
      <w:r>
        <w:rPr>
          <w:rFonts w:eastAsia="Times New Roman"/>
          <w:bCs/>
          <w:sz w:val="24"/>
          <w:szCs w:val="24"/>
        </w:rPr>
        <w:t>, 1232</w:t>
      </w:r>
      <w:r w:rsidRPr="000D7FE6">
        <w:rPr>
          <w:rFonts w:eastAsia="Times New Roman"/>
          <w:bCs/>
          <w:sz w:val="24"/>
          <w:szCs w:val="24"/>
        </w:rPr>
        <w:t xml:space="preserve"> (1971) (“where one accepts such services and by his actions indicates that he ratifies the employment . . . an implied promise to the pay the reasonable value of the services arises”);</w:t>
      </w:r>
      <w:r w:rsidRPr="000D7FE6">
        <w:rPr>
          <w:b/>
          <w:bCs/>
          <w:sz w:val="24"/>
          <w:szCs w:val="24"/>
        </w:rPr>
        <w:t xml:space="preserve"> </w:t>
      </w:r>
      <w:r w:rsidRPr="000D7FE6">
        <w:rPr>
          <w:rFonts w:eastAsia="Times New Roman"/>
          <w:b/>
          <w:sz w:val="24"/>
          <w:szCs w:val="24"/>
        </w:rPr>
        <w:t>Hansen v. Jones</w:t>
      </w:r>
      <w:r w:rsidRPr="000D7FE6">
        <w:rPr>
          <w:rFonts w:eastAsia="Times New Roman"/>
          <w:bCs/>
          <w:sz w:val="24"/>
          <w:szCs w:val="24"/>
        </w:rPr>
        <w:t xml:space="preserve">, 115 Colo 1, </w:t>
      </w:r>
      <w:r>
        <w:rPr>
          <w:rFonts w:eastAsia="Times New Roman"/>
          <w:bCs/>
          <w:sz w:val="24"/>
          <w:szCs w:val="24"/>
        </w:rPr>
        <w:t xml:space="preserve">7, </w:t>
      </w:r>
      <w:r w:rsidRPr="000D7FE6">
        <w:rPr>
          <w:rFonts w:eastAsia="Times New Roman"/>
          <w:bCs/>
          <w:sz w:val="24"/>
          <w:szCs w:val="24"/>
        </w:rPr>
        <w:t xml:space="preserve">168 P.2d 263, 265 (1964) (“dismissal on the merits of a cause of action upon an express contract was not a bar to </w:t>
      </w:r>
      <w:r>
        <w:rPr>
          <w:rFonts w:eastAsia="Times New Roman"/>
          <w:bCs/>
          <w:sz w:val="24"/>
          <w:szCs w:val="24"/>
        </w:rPr>
        <w:t xml:space="preserve">the </w:t>
      </w:r>
      <w:r w:rsidRPr="000D7FE6">
        <w:rPr>
          <w:rFonts w:eastAsia="Times New Roman"/>
          <w:bCs/>
          <w:sz w:val="24"/>
          <w:szCs w:val="24"/>
        </w:rPr>
        <w:t xml:space="preserve">institution of a new action upon an implied contract or upon quantum meruit”); </w:t>
      </w:r>
      <w:r w:rsidRPr="00F126F3">
        <w:rPr>
          <w:rFonts w:eastAsia="Times New Roman"/>
          <w:b/>
          <w:sz w:val="24"/>
          <w:szCs w:val="24"/>
        </w:rPr>
        <w:t>Mills v. Sharpe</w:t>
      </w:r>
      <w:r>
        <w:rPr>
          <w:rFonts w:eastAsia="Times New Roman"/>
          <w:bCs/>
          <w:sz w:val="24"/>
          <w:szCs w:val="24"/>
        </w:rPr>
        <w:t xml:space="preserve">, 129 Colo. 589, 592, 272 P.2d 641, 642 (1954) (“If plaintiff did this work for defendant’s benefit and with her knowledge, then he is entitled to reasonable compensation therefor.”); </w:t>
      </w:r>
      <w:r w:rsidRPr="00DB4A0A">
        <w:rPr>
          <w:b/>
          <w:bCs/>
          <w:sz w:val="24"/>
          <w:szCs w:val="24"/>
        </w:rPr>
        <w:t>Wilson v. Frederick R. Ross Inv. Co</w:t>
      </w:r>
      <w:r>
        <w:rPr>
          <w:sz w:val="24"/>
          <w:szCs w:val="24"/>
        </w:rPr>
        <w:t xml:space="preserve">., 116 Colo. 249, 260, 180 P.2d 226, 231 (1947) (jury instruction read “you are instructed that if you believe from a preponderance of the evidence herein that plaintiffs at the request of the defendant performed services . . . then you are to return a verdict for the plaintiffs . . . in such sum as you believe that the said services were reasonably worth”); </w:t>
      </w:r>
      <w:r w:rsidRPr="00906754">
        <w:rPr>
          <w:b/>
          <w:bCs/>
          <w:sz w:val="24"/>
          <w:szCs w:val="24"/>
        </w:rPr>
        <w:t>Milner v. Ruthven</w:t>
      </w:r>
      <w:r>
        <w:rPr>
          <w:sz w:val="24"/>
          <w:szCs w:val="24"/>
        </w:rPr>
        <w:t xml:space="preserve">, 116 Colo. 22, 25, 178 P.2d 417, 418 (Colo. 1947) (quantum meruit award affirmed where contract was terminated and “[defendant] accepted [plaintiff’s] services from day to day over a period of seven months, and was apparently satisfied with those services”); </w:t>
      </w:r>
      <w:r w:rsidRPr="009C41A5">
        <w:rPr>
          <w:rFonts w:eastAsia="Times New Roman"/>
          <w:b/>
          <w:sz w:val="24"/>
          <w:szCs w:val="24"/>
        </w:rPr>
        <w:t>In re Murphy’s Estate</w:t>
      </w:r>
      <w:r>
        <w:rPr>
          <w:rFonts w:eastAsia="Times New Roman"/>
          <w:bCs/>
          <w:sz w:val="24"/>
          <w:szCs w:val="24"/>
        </w:rPr>
        <w:t>, 110 Colo. 304, 311, 134 P.2d 199, 202 (1943) (“the trial courts were justified in finding . . . that such services were not rendered gratuitously [and] that the remuneration for them was reasonable”);</w:t>
      </w:r>
      <w:r w:rsidRPr="000D7FE6">
        <w:rPr>
          <w:rFonts w:eastAsia="Times New Roman"/>
          <w:bCs/>
          <w:sz w:val="24"/>
          <w:szCs w:val="24"/>
        </w:rPr>
        <w:t xml:space="preserve"> </w:t>
      </w:r>
      <w:bookmarkStart w:id="67" w:name="_Hlk140925818"/>
      <w:r w:rsidRPr="000D7FE6">
        <w:rPr>
          <w:rFonts w:eastAsia="Times New Roman"/>
          <w:b/>
          <w:sz w:val="24"/>
          <w:szCs w:val="24"/>
        </w:rPr>
        <w:t>Rishel v. Crawford</w:t>
      </w:r>
      <w:r w:rsidRPr="000D7FE6">
        <w:rPr>
          <w:rFonts w:eastAsia="Times New Roman"/>
          <w:bCs/>
          <w:sz w:val="24"/>
          <w:szCs w:val="24"/>
        </w:rPr>
        <w:t>, 95 Colo. 92, 32 P.2d 841 (1934) (</w:t>
      </w:r>
      <w:r>
        <w:rPr>
          <w:rFonts w:eastAsia="Times New Roman"/>
          <w:bCs/>
          <w:sz w:val="24"/>
          <w:szCs w:val="24"/>
        </w:rPr>
        <w:t>approving</w:t>
      </w:r>
      <w:r w:rsidRPr="000D7FE6">
        <w:rPr>
          <w:rFonts w:eastAsia="Times New Roman"/>
          <w:bCs/>
          <w:sz w:val="24"/>
          <w:szCs w:val="24"/>
        </w:rPr>
        <w:t xml:space="preserve"> jury instruction</w:t>
      </w:r>
      <w:r>
        <w:rPr>
          <w:rFonts w:eastAsia="Times New Roman"/>
          <w:bCs/>
          <w:sz w:val="24"/>
          <w:szCs w:val="24"/>
        </w:rPr>
        <w:t xml:space="preserve"> stating</w:t>
      </w:r>
      <w:r w:rsidRPr="000D7FE6">
        <w:rPr>
          <w:rFonts w:eastAsia="Times New Roman"/>
          <w:bCs/>
          <w:sz w:val="24"/>
          <w:szCs w:val="24"/>
        </w:rPr>
        <w:t xml:space="preserve"> “you should allow </w:t>
      </w:r>
      <w:r>
        <w:rPr>
          <w:rFonts w:eastAsia="Times New Roman"/>
          <w:bCs/>
          <w:sz w:val="24"/>
          <w:szCs w:val="24"/>
        </w:rPr>
        <w:t>[plaintiff</w:t>
      </w:r>
      <w:r w:rsidRPr="005914E3">
        <w:rPr>
          <w:rFonts w:eastAsia="Times New Roman"/>
          <w:bCs/>
          <w:sz w:val="24"/>
          <w:szCs w:val="24"/>
        </w:rPr>
        <w:t xml:space="preserve">] </w:t>
      </w:r>
      <w:r w:rsidRPr="005914E3">
        <w:rPr>
          <w:sz w:val="24"/>
          <w:szCs w:val="24"/>
        </w:rPr>
        <w:t>such sum or sums as you think his services were reasonably worth, provided you should find that [plaintiff] worked for [defendant], at her request, and that she agree to pay him for such services”);</w:t>
      </w:r>
      <w:r>
        <w:t xml:space="preserve"> </w:t>
      </w:r>
      <w:r w:rsidRPr="000D7FE6">
        <w:rPr>
          <w:rFonts w:eastAsia="Times New Roman"/>
          <w:b/>
          <w:sz w:val="24"/>
          <w:szCs w:val="24"/>
        </w:rPr>
        <w:t>McDonald v. Thibault</w:t>
      </w:r>
      <w:r w:rsidRPr="000D7FE6">
        <w:rPr>
          <w:rFonts w:eastAsia="Times New Roman"/>
          <w:bCs/>
          <w:sz w:val="24"/>
          <w:szCs w:val="24"/>
        </w:rPr>
        <w:t xml:space="preserve">, 84 Colo. 470, </w:t>
      </w:r>
      <w:r>
        <w:rPr>
          <w:rFonts w:eastAsia="Times New Roman"/>
          <w:bCs/>
          <w:sz w:val="24"/>
          <w:szCs w:val="24"/>
        </w:rPr>
        <w:t xml:space="preserve">471, </w:t>
      </w:r>
      <w:r w:rsidRPr="000D7FE6">
        <w:rPr>
          <w:rFonts w:eastAsia="Times New Roman"/>
          <w:bCs/>
          <w:sz w:val="24"/>
          <w:szCs w:val="24"/>
        </w:rPr>
        <w:t>271 P. 183</w:t>
      </w:r>
      <w:r>
        <w:rPr>
          <w:rFonts w:eastAsia="Times New Roman"/>
          <w:bCs/>
          <w:sz w:val="24"/>
          <w:szCs w:val="24"/>
        </w:rPr>
        <w:t>, 183</w:t>
      </w:r>
      <w:r w:rsidRPr="000D7FE6">
        <w:rPr>
          <w:rFonts w:eastAsia="Times New Roman"/>
          <w:bCs/>
          <w:sz w:val="24"/>
          <w:szCs w:val="24"/>
        </w:rPr>
        <w:t xml:space="preserve"> (1928)</w:t>
      </w:r>
      <w:bookmarkEnd w:id="67"/>
      <w:r w:rsidRPr="000D7FE6">
        <w:rPr>
          <w:rFonts w:eastAsia="Times New Roman"/>
          <w:bCs/>
          <w:sz w:val="24"/>
          <w:szCs w:val="24"/>
        </w:rPr>
        <w:t xml:space="preserve"> (“</w:t>
      </w:r>
      <w:r>
        <w:rPr>
          <w:rFonts w:eastAsia="Times New Roman"/>
          <w:bCs/>
          <w:sz w:val="24"/>
          <w:szCs w:val="24"/>
        </w:rPr>
        <w:t>[T]</w:t>
      </w:r>
      <w:r w:rsidRPr="000D7FE6">
        <w:rPr>
          <w:rFonts w:eastAsia="Times New Roman"/>
          <w:bCs/>
          <w:sz w:val="24"/>
          <w:szCs w:val="24"/>
        </w:rPr>
        <w:t>he count in question alleged the performance of services by the plaintiff at defendant</w:t>
      </w:r>
      <w:r>
        <w:rPr>
          <w:rFonts w:eastAsia="Times New Roman"/>
          <w:bCs/>
          <w:sz w:val="24"/>
          <w:szCs w:val="24"/>
        </w:rPr>
        <w:t>’</w:t>
      </w:r>
      <w:r w:rsidRPr="000D7FE6">
        <w:rPr>
          <w:rFonts w:eastAsia="Times New Roman"/>
          <w:bCs/>
          <w:sz w:val="24"/>
          <w:szCs w:val="24"/>
        </w:rPr>
        <w:t>s request. This would be sufficient to raise an implied promise to pay</w:t>
      </w:r>
      <w:r>
        <w:rPr>
          <w:rFonts w:eastAsia="Times New Roman"/>
          <w:bCs/>
          <w:sz w:val="24"/>
          <w:szCs w:val="24"/>
        </w:rPr>
        <w:t>.</w:t>
      </w:r>
      <w:r w:rsidRPr="000D7FE6">
        <w:rPr>
          <w:rFonts w:eastAsia="Times New Roman"/>
          <w:bCs/>
          <w:sz w:val="24"/>
          <w:szCs w:val="24"/>
        </w:rPr>
        <w:t xml:space="preserve">”); </w:t>
      </w:r>
      <w:r w:rsidRPr="000D7FE6">
        <w:rPr>
          <w:b/>
          <w:bCs/>
          <w:sz w:val="24"/>
          <w:szCs w:val="24"/>
        </w:rPr>
        <w:t>Bronstein v. Ryan</w:t>
      </w:r>
      <w:r w:rsidRPr="000D7FE6">
        <w:rPr>
          <w:sz w:val="24"/>
          <w:szCs w:val="24"/>
        </w:rPr>
        <w:t>, 78 Colo. 231</w:t>
      </w:r>
      <w:r>
        <w:rPr>
          <w:sz w:val="24"/>
          <w:szCs w:val="24"/>
        </w:rPr>
        <w:t xml:space="preserve">, 232, </w:t>
      </w:r>
      <w:r w:rsidRPr="000D7FE6">
        <w:rPr>
          <w:sz w:val="24"/>
          <w:szCs w:val="24"/>
        </w:rPr>
        <w:t xml:space="preserve">241 P. 539, </w:t>
      </w:r>
      <w:r>
        <w:rPr>
          <w:sz w:val="24"/>
          <w:szCs w:val="24"/>
        </w:rPr>
        <w:t>539</w:t>
      </w:r>
      <w:r w:rsidRPr="000D7FE6">
        <w:rPr>
          <w:sz w:val="24"/>
          <w:szCs w:val="24"/>
        </w:rPr>
        <w:t xml:space="preserve"> (1925) (“The burden rest[ed] on the plaintiff to establish the employment, the rendition of </w:t>
      </w:r>
      <w:r>
        <w:rPr>
          <w:sz w:val="24"/>
          <w:szCs w:val="24"/>
        </w:rPr>
        <w:t xml:space="preserve">the </w:t>
      </w:r>
      <w:r w:rsidRPr="000D7FE6">
        <w:rPr>
          <w:sz w:val="24"/>
          <w:szCs w:val="24"/>
        </w:rPr>
        <w:t>services, and the reasonable value thereof</w:t>
      </w:r>
      <w:r>
        <w:rPr>
          <w:sz w:val="24"/>
          <w:szCs w:val="24"/>
        </w:rPr>
        <w:t>.</w:t>
      </w:r>
      <w:r w:rsidRPr="000D7FE6">
        <w:rPr>
          <w:sz w:val="24"/>
          <w:szCs w:val="24"/>
        </w:rPr>
        <w:t>”)</w:t>
      </w:r>
      <w:r>
        <w:rPr>
          <w:sz w:val="24"/>
          <w:szCs w:val="24"/>
        </w:rPr>
        <w:t>;</w:t>
      </w:r>
      <w:r w:rsidRPr="000D7FE6">
        <w:rPr>
          <w:rFonts w:eastAsia="Times New Roman"/>
          <w:b/>
          <w:sz w:val="24"/>
          <w:szCs w:val="24"/>
        </w:rPr>
        <w:t xml:space="preserve"> Mountjoy &amp; Frewen v. Cheyenne County High School</w:t>
      </w:r>
      <w:r w:rsidRPr="000D7FE6">
        <w:rPr>
          <w:rFonts w:eastAsia="Times New Roman"/>
          <w:bCs/>
          <w:sz w:val="24"/>
          <w:szCs w:val="24"/>
        </w:rPr>
        <w:t>, 78 Colo 162</w:t>
      </w:r>
      <w:r>
        <w:rPr>
          <w:rFonts w:eastAsia="Times New Roman"/>
          <w:bCs/>
          <w:sz w:val="24"/>
          <w:szCs w:val="24"/>
        </w:rPr>
        <w:t>,</w:t>
      </w:r>
      <w:r w:rsidRPr="000D7FE6">
        <w:rPr>
          <w:rFonts w:eastAsia="Times New Roman"/>
          <w:bCs/>
          <w:sz w:val="24"/>
          <w:szCs w:val="24"/>
        </w:rPr>
        <w:t xml:space="preserve"> 240 P.</w:t>
      </w:r>
      <w:r>
        <w:rPr>
          <w:rFonts w:eastAsia="Times New Roman"/>
          <w:bCs/>
          <w:sz w:val="24"/>
          <w:szCs w:val="24"/>
        </w:rPr>
        <w:t xml:space="preserve"> </w:t>
      </w:r>
      <w:r w:rsidRPr="000D7FE6">
        <w:rPr>
          <w:rFonts w:eastAsia="Times New Roman"/>
          <w:bCs/>
          <w:sz w:val="24"/>
          <w:szCs w:val="24"/>
        </w:rPr>
        <w:t>464 (1925)</w:t>
      </w:r>
      <w:r>
        <w:rPr>
          <w:rFonts w:eastAsia="Times New Roman"/>
          <w:bCs/>
          <w:sz w:val="24"/>
          <w:szCs w:val="24"/>
        </w:rPr>
        <w:t xml:space="preserve"> </w:t>
      </w:r>
      <w:r w:rsidRPr="000D7FE6">
        <w:rPr>
          <w:rFonts w:eastAsia="Times New Roman"/>
          <w:bCs/>
          <w:sz w:val="24"/>
          <w:szCs w:val="24"/>
        </w:rPr>
        <w:t xml:space="preserve">(contract to build new school was </w:t>
      </w:r>
      <w:r w:rsidRPr="000D7FE6">
        <w:rPr>
          <w:rFonts w:eastAsia="Times New Roman"/>
          <w:bCs/>
          <w:i/>
          <w:iCs/>
          <w:sz w:val="24"/>
          <w:szCs w:val="24"/>
        </w:rPr>
        <w:t>ultra vires</w:t>
      </w:r>
      <w:r w:rsidRPr="000D7FE6">
        <w:rPr>
          <w:rFonts w:eastAsia="Times New Roman"/>
          <w:bCs/>
          <w:sz w:val="24"/>
          <w:szCs w:val="24"/>
        </w:rPr>
        <w:t xml:space="preserve"> and void, but architects recovered value of plans and specifications in quantum meruit);</w:t>
      </w:r>
      <w:r w:rsidRPr="000D7FE6">
        <w:rPr>
          <w:rFonts w:eastAsia="Times New Roman"/>
          <w:b/>
          <w:sz w:val="24"/>
          <w:szCs w:val="24"/>
        </w:rPr>
        <w:t xml:space="preserve"> Wallace Plumbing Co. v. Dillon</w:t>
      </w:r>
      <w:r w:rsidRPr="000D7FE6">
        <w:rPr>
          <w:rFonts w:eastAsia="Times New Roman"/>
          <w:bCs/>
          <w:sz w:val="24"/>
          <w:szCs w:val="24"/>
        </w:rPr>
        <w:t xml:space="preserve">, 71 Colo. 224, 205 P. 950 (1922) (even where a contract has been admitted, a plaintiff may choose to recover the price of services solely on quantum meruit); </w:t>
      </w:r>
      <w:r w:rsidRPr="000D7FE6">
        <w:rPr>
          <w:rFonts w:eastAsia="Times New Roman"/>
          <w:b/>
          <w:sz w:val="24"/>
          <w:szCs w:val="24"/>
        </w:rPr>
        <w:t>Bonanza Milling Co. v. Borrego</w:t>
      </w:r>
      <w:r w:rsidRPr="005D5EF3">
        <w:rPr>
          <w:rFonts w:eastAsia="Times New Roman"/>
          <w:bCs/>
          <w:sz w:val="24"/>
          <w:szCs w:val="24"/>
        </w:rPr>
        <w:t>,</w:t>
      </w:r>
      <w:r w:rsidRPr="000D7FE6">
        <w:rPr>
          <w:rFonts w:eastAsia="Times New Roman"/>
          <w:b/>
          <w:sz w:val="24"/>
          <w:szCs w:val="24"/>
        </w:rPr>
        <w:t xml:space="preserve"> </w:t>
      </w:r>
      <w:r w:rsidRPr="000D7FE6">
        <w:rPr>
          <w:rFonts w:eastAsia="Times New Roman"/>
          <w:bCs/>
          <w:sz w:val="24"/>
          <w:szCs w:val="24"/>
        </w:rPr>
        <w:t xml:space="preserve"> 59 Colo. 365, 148 P.</w:t>
      </w:r>
      <w:r>
        <w:rPr>
          <w:rFonts w:eastAsia="Times New Roman"/>
          <w:bCs/>
          <w:sz w:val="24"/>
          <w:szCs w:val="24"/>
        </w:rPr>
        <w:t xml:space="preserve"> </w:t>
      </w:r>
      <w:r w:rsidRPr="000D7FE6">
        <w:rPr>
          <w:rFonts w:eastAsia="Times New Roman"/>
          <w:bCs/>
          <w:sz w:val="24"/>
          <w:szCs w:val="24"/>
        </w:rPr>
        <w:t>859 (1915) (affirming award for count of quantum meruit for value of hauling of certain machinery, where express contract was not proved);</w:t>
      </w:r>
      <w:r w:rsidRPr="000D7FE6">
        <w:rPr>
          <w:b/>
          <w:bCs/>
          <w:sz w:val="24"/>
          <w:szCs w:val="24"/>
        </w:rPr>
        <w:t xml:space="preserve"> Leitensdorfer v. King</w:t>
      </w:r>
      <w:r w:rsidRPr="005D5EF3">
        <w:rPr>
          <w:sz w:val="24"/>
          <w:szCs w:val="24"/>
        </w:rPr>
        <w:t>,</w:t>
      </w:r>
      <w:r w:rsidRPr="000D7FE6">
        <w:rPr>
          <w:b/>
          <w:bCs/>
          <w:sz w:val="24"/>
          <w:szCs w:val="24"/>
        </w:rPr>
        <w:t xml:space="preserve"> </w:t>
      </w:r>
      <w:r w:rsidRPr="000D7FE6">
        <w:rPr>
          <w:sz w:val="24"/>
          <w:szCs w:val="24"/>
        </w:rPr>
        <w:t xml:space="preserve">7 Colo. 436, </w:t>
      </w:r>
      <w:r>
        <w:rPr>
          <w:sz w:val="24"/>
          <w:szCs w:val="24"/>
        </w:rPr>
        <w:t xml:space="preserve">439, </w:t>
      </w:r>
      <w:r w:rsidRPr="000D7FE6">
        <w:rPr>
          <w:sz w:val="24"/>
          <w:szCs w:val="24"/>
        </w:rPr>
        <w:t>4 P. 37</w:t>
      </w:r>
      <w:r>
        <w:rPr>
          <w:sz w:val="24"/>
          <w:szCs w:val="24"/>
        </w:rPr>
        <w:t>, 38</w:t>
      </w:r>
      <w:r w:rsidRPr="000D7FE6">
        <w:rPr>
          <w:sz w:val="24"/>
          <w:szCs w:val="24"/>
        </w:rPr>
        <w:t xml:space="preserve"> (1884) (the complaint “declar[ed] that the services were rendered at the request of defendants, and that they thereby became indebted”)</w:t>
      </w:r>
      <w:r>
        <w:rPr>
          <w:sz w:val="24"/>
          <w:szCs w:val="24"/>
        </w:rPr>
        <w:t>;</w:t>
      </w:r>
      <w:r w:rsidRPr="0095133C">
        <w:rPr>
          <w:sz w:val="24"/>
          <w:szCs w:val="24"/>
        </w:rPr>
        <w:t xml:space="preserve"> </w:t>
      </w:r>
      <w:r w:rsidRPr="0095133C">
        <w:rPr>
          <w:rFonts w:eastAsia="Times New Roman"/>
          <w:b/>
          <w:sz w:val="24"/>
          <w:szCs w:val="24"/>
        </w:rPr>
        <w:t>Portercare Adventist Health Sys</w:t>
      </w:r>
      <w:r>
        <w:rPr>
          <w:rFonts w:eastAsia="Times New Roman"/>
          <w:b/>
          <w:sz w:val="24"/>
          <w:szCs w:val="24"/>
        </w:rPr>
        <w:t>tem</w:t>
      </w:r>
      <w:r w:rsidRPr="0095133C">
        <w:rPr>
          <w:rFonts w:eastAsia="Times New Roman"/>
          <w:b/>
          <w:sz w:val="24"/>
          <w:szCs w:val="24"/>
        </w:rPr>
        <w:t xml:space="preserve"> v. Lego</w:t>
      </w:r>
      <w:r w:rsidRPr="0095133C">
        <w:rPr>
          <w:rFonts w:eastAsia="Times New Roman"/>
          <w:bCs/>
          <w:sz w:val="24"/>
          <w:szCs w:val="24"/>
        </w:rPr>
        <w:t>, 312 P.3d 201</w:t>
      </w:r>
      <w:r>
        <w:rPr>
          <w:rFonts w:eastAsia="Times New Roman"/>
          <w:bCs/>
          <w:sz w:val="24"/>
          <w:szCs w:val="24"/>
        </w:rPr>
        <w:t>, 206</w:t>
      </w:r>
      <w:r w:rsidRPr="0095133C">
        <w:rPr>
          <w:rFonts w:eastAsia="Times New Roman"/>
          <w:bCs/>
          <w:sz w:val="24"/>
          <w:szCs w:val="24"/>
        </w:rPr>
        <w:t xml:space="preserve"> (Colo. App. 2010) (“Quantum meruit, which literally means </w:t>
      </w:r>
      <w:r>
        <w:rPr>
          <w:rFonts w:eastAsia="Times New Roman"/>
          <w:bCs/>
          <w:sz w:val="24"/>
          <w:szCs w:val="24"/>
        </w:rPr>
        <w:t>‘</w:t>
      </w:r>
      <w:r w:rsidRPr="0095133C">
        <w:rPr>
          <w:rFonts w:eastAsia="Times New Roman"/>
          <w:bCs/>
          <w:sz w:val="24"/>
          <w:szCs w:val="24"/>
        </w:rPr>
        <w:t>as much as he deserved</w:t>
      </w:r>
      <w:r>
        <w:rPr>
          <w:rFonts w:eastAsia="Times New Roman"/>
          <w:bCs/>
          <w:sz w:val="24"/>
          <w:szCs w:val="24"/>
        </w:rPr>
        <w:t>,’</w:t>
      </w:r>
      <w:r w:rsidRPr="0095133C">
        <w:rPr>
          <w:rFonts w:eastAsia="Times New Roman"/>
          <w:bCs/>
          <w:sz w:val="24"/>
          <w:szCs w:val="24"/>
        </w:rPr>
        <w:t xml:space="preserve"> is a theory of recovery employed to prevent one party from benefitting at the expense of another where there is no </w:t>
      </w:r>
      <w:r w:rsidRPr="0095133C">
        <w:rPr>
          <w:rFonts w:eastAsia="Times New Roman"/>
          <w:bCs/>
          <w:sz w:val="24"/>
          <w:szCs w:val="24"/>
        </w:rPr>
        <w:lastRenderedPageBreak/>
        <w:t>express contract for payment</w:t>
      </w:r>
      <w:r>
        <w:rPr>
          <w:rFonts w:eastAsia="Times New Roman"/>
          <w:bCs/>
          <w:sz w:val="24"/>
          <w:szCs w:val="24"/>
        </w:rPr>
        <w:t>.</w:t>
      </w:r>
      <w:r w:rsidRPr="0095133C">
        <w:rPr>
          <w:rFonts w:eastAsia="Times New Roman"/>
          <w:bCs/>
          <w:sz w:val="24"/>
          <w:szCs w:val="24"/>
        </w:rPr>
        <w:t xml:space="preserve">”), </w:t>
      </w:r>
      <w:r w:rsidRPr="004A4FC6">
        <w:rPr>
          <w:rFonts w:eastAsia="Times New Roman"/>
          <w:bCs/>
          <w:i/>
          <w:iCs/>
          <w:sz w:val="24"/>
          <w:szCs w:val="24"/>
        </w:rPr>
        <w:t>rev’d on other grounds</w:t>
      </w:r>
      <w:r>
        <w:rPr>
          <w:rFonts w:eastAsia="Times New Roman"/>
          <w:bCs/>
          <w:sz w:val="24"/>
          <w:szCs w:val="24"/>
        </w:rPr>
        <w:t>,</w:t>
      </w:r>
      <w:r w:rsidRPr="0095133C">
        <w:rPr>
          <w:rFonts w:eastAsia="Times New Roman"/>
          <w:bCs/>
          <w:sz w:val="24"/>
          <w:szCs w:val="24"/>
        </w:rPr>
        <w:t xml:space="preserve"> 2012 CO 58, 286 P.3d 525</w:t>
      </w:r>
      <w:r w:rsidRPr="004A4FC6">
        <w:rPr>
          <w:sz w:val="24"/>
          <w:szCs w:val="24"/>
        </w:rPr>
        <w:t>;</w:t>
      </w:r>
      <w:r>
        <w:rPr>
          <w:b/>
          <w:bCs/>
          <w:sz w:val="24"/>
          <w:szCs w:val="24"/>
        </w:rPr>
        <w:t xml:space="preserve"> Hansen v. GAB Business Services, Inc.</w:t>
      </w:r>
      <w:r w:rsidRPr="004A4FC6">
        <w:rPr>
          <w:sz w:val="24"/>
          <w:szCs w:val="24"/>
        </w:rPr>
        <w:t>,</w:t>
      </w:r>
      <w:r>
        <w:rPr>
          <w:b/>
          <w:bCs/>
          <w:sz w:val="24"/>
          <w:szCs w:val="24"/>
        </w:rPr>
        <w:t xml:space="preserve"> </w:t>
      </w:r>
      <w:r w:rsidRPr="003718E5">
        <w:rPr>
          <w:sz w:val="24"/>
          <w:szCs w:val="24"/>
        </w:rPr>
        <w:t>876 P.2d 112</w:t>
      </w:r>
      <w:r>
        <w:rPr>
          <w:sz w:val="24"/>
          <w:szCs w:val="24"/>
        </w:rPr>
        <w:t>, 114</w:t>
      </w:r>
      <w:r w:rsidRPr="003718E5">
        <w:rPr>
          <w:sz w:val="24"/>
          <w:szCs w:val="24"/>
        </w:rPr>
        <w:t xml:space="preserve"> (Colo. App. 1994)</w:t>
      </w:r>
      <w:r>
        <w:rPr>
          <w:sz w:val="24"/>
          <w:szCs w:val="24"/>
        </w:rPr>
        <w:t xml:space="preserve"> (“In order to recover under [quantum meruit] a plaintiff must show that he or she rendered services in good faith to the defendant, who accepted the services, that plaintiff expected to be compensated for his or her efforts, and the reasonable value of the services rendered.”);</w:t>
      </w:r>
      <w:r w:rsidRPr="003718E5">
        <w:rPr>
          <w:rFonts w:eastAsia="Times New Roman"/>
          <w:b/>
          <w:sz w:val="24"/>
          <w:szCs w:val="24"/>
        </w:rPr>
        <w:t xml:space="preserve"> </w:t>
      </w:r>
      <w:r w:rsidRPr="0095133C">
        <w:rPr>
          <w:rFonts w:eastAsia="Times New Roman"/>
          <w:b/>
          <w:sz w:val="24"/>
          <w:szCs w:val="24"/>
        </w:rPr>
        <w:t>Schuck Corp. v. Sorkow</w:t>
      </w:r>
      <w:r w:rsidRPr="004A4FC6">
        <w:rPr>
          <w:rFonts w:eastAsia="Times New Roman"/>
          <w:b/>
          <w:sz w:val="24"/>
          <w:szCs w:val="24"/>
        </w:rPr>
        <w:t>itz</w:t>
      </w:r>
      <w:r w:rsidRPr="0095133C">
        <w:rPr>
          <w:rFonts w:eastAsia="Times New Roman"/>
          <w:bCs/>
          <w:sz w:val="24"/>
          <w:szCs w:val="24"/>
        </w:rPr>
        <w:t>, 686 P.2d 1366</w:t>
      </w:r>
      <w:r>
        <w:rPr>
          <w:rFonts w:eastAsia="Times New Roman"/>
          <w:bCs/>
          <w:sz w:val="24"/>
          <w:szCs w:val="24"/>
        </w:rPr>
        <w:t>, 1368</w:t>
      </w:r>
      <w:r w:rsidRPr="0095133C">
        <w:rPr>
          <w:rFonts w:eastAsia="Times New Roman"/>
          <w:bCs/>
          <w:sz w:val="24"/>
          <w:szCs w:val="24"/>
        </w:rPr>
        <w:t xml:space="preserve"> (Colo. App. 1984) (“a party is not permitted to deny liability for payment of reasonable value of services rendered when, with knowledge compensation is expected, he accepts services performed by another which benefit him”); </w:t>
      </w:r>
      <w:r w:rsidRPr="0095133C">
        <w:rPr>
          <w:b/>
          <w:bCs/>
          <w:sz w:val="24"/>
          <w:szCs w:val="24"/>
        </w:rPr>
        <w:t>Becker v. Arnold</w:t>
      </w:r>
      <w:r w:rsidRPr="004A4FC6">
        <w:rPr>
          <w:sz w:val="24"/>
          <w:szCs w:val="24"/>
        </w:rPr>
        <w:t>,</w:t>
      </w:r>
      <w:r w:rsidRPr="0095133C">
        <w:rPr>
          <w:sz w:val="24"/>
          <w:szCs w:val="24"/>
        </w:rPr>
        <w:t xml:space="preserve"> 42 Colo. App. 178</w:t>
      </w:r>
      <w:r>
        <w:rPr>
          <w:sz w:val="24"/>
          <w:szCs w:val="24"/>
        </w:rPr>
        <w:t>,</w:t>
      </w:r>
      <w:r w:rsidRPr="0095133C">
        <w:rPr>
          <w:sz w:val="24"/>
          <w:szCs w:val="24"/>
        </w:rPr>
        <w:t xml:space="preserve"> </w:t>
      </w:r>
      <w:r>
        <w:rPr>
          <w:sz w:val="24"/>
          <w:szCs w:val="24"/>
        </w:rPr>
        <w:t xml:space="preserve">183, </w:t>
      </w:r>
      <w:r w:rsidRPr="0095133C">
        <w:rPr>
          <w:sz w:val="24"/>
          <w:szCs w:val="24"/>
        </w:rPr>
        <w:t>591 P.2d 596,</w:t>
      </w:r>
      <w:r>
        <w:rPr>
          <w:sz w:val="24"/>
          <w:szCs w:val="24"/>
        </w:rPr>
        <w:t xml:space="preserve"> 599</w:t>
      </w:r>
      <w:r w:rsidRPr="0095133C">
        <w:rPr>
          <w:sz w:val="24"/>
          <w:szCs w:val="24"/>
        </w:rPr>
        <w:t xml:space="preserve"> (1979) (“</w:t>
      </w:r>
      <w:r>
        <w:rPr>
          <w:sz w:val="24"/>
          <w:szCs w:val="24"/>
        </w:rPr>
        <w:t>T</w:t>
      </w:r>
      <w:r w:rsidRPr="0095133C">
        <w:rPr>
          <w:sz w:val="24"/>
          <w:szCs w:val="24"/>
        </w:rPr>
        <w:t xml:space="preserve">o recover a real estate commission on the basis of an implied contract, a broker must establish that he rendered services to the seller </w:t>
      </w:r>
      <w:r>
        <w:rPr>
          <w:sz w:val="24"/>
          <w:szCs w:val="24"/>
        </w:rPr>
        <w:t xml:space="preserve">and </w:t>
      </w:r>
      <w:r w:rsidRPr="0095133C">
        <w:rPr>
          <w:sz w:val="24"/>
          <w:szCs w:val="24"/>
        </w:rPr>
        <w:t>under circumstances such that the seller had reason to think the broker had an expectation of compensation</w:t>
      </w:r>
      <w:r>
        <w:rPr>
          <w:sz w:val="24"/>
          <w:szCs w:val="24"/>
        </w:rPr>
        <w:t>.</w:t>
      </w:r>
      <w:r w:rsidRPr="0095133C">
        <w:rPr>
          <w:sz w:val="24"/>
          <w:szCs w:val="24"/>
        </w:rPr>
        <w:t xml:space="preserve">”); </w:t>
      </w:r>
      <w:r w:rsidRPr="0095133C">
        <w:rPr>
          <w:rFonts w:eastAsia="Times New Roman"/>
          <w:b/>
          <w:sz w:val="24"/>
          <w:szCs w:val="24"/>
        </w:rPr>
        <w:t>Bator v. Mines Development, Inc</w:t>
      </w:r>
      <w:r w:rsidRPr="0095133C">
        <w:rPr>
          <w:rFonts w:eastAsia="Times New Roman"/>
          <w:bCs/>
          <w:sz w:val="24"/>
          <w:szCs w:val="24"/>
        </w:rPr>
        <w:t>., 32 Colo. App. 320,</w:t>
      </w:r>
      <w:r>
        <w:rPr>
          <w:rFonts w:eastAsia="Times New Roman"/>
          <w:bCs/>
          <w:sz w:val="24"/>
          <w:szCs w:val="24"/>
        </w:rPr>
        <w:t xml:space="preserve"> 325,</w:t>
      </w:r>
      <w:r w:rsidRPr="0095133C">
        <w:rPr>
          <w:rFonts w:eastAsia="Times New Roman"/>
          <w:bCs/>
          <w:sz w:val="24"/>
          <w:szCs w:val="24"/>
        </w:rPr>
        <w:t xml:space="preserve"> 513 P.2d 220</w:t>
      </w:r>
      <w:r>
        <w:rPr>
          <w:rFonts w:eastAsia="Times New Roman"/>
          <w:bCs/>
          <w:sz w:val="24"/>
          <w:szCs w:val="24"/>
        </w:rPr>
        <w:t>, 224</w:t>
      </w:r>
      <w:r w:rsidRPr="0095133C">
        <w:rPr>
          <w:rFonts w:eastAsia="Times New Roman"/>
          <w:bCs/>
          <w:sz w:val="24"/>
          <w:szCs w:val="24"/>
        </w:rPr>
        <w:t xml:space="preserve"> (1973) (“Recovery in quantum meruit is based </w:t>
      </w:r>
      <w:r>
        <w:rPr>
          <w:rFonts w:eastAsia="Times New Roman"/>
          <w:bCs/>
          <w:sz w:val="24"/>
          <w:szCs w:val="24"/>
        </w:rPr>
        <w:t>up</w:t>
      </w:r>
      <w:r w:rsidRPr="0095133C">
        <w:rPr>
          <w:rFonts w:eastAsia="Times New Roman"/>
          <w:bCs/>
          <w:sz w:val="24"/>
          <w:szCs w:val="24"/>
        </w:rPr>
        <w:t>on the principle that services rendered under circumstances where compensation is reasonably expected should be paid for</w:t>
      </w:r>
      <w:r>
        <w:rPr>
          <w:rFonts w:eastAsia="Times New Roman"/>
          <w:bCs/>
          <w:sz w:val="24"/>
          <w:szCs w:val="24"/>
        </w:rPr>
        <w:t>.</w:t>
      </w:r>
      <w:r w:rsidRPr="0095133C">
        <w:rPr>
          <w:rFonts w:eastAsia="Times New Roman"/>
          <w:bCs/>
          <w:sz w:val="24"/>
          <w:szCs w:val="24"/>
        </w:rPr>
        <w:t>”);</w:t>
      </w:r>
      <w:r>
        <w:rPr>
          <w:rFonts w:eastAsia="Times New Roman"/>
          <w:bCs/>
          <w:sz w:val="24"/>
          <w:szCs w:val="24"/>
        </w:rPr>
        <w:t xml:space="preserve"> and </w:t>
      </w:r>
      <w:r w:rsidRPr="0095133C">
        <w:rPr>
          <w:b/>
          <w:bCs/>
          <w:sz w:val="24"/>
          <w:szCs w:val="24"/>
        </w:rPr>
        <w:t>Chambers v. Shivers</w:t>
      </w:r>
      <w:r w:rsidRPr="005D5EF3">
        <w:rPr>
          <w:sz w:val="24"/>
          <w:szCs w:val="24"/>
        </w:rPr>
        <w:t>,</w:t>
      </w:r>
      <w:r w:rsidRPr="0095133C">
        <w:rPr>
          <w:sz w:val="24"/>
          <w:szCs w:val="24"/>
        </w:rPr>
        <w:t xml:space="preserve"> 31 Colo. App. 16</w:t>
      </w:r>
      <w:r>
        <w:rPr>
          <w:sz w:val="24"/>
          <w:szCs w:val="24"/>
        </w:rPr>
        <w:t>,</w:t>
      </w:r>
      <w:r w:rsidRPr="0095133C">
        <w:rPr>
          <w:sz w:val="24"/>
          <w:szCs w:val="24"/>
        </w:rPr>
        <w:t xml:space="preserve"> </w:t>
      </w:r>
      <w:r>
        <w:rPr>
          <w:sz w:val="24"/>
          <w:szCs w:val="24"/>
        </w:rPr>
        <w:t xml:space="preserve">20, </w:t>
      </w:r>
      <w:r w:rsidRPr="0095133C">
        <w:rPr>
          <w:sz w:val="24"/>
          <w:szCs w:val="24"/>
        </w:rPr>
        <w:t>497 P.2d</w:t>
      </w:r>
      <w:r>
        <w:rPr>
          <w:sz w:val="24"/>
          <w:szCs w:val="24"/>
        </w:rPr>
        <w:t xml:space="preserve"> 327, 328-29</w:t>
      </w:r>
      <w:r w:rsidRPr="0095133C">
        <w:rPr>
          <w:sz w:val="24"/>
          <w:szCs w:val="24"/>
        </w:rPr>
        <w:t xml:space="preserve"> (1972) (“the services must have been performed under such circumstances as to give the recipient thereof some reason to think they are not gratuitous, nor performed for some other person, but with the expectation of compensation from the recipient”)</w:t>
      </w:r>
      <w:r>
        <w:rPr>
          <w:sz w:val="24"/>
          <w:szCs w:val="24"/>
        </w:rPr>
        <w:t>.</w:t>
      </w:r>
    </w:p>
    <w:p w14:paraId="56C737BA" w14:textId="77777777" w:rsidR="00381B91" w:rsidRPr="009F2DE6" w:rsidRDefault="00381B91" w:rsidP="000D55AD">
      <w:pPr>
        <w:pStyle w:val="ListParagraph"/>
        <w:tabs>
          <w:tab w:val="left" w:pos="540"/>
        </w:tabs>
        <w:spacing w:after="240"/>
        <w:ind w:left="0" w:firstLine="720"/>
        <w:contextualSpacing w:val="0"/>
        <w:rPr>
          <w:sz w:val="24"/>
          <w:szCs w:val="24"/>
        </w:rPr>
      </w:pPr>
      <w:r>
        <w:rPr>
          <w:rFonts w:eastAsia="Times New Roman"/>
          <w:bCs/>
          <w:sz w:val="24"/>
          <w:szCs w:val="24"/>
        </w:rPr>
        <w:t xml:space="preserve">2. </w:t>
      </w:r>
      <w:r w:rsidRPr="006341DC">
        <w:rPr>
          <w:rFonts w:eastAsia="Times New Roman"/>
          <w:bCs/>
          <w:sz w:val="24"/>
          <w:szCs w:val="24"/>
        </w:rPr>
        <w:t>As a legal claim</w:t>
      </w:r>
      <w:r>
        <w:rPr>
          <w:rFonts w:eastAsia="Times New Roman"/>
          <w:bCs/>
          <w:sz w:val="24"/>
          <w:szCs w:val="24"/>
        </w:rPr>
        <w:t xml:space="preserve"> for money recognized by common law courts, parties have a right to a jury to resolve disputed questions of fact.</w:t>
      </w:r>
      <w:r w:rsidRPr="0095133C">
        <w:rPr>
          <w:b/>
          <w:bCs/>
          <w:sz w:val="24"/>
          <w:szCs w:val="24"/>
        </w:rPr>
        <w:t xml:space="preserve"> </w:t>
      </w:r>
      <w:r w:rsidRPr="00F56F00">
        <w:rPr>
          <w:b/>
          <w:bCs/>
          <w:sz w:val="24"/>
          <w:szCs w:val="24"/>
        </w:rPr>
        <w:t>Bronstein</w:t>
      </w:r>
      <w:r>
        <w:rPr>
          <w:sz w:val="24"/>
          <w:szCs w:val="24"/>
        </w:rPr>
        <w:t xml:space="preserve">, 78 Colo. at 232, 241 P. at 539, 231 (“The case was fairly submitted to the jury by appropriate instructions.”); </w:t>
      </w:r>
      <w:r w:rsidRPr="00474667">
        <w:rPr>
          <w:rFonts w:eastAsia="Times New Roman"/>
          <w:b/>
          <w:sz w:val="24"/>
          <w:szCs w:val="24"/>
        </w:rPr>
        <w:t>Schleier</w:t>
      </w:r>
      <w:r w:rsidRPr="00A5324E">
        <w:rPr>
          <w:rFonts w:eastAsia="Times New Roman"/>
          <w:b/>
          <w:sz w:val="24"/>
          <w:szCs w:val="24"/>
        </w:rPr>
        <w:t xml:space="preserve"> v. Bonella</w:t>
      </w:r>
      <w:r w:rsidRPr="005D5EF3">
        <w:rPr>
          <w:rFonts w:eastAsia="Times New Roman"/>
          <w:bCs/>
          <w:sz w:val="24"/>
          <w:szCs w:val="24"/>
        </w:rPr>
        <w:t>,</w:t>
      </w:r>
      <w:r>
        <w:rPr>
          <w:rFonts w:eastAsia="Times New Roman"/>
          <w:bCs/>
          <w:sz w:val="24"/>
          <w:szCs w:val="24"/>
        </w:rPr>
        <w:t xml:space="preserve"> 77 Colo. 603, 605, 237 P. 1113, 1113 (1925) (The first cause of action “was upon a contract, and the second upon a quantum meruit. The first cause of action is no longer involved in this case, as the plaintiff elected to have the cause go to the jury upon the second cause of action.”);</w:t>
      </w:r>
      <w:r w:rsidRPr="002E34EF">
        <w:rPr>
          <w:rFonts w:eastAsia="Times New Roman"/>
          <w:b/>
          <w:sz w:val="24"/>
          <w:szCs w:val="24"/>
        </w:rPr>
        <w:t xml:space="preserve"> </w:t>
      </w:r>
      <w:r w:rsidRPr="00B2234F">
        <w:rPr>
          <w:rFonts w:eastAsia="Times New Roman"/>
          <w:b/>
          <w:sz w:val="24"/>
          <w:szCs w:val="24"/>
        </w:rPr>
        <w:t>Little Nell Gold Min</w:t>
      </w:r>
      <w:r>
        <w:rPr>
          <w:rFonts w:eastAsia="Times New Roman"/>
          <w:b/>
          <w:sz w:val="24"/>
          <w:szCs w:val="24"/>
        </w:rPr>
        <w:t>ing</w:t>
      </w:r>
      <w:r w:rsidRPr="00B2234F">
        <w:rPr>
          <w:rFonts w:eastAsia="Times New Roman"/>
          <w:b/>
          <w:sz w:val="24"/>
          <w:szCs w:val="24"/>
        </w:rPr>
        <w:t xml:space="preserve"> Co. v. Hemby</w:t>
      </w:r>
      <w:r>
        <w:rPr>
          <w:rFonts w:eastAsia="Times New Roman"/>
          <w:bCs/>
          <w:sz w:val="24"/>
          <w:szCs w:val="24"/>
        </w:rPr>
        <w:t xml:space="preserve">, 45 Colo. 582, 101 P. 981 (1909) (jury verdict based on quantum meruit reversed as all work was performed under terms of express contract); </w:t>
      </w:r>
      <w:r w:rsidRPr="00AA447A">
        <w:rPr>
          <w:rFonts w:eastAsia="Times New Roman"/>
          <w:b/>
          <w:sz w:val="24"/>
          <w:szCs w:val="24"/>
        </w:rPr>
        <w:t>Morey v. Harvey</w:t>
      </w:r>
      <w:r>
        <w:rPr>
          <w:rFonts w:eastAsia="Times New Roman"/>
          <w:bCs/>
          <w:sz w:val="24"/>
          <w:szCs w:val="24"/>
        </w:rPr>
        <w:t xml:space="preserve">, 18 Colo. 40, 44, 31 P. 719, 720-21 (1892) (“It was the peculiar province of the jury to pass upon questions” of quantum meruit and “a jury not having been waived by the parties . . . it was error for the court to undertake to decide upon the weight of the evidence.”); </w:t>
      </w:r>
      <w:r w:rsidRPr="000D7FE6">
        <w:rPr>
          <w:b/>
          <w:bCs/>
          <w:sz w:val="24"/>
          <w:szCs w:val="24"/>
        </w:rPr>
        <w:t xml:space="preserve">Leitensdorfer, </w:t>
      </w:r>
      <w:r w:rsidRPr="000D7FE6">
        <w:rPr>
          <w:sz w:val="24"/>
          <w:szCs w:val="24"/>
        </w:rPr>
        <w:t xml:space="preserve">7 Colo. </w:t>
      </w:r>
      <w:r>
        <w:rPr>
          <w:sz w:val="24"/>
          <w:szCs w:val="24"/>
        </w:rPr>
        <w:t xml:space="preserve">at </w:t>
      </w:r>
      <w:r w:rsidRPr="000D7FE6">
        <w:rPr>
          <w:sz w:val="24"/>
          <w:szCs w:val="24"/>
        </w:rPr>
        <w:t>43</w:t>
      </w:r>
      <w:r>
        <w:rPr>
          <w:sz w:val="24"/>
          <w:szCs w:val="24"/>
        </w:rPr>
        <w:t>9</w:t>
      </w:r>
      <w:r w:rsidRPr="000D7FE6">
        <w:rPr>
          <w:sz w:val="24"/>
          <w:szCs w:val="24"/>
        </w:rPr>
        <w:t xml:space="preserve">, 4 P. </w:t>
      </w:r>
      <w:r>
        <w:rPr>
          <w:sz w:val="24"/>
          <w:szCs w:val="24"/>
        </w:rPr>
        <w:t xml:space="preserve">at </w:t>
      </w:r>
      <w:r w:rsidRPr="000D7FE6">
        <w:rPr>
          <w:sz w:val="24"/>
          <w:szCs w:val="24"/>
        </w:rPr>
        <w:t>3</w:t>
      </w:r>
      <w:r>
        <w:rPr>
          <w:sz w:val="24"/>
          <w:szCs w:val="24"/>
        </w:rPr>
        <w:t xml:space="preserve">9 (“it was the province of the jury to weigh the testimony of the attorneys as to the value of the services by reference to their nature, the time occupied in their performance, and other attending circumstances”); </w:t>
      </w:r>
      <w:r w:rsidRPr="001D55A0">
        <w:rPr>
          <w:rFonts w:eastAsia="Times New Roman"/>
          <w:b/>
          <w:sz w:val="24"/>
          <w:szCs w:val="24"/>
        </w:rPr>
        <w:t>M.G. Dyess, Inc. v. Markwest Liberty Midstream &amp; Res</w:t>
      </w:r>
      <w:r>
        <w:rPr>
          <w:rFonts w:eastAsia="Times New Roman"/>
          <w:b/>
          <w:sz w:val="24"/>
          <w:szCs w:val="24"/>
        </w:rPr>
        <w:t>.</w:t>
      </w:r>
      <w:r w:rsidRPr="001D55A0">
        <w:rPr>
          <w:rFonts w:eastAsia="Times New Roman"/>
          <w:b/>
          <w:sz w:val="24"/>
          <w:szCs w:val="24"/>
        </w:rPr>
        <w:t>, L.L.C</w:t>
      </w:r>
      <w:r w:rsidRPr="00E8041E">
        <w:rPr>
          <w:rFonts w:eastAsia="Times New Roman"/>
          <w:b/>
          <w:sz w:val="24"/>
          <w:szCs w:val="24"/>
        </w:rPr>
        <w:t>.</w:t>
      </w:r>
      <w:r>
        <w:rPr>
          <w:rFonts w:eastAsia="Times New Roman"/>
          <w:bCs/>
          <w:sz w:val="24"/>
          <w:szCs w:val="24"/>
        </w:rPr>
        <w:t xml:space="preserve">, 2022 COA 108, ¶ 20, 522 P.3d 204 (holding it was error for trial court judge to reduce amount of damages awarded by jury on quantum meruit claim); </w:t>
      </w:r>
      <w:r w:rsidRPr="009F2DE6">
        <w:rPr>
          <w:b/>
          <w:bCs/>
          <w:sz w:val="24"/>
          <w:szCs w:val="24"/>
        </w:rPr>
        <w:t>Camas Colo</w:t>
      </w:r>
      <w:r>
        <w:rPr>
          <w:b/>
          <w:bCs/>
          <w:sz w:val="24"/>
          <w:szCs w:val="24"/>
        </w:rPr>
        <w:t>., Inc.</w:t>
      </w:r>
      <w:r w:rsidRPr="009F2DE6">
        <w:rPr>
          <w:b/>
          <w:bCs/>
          <w:sz w:val="24"/>
          <w:szCs w:val="24"/>
        </w:rPr>
        <w:t xml:space="preserve"> v. Bd</w:t>
      </w:r>
      <w:r>
        <w:rPr>
          <w:b/>
          <w:bCs/>
          <w:sz w:val="24"/>
          <w:szCs w:val="24"/>
        </w:rPr>
        <w:t>.</w:t>
      </w:r>
      <w:r w:rsidRPr="009F2DE6">
        <w:rPr>
          <w:b/>
          <w:bCs/>
          <w:sz w:val="24"/>
          <w:szCs w:val="24"/>
        </w:rPr>
        <w:t xml:space="preserve"> of County Com</w:t>
      </w:r>
      <w:r>
        <w:rPr>
          <w:b/>
          <w:bCs/>
          <w:sz w:val="24"/>
          <w:szCs w:val="24"/>
        </w:rPr>
        <w:t>m</w:t>
      </w:r>
      <w:r w:rsidRPr="009F2DE6">
        <w:rPr>
          <w:b/>
          <w:bCs/>
          <w:sz w:val="24"/>
          <w:szCs w:val="24"/>
        </w:rPr>
        <w:t>’rs</w:t>
      </w:r>
      <w:r w:rsidRPr="00E8041E">
        <w:rPr>
          <w:sz w:val="24"/>
          <w:szCs w:val="24"/>
        </w:rPr>
        <w:t>,</w:t>
      </w:r>
      <w:r w:rsidRPr="009F2DE6">
        <w:rPr>
          <w:b/>
          <w:bCs/>
          <w:sz w:val="24"/>
          <w:szCs w:val="24"/>
        </w:rPr>
        <w:t xml:space="preserve"> </w:t>
      </w:r>
      <w:r>
        <w:rPr>
          <w:sz w:val="24"/>
          <w:szCs w:val="24"/>
        </w:rPr>
        <w:t xml:space="preserve">36 P.3d 135, 139 (Colo. App. 2001) (“[T]he quantum meruit claims are contractual[.] . . . We therefore conclude that these claims do not, and could not, lie in tort and are not barred by the CGIA.”); </w:t>
      </w:r>
      <w:r w:rsidRPr="009F2DE6">
        <w:rPr>
          <w:b/>
          <w:bCs/>
          <w:sz w:val="24"/>
          <w:szCs w:val="24"/>
        </w:rPr>
        <w:t>Sankey v. Cramer</w:t>
      </w:r>
      <w:r>
        <w:rPr>
          <w:sz w:val="24"/>
          <w:szCs w:val="24"/>
        </w:rPr>
        <w:t xml:space="preserve">, 24 Colo. App. 16, 131 P. 288 (1913) (reversing jury verdict on quantum meruit claim); </w:t>
      </w:r>
      <w:r w:rsidRPr="00E3334D">
        <w:rPr>
          <w:rFonts w:eastAsia="Times New Roman"/>
          <w:b/>
          <w:sz w:val="24"/>
          <w:szCs w:val="24"/>
        </w:rPr>
        <w:t xml:space="preserve">Rockwell Stock &amp; Land </w:t>
      </w:r>
      <w:r>
        <w:rPr>
          <w:rFonts w:eastAsia="Times New Roman"/>
          <w:b/>
          <w:sz w:val="24"/>
          <w:szCs w:val="24"/>
        </w:rPr>
        <w:t xml:space="preserve">Co. </w:t>
      </w:r>
      <w:r w:rsidRPr="00E3334D">
        <w:rPr>
          <w:rFonts w:eastAsia="Times New Roman"/>
          <w:b/>
          <w:sz w:val="24"/>
          <w:szCs w:val="24"/>
        </w:rPr>
        <w:t>v. Castroni</w:t>
      </w:r>
      <w:r>
        <w:rPr>
          <w:rFonts w:eastAsia="Times New Roman"/>
          <w:bCs/>
          <w:sz w:val="24"/>
          <w:szCs w:val="24"/>
        </w:rPr>
        <w:t>, 6 Colo. App. 528, 42 P. 182 (1895) (the court instructed the jury upon both express contract and quantum meruit);</w:t>
      </w:r>
      <w:r>
        <w:rPr>
          <w:sz w:val="24"/>
          <w:szCs w:val="24"/>
        </w:rPr>
        <w:t xml:space="preserve"> </w:t>
      </w:r>
      <w:r w:rsidRPr="0057578D">
        <w:rPr>
          <w:rFonts w:eastAsia="Times New Roman"/>
          <w:b/>
          <w:sz w:val="24"/>
          <w:szCs w:val="24"/>
        </w:rPr>
        <w:t>Snowden v. Clemons</w:t>
      </w:r>
      <w:r>
        <w:rPr>
          <w:rFonts w:eastAsia="Times New Roman"/>
          <w:bCs/>
          <w:sz w:val="24"/>
          <w:szCs w:val="24"/>
        </w:rPr>
        <w:t>, 5 Colo. App. 251, 255, 38 P. 475, 477 (1894) (“Two questions were fairly submitted to the jury. . . . The action was assumpsit upon a quantum meruit. It is a well-settled principle that assumpsit does not necessarily imply a contract, but may lie where some duty would justify the court in imputing a promise to perform it.”).</w:t>
      </w:r>
    </w:p>
    <w:p w14:paraId="43B92DF0" w14:textId="77777777" w:rsidR="00381B91" w:rsidRPr="00674D78" w:rsidRDefault="00381B91" w:rsidP="000D55AD">
      <w:pPr>
        <w:pStyle w:val="ListParagraph"/>
        <w:tabs>
          <w:tab w:val="left" w:pos="810"/>
        </w:tabs>
        <w:spacing w:after="240"/>
        <w:ind w:left="0" w:firstLine="720"/>
        <w:contextualSpacing w:val="0"/>
      </w:pPr>
      <w:r>
        <w:rPr>
          <w:rFonts w:eastAsia="Times New Roman"/>
          <w:bCs/>
          <w:sz w:val="24"/>
          <w:szCs w:val="24"/>
        </w:rPr>
        <w:t xml:space="preserve">3. </w:t>
      </w:r>
      <w:r w:rsidRPr="0095133C">
        <w:rPr>
          <w:rFonts w:eastAsia="Times New Roman"/>
          <w:bCs/>
          <w:sz w:val="24"/>
          <w:szCs w:val="24"/>
        </w:rPr>
        <w:t xml:space="preserve">A party generally may not recover for a claim of quantum meruit where the subject matter is covered by an express contract. </w:t>
      </w:r>
      <w:r w:rsidRPr="0095133C">
        <w:rPr>
          <w:rFonts w:eastAsia="Times New Roman"/>
          <w:b/>
          <w:sz w:val="24"/>
          <w:szCs w:val="24"/>
        </w:rPr>
        <w:t>Byrne v. Stone &amp; Birkle, Inc</w:t>
      </w:r>
      <w:r w:rsidRPr="001D1220">
        <w:rPr>
          <w:rFonts w:eastAsia="Times New Roman"/>
          <w:b/>
          <w:sz w:val="24"/>
          <w:szCs w:val="24"/>
        </w:rPr>
        <w:t>.</w:t>
      </w:r>
      <w:r w:rsidRPr="0095133C">
        <w:rPr>
          <w:rFonts w:eastAsia="Times New Roman"/>
          <w:bCs/>
          <w:sz w:val="24"/>
          <w:szCs w:val="24"/>
        </w:rPr>
        <w:t>, 156 Colo. 445</w:t>
      </w:r>
      <w:r>
        <w:rPr>
          <w:rFonts w:eastAsia="Times New Roman"/>
          <w:bCs/>
          <w:sz w:val="24"/>
          <w:szCs w:val="24"/>
        </w:rPr>
        <w:t>,</w:t>
      </w:r>
      <w:r w:rsidRPr="0095133C">
        <w:rPr>
          <w:rFonts w:eastAsia="Times New Roman"/>
          <w:bCs/>
          <w:sz w:val="24"/>
          <w:szCs w:val="24"/>
        </w:rPr>
        <w:t xml:space="preserve"> </w:t>
      </w:r>
      <w:r>
        <w:rPr>
          <w:rFonts w:eastAsia="Times New Roman"/>
          <w:bCs/>
          <w:sz w:val="24"/>
          <w:szCs w:val="24"/>
        </w:rPr>
        <w:t xml:space="preserve">449, </w:t>
      </w:r>
      <w:r w:rsidRPr="0095133C">
        <w:rPr>
          <w:rFonts w:eastAsia="Times New Roman"/>
          <w:bCs/>
          <w:sz w:val="24"/>
          <w:szCs w:val="24"/>
        </w:rPr>
        <w:lastRenderedPageBreak/>
        <w:t xml:space="preserve">399 P.2d 940, </w:t>
      </w:r>
      <w:r>
        <w:rPr>
          <w:rFonts w:eastAsia="Times New Roman"/>
          <w:bCs/>
          <w:sz w:val="24"/>
          <w:szCs w:val="24"/>
        </w:rPr>
        <w:t xml:space="preserve">942 </w:t>
      </w:r>
      <w:r w:rsidRPr="0095133C">
        <w:rPr>
          <w:rFonts w:eastAsia="Times New Roman"/>
          <w:bCs/>
          <w:sz w:val="24"/>
          <w:szCs w:val="24"/>
        </w:rPr>
        <w:t xml:space="preserve">(1965) (verdict on contract claim “automatically negates any recovery” on a quantum meruit claim); </w:t>
      </w:r>
      <w:r w:rsidRPr="009C41A5">
        <w:rPr>
          <w:rFonts w:eastAsia="Times New Roman"/>
          <w:b/>
          <w:sz w:val="24"/>
          <w:szCs w:val="24"/>
        </w:rPr>
        <w:t>In re Murphy’s Estate</w:t>
      </w:r>
      <w:r>
        <w:rPr>
          <w:rFonts w:eastAsia="Times New Roman"/>
          <w:bCs/>
          <w:sz w:val="24"/>
          <w:szCs w:val="24"/>
        </w:rPr>
        <w:t xml:space="preserve">, 110 Colo. at 308, 134 P.2d at 201 (“We have in mind the general rule that ‘there can be no implied contract where there is an express contract between the parties in reference to the same subject matter.’”); </w:t>
      </w:r>
      <w:r w:rsidRPr="0095133C">
        <w:rPr>
          <w:rFonts w:eastAsia="Times New Roman"/>
          <w:b/>
          <w:sz w:val="24"/>
          <w:szCs w:val="24"/>
        </w:rPr>
        <w:t>Hemmann Mgmt</w:t>
      </w:r>
      <w:r>
        <w:rPr>
          <w:rFonts w:eastAsia="Times New Roman"/>
          <w:b/>
          <w:sz w:val="24"/>
          <w:szCs w:val="24"/>
        </w:rPr>
        <w:t>.</w:t>
      </w:r>
      <w:r w:rsidRPr="0095133C">
        <w:rPr>
          <w:rFonts w:eastAsia="Times New Roman"/>
          <w:b/>
          <w:sz w:val="24"/>
          <w:szCs w:val="24"/>
        </w:rPr>
        <w:t xml:space="preserve"> Servs</w:t>
      </w:r>
      <w:r>
        <w:rPr>
          <w:rFonts w:eastAsia="Times New Roman"/>
          <w:b/>
          <w:sz w:val="24"/>
          <w:szCs w:val="24"/>
        </w:rPr>
        <w:t>.</w:t>
      </w:r>
      <w:r w:rsidRPr="0095133C">
        <w:rPr>
          <w:rFonts w:eastAsia="Times New Roman"/>
          <w:b/>
          <w:sz w:val="24"/>
          <w:szCs w:val="24"/>
        </w:rPr>
        <w:t xml:space="preserve"> v. Mediacel</w:t>
      </w:r>
      <w:r w:rsidRPr="00C62AB5">
        <w:rPr>
          <w:rFonts w:eastAsia="Times New Roman"/>
          <w:b/>
          <w:sz w:val="24"/>
          <w:szCs w:val="24"/>
        </w:rPr>
        <w:t>l, Inc.</w:t>
      </w:r>
      <w:r w:rsidRPr="0095133C">
        <w:rPr>
          <w:rFonts w:eastAsia="Times New Roman"/>
          <w:bCs/>
          <w:sz w:val="24"/>
          <w:szCs w:val="24"/>
        </w:rPr>
        <w:t>, 176 P.3d 856</w:t>
      </w:r>
      <w:r>
        <w:rPr>
          <w:rFonts w:eastAsia="Times New Roman"/>
          <w:bCs/>
          <w:sz w:val="24"/>
          <w:szCs w:val="24"/>
        </w:rPr>
        <w:t>, 860</w:t>
      </w:r>
      <w:r w:rsidRPr="0095133C">
        <w:rPr>
          <w:rFonts w:eastAsia="Times New Roman"/>
          <w:bCs/>
          <w:sz w:val="24"/>
          <w:szCs w:val="24"/>
        </w:rPr>
        <w:t xml:space="preserve"> (Colo. App. 2007) (“while plaintiffs may not be permitted to recover under theories of both breach of express contract and quantum meruit, it was not inappropriate to plead both theories of recovery in their complaint”); </w:t>
      </w:r>
      <w:r w:rsidRPr="0095133C">
        <w:rPr>
          <w:rFonts w:eastAsia="Times New Roman"/>
          <w:b/>
          <w:sz w:val="24"/>
          <w:szCs w:val="24"/>
        </w:rPr>
        <w:t>Printz Servs. Corp. v. Main Elec. Ltd</w:t>
      </w:r>
      <w:r w:rsidRPr="0095133C">
        <w:rPr>
          <w:rFonts w:eastAsia="Times New Roman"/>
          <w:bCs/>
          <w:sz w:val="24"/>
          <w:szCs w:val="24"/>
        </w:rPr>
        <w:t>, 949 P.2d 77</w:t>
      </w:r>
      <w:r>
        <w:rPr>
          <w:rFonts w:eastAsia="Times New Roman"/>
          <w:bCs/>
          <w:sz w:val="24"/>
          <w:szCs w:val="24"/>
        </w:rPr>
        <w:t>, 82</w:t>
      </w:r>
      <w:r w:rsidRPr="0095133C">
        <w:rPr>
          <w:rFonts w:eastAsia="Times New Roman"/>
          <w:bCs/>
          <w:sz w:val="24"/>
          <w:szCs w:val="24"/>
        </w:rPr>
        <w:t xml:space="preserve"> (Colo. App. 1997)</w:t>
      </w:r>
      <w:r>
        <w:rPr>
          <w:rFonts w:eastAsia="Times New Roman"/>
          <w:bCs/>
          <w:sz w:val="24"/>
          <w:szCs w:val="24"/>
        </w:rPr>
        <w:t xml:space="preserve"> (“because the existence of an express contract was undisputed, the trial court’s award to Main Electric on quantum meruit theory was erroneous”)</w:t>
      </w:r>
      <w:r w:rsidRPr="0095133C">
        <w:rPr>
          <w:rFonts w:eastAsia="Times New Roman"/>
          <w:bCs/>
          <w:sz w:val="24"/>
          <w:szCs w:val="24"/>
        </w:rPr>
        <w:t xml:space="preserve">; </w:t>
      </w:r>
      <w:r w:rsidRPr="00C62AB5">
        <w:rPr>
          <w:rFonts w:eastAsia="Times New Roman"/>
          <w:bCs/>
          <w:i/>
          <w:iCs/>
          <w:sz w:val="24"/>
          <w:szCs w:val="24"/>
        </w:rPr>
        <w:t>aff’d in part</w:t>
      </w:r>
      <w:r>
        <w:rPr>
          <w:rFonts w:eastAsia="Times New Roman"/>
          <w:bCs/>
          <w:i/>
          <w:iCs/>
          <w:sz w:val="24"/>
          <w:szCs w:val="24"/>
        </w:rPr>
        <w:t>,</w:t>
      </w:r>
      <w:r w:rsidRPr="00C62AB5">
        <w:rPr>
          <w:rFonts w:eastAsia="Times New Roman"/>
          <w:bCs/>
          <w:i/>
          <w:iCs/>
          <w:sz w:val="24"/>
          <w:szCs w:val="24"/>
        </w:rPr>
        <w:t xml:space="preserve"> rev’d in part</w:t>
      </w:r>
      <w:r w:rsidRPr="0095133C">
        <w:rPr>
          <w:rFonts w:eastAsia="Times New Roman"/>
          <w:bCs/>
          <w:sz w:val="24"/>
          <w:szCs w:val="24"/>
        </w:rPr>
        <w:t>, 980 P.2d 522 (Colo. 1999);</w:t>
      </w:r>
      <w:r w:rsidRPr="0095133C">
        <w:rPr>
          <w:rFonts w:eastAsia="Times New Roman"/>
          <w:b/>
          <w:sz w:val="24"/>
          <w:szCs w:val="24"/>
        </w:rPr>
        <w:t xml:space="preserve"> Alfred Brown Co., v. Johnson-Gibbons &amp; Reed W</w:t>
      </w:r>
      <w:r>
        <w:rPr>
          <w:rFonts w:eastAsia="Times New Roman"/>
          <w:b/>
          <w:sz w:val="24"/>
          <w:szCs w:val="24"/>
        </w:rPr>
        <w:t>.</w:t>
      </w:r>
      <w:r w:rsidRPr="0095133C">
        <w:rPr>
          <w:rFonts w:eastAsia="Times New Roman"/>
          <w:b/>
          <w:sz w:val="24"/>
          <w:szCs w:val="24"/>
        </w:rPr>
        <w:t xml:space="preserve"> Paving</w:t>
      </w:r>
      <w:r w:rsidRPr="0095133C">
        <w:rPr>
          <w:rFonts w:eastAsia="Times New Roman"/>
          <w:bCs/>
          <w:sz w:val="24"/>
          <w:szCs w:val="24"/>
        </w:rPr>
        <w:t>, 695 P.2d 746</w:t>
      </w:r>
      <w:r>
        <w:rPr>
          <w:rFonts w:eastAsia="Times New Roman"/>
          <w:bCs/>
          <w:sz w:val="24"/>
          <w:szCs w:val="24"/>
        </w:rPr>
        <w:t>, 749</w:t>
      </w:r>
      <w:r w:rsidRPr="0095133C">
        <w:rPr>
          <w:rFonts w:eastAsia="Times New Roman"/>
          <w:bCs/>
          <w:sz w:val="24"/>
          <w:szCs w:val="24"/>
        </w:rPr>
        <w:t xml:space="preserve"> (Colo. App. 1984) (</w:t>
      </w:r>
      <w:r>
        <w:rPr>
          <w:rFonts w:eastAsia="Times New Roman"/>
          <w:bCs/>
          <w:sz w:val="24"/>
          <w:szCs w:val="24"/>
        </w:rPr>
        <w:t>d</w:t>
      </w:r>
      <w:r w:rsidRPr="0095133C">
        <w:rPr>
          <w:rFonts w:eastAsia="Times New Roman"/>
          <w:bCs/>
          <w:sz w:val="24"/>
          <w:szCs w:val="24"/>
        </w:rPr>
        <w:t xml:space="preserve">ismissing quantum meruit claim after trial because defendant’s breaches were not </w:t>
      </w:r>
      <w:r>
        <w:rPr>
          <w:rFonts w:eastAsia="Times New Roman"/>
          <w:bCs/>
          <w:sz w:val="24"/>
          <w:szCs w:val="24"/>
        </w:rPr>
        <w:t>“</w:t>
      </w:r>
      <w:r w:rsidRPr="0095133C">
        <w:rPr>
          <w:rFonts w:eastAsia="Times New Roman"/>
          <w:bCs/>
          <w:sz w:val="24"/>
          <w:szCs w:val="24"/>
        </w:rPr>
        <w:t xml:space="preserve">sufficiently material to justify voiding or rescinding </w:t>
      </w:r>
      <w:r>
        <w:rPr>
          <w:rFonts w:eastAsia="Times New Roman"/>
          <w:bCs/>
          <w:sz w:val="24"/>
          <w:szCs w:val="24"/>
        </w:rPr>
        <w:t xml:space="preserve">of </w:t>
      </w:r>
      <w:r w:rsidRPr="0095133C">
        <w:rPr>
          <w:rFonts w:eastAsia="Times New Roman"/>
          <w:bCs/>
          <w:sz w:val="24"/>
          <w:szCs w:val="24"/>
        </w:rPr>
        <w:t>the contract”);</w:t>
      </w:r>
      <w:r w:rsidRPr="0095133C">
        <w:rPr>
          <w:rFonts w:eastAsia="Times New Roman"/>
          <w:b/>
          <w:sz w:val="24"/>
          <w:szCs w:val="24"/>
        </w:rPr>
        <w:t xml:space="preserve"> </w:t>
      </w:r>
      <w:r>
        <w:rPr>
          <w:rFonts w:eastAsia="Times New Roman"/>
          <w:b/>
          <w:sz w:val="24"/>
          <w:szCs w:val="24"/>
        </w:rPr>
        <w:t>East Larimer Cty. Water Dist. v. Centric Corp.</w:t>
      </w:r>
      <w:r w:rsidRPr="00747A6E">
        <w:rPr>
          <w:rFonts w:eastAsia="Times New Roman"/>
          <w:bCs/>
          <w:sz w:val="24"/>
          <w:szCs w:val="24"/>
        </w:rPr>
        <w:t>, 693 P.2d 1019</w:t>
      </w:r>
      <w:r>
        <w:rPr>
          <w:rFonts w:eastAsia="Times New Roman"/>
          <w:bCs/>
          <w:sz w:val="24"/>
          <w:szCs w:val="24"/>
        </w:rPr>
        <w:t>, 1022</w:t>
      </w:r>
      <w:r>
        <w:rPr>
          <w:rFonts w:eastAsia="Times New Roman"/>
          <w:b/>
          <w:sz w:val="24"/>
          <w:szCs w:val="24"/>
        </w:rPr>
        <w:t xml:space="preserve"> (</w:t>
      </w:r>
      <w:r w:rsidRPr="00914EF4">
        <w:rPr>
          <w:rFonts w:eastAsia="Times New Roman"/>
          <w:bCs/>
          <w:sz w:val="24"/>
          <w:szCs w:val="24"/>
        </w:rPr>
        <w:t>Colo. App. 1984)</w:t>
      </w:r>
      <w:r>
        <w:rPr>
          <w:rFonts w:eastAsia="Times New Roman"/>
          <w:bCs/>
          <w:sz w:val="24"/>
          <w:szCs w:val="24"/>
        </w:rPr>
        <w:t xml:space="preserve"> (“jury determined that the districts’ breaches . . . were not material” therefore claim for quantum meruit failed);</w:t>
      </w:r>
      <w:r w:rsidRPr="00914EF4">
        <w:rPr>
          <w:rFonts w:eastAsia="Times New Roman"/>
          <w:bCs/>
          <w:sz w:val="24"/>
          <w:szCs w:val="24"/>
        </w:rPr>
        <w:t xml:space="preserve"> </w:t>
      </w:r>
      <w:r w:rsidRPr="0095133C">
        <w:rPr>
          <w:rFonts w:eastAsia="Times New Roman"/>
          <w:b/>
          <w:sz w:val="24"/>
          <w:szCs w:val="24"/>
        </w:rPr>
        <w:t>Klipfel v. Neill</w:t>
      </w:r>
      <w:r w:rsidRPr="0095133C">
        <w:rPr>
          <w:rFonts w:eastAsia="Times New Roman"/>
          <w:bCs/>
          <w:sz w:val="24"/>
          <w:szCs w:val="24"/>
        </w:rPr>
        <w:t>, 494 P.2d 115, 30 Colo. App. 428 (1972) (“Since there is an express contract upon which suit and resulting judgment rests, the quantum mer</w:t>
      </w:r>
      <w:r>
        <w:rPr>
          <w:rFonts w:eastAsia="Times New Roman"/>
          <w:bCs/>
          <w:sz w:val="24"/>
          <w:szCs w:val="24"/>
        </w:rPr>
        <w:t>u</w:t>
      </w:r>
      <w:r w:rsidRPr="0095133C">
        <w:rPr>
          <w:rFonts w:eastAsia="Times New Roman"/>
          <w:bCs/>
          <w:sz w:val="24"/>
          <w:szCs w:val="24"/>
        </w:rPr>
        <w:t xml:space="preserve">it doctrine is inapplicable”); </w:t>
      </w:r>
      <w:r w:rsidRPr="00E3334D">
        <w:rPr>
          <w:rFonts w:eastAsia="Times New Roman"/>
          <w:b/>
          <w:sz w:val="24"/>
          <w:szCs w:val="24"/>
        </w:rPr>
        <w:t>Rockwell Stock &amp; Land</w:t>
      </w:r>
      <w:r>
        <w:rPr>
          <w:rFonts w:eastAsia="Times New Roman"/>
          <w:bCs/>
          <w:sz w:val="24"/>
          <w:szCs w:val="24"/>
        </w:rPr>
        <w:t>, 6 Colo. App. at 533, 42 P. at 184 (“the statement of an express agreement will exclude the existence of one resulting by operation of law from the acts of the parties”);</w:t>
      </w:r>
      <w:r w:rsidRPr="00674D78">
        <w:rPr>
          <w:rFonts w:eastAsia="Times New Roman"/>
          <w:bCs/>
          <w:sz w:val="24"/>
          <w:szCs w:val="24"/>
        </w:rPr>
        <w:t xml:space="preserve"> </w:t>
      </w:r>
      <w:r w:rsidRPr="00674D78">
        <w:rPr>
          <w:rFonts w:eastAsia="Times New Roman"/>
          <w:b/>
          <w:sz w:val="24"/>
          <w:szCs w:val="24"/>
        </w:rPr>
        <w:t>Manders v. Craft</w:t>
      </w:r>
      <w:r w:rsidRPr="00674D78">
        <w:rPr>
          <w:rFonts w:eastAsia="Times New Roman"/>
          <w:bCs/>
          <w:sz w:val="24"/>
          <w:szCs w:val="24"/>
        </w:rPr>
        <w:t>, 3 Colo. App. 236</w:t>
      </w:r>
      <w:r>
        <w:rPr>
          <w:rFonts w:eastAsia="Times New Roman"/>
          <w:bCs/>
          <w:sz w:val="24"/>
          <w:szCs w:val="24"/>
        </w:rPr>
        <w:t>,</w:t>
      </w:r>
      <w:r w:rsidRPr="00674D78">
        <w:rPr>
          <w:rFonts w:eastAsia="Times New Roman"/>
          <w:bCs/>
          <w:sz w:val="24"/>
          <w:szCs w:val="24"/>
        </w:rPr>
        <w:t xml:space="preserve"> </w:t>
      </w:r>
      <w:r>
        <w:rPr>
          <w:rFonts w:eastAsia="Times New Roman"/>
          <w:bCs/>
          <w:sz w:val="24"/>
          <w:szCs w:val="24"/>
        </w:rPr>
        <w:t xml:space="preserve">238, </w:t>
      </w:r>
      <w:r w:rsidRPr="00674D78">
        <w:rPr>
          <w:rFonts w:eastAsia="Times New Roman"/>
          <w:bCs/>
          <w:sz w:val="24"/>
          <w:szCs w:val="24"/>
        </w:rPr>
        <w:t>32 P. 836,</w:t>
      </w:r>
      <w:r>
        <w:rPr>
          <w:rFonts w:eastAsia="Times New Roman"/>
          <w:bCs/>
          <w:sz w:val="24"/>
          <w:szCs w:val="24"/>
        </w:rPr>
        <w:t xml:space="preserve"> 837</w:t>
      </w:r>
      <w:r w:rsidRPr="00674D78">
        <w:rPr>
          <w:rFonts w:eastAsia="Times New Roman"/>
          <w:bCs/>
          <w:sz w:val="24"/>
          <w:szCs w:val="24"/>
        </w:rPr>
        <w:t xml:space="preserve"> (1893) (“Where one count is a quantum meruit and the other on a specific contract to pay a certain sum designated, both should not stand</w:t>
      </w:r>
      <w:r>
        <w:rPr>
          <w:rFonts w:eastAsia="Times New Roman"/>
          <w:bCs/>
          <w:sz w:val="24"/>
          <w:szCs w:val="24"/>
        </w:rPr>
        <w:t>.</w:t>
      </w:r>
      <w:r w:rsidRPr="00674D78">
        <w:rPr>
          <w:rFonts w:eastAsia="Times New Roman"/>
          <w:bCs/>
          <w:sz w:val="24"/>
          <w:szCs w:val="24"/>
        </w:rPr>
        <w:t>”)</w:t>
      </w:r>
      <w:r>
        <w:rPr>
          <w:rFonts w:eastAsia="Times New Roman"/>
          <w:bCs/>
          <w:sz w:val="24"/>
          <w:szCs w:val="24"/>
        </w:rPr>
        <w:t>.</w:t>
      </w:r>
    </w:p>
    <w:p w14:paraId="2F142FBC" w14:textId="77777777" w:rsidR="00381B91" w:rsidRDefault="00381B91" w:rsidP="000D55AD">
      <w:pPr>
        <w:pStyle w:val="ListParagraph"/>
        <w:tabs>
          <w:tab w:val="left" w:pos="540"/>
        </w:tabs>
        <w:spacing w:after="240"/>
        <w:ind w:left="0" w:firstLine="720"/>
        <w:contextualSpacing w:val="0"/>
        <w:rPr>
          <w:sz w:val="24"/>
          <w:szCs w:val="24"/>
        </w:rPr>
      </w:pPr>
      <w:r>
        <w:rPr>
          <w:sz w:val="24"/>
          <w:szCs w:val="24"/>
        </w:rPr>
        <w:t xml:space="preserve">4. </w:t>
      </w:r>
      <w:r w:rsidRPr="009F2DE6">
        <w:rPr>
          <w:sz w:val="24"/>
          <w:szCs w:val="24"/>
        </w:rPr>
        <w:t>There are exceptions to the general rule that a quantum meruit claim is foreclosed i</w:t>
      </w:r>
      <w:r>
        <w:rPr>
          <w:sz w:val="24"/>
          <w:szCs w:val="24"/>
        </w:rPr>
        <w:t>f</w:t>
      </w:r>
      <w:r w:rsidRPr="009F2DE6">
        <w:rPr>
          <w:sz w:val="24"/>
          <w:szCs w:val="24"/>
        </w:rPr>
        <w:t xml:space="preserve"> the subject is covered by an express contract. First, a party may assert a quantum meruit claim when substantial changes have occurred that are not covered by a contract, and those changes required extra work or caused substantial loss to a party. </w:t>
      </w:r>
      <w:r w:rsidRPr="007838B9">
        <w:rPr>
          <w:b/>
          <w:bCs/>
          <w:sz w:val="24"/>
          <w:szCs w:val="24"/>
        </w:rPr>
        <w:t>Fagg v. Courtright</w:t>
      </w:r>
      <w:r>
        <w:rPr>
          <w:sz w:val="24"/>
          <w:szCs w:val="24"/>
        </w:rPr>
        <w:t xml:space="preserve">, 98 Colo 486, 488, 56 P.2d 1321, 1322 (1936) (“In the circumstances represented by the plaintiff’s evidence, he was entitled to withdraw from the work and recover as for quantum meruit.”); </w:t>
      </w:r>
      <w:r w:rsidRPr="009F2DE6">
        <w:rPr>
          <w:b/>
          <w:bCs/>
          <w:sz w:val="24"/>
          <w:szCs w:val="24"/>
        </w:rPr>
        <w:t>Specialized Grading Enters., Inc. v. Goodland Constr., Inc</w:t>
      </w:r>
      <w:r w:rsidRPr="00747A6E">
        <w:rPr>
          <w:b/>
          <w:bCs/>
          <w:sz w:val="24"/>
          <w:szCs w:val="24"/>
        </w:rPr>
        <w:t>.</w:t>
      </w:r>
      <w:r w:rsidRPr="009F2DE6">
        <w:rPr>
          <w:sz w:val="24"/>
          <w:szCs w:val="24"/>
        </w:rPr>
        <w:t>, 181 P.3d 352 (Colo. App</w:t>
      </w:r>
      <w:r>
        <w:rPr>
          <w:sz w:val="24"/>
          <w:szCs w:val="24"/>
        </w:rPr>
        <w:t>.</w:t>
      </w:r>
      <w:r w:rsidRPr="009F2DE6">
        <w:rPr>
          <w:sz w:val="24"/>
          <w:szCs w:val="24"/>
        </w:rPr>
        <w:t xml:space="preserve"> 2007); </w:t>
      </w:r>
      <w:r w:rsidRPr="009F2DE6">
        <w:rPr>
          <w:b/>
          <w:bCs/>
          <w:sz w:val="24"/>
          <w:szCs w:val="24"/>
        </w:rPr>
        <w:t>Scott Co. v. MK-Ferguson Co</w:t>
      </w:r>
      <w:r w:rsidRPr="00747A6E">
        <w:rPr>
          <w:b/>
          <w:bCs/>
          <w:sz w:val="24"/>
          <w:szCs w:val="24"/>
        </w:rPr>
        <w:t>.</w:t>
      </w:r>
      <w:r w:rsidRPr="009F2DE6">
        <w:rPr>
          <w:sz w:val="24"/>
          <w:szCs w:val="24"/>
        </w:rPr>
        <w:t>, 832 P</w:t>
      </w:r>
      <w:r>
        <w:rPr>
          <w:sz w:val="24"/>
          <w:szCs w:val="24"/>
        </w:rPr>
        <w:t>.</w:t>
      </w:r>
      <w:r w:rsidRPr="009F2DE6">
        <w:rPr>
          <w:sz w:val="24"/>
          <w:szCs w:val="24"/>
        </w:rPr>
        <w:t>2d 1000</w:t>
      </w:r>
      <w:r>
        <w:rPr>
          <w:sz w:val="24"/>
          <w:szCs w:val="24"/>
        </w:rPr>
        <w:t>, 1002-03</w:t>
      </w:r>
      <w:r w:rsidRPr="009F2DE6">
        <w:rPr>
          <w:sz w:val="24"/>
          <w:szCs w:val="24"/>
        </w:rPr>
        <w:t xml:space="preserve"> (Colo. App. 1991) (“</w:t>
      </w:r>
      <w:r>
        <w:rPr>
          <w:sz w:val="24"/>
          <w:szCs w:val="24"/>
        </w:rPr>
        <w:t>Q</w:t>
      </w:r>
      <w:r w:rsidRPr="009F2DE6">
        <w:rPr>
          <w:sz w:val="24"/>
          <w:szCs w:val="24"/>
        </w:rPr>
        <w:t>uantum meruit is an appropriate basis for recovery when substantial changes occur which are not covered by the contract and are not within the contemplation of the parties and the effect of such changes is to require extra work or to cause substantial loss to the contractor</w:t>
      </w:r>
      <w:r>
        <w:rPr>
          <w:sz w:val="24"/>
          <w:szCs w:val="24"/>
        </w:rPr>
        <w:t>.</w:t>
      </w:r>
      <w:r w:rsidRPr="009F2DE6">
        <w:rPr>
          <w:sz w:val="24"/>
          <w:szCs w:val="24"/>
        </w:rPr>
        <w:t>”)</w:t>
      </w:r>
      <w:r>
        <w:rPr>
          <w:sz w:val="24"/>
          <w:szCs w:val="24"/>
        </w:rPr>
        <w:t xml:space="preserve">, </w:t>
      </w:r>
      <w:r w:rsidRPr="00492FF0">
        <w:rPr>
          <w:i/>
          <w:iCs/>
          <w:sz w:val="24"/>
          <w:szCs w:val="24"/>
        </w:rPr>
        <w:t>overruled on other grounds by</w:t>
      </w:r>
      <w:r>
        <w:rPr>
          <w:sz w:val="24"/>
          <w:szCs w:val="24"/>
        </w:rPr>
        <w:t xml:space="preserve"> </w:t>
      </w:r>
      <w:r w:rsidRPr="00492FF0">
        <w:rPr>
          <w:b/>
          <w:bCs/>
          <w:sz w:val="24"/>
          <w:szCs w:val="24"/>
        </w:rPr>
        <w:t>Lewis v. Lewis</w:t>
      </w:r>
      <w:r>
        <w:rPr>
          <w:sz w:val="24"/>
          <w:szCs w:val="24"/>
        </w:rPr>
        <w:t>, 189 P.3d 1134 (Colo. 2008)</w:t>
      </w:r>
      <w:r w:rsidRPr="009F2DE6">
        <w:rPr>
          <w:sz w:val="24"/>
          <w:szCs w:val="24"/>
        </w:rPr>
        <w:t xml:space="preserve">; </w:t>
      </w:r>
      <w:r w:rsidRPr="009F2DE6">
        <w:rPr>
          <w:b/>
          <w:bCs/>
          <w:sz w:val="24"/>
          <w:szCs w:val="24"/>
        </w:rPr>
        <w:t>Denver Ventures, Inc. v. Arlington Lane Corp</w:t>
      </w:r>
      <w:r w:rsidRPr="00747A6E">
        <w:rPr>
          <w:b/>
          <w:bCs/>
          <w:sz w:val="24"/>
          <w:szCs w:val="24"/>
        </w:rPr>
        <w:t>.</w:t>
      </w:r>
      <w:r w:rsidRPr="009F2DE6">
        <w:rPr>
          <w:sz w:val="24"/>
          <w:szCs w:val="24"/>
        </w:rPr>
        <w:t>, 754 P.2d 785</w:t>
      </w:r>
      <w:r>
        <w:rPr>
          <w:sz w:val="24"/>
          <w:szCs w:val="24"/>
        </w:rPr>
        <w:t>, 787</w:t>
      </w:r>
      <w:r w:rsidRPr="009F2DE6">
        <w:rPr>
          <w:sz w:val="24"/>
          <w:szCs w:val="24"/>
        </w:rPr>
        <w:t xml:space="preserve"> (Colo. App. 1988) (“even if </w:t>
      </w:r>
      <w:r>
        <w:rPr>
          <w:sz w:val="24"/>
          <w:szCs w:val="24"/>
        </w:rPr>
        <w:t>the</w:t>
      </w:r>
      <w:r w:rsidRPr="009F2DE6">
        <w:rPr>
          <w:sz w:val="24"/>
          <w:szCs w:val="24"/>
        </w:rPr>
        <w:t xml:space="preserve"> subcontractor does not substantially perform, it may recover the reasonable value of benefits conferred which exceed</w:t>
      </w:r>
      <w:r>
        <w:rPr>
          <w:sz w:val="24"/>
          <w:szCs w:val="24"/>
        </w:rPr>
        <w:t>s</w:t>
      </w:r>
      <w:r w:rsidRPr="009F2DE6">
        <w:rPr>
          <w:sz w:val="24"/>
          <w:szCs w:val="24"/>
        </w:rPr>
        <w:t xml:space="preserve"> the loss created by its own breach”)</w:t>
      </w:r>
      <w:r>
        <w:rPr>
          <w:sz w:val="24"/>
          <w:szCs w:val="24"/>
        </w:rPr>
        <w:t>.</w:t>
      </w:r>
    </w:p>
    <w:p w14:paraId="7DB6ED67" w14:textId="77777777" w:rsidR="00381B91" w:rsidRPr="00674D78" w:rsidRDefault="00381B91" w:rsidP="000D55AD">
      <w:pPr>
        <w:pStyle w:val="ListParagraph"/>
        <w:tabs>
          <w:tab w:val="left" w:pos="540"/>
        </w:tabs>
        <w:spacing w:after="240"/>
        <w:ind w:left="0" w:firstLine="720"/>
        <w:contextualSpacing w:val="0"/>
        <w:rPr>
          <w:sz w:val="24"/>
          <w:szCs w:val="24"/>
        </w:rPr>
      </w:pPr>
      <w:r>
        <w:rPr>
          <w:sz w:val="24"/>
          <w:szCs w:val="24"/>
        </w:rPr>
        <w:t xml:space="preserve">5. </w:t>
      </w:r>
      <w:r w:rsidRPr="00674D78">
        <w:rPr>
          <w:sz w:val="24"/>
          <w:szCs w:val="24"/>
        </w:rPr>
        <w:t xml:space="preserve">A party may also recover in quantum meruit such as, for example, where the express contract failed, was rescinded or unenforceable because of mutual mistake, is void as against public policy, too indefinite to enforce, or discharged because of impossibility or frustration of purpose. </w:t>
      </w:r>
      <w:r w:rsidRPr="009E383D">
        <w:rPr>
          <w:b/>
          <w:bCs/>
          <w:sz w:val="24"/>
          <w:szCs w:val="24"/>
        </w:rPr>
        <w:t>Jacobs v. Jones</w:t>
      </w:r>
      <w:r>
        <w:rPr>
          <w:sz w:val="24"/>
          <w:szCs w:val="24"/>
        </w:rPr>
        <w:t xml:space="preserve">, 161 Colo. 505, 432 P.2d 321 (1967) (quantum meruit award affirmed where defendant refused to permit plaintiff to complete the contract); </w:t>
      </w:r>
      <w:r w:rsidRPr="00674D78">
        <w:rPr>
          <w:b/>
          <w:bCs/>
          <w:sz w:val="24"/>
          <w:szCs w:val="24"/>
        </w:rPr>
        <w:t>Zion Baptist Church v. Hebert,</w:t>
      </w:r>
      <w:r w:rsidRPr="00674D78">
        <w:rPr>
          <w:sz w:val="24"/>
          <w:szCs w:val="24"/>
        </w:rPr>
        <w:t xml:space="preserve"> 94 Colo. 59, </w:t>
      </w:r>
      <w:r>
        <w:rPr>
          <w:sz w:val="24"/>
          <w:szCs w:val="24"/>
        </w:rPr>
        <w:t xml:space="preserve">63, </w:t>
      </w:r>
      <w:r w:rsidRPr="00674D78">
        <w:rPr>
          <w:sz w:val="24"/>
          <w:szCs w:val="24"/>
        </w:rPr>
        <w:t>28 P.2d 799</w:t>
      </w:r>
      <w:r>
        <w:rPr>
          <w:sz w:val="24"/>
          <w:szCs w:val="24"/>
        </w:rPr>
        <w:t>, 801</w:t>
      </w:r>
      <w:r w:rsidRPr="00674D78">
        <w:rPr>
          <w:sz w:val="24"/>
          <w:szCs w:val="24"/>
        </w:rPr>
        <w:t xml:space="preserve"> (1933) (failure of condition precedent entitled the contractor “to regard the contract </w:t>
      </w:r>
      <w:r>
        <w:rPr>
          <w:sz w:val="24"/>
          <w:szCs w:val="24"/>
        </w:rPr>
        <w:t>[as]</w:t>
      </w:r>
      <w:r w:rsidRPr="00674D78">
        <w:rPr>
          <w:sz w:val="24"/>
          <w:szCs w:val="24"/>
        </w:rPr>
        <w:t xml:space="preserve"> broken and to proceed on quantum meruit for work and materials furnished”); </w:t>
      </w:r>
      <w:r w:rsidRPr="00EF14D1">
        <w:rPr>
          <w:b/>
          <w:bCs/>
          <w:sz w:val="24"/>
          <w:szCs w:val="24"/>
        </w:rPr>
        <w:t>Gravina Siding &amp; Windows Co. v. Gravina</w:t>
      </w:r>
      <w:r>
        <w:rPr>
          <w:sz w:val="24"/>
          <w:szCs w:val="24"/>
        </w:rPr>
        <w:t xml:space="preserve">, 2022 COA 50, ¶ 41 516 P.3d 37, 47 (“where a contract exists, absent a provision explicitly addressing remedies with respect to the default at issue, a party that breaches the contract may nonetheless recover for the </w:t>
      </w:r>
      <w:r>
        <w:rPr>
          <w:sz w:val="24"/>
          <w:szCs w:val="24"/>
        </w:rPr>
        <w:lastRenderedPageBreak/>
        <w:t xml:space="preserve">other party’s unjust enrichment”); </w:t>
      </w:r>
      <w:r w:rsidRPr="00914EF4">
        <w:rPr>
          <w:b/>
          <w:bCs/>
          <w:sz w:val="24"/>
          <w:szCs w:val="24"/>
        </w:rPr>
        <w:t>Johnson v. Bovee</w:t>
      </w:r>
      <w:r>
        <w:rPr>
          <w:sz w:val="24"/>
          <w:szCs w:val="24"/>
        </w:rPr>
        <w:t xml:space="preserve">, 40 Colo. App. 317, 319, 574 P.2d 513, 514 (1978) (“Since the [defendants] breached the contract by refusing to make the required payments, [plaintiff] was entitled to consider the contract a nullity, and recover the reasonable value of his services.”); </w:t>
      </w:r>
      <w:r w:rsidRPr="004C4CF9">
        <w:rPr>
          <w:b/>
          <w:bCs/>
          <w:sz w:val="24"/>
          <w:szCs w:val="24"/>
        </w:rPr>
        <w:t>Cochran v. Balfe</w:t>
      </w:r>
      <w:r>
        <w:rPr>
          <w:sz w:val="24"/>
          <w:szCs w:val="24"/>
        </w:rPr>
        <w:t xml:space="preserve">, 12 Colo. App. 75, 76, 54 P. 399, 399 (1898) (“If, therefore, the plaintiff was entitled to recover at all in this [quantum meruit] action, it must be because performance was rendered impossible by the wrongful acts and conduct of defendant, or was prevented by the act or default of defendant.”); </w:t>
      </w:r>
      <w:r w:rsidRPr="00674D78">
        <w:rPr>
          <w:b/>
          <w:bCs/>
          <w:sz w:val="24"/>
          <w:szCs w:val="24"/>
        </w:rPr>
        <w:t>McGonigle v. Klein</w:t>
      </w:r>
      <w:r w:rsidRPr="00674D78">
        <w:rPr>
          <w:sz w:val="24"/>
          <w:szCs w:val="24"/>
        </w:rPr>
        <w:t>, 6 Colo. App. 306</w:t>
      </w:r>
      <w:r>
        <w:rPr>
          <w:sz w:val="24"/>
          <w:szCs w:val="24"/>
        </w:rPr>
        <w:t>, 309,</w:t>
      </w:r>
      <w:r w:rsidRPr="00674D78">
        <w:rPr>
          <w:sz w:val="24"/>
          <w:szCs w:val="24"/>
        </w:rPr>
        <w:t xml:space="preserve"> 40 P. 465</w:t>
      </w:r>
      <w:r>
        <w:rPr>
          <w:sz w:val="24"/>
          <w:szCs w:val="24"/>
        </w:rPr>
        <w:t>, 467</w:t>
      </w:r>
      <w:r w:rsidRPr="00674D78">
        <w:rPr>
          <w:sz w:val="24"/>
          <w:szCs w:val="24"/>
        </w:rPr>
        <w:t xml:space="preserve"> (1895) (“In order to entitle the plaintiff to recover [in quantum meruit] he must have shown . . . that the contract had been rescinded or that </w:t>
      </w:r>
      <w:r>
        <w:rPr>
          <w:sz w:val="24"/>
          <w:szCs w:val="24"/>
        </w:rPr>
        <w:t xml:space="preserve">the </w:t>
      </w:r>
      <w:r w:rsidRPr="00674D78">
        <w:rPr>
          <w:sz w:val="24"/>
          <w:szCs w:val="24"/>
        </w:rPr>
        <w:t>performance was rendered impossible by the wrongful acts and conduct of the defendant</w:t>
      </w:r>
      <w:r>
        <w:rPr>
          <w:sz w:val="24"/>
          <w:szCs w:val="24"/>
        </w:rPr>
        <w:t>s.</w:t>
      </w:r>
      <w:r w:rsidRPr="00674D78">
        <w:rPr>
          <w:sz w:val="24"/>
          <w:szCs w:val="24"/>
        </w:rPr>
        <w:t>”)</w:t>
      </w:r>
      <w:r>
        <w:rPr>
          <w:sz w:val="24"/>
          <w:szCs w:val="24"/>
        </w:rPr>
        <w:t xml:space="preserve">. However, quantum meruit may not be used to recover compensation for goods or services prohibited by law. </w:t>
      </w:r>
      <w:r w:rsidRPr="004F33E3">
        <w:rPr>
          <w:b/>
          <w:bCs/>
          <w:sz w:val="24"/>
          <w:szCs w:val="24"/>
        </w:rPr>
        <w:t>Amedeus Corp. v. McAllister</w:t>
      </w:r>
      <w:r>
        <w:rPr>
          <w:b/>
          <w:bCs/>
          <w:sz w:val="24"/>
          <w:szCs w:val="24"/>
        </w:rPr>
        <w:t xml:space="preserve">, </w:t>
      </w:r>
      <w:r w:rsidRPr="004F33E3">
        <w:rPr>
          <w:sz w:val="24"/>
          <w:szCs w:val="24"/>
        </w:rPr>
        <w:t>232 P.3d 107</w:t>
      </w:r>
      <w:r>
        <w:rPr>
          <w:sz w:val="24"/>
          <w:szCs w:val="24"/>
        </w:rPr>
        <w:t>, 112 (Colo. App. 2009) (“Compensation for services is not recoverable where the subject transaction is forbidden by law” as with an agreement to compensate an unlicensed real estate broker.).</w:t>
      </w:r>
    </w:p>
    <w:p w14:paraId="3F86A4CA" w14:textId="77777777" w:rsidR="00381B91" w:rsidRDefault="00381B91" w:rsidP="000D55AD">
      <w:pPr>
        <w:pStyle w:val="ListParagraph"/>
        <w:spacing w:after="240"/>
        <w:ind w:left="0" w:firstLine="720"/>
        <w:contextualSpacing w:val="0"/>
        <w:rPr>
          <w:rFonts w:eastAsia="Times New Roman"/>
          <w:bCs/>
          <w:sz w:val="24"/>
          <w:szCs w:val="24"/>
        </w:rPr>
      </w:pPr>
      <w:r>
        <w:rPr>
          <w:sz w:val="24"/>
          <w:szCs w:val="24"/>
        </w:rPr>
        <w:t xml:space="preserve">6. </w:t>
      </w:r>
      <w:r w:rsidRPr="00674D78">
        <w:rPr>
          <w:sz w:val="24"/>
          <w:szCs w:val="24"/>
        </w:rPr>
        <w:t>The measure of damages for quantum meruit is the reasonable value of the goods or services.</w:t>
      </w:r>
      <w:r w:rsidRPr="00674D78">
        <w:rPr>
          <w:rFonts w:eastAsia="Times New Roman"/>
          <w:b/>
          <w:sz w:val="24"/>
          <w:szCs w:val="24"/>
        </w:rPr>
        <w:t xml:space="preserve"> </w:t>
      </w:r>
      <w:r>
        <w:rPr>
          <w:rFonts w:eastAsia="Times New Roman"/>
          <w:b/>
          <w:sz w:val="24"/>
          <w:szCs w:val="24"/>
        </w:rPr>
        <w:t>Larson</w:t>
      </w:r>
      <w:r>
        <w:rPr>
          <w:rFonts w:eastAsia="Times New Roman"/>
          <w:bCs/>
          <w:sz w:val="24"/>
          <w:szCs w:val="24"/>
        </w:rPr>
        <w:t>, 174 Colo. 424, 429, 484 P.2d 1230, 1232 (1971)</w:t>
      </w:r>
      <w:r w:rsidRPr="00747A6E">
        <w:rPr>
          <w:rFonts w:eastAsia="Times New Roman"/>
          <w:bCs/>
          <w:sz w:val="24"/>
          <w:szCs w:val="24"/>
        </w:rPr>
        <w:t>,</w:t>
      </w:r>
      <w:r w:rsidRPr="00674D78">
        <w:rPr>
          <w:rFonts w:eastAsia="Times New Roman"/>
          <w:bCs/>
          <w:sz w:val="24"/>
          <w:szCs w:val="24"/>
        </w:rPr>
        <w:t xml:space="preserve"> (“</w:t>
      </w:r>
      <w:r>
        <w:rPr>
          <w:rFonts w:eastAsia="Times New Roman"/>
          <w:bCs/>
          <w:sz w:val="24"/>
          <w:szCs w:val="24"/>
        </w:rPr>
        <w:t>[</w:t>
      </w:r>
      <w:r w:rsidRPr="00674D78">
        <w:rPr>
          <w:rFonts w:eastAsia="Times New Roman"/>
          <w:bCs/>
          <w:sz w:val="24"/>
          <w:szCs w:val="24"/>
        </w:rPr>
        <w:t>W</w:t>
      </w:r>
      <w:r>
        <w:rPr>
          <w:rFonts w:eastAsia="Times New Roman"/>
          <w:bCs/>
          <w:sz w:val="24"/>
          <w:szCs w:val="24"/>
        </w:rPr>
        <w:t>]</w:t>
      </w:r>
      <w:r w:rsidRPr="00674D78">
        <w:rPr>
          <w:rFonts w:eastAsia="Times New Roman"/>
          <w:bCs/>
          <w:sz w:val="24"/>
          <w:szCs w:val="24"/>
        </w:rPr>
        <w:t>here one accepts such services and by his actions indicates that he ratifies the employment of the person rendering the services, an implied promise to pay the reasonable value of the services arises</w:t>
      </w:r>
      <w:r>
        <w:rPr>
          <w:rFonts w:eastAsia="Times New Roman"/>
          <w:bCs/>
          <w:sz w:val="24"/>
          <w:szCs w:val="24"/>
        </w:rPr>
        <w:t>.”</w:t>
      </w:r>
      <w:r w:rsidRPr="00674D78">
        <w:rPr>
          <w:rFonts w:eastAsia="Times New Roman"/>
          <w:bCs/>
          <w:sz w:val="24"/>
          <w:szCs w:val="24"/>
        </w:rPr>
        <w:t xml:space="preserve">); </w:t>
      </w:r>
      <w:r>
        <w:rPr>
          <w:rFonts w:eastAsia="Times New Roman"/>
          <w:b/>
          <w:sz w:val="24"/>
          <w:szCs w:val="24"/>
        </w:rPr>
        <w:t>Grau v. Mitchell</w:t>
      </w:r>
      <w:r w:rsidRPr="00747A6E">
        <w:rPr>
          <w:rFonts w:eastAsia="Times New Roman"/>
          <w:bCs/>
          <w:sz w:val="24"/>
          <w:szCs w:val="24"/>
        </w:rPr>
        <w:t>,</w:t>
      </w:r>
      <w:r>
        <w:rPr>
          <w:rFonts w:eastAsia="Times New Roman"/>
          <w:b/>
          <w:sz w:val="24"/>
          <w:szCs w:val="24"/>
        </w:rPr>
        <w:t xml:space="preserve"> </w:t>
      </w:r>
      <w:r>
        <w:rPr>
          <w:rFonts w:eastAsia="Times New Roman"/>
          <w:bCs/>
          <w:sz w:val="24"/>
          <w:szCs w:val="24"/>
        </w:rPr>
        <w:t>1</w:t>
      </w:r>
      <w:r w:rsidRPr="00EF14D1">
        <w:rPr>
          <w:rFonts w:eastAsia="Times New Roman"/>
          <w:bCs/>
          <w:sz w:val="24"/>
          <w:szCs w:val="24"/>
        </w:rPr>
        <w:t xml:space="preserve">56 Colo. 111, </w:t>
      </w:r>
      <w:r>
        <w:rPr>
          <w:rFonts w:eastAsia="Times New Roman"/>
          <w:bCs/>
          <w:sz w:val="24"/>
          <w:szCs w:val="24"/>
        </w:rPr>
        <w:t xml:space="preserve">115, </w:t>
      </w:r>
      <w:r w:rsidRPr="00EF14D1">
        <w:rPr>
          <w:rFonts w:eastAsia="Times New Roman"/>
          <w:bCs/>
          <w:sz w:val="24"/>
          <w:szCs w:val="24"/>
        </w:rPr>
        <w:t>397 P.2d 488</w:t>
      </w:r>
      <w:r>
        <w:rPr>
          <w:rFonts w:eastAsia="Times New Roman"/>
          <w:bCs/>
          <w:sz w:val="24"/>
          <w:szCs w:val="24"/>
        </w:rPr>
        <w:t>, 490</w:t>
      </w:r>
      <w:r w:rsidRPr="00EF14D1">
        <w:rPr>
          <w:rFonts w:eastAsia="Times New Roman"/>
          <w:bCs/>
          <w:sz w:val="24"/>
          <w:szCs w:val="24"/>
        </w:rPr>
        <w:t xml:space="preserve"> (1964)</w:t>
      </w:r>
      <w:r>
        <w:rPr>
          <w:rFonts w:eastAsia="Times New Roman"/>
          <w:bCs/>
          <w:sz w:val="24"/>
          <w:szCs w:val="24"/>
        </w:rPr>
        <w:t xml:space="preserve"> (“It was incumbent upon the plaintiff to establish his claim and to present competent evidence as to what his services were worth and to give credits for payments actually received.”); </w:t>
      </w:r>
      <w:r w:rsidRPr="00FA7187">
        <w:rPr>
          <w:rFonts w:eastAsia="Times New Roman"/>
          <w:b/>
          <w:sz w:val="24"/>
          <w:szCs w:val="24"/>
        </w:rPr>
        <w:t>Milner</w:t>
      </w:r>
      <w:r w:rsidRPr="00747A6E">
        <w:rPr>
          <w:rFonts w:eastAsia="Times New Roman"/>
          <w:bCs/>
          <w:sz w:val="24"/>
          <w:szCs w:val="24"/>
        </w:rPr>
        <w:t>,</w:t>
      </w:r>
      <w:r>
        <w:rPr>
          <w:rFonts w:eastAsia="Times New Roman"/>
          <w:bCs/>
          <w:sz w:val="24"/>
          <w:szCs w:val="24"/>
        </w:rPr>
        <w:t xml:space="preserve"> 116 Colo. at 24; 178 P.2d at 418 (“the agreement was terminated and [plaintiff] thereupon instituted this action against [defendant] to recover in quantum meruit for the reasonable value of the services rendered”);</w:t>
      </w:r>
      <w:r w:rsidRPr="00674D78">
        <w:rPr>
          <w:sz w:val="24"/>
          <w:szCs w:val="24"/>
        </w:rPr>
        <w:t xml:space="preserve"> </w:t>
      </w:r>
      <w:r w:rsidRPr="00674D78">
        <w:rPr>
          <w:rFonts w:eastAsia="Times New Roman"/>
          <w:b/>
          <w:sz w:val="24"/>
          <w:szCs w:val="24"/>
        </w:rPr>
        <w:t>McDonald</w:t>
      </w:r>
      <w:r w:rsidRPr="00674D78">
        <w:rPr>
          <w:rFonts w:eastAsia="Times New Roman"/>
          <w:bCs/>
          <w:sz w:val="24"/>
          <w:szCs w:val="24"/>
        </w:rPr>
        <w:t xml:space="preserve">, 84 Colo. </w:t>
      </w:r>
      <w:r>
        <w:rPr>
          <w:rFonts w:eastAsia="Times New Roman"/>
          <w:bCs/>
          <w:sz w:val="24"/>
          <w:szCs w:val="24"/>
        </w:rPr>
        <w:t>at 471</w:t>
      </w:r>
      <w:r w:rsidRPr="00674D78">
        <w:rPr>
          <w:rFonts w:eastAsia="Times New Roman"/>
          <w:bCs/>
          <w:sz w:val="24"/>
          <w:szCs w:val="24"/>
        </w:rPr>
        <w:t xml:space="preserve">, 271 P. </w:t>
      </w:r>
      <w:r>
        <w:rPr>
          <w:rFonts w:eastAsia="Times New Roman"/>
          <w:bCs/>
          <w:sz w:val="24"/>
          <w:szCs w:val="24"/>
        </w:rPr>
        <w:t xml:space="preserve">at </w:t>
      </w:r>
      <w:r w:rsidRPr="00674D78">
        <w:rPr>
          <w:rFonts w:eastAsia="Times New Roman"/>
          <w:bCs/>
          <w:sz w:val="24"/>
          <w:szCs w:val="24"/>
        </w:rPr>
        <w:t xml:space="preserve">183 (affirming dismissal because the plaintiff failed to allege the reasonable value of the services provided); </w:t>
      </w:r>
      <w:r w:rsidRPr="00674D78">
        <w:rPr>
          <w:rFonts w:eastAsia="Times New Roman"/>
          <w:b/>
          <w:sz w:val="24"/>
          <w:szCs w:val="24"/>
        </w:rPr>
        <w:t>W.H. Woolley &amp; Co. v. Bear Creek Manors</w:t>
      </w:r>
      <w:r w:rsidRPr="00674D78">
        <w:rPr>
          <w:rFonts w:eastAsia="Times New Roman"/>
          <w:bCs/>
          <w:sz w:val="24"/>
          <w:szCs w:val="24"/>
        </w:rPr>
        <w:t>, 735 P.2d 910</w:t>
      </w:r>
      <w:r>
        <w:rPr>
          <w:rFonts w:eastAsia="Times New Roman"/>
          <w:bCs/>
          <w:sz w:val="24"/>
          <w:szCs w:val="24"/>
        </w:rPr>
        <w:t>, 912</w:t>
      </w:r>
      <w:r w:rsidRPr="00674D78">
        <w:rPr>
          <w:rFonts w:eastAsia="Times New Roman"/>
          <w:bCs/>
          <w:sz w:val="24"/>
          <w:szCs w:val="24"/>
        </w:rPr>
        <w:t xml:space="preserve"> (Colo. App. 1986) (“the trial court . . . measured the reasonable value of the services in terms of what it would have cost the </w:t>
      </w:r>
      <w:r>
        <w:rPr>
          <w:rFonts w:eastAsia="Times New Roman"/>
          <w:bCs/>
          <w:sz w:val="24"/>
          <w:szCs w:val="24"/>
        </w:rPr>
        <w:t>[plaintiffs]</w:t>
      </w:r>
      <w:r w:rsidRPr="00674D78">
        <w:rPr>
          <w:rFonts w:eastAsia="Times New Roman"/>
          <w:bCs/>
          <w:sz w:val="24"/>
          <w:szCs w:val="24"/>
        </w:rPr>
        <w:t xml:space="preserve"> to obtain them from others”)</w:t>
      </w:r>
      <w:r>
        <w:rPr>
          <w:rFonts w:eastAsia="Times New Roman"/>
          <w:bCs/>
          <w:sz w:val="24"/>
          <w:szCs w:val="24"/>
        </w:rPr>
        <w:t xml:space="preserve">. It is the reasonable value of the benefit received by the defendant rather than the value to the plaintiff. </w:t>
      </w:r>
      <w:r w:rsidRPr="00674D78">
        <w:rPr>
          <w:rFonts w:eastAsia="Times New Roman"/>
          <w:b/>
          <w:sz w:val="24"/>
          <w:szCs w:val="24"/>
        </w:rPr>
        <w:t>Survey Eng</w:t>
      </w:r>
      <w:r>
        <w:rPr>
          <w:rFonts w:eastAsia="Times New Roman"/>
          <w:b/>
          <w:sz w:val="24"/>
          <w:szCs w:val="24"/>
        </w:rPr>
        <w:t>’</w:t>
      </w:r>
      <w:r w:rsidRPr="00674D78">
        <w:rPr>
          <w:rFonts w:eastAsia="Times New Roman"/>
          <w:b/>
          <w:sz w:val="24"/>
          <w:szCs w:val="24"/>
        </w:rPr>
        <w:t>rs, Inc. v. Zoline Found</w:t>
      </w:r>
      <w:r>
        <w:rPr>
          <w:rFonts w:eastAsia="Times New Roman"/>
          <w:b/>
          <w:sz w:val="24"/>
          <w:szCs w:val="24"/>
        </w:rPr>
        <w:t>.</w:t>
      </w:r>
      <w:r w:rsidRPr="00674D78">
        <w:rPr>
          <w:rFonts w:eastAsia="Times New Roman"/>
          <w:bCs/>
          <w:sz w:val="24"/>
          <w:szCs w:val="24"/>
        </w:rPr>
        <w:t>, 190 Colo. 35</w:t>
      </w:r>
      <w:r>
        <w:rPr>
          <w:rFonts w:eastAsia="Times New Roman"/>
          <w:bCs/>
          <w:sz w:val="24"/>
          <w:szCs w:val="24"/>
        </w:rPr>
        <w:t xml:space="preserve">2, 354, </w:t>
      </w:r>
      <w:r w:rsidRPr="00674D78">
        <w:rPr>
          <w:rFonts w:eastAsia="Times New Roman"/>
          <w:bCs/>
          <w:sz w:val="24"/>
          <w:szCs w:val="24"/>
        </w:rPr>
        <w:t>546 P.2d 1257,</w:t>
      </w:r>
      <w:r>
        <w:rPr>
          <w:rFonts w:eastAsia="Times New Roman"/>
          <w:bCs/>
          <w:sz w:val="24"/>
          <w:szCs w:val="24"/>
        </w:rPr>
        <w:t xml:space="preserve"> 1259</w:t>
      </w:r>
      <w:r w:rsidRPr="00674D78">
        <w:rPr>
          <w:rFonts w:eastAsia="Times New Roman"/>
          <w:bCs/>
          <w:sz w:val="24"/>
          <w:szCs w:val="24"/>
        </w:rPr>
        <w:t>) (1976) (“there may be a difference between the value to the [plaintiff] of services performed and the benefit received by the [defendant]”);</w:t>
      </w:r>
      <w:r>
        <w:rPr>
          <w:rFonts w:eastAsia="Times New Roman"/>
          <w:bCs/>
          <w:sz w:val="24"/>
          <w:szCs w:val="24"/>
        </w:rPr>
        <w:t xml:space="preserve"> </w:t>
      </w:r>
      <w:r w:rsidRPr="00F126F3">
        <w:rPr>
          <w:rFonts w:eastAsia="Times New Roman"/>
          <w:b/>
          <w:sz w:val="24"/>
          <w:szCs w:val="24"/>
        </w:rPr>
        <w:t>Hunter v. Wilson</w:t>
      </w:r>
      <w:r>
        <w:rPr>
          <w:rFonts w:eastAsia="Times New Roman"/>
          <w:bCs/>
          <w:sz w:val="24"/>
          <w:szCs w:val="24"/>
        </w:rPr>
        <w:t xml:space="preserve">, 147 Colo. 36, 40, 362 P.2d 553, 555 (1961) (the trial court “could consider, as establishing such fair and reasonable value, the price fixed by the contract”). </w:t>
      </w:r>
    </w:p>
    <w:p w14:paraId="015003F9" w14:textId="77777777" w:rsidR="00381B91" w:rsidRDefault="00381B91" w:rsidP="000D55AD">
      <w:pPr>
        <w:pStyle w:val="ListParagraph"/>
        <w:tabs>
          <w:tab w:val="left" w:pos="540"/>
        </w:tabs>
        <w:spacing w:after="240"/>
        <w:ind w:left="0" w:firstLine="720"/>
        <w:contextualSpacing w:val="0"/>
        <w:rPr>
          <w:sz w:val="24"/>
          <w:szCs w:val="24"/>
        </w:rPr>
      </w:pPr>
      <w:r>
        <w:rPr>
          <w:sz w:val="24"/>
          <w:szCs w:val="24"/>
        </w:rPr>
        <w:t xml:space="preserve">7. </w:t>
      </w:r>
      <w:r w:rsidRPr="00674D78">
        <w:rPr>
          <w:sz w:val="24"/>
          <w:szCs w:val="24"/>
        </w:rPr>
        <w:t xml:space="preserve">An attorney who withdraws for a justifiable reason or is terminated by a client without cause is entitled to compensation under quantum meruit for services rendered where the agreement sets forth circumstances under which the client will be liable, or where the attorneys services are successful, but the contingent fee agreement is not in writing. </w:t>
      </w:r>
      <w:r w:rsidRPr="009E383D">
        <w:rPr>
          <w:b/>
          <w:bCs/>
          <w:sz w:val="24"/>
          <w:szCs w:val="24"/>
        </w:rPr>
        <w:t>Dudding</w:t>
      </w:r>
      <w:r>
        <w:rPr>
          <w:sz w:val="24"/>
          <w:szCs w:val="24"/>
        </w:rPr>
        <w:t xml:space="preserve">, 11 P.3d at 446 (quantum meruit claim is available in an attorney fee context only when the underlying agreement contemplates the availability of such a recovery); </w:t>
      </w:r>
      <w:r w:rsidRPr="003A0744">
        <w:rPr>
          <w:b/>
          <w:bCs/>
          <w:sz w:val="24"/>
          <w:szCs w:val="24"/>
        </w:rPr>
        <w:t>LaFond v. Sweeney</w:t>
      </w:r>
      <w:r w:rsidRPr="00747A6E">
        <w:rPr>
          <w:sz w:val="24"/>
          <w:szCs w:val="24"/>
        </w:rPr>
        <w:t>,</w:t>
      </w:r>
      <w:r w:rsidRPr="003A0744">
        <w:rPr>
          <w:b/>
          <w:bCs/>
          <w:sz w:val="24"/>
          <w:szCs w:val="24"/>
        </w:rPr>
        <w:t xml:space="preserve"> </w:t>
      </w:r>
      <w:r>
        <w:rPr>
          <w:sz w:val="24"/>
          <w:szCs w:val="24"/>
        </w:rPr>
        <w:t xml:space="preserve">2012 COA 27, ¶ 29, 345 P.3d 932; </w:t>
      </w:r>
      <w:r w:rsidRPr="00674D78">
        <w:rPr>
          <w:b/>
          <w:bCs/>
          <w:sz w:val="24"/>
          <w:szCs w:val="24"/>
        </w:rPr>
        <w:t>Beeson v. Indus</w:t>
      </w:r>
      <w:r>
        <w:rPr>
          <w:b/>
          <w:bCs/>
          <w:sz w:val="24"/>
          <w:szCs w:val="24"/>
        </w:rPr>
        <w:t>.</w:t>
      </w:r>
      <w:r w:rsidRPr="00674D78">
        <w:rPr>
          <w:b/>
          <w:bCs/>
          <w:sz w:val="24"/>
          <w:szCs w:val="24"/>
        </w:rPr>
        <w:t xml:space="preserve"> Claim Appeals Office</w:t>
      </w:r>
      <w:r w:rsidRPr="00674D78">
        <w:rPr>
          <w:sz w:val="24"/>
          <w:szCs w:val="24"/>
        </w:rPr>
        <w:t xml:space="preserve">, 942 P.2d 1314 (Colo. App. 1997); </w:t>
      </w:r>
      <w:r w:rsidRPr="00FB304B">
        <w:rPr>
          <w:i/>
          <w:iCs/>
          <w:sz w:val="24"/>
          <w:szCs w:val="24"/>
        </w:rPr>
        <w:t>see</w:t>
      </w:r>
      <w:r>
        <w:rPr>
          <w:sz w:val="24"/>
          <w:szCs w:val="24"/>
        </w:rPr>
        <w:t xml:space="preserve"> </w:t>
      </w:r>
      <w:r w:rsidRPr="00674D78">
        <w:rPr>
          <w:b/>
          <w:bCs/>
          <w:sz w:val="24"/>
          <w:szCs w:val="24"/>
        </w:rPr>
        <w:t>People v. Gilbert</w:t>
      </w:r>
      <w:r w:rsidRPr="00747A6E">
        <w:rPr>
          <w:sz w:val="24"/>
          <w:szCs w:val="24"/>
        </w:rPr>
        <w:t>,</w:t>
      </w:r>
      <w:r w:rsidRPr="00674D78">
        <w:rPr>
          <w:sz w:val="24"/>
          <w:szCs w:val="24"/>
        </w:rPr>
        <w:t xml:space="preserve"> 348 P.3d 970</w:t>
      </w:r>
      <w:r>
        <w:rPr>
          <w:sz w:val="24"/>
          <w:szCs w:val="24"/>
        </w:rPr>
        <w:t>, 982</w:t>
      </w:r>
      <w:r w:rsidRPr="00674D78">
        <w:rPr>
          <w:sz w:val="24"/>
          <w:szCs w:val="24"/>
        </w:rPr>
        <w:t xml:space="preserve"> (Colo. App. 2013) (“a lawyer may forfeit his or her right to recover in quantum meruit if the lawyer abandons the client’s case or engages in other serious misconduct”)</w:t>
      </w:r>
    </w:p>
    <w:p w14:paraId="402D509E" w14:textId="77777777" w:rsidR="00381B91" w:rsidRDefault="00381B91" w:rsidP="000D55AD">
      <w:pPr>
        <w:pStyle w:val="ListParagraph"/>
        <w:tabs>
          <w:tab w:val="left" w:pos="540"/>
        </w:tabs>
        <w:spacing w:after="240"/>
        <w:ind w:left="0" w:firstLine="720"/>
        <w:contextualSpacing w:val="0"/>
        <w:rPr>
          <w:sz w:val="24"/>
          <w:szCs w:val="24"/>
        </w:rPr>
      </w:pPr>
      <w:r>
        <w:rPr>
          <w:sz w:val="24"/>
          <w:szCs w:val="24"/>
        </w:rPr>
        <w:lastRenderedPageBreak/>
        <w:t xml:space="preserve">8. Quantum meruit claims are subject to the three-year statute of limitations in section 13-80-101(1)(a), C.R.S. </w:t>
      </w:r>
      <w:r w:rsidRPr="004B732A">
        <w:rPr>
          <w:b/>
          <w:bCs/>
          <w:sz w:val="24"/>
          <w:szCs w:val="24"/>
        </w:rPr>
        <w:t>Rotenberg v. Richards</w:t>
      </w:r>
      <w:r>
        <w:rPr>
          <w:sz w:val="24"/>
          <w:szCs w:val="24"/>
        </w:rPr>
        <w:t>, 899 P.2d 365 (Colo. App. 1995).</w:t>
      </w:r>
    </w:p>
    <w:p w14:paraId="260A55AE" w14:textId="5832DAEA" w:rsidR="00381B91" w:rsidRPr="00381B91" w:rsidRDefault="00381B91" w:rsidP="000D55AD">
      <w:pPr>
        <w:pStyle w:val="ListParagraph"/>
        <w:tabs>
          <w:tab w:val="left" w:pos="540"/>
        </w:tabs>
        <w:spacing w:after="240"/>
        <w:ind w:left="0" w:firstLine="720"/>
        <w:contextualSpacing w:val="0"/>
        <w:rPr>
          <w:sz w:val="24"/>
          <w:szCs w:val="24"/>
        </w:rPr>
      </w:pPr>
      <w:r>
        <w:rPr>
          <w:sz w:val="24"/>
          <w:szCs w:val="24"/>
        </w:rPr>
        <w:t xml:space="preserve">9. Colorado courts have also recognized a claim for unjust enrichment drawn from the Restatement of Restitution. </w:t>
      </w:r>
      <w:r w:rsidRPr="003522FF">
        <w:rPr>
          <w:i/>
          <w:iCs/>
          <w:sz w:val="24"/>
          <w:szCs w:val="24"/>
        </w:rPr>
        <w:t>See</w:t>
      </w:r>
      <w:r w:rsidRPr="00674D78">
        <w:rPr>
          <w:b/>
          <w:bCs/>
          <w:sz w:val="24"/>
          <w:szCs w:val="24"/>
        </w:rPr>
        <w:t xml:space="preserve"> </w:t>
      </w:r>
      <w:r w:rsidRPr="00821095">
        <w:rPr>
          <w:b/>
          <w:bCs/>
          <w:sz w:val="24"/>
          <w:szCs w:val="24"/>
        </w:rPr>
        <w:t>Cablevision of</w:t>
      </w:r>
      <w:r>
        <w:rPr>
          <w:sz w:val="24"/>
          <w:szCs w:val="24"/>
        </w:rPr>
        <w:t xml:space="preserve"> </w:t>
      </w:r>
      <w:r w:rsidRPr="00F65179">
        <w:rPr>
          <w:b/>
          <w:bCs/>
          <w:sz w:val="24"/>
          <w:szCs w:val="24"/>
        </w:rPr>
        <w:t>Breckenridge, Inc. v. Tannhauser Condo</w:t>
      </w:r>
      <w:r>
        <w:rPr>
          <w:b/>
          <w:bCs/>
          <w:sz w:val="24"/>
          <w:szCs w:val="24"/>
        </w:rPr>
        <w:t>.</w:t>
      </w:r>
      <w:r w:rsidRPr="00F65179">
        <w:rPr>
          <w:b/>
          <w:bCs/>
          <w:sz w:val="24"/>
          <w:szCs w:val="24"/>
        </w:rPr>
        <w:t xml:space="preserve"> Ass’n</w:t>
      </w:r>
      <w:r w:rsidRPr="00747A6E">
        <w:rPr>
          <w:sz w:val="24"/>
          <w:szCs w:val="24"/>
        </w:rPr>
        <w:t>,</w:t>
      </w:r>
      <w:r>
        <w:rPr>
          <w:sz w:val="24"/>
          <w:szCs w:val="24"/>
        </w:rPr>
        <w:t xml:space="preserve"> 649 P.2d 1093 (Colo. 1982). A claim based on restitution should not be confused with the contract/assumpsit claim of quantum meruit. To recover on a restitution claim a plaintiff must show that a benefit was conferred upon the defendant by the plaintiff, that the defendant appreciated the benefit, and that the benefit was accepted by the defendant under such circumstances that it would be inequitable for it to be retained without payment of its value. </w:t>
      </w:r>
      <w:r w:rsidRPr="003522FF">
        <w:rPr>
          <w:i/>
          <w:iCs/>
          <w:sz w:val="24"/>
          <w:szCs w:val="24"/>
        </w:rPr>
        <w:t>Id.</w:t>
      </w:r>
      <w:r>
        <w:rPr>
          <w:sz w:val="24"/>
          <w:szCs w:val="24"/>
        </w:rPr>
        <w:t xml:space="preserve">; </w:t>
      </w:r>
      <w:r w:rsidRPr="003522FF">
        <w:rPr>
          <w:i/>
          <w:iCs/>
          <w:sz w:val="24"/>
          <w:szCs w:val="24"/>
        </w:rPr>
        <w:t>see also</w:t>
      </w:r>
      <w:r w:rsidRPr="00821095">
        <w:rPr>
          <w:b/>
          <w:bCs/>
          <w:sz w:val="24"/>
          <w:szCs w:val="24"/>
        </w:rPr>
        <w:t xml:space="preserve"> </w:t>
      </w:r>
      <w:r w:rsidRPr="00AF16D4">
        <w:rPr>
          <w:b/>
          <w:bCs/>
          <w:sz w:val="24"/>
          <w:szCs w:val="24"/>
        </w:rPr>
        <w:t>Britvar v. Schainuck</w:t>
      </w:r>
      <w:r>
        <w:rPr>
          <w:sz w:val="24"/>
          <w:szCs w:val="24"/>
        </w:rPr>
        <w:t xml:space="preserve">, 791 P.2d 1183 (Colo. App. 1989). The scope of the remedy is broad, and cuts across both contract and tort law. </w:t>
      </w:r>
      <w:r w:rsidRPr="003522FF">
        <w:rPr>
          <w:i/>
          <w:iCs/>
          <w:sz w:val="24"/>
          <w:szCs w:val="24"/>
        </w:rPr>
        <w:t>See</w:t>
      </w:r>
      <w:r w:rsidRPr="0000465D">
        <w:rPr>
          <w:b/>
          <w:bCs/>
          <w:sz w:val="24"/>
          <w:szCs w:val="24"/>
        </w:rPr>
        <w:t xml:space="preserve"> </w:t>
      </w:r>
      <w:r w:rsidRPr="007C69B0">
        <w:rPr>
          <w:b/>
          <w:bCs/>
          <w:sz w:val="24"/>
          <w:szCs w:val="24"/>
        </w:rPr>
        <w:t>Robinson v. Colo</w:t>
      </w:r>
      <w:r>
        <w:rPr>
          <w:b/>
          <w:bCs/>
          <w:sz w:val="24"/>
          <w:szCs w:val="24"/>
        </w:rPr>
        <w:t>.</w:t>
      </w:r>
      <w:r w:rsidRPr="007C69B0">
        <w:rPr>
          <w:b/>
          <w:bCs/>
          <w:sz w:val="24"/>
          <w:szCs w:val="24"/>
        </w:rPr>
        <w:t xml:space="preserve"> State Lottery Div.</w:t>
      </w:r>
      <w:r>
        <w:rPr>
          <w:sz w:val="24"/>
          <w:szCs w:val="24"/>
        </w:rPr>
        <w:t xml:space="preserve">, 179 P.3d 998 (Colo. 2008) (holding under facts of that case that an unjust enrichment claim arose out of tortious conduct and was barred by the CGIA). Although quasi-contract and quantum meruit both developed to avoid unjust enrichment, the history and elements of each cause of action are different. The labels and elements of the claims have been conflated. </w:t>
      </w:r>
      <w:r w:rsidRPr="005515DB">
        <w:rPr>
          <w:i/>
          <w:iCs/>
          <w:sz w:val="24"/>
          <w:szCs w:val="24"/>
        </w:rPr>
        <w:t>Compare</w:t>
      </w:r>
      <w:r>
        <w:rPr>
          <w:sz w:val="24"/>
          <w:szCs w:val="24"/>
        </w:rPr>
        <w:t xml:space="preserve"> </w:t>
      </w:r>
      <w:r w:rsidRPr="005515DB">
        <w:rPr>
          <w:b/>
          <w:bCs/>
          <w:sz w:val="24"/>
          <w:szCs w:val="24"/>
        </w:rPr>
        <w:t>Dudding v. Norton Frickey &amp; Assocs</w:t>
      </w:r>
      <w:r>
        <w:rPr>
          <w:b/>
          <w:bCs/>
          <w:sz w:val="24"/>
          <w:szCs w:val="24"/>
        </w:rPr>
        <w:t>.</w:t>
      </w:r>
      <w:r w:rsidRPr="004E56F7">
        <w:rPr>
          <w:sz w:val="24"/>
          <w:szCs w:val="24"/>
        </w:rPr>
        <w:t>, 11 P.3d 441</w:t>
      </w:r>
      <w:r>
        <w:rPr>
          <w:sz w:val="24"/>
          <w:szCs w:val="24"/>
        </w:rPr>
        <w:t>, 444</w:t>
      </w:r>
      <w:r w:rsidRPr="004E56F7">
        <w:rPr>
          <w:sz w:val="24"/>
          <w:szCs w:val="24"/>
        </w:rPr>
        <w:t xml:space="preserve"> (Colo. 2000)</w:t>
      </w:r>
      <w:r>
        <w:rPr>
          <w:sz w:val="24"/>
          <w:szCs w:val="24"/>
        </w:rPr>
        <w:t xml:space="preserve"> (“</w:t>
      </w:r>
      <w:r w:rsidRPr="004E56F7">
        <w:rPr>
          <w:sz w:val="24"/>
          <w:szCs w:val="24"/>
        </w:rPr>
        <w:t>Application of the doctrine of quantum meruit, also termed quasi-contract or unjust enrichment, does not depend upon the existence of a contract, either express or implied in fact</w:t>
      </w:r>
      <w:r>
        <w:rPr>
          <w:sz w:val="24"/>
          <w:szCs w:val="24"/>
        </w:rPr>
        <w:t xml:space="preserve">”), </w:t>
      </w:r>
      <w:r w:rsidRPr="005515DB">
        <w:rPr>
          <w:i/>
          <w:iCs/>
          <w:sz w:val="24"/>
          <w:szCs w:val="24"/>
        </w:rPr>
        <w:t>with</w:t>
      </w:r>
      <w:r>
        <w:rPr>
          <w:sz w:val="24"/>
          <w:szCs w:val="24"/>
        </w:rPr>
        <w:t xml:space="preserve"> </w:t>
      </w:r>
      <w:r w:rsidRPr="005515DB">
        <w:rPr>
          <w:b/>
          <w:bCs/>
          <w:sz w:val="24"/>
          <w:szCs w:val="24"/>
        </w:rPr>
        <w:t>Valley Realty &amp; Inv. Co. v. McMillan</w:t>
      </w:r>
      <w:r>
        <w:rPr>
          <w:sz w:val="24"/>
          <w:szCs w:val="24"/>
        </w:rPr>
        <w:t>, 160 Colo. 109, 112, 414 P.2d 486, 488 (1966) (“</w:t>
      </w:r>
      <w:r w:rsidRPr="004E56F7">
        <w:rPr>
          <w:sz w:val="24"/>
          <w:szCs w:val="24"/>
        </w:rPr>
        <w:t>In quasi contracts the obligation arises, not from consent of the parties, as in the case of contracts, express or implied in fact, but from the law of natural immutable justice and equity.</w:t>
      </w:r>
      <w:r>
        <w:rPr>
          <w:sz w:val="24"/>
          <w:szCs w:val="24"/>
        </w:rPr>
        <w:t>”).</w:t>
      </w:r>
      <w:r w:rsidRPr="004E56F7">
        <w:rPr>
          <w:sz w:val="24"/>
          <w:szCs w:val="24"/>
        </w:rPr>
        <w:t xml:space="preserve"> </w:t>
      </w:r>
      <w:r w:rsidRPr="005515DB">
        <w:rPr>
          <w:i/>
          <w:iCs/>
          <w:sz w:val="24"/>
          <w:szCs w:val="24"/>
        </w:rPr>
        <w:t>See also</w:t>
      </w:r>
      <w:r>
        <w:rPr>
          <w:sz w:val="24"/>
          <w:szCs w:val="24"/>
        </w:rPr>
        <w:t xml:space="preserve"> </w:t>
      </w:r>
      <w:r w:rsidRPr="000E094F">
        <w:rPr>
          <w:b/>
          <w:bCs/>
          <w:sz w:val="24"/>
          <w:szCs w:val="24"/>
        </w:rPr>
        <w:t>Cadle</w:t>
      </w:r>
      <w:r>
        <w:rPr>
          <w:b/>
          <w:bCs/>
          <w:sz w:val="24"/>
          <w:szCs w:val="24"/>
        </w:rPr>
        <w:t>R</w:t>
      </w:r>
      <w:r w:rsidRPr="000E094F">
        <w:rPr>
          <w:b/>
          <w:bCs/>
          <w:sz w:val="24"/>
          <w:szCs w:val="24"/>
        </w:rPr>
        <w:t>ock Joint Venture LP v. Esperanza Architecture</w:t>
      </w:r>
      <w:r>
        <w:rPr>
          <w:b/>
          <w:bCs/>
          <w:sz w:val="24"/>
          <w:szCs w:val="24"/>
        </w:rPr>
        <w:t xml:space="preserve"> 7 Consulting, Inc.</w:t>
      </w:r>
      <w:r>
        <w:rPr>
          <w:sz w:val="24"/>
          <w:szCs w:val="24"/>
        </w:rPr>
        <w:t>, 2021 COA 119, ¶ 24, 500 P.3d 402 (“</w:t>
      </w:r>
      <w:r w:rsidRPr="00227A92">
        <w:rPr>
          <w:sz w:val="24"/>
          <w:szCs w:val="24"/>
        </w:rPr>
        <w:t>Quantum meruit, also termed quasi-contract or unjust enrichment, is an equitable doctrine</w:t>
      </w:r>
      <w:r>
        <w:rPr>
          <w:sz w:val="24"/>
          <w:szCs w:val="24"/>
        </w:rPr>
        <w:t xml:space="preserve"> . . . .”);</w:t>
      </w:r>
      <w:r w:rsidRPr="00227A92">
        <w:rPr>
          <w:sz w:val="24"/>
          <w:szCs w:val="24"/>
        </w:rPr>
        <w:t xml:space="preserve"> </w:t>
      </w:r>
      <w:r w:rsidRPr="00F65179">
        <w:rPr>
          <w:b/>
          <w:bCs/>
          <w:sz w:val="24"/>
          <w:szCs w:val="24"/>
        </w:rPr>
        <w:t>Murdock v. Cohen</w:t>
      </w:r>
      <w:r>
        <w:rPr>
          <w:sz w:val="24"/>
          <w:szCs w:val="24"/>
        </w:rPr>
        <w:t>, 762 P.2d 691, 692 (Colo. App. 1988) (listing the elements of quasi-contract for a quantum meruit claim).</w:t>
      </w:r>
    </w:p>
    <w:sectPr w:rsidR="00381B91" w:rsidRPr="00381B91" w:rsidSect="00D61559">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61E59" w14:textId="77777777" w:rsidR="00D61559" w:rsidRDefault="00D61559" w:rsidP="0054263B">
      <w:r>
        <w:separator/>
      </w:r>
    </w:p>
    <w:p w14:paraId="18870384" w14:textId="77777777" w:rsidR="00D61559" w:rsidRDefault="00D61559"/>
  </w:endnote>
  <w:endnote w:type="continuationSeparator" w:id="0">
    <w:p w14:paraId="779A72A4" w14:textId="77777777" w:rsidR="00D61559" w:rsidRDefault="00D61559" w:rsidP="0054263B">
      <w:r>
        <w:continuationSeparator/>
      </w:r>
    </w:p>
    <w:p w14:paraId="7B2D07F8" w14:textId="77777777" w:rsidR="00D61559" w:rsidRDefault="00D61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3505C874" w14:textId="77777777" w:rsidR="00162471" w:rsidRDefault="00162471">
        <w:pPr>
          <w:pStyle w:val="Footer"/>
          <w:jc w:val="center"/>
        </w:pPr>
        <w:r>
          <w:fldChar w:fldCharType="begin"/>
        </w:r>
        <w:r>
          <w:instrText xml:space="preserve"> PAGE   \* MERGEFORMAT </w:instrText>
        </w:r>
        <w:r>
          <w:fldChar w:fldCharType="separate"/>
        </w:r>
        <w:r>
          <w:rPr>
            <w:noProof/>
          </w:rPr>
          <w:t>38</w:t>
        </w:r>
        <w:r>
          <w:rPr>
            <w:noProof/>
          </w:rPr>
          <w:fldChar w:fldCharType="end"/>
        </w:r>
      </w:p>
    </w:sdtContent>
  </w:sdt>
  <w:p w14:paraId="39E7E541" w14:textId="77777777" w:rsidR="00162471" w:rsidRDefault="00162471">
    <w:pPr>
      <w:pStyle w:val="Footer"/>
    </w:pPr>
  </w:p>
  <w:p w14:paraId="1052C3A9" w14:textId="77777777" w:rsidR="00162471" w:rsidRDefault="001624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2CD70" w14:textId="77777777" w:rsidR="00D61559" w:rsidRDefault="00D61559" w:rsidP="0054263B">
      <w:r>
        <w:separator/>
      </w:r>
    </w:p>
    <w:p w14:paraId="3C10099F" w14:textId="77777777" w:rsidR="00D61559" w:rsidRDefault="00D61559"/>
  </w:footnote>
  <w:footnote w:type="continuationSeparator" w:id="0">
    <w:p w14:paraId="1BC8F901" w14:textId="77777777" w:rsidR="00D61559" w:rsidRDefault="00D61559" w:rsidP="0054263B">
      <w:r>
        <w:continuationSeparator/>
      </w:r>
    </w:p>
    <w:p w14:paraId="08055CC8" w14:textId="77777777" w:rsidR="00D61559" w:rsidRDefault="00D615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BA5B56"/>
    <w:multiLevelType w:val="hybridMultilevel"/>
    <w:tmpl w:val="11729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6A78F1"/>
    <w:multiLevelType w:val="hybridMultilevel"/>
    <w:tmpl w:val="A882FB7A"/>
    <w:lvl w:ilvl="0" w:tplc="A9F82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57341C"/>
    <w:multiLevelType w:val="hybridMultilevel"/>
    <w:tmpl w:val="0472FB26"/>
    <w:lvl w:ilvl="0" w:tplc="E5ACA3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0941725">
    <w:abstractNumId w:val="0"/>
  </w:num>
  <w:num w:numId="2" w16cid:durableId="1707364070">
    <w:abstractNumId w:val="1"/>
  </w:num>
  <w:num w:numId="3" w16cid:durableId="1266233361">
    <w:abstractNumId w:val="2"/>
  </w:num>
  <w:num w:numId="4" w16cid:durableId="1766799468">
    <w:abstractNumId w:val="4"/>
  </w:num>
  <w:num w:numId="5" w16cid:durableId="1603031308">
    <w:abstractNumId w:val="3"/>
  </w:num>
  <w:num w:numId="6" w16cid:durableId="14439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321C"/>
    <w:rsid w:val="00004B85"/>
    <w:rsid w:val="00007D94"/>
    <w:rsid w:val="00011100"/>
    <w:rsid w:val="00020CF1"/>
    <w:rsid w:val="00037111"/>
    <w:rsid w:val="000627ED"/>
    <w:rsid w:val="0006367C"/>
    <w:rsid w:val="00074558"/>
    <w:rsid w:val="00074E3E"/>
    <w:rsid w:val="00077957"/>
    <w:rsid w:val="000824C8"/>
    <w:rsid w:val="00082B8A"/>
    <w:rsid w:val="00085495"/>
    <w:rsid w:val="00086139"/>
    <w:rsid w:val="000921F1"/>
    <w:rsid w:val="0009462F"/>
    <w:rsid w:val="000962C8"/>
    <w:rsid w:val="000A040F"/>
    <w:rsid w:val="000A705F"/>
    <w:rsid w:val="000B1B7A"/>
    <w:rsid w:val="000C204E"/>
    <w:rsid w:val="000C503A"/>
    <w:rsid w:val="000C6F97"/>
    <w:rsid w:val="000D4856"/>
    <w:rsid w:val="000D55AD"/>
    <w:rsid w:val="000F205C"/>
    <w:rsid w:val="00107803"/>
    <w:rsid w:val="001117D9"/>
    <w:rsid w:val="00112C8E"/>
    <w:rsid w:val="00112FF9"/>
    <w:rsid w:val="00124328"/>
    <w:rsid w:val="00125209"/>
    <w:rsid w:val="00126B7A"/>
    <w:rsid w:val="001333F4"/>
    <w:rsid w:val="001436C0"/>
    <w:rsid w:val="00144917"/>
    <w:rsid w:val="0015641B"/>
    <w:rsid w:val="001608FF"/>
    <w:rsid w:val="00162471"/>
    <w:rsid w:val="001671A9"/>
    <w:rsid w:val="00172259"/>
    <w:rsid w:val="00172674"/>
    <w:rsid w:val="00172700"/>
    <w:rsid w:val="00174BB5"/>
    <w:rsid w:val="0018388B"/>
    <w:rsid w:val="00184ADB"/>
    <w:rsid w:val="001903CB"/>
    <w:rsid w:val="00190BD9"/>
    <w:rsid w:val="001913B1"/>
    <w:rsid w:val="00191498"/>
    <w:rsid w:val="00191C86"/>
    <w:rsid w:val="0019543E"/>
    <w:rsid w:val="001A2648"/>
    <w:rsid w:val="001A2D0C"/>
    <w:rsid w:val="001A5FFB"/>
    <w:rsid w:val="001C6755"/>
    <w:rsid w:val="001E0F3B"/>
    <w:rsid w:val="001E20B1"/>
    <w:rsid w:val="001F0193"/>
    <w:rsid w:val="001F1E78"/>
    <w:rsid w:val="00200BA5"/>
    <w:rsid w:val="00202B81"/>
    <w:rsid w:val="002032E9"/>
    <w:rsid w:val="00205E29"/>
    <w:rsid w:val="002065D8"/>
    <w:rsid w:val="0021368F"/>
    <w:rsid w:val="0021730E"/>
    <w:rsid w:val="00217435"/>
    <w:rsid w:val="0022134E"/>
    <w:rsid w:val="00223286"/>
    <w:rsid w:val="0022376C"/>
    <w:rsid w:val="00225507"/>
    <w:rsid w:val="00227D3A"/>
    <w:rsid w:val="00234064"/>
    <w:rsid w:val="0024062B"/>
    <w:rsid w:val="0024597C"/>
    <w:rsid w:val="002472C0"/>
    <w:rsid w:val="00247DD6"/>
    <w:rsid w:val="002547C3"/>
    <w:rsid w:val="00260CCC"/>
    <w:rsid w:val="002654B4"/>
    <w:rsid w:val="00266772"/>
    <w:rsid w:val="00267805"/>
    <w:rsid w:val="00273777"/>
    <w:rsid w:val="00275682"/>
    <w:rsid w:val="00283270"/>
    <w:rsid w:val="00290935"/>
    <w:rsid w:val="00293F7E"/>
    <w:rsid w:val="002A23B0"/>
    <w:rsid w:val="002A6EC7"/>
    <w:rsid w:val="002B5FCF"/>
    <w:rsid w:val="002D0987"/>
    <w:rsid w:val="002D163D"/>
    <w:rsid w:val="002D295C"/>
    <w:rsid w:val="002E0970"/>
    <w:rsid w:val="002E1D1B"/>
    <w:rsid w:val="002E562A"/>
    <w:rsid w:val="002F0E75"/>
    <w:rsid w:val="002F232C"/>
    <w:rsid w:val="002F48D6"/>
    <w:rsid w:val="00304398"/>
    <w:rsid w:val="0030601B"/>
    <w:rsid w:val="00316D33"/>
    <w:rsid w:val="00317364"/>
    <w:rsid w:val="00320613"/>
    <w:rsid w:val="00321DC6"/>
    <w:rsid w:val="0032367C"/>
    <w:rsid w:val="00324040"/>
    <w:rsid w:val="003247EA"/>
    <w:rsid w:val="00324C57"/>
    <w:rsid w:val="003257F6"/>
    <w:rsid w:val="003259EE"/>
    <w:rsid w:val="0033011F"/>
    <w:rsid w:val="003333C4"/>
    <w:rsid w:val="00333886"/>
    <w:rsid w:val="00335934"/>
    <w:rsid w:val="00336CE4"/>
    <w:rsid w:val="00345533"/>
    <w:rsid w:val="00351D52"/>
    <w:rsid w:val="00352111"/>
    <w:rsid w:val="00352433"/>
    <w:rsid w:val="00352696"/>
    <w:rsid w:val="00353044"/>
    <w:rsid w:val="00355A8E"/>
    <w:rsid w:val="00355C52"/>
    <w:rsid w:val="003613FE"/>
    <w:rsid w:val="00367D0F"/>
    <w:rsid w:val="00371A9C"/>
    <w:rsid w:val="00381B91"/>
    <w:rsid w:val="00382177"/>
    <w:rsid w:val="003837B6"/>
    <w:rsid w:val="00390234"/>
    <w:rsid w:val="003937B8"/>
    <w:rsid w:val="003A2F1C"/>
    <w:rsid w:val="003A5A75"/>
    <w:rsid w:val="003B308A"/>
    <w:rsid w:val="003B31A1"/>
    <w:rsid w:val="003C4FD1"/>
    <w:rsid w:val="003D027F"/>
    <w:rsid w:val="003D1B54"/>
    <w:rsid w:val="003D370E"/>
    <w:rsid w:val="003E472A"/>
    <w:rsid w:val="003E47F0"/>
    <w:rsid w:val="003E5B38"/>
    <w:rsid w:val="003E773D"/>
    <w:rsid w:val="003E7944"/>
    <w:rsid w:val="003F108C"/>
    <w:rsid w:val="003F4A7F"/>
    <w:rsid w:val="003F6E89"/>
    <w:rsid w:val="00405443"/>
    <w:rsid w:val="00406DB0"/>
    <w:rsid w:val="00410E6B"/>
    <w:rsid w:val="00416E67"/>
    <w:rsid w:val="0042704F"/>
    <w:rsid w:val="00427199"/>
    <w:rsid w:val="00434371"/>
    <w:rsid w:val="004425AA"/>
    <w:rsid w:val="0044495C"/>
    <w:rsid w:val="0045008E"/>
    <w:rsid w:val="00454EE8"/>
    <w:rsid w:val="00456038"/>
    <w:rsid w:val="00456B2B"/>
    <w:rsid w:val="0046563F"/>
    <w:rsid w:val="00467B80"/>
    <w:rsid w:val="0047120C"/>
    <w:rsid w:val="00471618"/>
    <w:rsid w:val="00472FB2"/>
    <w:rsid w:val="00473B65"/>
    <w:rsid w:val="00474A7E"/>
    <w:rsid w:val="00474B1B"/>
    <w:rsid w:val="004816AF"/>
    <w:rsid w:val="0048175E"/>
    <w:rsid w:val="0048541F"/>
    <w:rsid w:val="00491DC0"/>
    <w:rsid w:val="0049313F"/>
    <w:rsid w:val="004978F9"/>
    <w:rsid w:val="004A1210"/>
    <w:rsid w:val="004A2D52"/>
    <w:rsid w:val="004A32E6"/>
    <w:rsid w:val="004A5FD3"/>
    <w:rsid w:val="004B0E7F"/>
    <w:rsid w:val="004B108D"/>
    <w:rsid w:val="004B3F74"/>
    <w:rsid w:val="004B753E"/>
    <w:rsid w:val="004C25F7"/>
    <w:rsid w:val="004C330E"/>
    <w:rsid w:val="004C3FF2"/>
    <w:rsid w:val="004C62F9"/>
    <w:rsid w:val="004C723A"/>
    <w:rsid w:val="004D0F36"/>
    <w:rsid w:val="004D1128"/>
    <w:rsid w:val="004D2C99"/>
    <w:rsid w:val="004D3197"/>
    <w:rsid w:val="004D5700"/>
    <w:rsid w:val="004D74F2"/>
    <w:rsid w:val="004E0408"/>
    <w:rsid w:val="004E7EF1"/>
    <w:rsid w:val="004F003D"/>
    <w:rsid w:val="004F22EF"/>
    <w:rsid w:val="004F6C99"/>
    <w:rsid w:val="00502D97"/>
    <w:rsid w:val="005065E6"/>
    <w:rsid w:val="0051385E"/>
    <w:rsid w:val="005156F1"/>
    <w:rsid w:val="00516447"/>
    <w:rsid w:val="00516994"/>
    <w:rsid w:val="00521791"/>
    <w:rsid w:val="0052537F"/>
    <w:rsid w:val="00527A18"/>
    <w:rsid w:val="00527AD3"/>
    <w:rsid w:val="0053029A"/>
    <w:rsid w:val="00531F87"/>
    <w:rsid w:val="0053544D"/>
    <w:rsid w:val="00535A34"/>
    <w:rsid w:val="0054263B"/>
    <w:rsid w:val="00547D97"/>
    <w:rsid w:val="00550AFD"/>
    <w:rsid w:val="00555B52"/>
    <w:rsid w:val="00555BA5"/>
    <w:rsid w:val="00557FCC"/>
    <w:rsid w:val="005648EF"/>
    <w:rsid w:val="0057771F"/>
    <w:rsid w:val="005A22A6"/>
    <w:rsid w:val="005A7E19"/>
    <w:rsid w:val="005B27FE"/>
    <w:rsid w:val="005B3A78"/>
    <w:rsid w:val="005C56C9"/>
    <w:rsid w:val="005C5CCB"/>
    <w:rsid w:val="005D1AD3"/>
    <w:rsid w:val="005D1F16"/>
    <w:rsid w:val="005D3156"/>
    <w:rsid w:val="005E712D"/>
    <w:rsid w:val="005E7146"/>
    <w:rsid w:val="005F1017"/>
    <w:rsid w:val="005F19FD"/>
    <w:rsid w:val="005F2522"/>
    <w:rsid w:val="005F5A94"/>
    <w:rsid w:val="00601B58"/>
    <w:rsid w:val="006045D9"/>
    <w:rsid w:val="00604F03"/>
    <w:rsid w:val="006053F6"/>
    <w:rsid w:val="006248A0"/>
    <w:rsid w:val="00626757"/>
    <w:rsid w:val="006272FE"/>
    <w:rsid w:val="00631BFF"/>
    <w:rsid w:val="006353DF"/>
    <w:rsid w:val="00642649"/>
    <w:rsid w:val="006451C7"/>
    <w:rsid w:val="006454FD"/>
    <w:rsid w:val="006459DB"/>
    <w:rsid w:val="00647C5D"/>
    <w:rsid w:val="00647CC5"/>
    <w:rsid w:val="00651A64"/>
    <w:rsid w:val="00655FDA"/>
    <w:rsid w:val="00661D05"/>
    <w:rsid w:val="0066482C"/>
    <w:rsid w:val="006676DA"/>
    <w:rsid w:val="00672629"/>
    <w:rsid w:val="00675252"/>
    <w:rsid w:val="00676566"/>
    <w:rsid w:val="00681A2C"/>
    <w:rsid w:val="00682B93"/>
    <w:rsid w:val="0068336D"/>
    <w:rsid w:val="00683FA1"/>
    <w:rsid w:val="00685E76"/>
    <w:rsid w:val="00687304"/>
    <w:rsid w:val="00697DF2"/>
    <w:rsid w:val="006A1932"/>
    <w:rsid w:val="006A74B6"/>
    <w:rsid w:val="006B2344"/>
    <w:rsid w:val="006B2457"/>
    <w:rsid w:val="006B26D7"/>
    <w:rsid w:val="006B7995"/>
    <w:rsid w:val="006C5791"/>
    <w:rsid w:val="006D1D57"/>
    <w:rsid w:val="006D5DE4"/>
    <w:rsid w:val="006E0D06"/>
    <w:rsid w:val="006E1A5A"/>
    <w:rsid w:val="006E33D5"/>
    <w:rsid w:val="006E3575"/>
    <w:rsid w:val="006E62F0"/>
    <w:rsid w:val="006F590D"/>
    <w:rsid w:val="006F7581"/>
    <w:rsid w:val="006F7DC0"/>
    <w:rsid w:val="00702B5A"/>
    <w:rsid w:val="00703911"/>
    <w:rsid w:val="0070700B"/>
    <w:rsid w:val="0070752A"/>
    <w:rsid w:val="007119D8"/>
    <w:rsid w:val="0071225B"/>
    <w:rsid w:val="00713866"/>
    <w:rsid w:val="00716C9E"/>
    <w:rsid w:val="00720705"/>
    <w:rsid w:val="00721341"/>
    <w:rsid w:val="007216DA"/>
    <w:rsid w:val="00724230"/>
    <w:rsid w:val="00726E21"/>
    <w:rsid w:val="007340B5"/>
    <w:rsid w:val="00736474"/>
    <w:rsid w:val="00753103"/>
    <w:rsid w:val="007532AB"/>
    <w:rsid w:val="007532F7"/>
    <w:rsid w:val="00760809"/>
    <w:rsid w:val="00766F81"/>
    <w:rsid w:val="00770AB7"/>
    <w:rsid w:val="00770FFC"/>
    <w:rsid w:val="007760D1"/>
    <w:rsid w:val="0077696B"/>
    <w:rsid w:val="00777C59"/>
    <w:rsid w:val="00783F23"/>
    <w:rsid w:val="00785E7D"/>
    <w:rsid w:val="00787065"/>
    <w:rsid w:val="00792028"/>
    <w:rsid w:val="007A087B"/>
    <w:rsid w:val="007A3A0E"/>
    <w:rsid w:val="007A612E"/>
    <w:rsid w:val="007A6434"/>
    <w:rsid w:val="007B1633"/>
    <w:rsid w:val="007D0461"/>
    <w:rsid w:val="007D168F"/>
    <w:rsid w:val="007D198E"/>
    <w:rsid w:val="007D2BCE"/>
    <w:rsid w:val="007D39CC"/>
    <w:rsid w:val="007E1675"/>
    <w:rsid w:val="007E4729"/>
    <w:rsid w:val="007E7C7D"/>
    <w:rsid w:val="007F7129"/>
    <w:rsid w:val="00801691"/>
    <w:rsid w:val="00806282"/>
    <w:rsid w:val="00813A6B"/>
    <w:rsid w:val="0082168C"/>
    <w:rsid w:val="00826FD6"/>
    <w:rsid w:val="0083254A"/>
    <w:rsid w:val="0083264A"/>
    <w:rsid w:val="00832DB4"/>
    <w:rsid w:val="0083763B"/>
    <w:rsid w:val="00837F81"/>
    <w:rsid w:val="00845F81"/>
    <w:rsid w:val="00846B11"/>
    <w:rsid w:val="00850A48"/>
    <w:rsid w:val="00851A69"/>
    <w:rsid w:val="00853ECF"/>
    <w:rsid w:val="008557E1"/>
    <w:rsid w:val="0086735A"/>
    <w:rsid w:val="008703EF"/>
    <w:rsid w:val="00871AA8"/>
    <w:rsid w:val="00875064"/>
    <w:rsid w:val="008812A8"/>
    <w:rsid w:val="00881431"/>
    <w:rsid w:val="00883159"/>
    <w:rsid w:val="008857D3"/>
    <w:rsid w:val="008859AF"/>
    <w:rsid w:val="00891731"/>
    <w:rsid w:val="00891A22"/>
    <w:rsid w:val="00895065"/>
    <w:rsid w:val="008A1099"/>
    <w:rsid w:val="008A475A"/>
    <w:rsid w:val="008A6339"/>
    <w:rsid w:val="008A637B"/>
    <w:rsid w:val="008B1617"/>
    <w:rsid w:val="008B39B8"/>
    <w:rsid w:val="008C1739"/>
    <w:rsid w:val="008C4041"/>
    <w:rsid w:val="008C7F8F"/>
    <w:rsid w:val="008D1995"/>
    <w:rsid w:val="008D2D56"/>
    <w:rsid w:val="008D41E0"/>
    <w:rsid w:val="008D4A28"/>
    <w:rsid w:val="008D609F"/>
    <w:rsid w:val="008D7ECC"/>
    <w:rsid w:val="008E39FC"/>
    <w:rsid w:val="008E41F1"/>
    <w:rsid w:val="008E51AF"/>
    <w:rsid w:val="008F3AE7"/>
    <w:rsid w:val="008F4C42"/>
    <w:rsid w:val="008F746C"/>
    <w:rsid w:val="008F7C04"/>
    <w:rsid w:val="009007E8"/>
    <w:rsid w:val="009022AA"/>
    <w:rsid w:val="0090292A"/>
    <w:rsid w:val="00902A25"/>
    <w:rsid w:val="00906766"/>
    <w:rsid w:val="00914128"/>
    <w:rsid w:val="00930778"/>
    <w:rsid w:val="00932723"/>
    <w:rsid w:val="00934CAE"/>
    <w:rsid w:val="009355C5"/>
    <w:rsid w:val="00935DA8"/>
    <w:rsid w:val="00936D0A"/>
    <w:rsid w:val="00950692"/>
    <w:rsid w:val="00950960"/>
    <w:rsid w:val="00952BBB"/>
    <w:rsid w:val="0095709A"/>
    <w:rsid w:val="00957E71"/>
    <w:rsid w:val="00965404"/>
    <w:rsid w:val="009725D8"/>
    <w:rsid w:val="00973884"/>
    <w:rsid w:val="00986A4E"/>
    <w:rsid w:val="009902F2"/>
    <w:rsid w:val="009931B9"/>
    <w:rsid w:val="00995B5B"/>
    <w:rsid w:val="009A0224"/>
    <w:rsid w:val="009A5AA6"/>
    <w:rsid w:val="009B6746"/>
    <w:rsid w:val="009C0C3F"/>
    <w:rsid w:val="009D31CE"/>
    <w:rsid w:val="009D5D97"/>
    <w:rsid w:val="009E20C7"/>
    <w:rsid w:val="009E35C3"/>
    <w:rsid w:val="009E3DA4"/>
    <w:rsid w:val="009F581C"/>
    <w:rsid w:val="00A005E6"/>
    <w:rsid w:val="00A06ED6"/>
    <w:rsid w:val="00A073DD"/>
    <w:rsid w:val="00A10F3D"/>
    <w:rsid w:val="00A110C7"/>
    <w:rsid w:val="00A166F5"/>
    <w:rsid w:val="00A22F5A"/>
    <w:rsid w:val="00A36457"/>
    <w:rsid w:val="00A47119"/>
    <w:rsid w:val="00A50F20"/>
    <w:rsid w:val="00A575BC"/>
    <w:rsid w:val="00A57F9C"/>
    <w:rsid w:val="00A61589"/>
    <w:rsid w:val="00A62AFD"/>
    <w:rsid w:val="00A632A0"/>
    <w:rsid w:val="00A63D35"/>
    <w:rsid w:val="00A677E8"/>
    <w:rsid w:val="00A725B4"/>
    <w:rsid w:val="00A73AE6"/>
    <w:rsid w:val="00A73FC9"/>
    <w:rsid w:val="00A76271"/>
    <w:rsid w:val="00A76341"/>
    <w:rsid w:val="00A80C10"/>
    <w:rsid w:val="00A82D0A"/>
    <w:rsid w:val="00A85AAA"/>
    <w:rsid w:val="00A92C18"/>
    <w:rsid w:val="00AB18AB"/>
    <w:rsid w:val="00AB2019"/>
    <w:rsid w:val="00AB477F"/>
    <w:rsid w:val="00AB71A7"/>
    <w:rsid w:val="00AC646C"/>
    <w:rsid w:val="00AC78F7"/>
    <w:rsid w:val="00AD4B56"/>
    <w:rsid w:val="00AE1C04"/>
    <w:rsid w:val="00AE5F5A"/>
    <w:rsid w:val="00AF16D4"/>
    <w:rsid w:val="00AF40E1"/>
    <w:rsid w:val="00AF7D47"/>
    <w:rsid w:val="00B01305"/>
    <w:rsid w:val="00B0264D"/>
    <w:rsid w:val="00B14905"/>
    <w:rsid w:val="00B15998"/>
    <w:rsid w:val="00B32103"/>
    <w:rsid w:val="00B338E2"/>
    <w:rsid w:val="00B35185"/>
    <w:rsid w:val="00B37722"/>
    <w:rsid w:val="00B407E5"/>
    <w:rsid w:val="00B456F5"/>
    <w:rsid w:val="00B538B9"/>
    <w:rsid w:val="00B567C1"/>
    <w:rsid w:val="00B579DF"/>
    <w:rsid w:val="00B6275E"/>
    <w:rsid w:val="00B70D68"/>
    <w:rsid w:val="00B7181F"/>
    <w:rsid w:val="00B719C2"/>
    <w:rsid w:val="00B72D6B"/>
    <w:rsid w:val="00B73408"/>
    <w:rsid w:val="00B80D24"/>
    <w:rsid w:val="00B80FD1"/>
    <w:rsid w:val="00B83FB5"/>
    <w:rsid w:val="00B937E4"/>
    <w:rsid w:val="00B96786"/>
    <w:rsid w:val="00B97801"/>
    <w:rsid w:val="00BA2389"/>
    <w:rsid w:val="00BA27A8"/>
    <w:rsid w:val="00BA510E"/>
    <w:rsid w:val="00BB32CE"/>
    <w:rsid w:val="00BB344E"/>
    <w:rsid w:val="00BC29F9"/>
    <w:rsid w:val="00BC2AD1"/>
    <w:rsid w:val="00BC3545"/>
    <w:rsid w:val="00BC49BF"/>
    <w:rsid w:val="00BC60AE"/>
    <w:rsid w:val="00BC65EF"/>
    <w:rsid w:val="00BD7259"/>
    <w:rsid w:val="00BE2B09"/>
    <w:rsid w:val="00BE654D"/>
    <w:rsid w:val="00BE6634"/>
    <w:rsid w:val="00BF2361"/>
    <w:rsid w:val="00BF5DF3"/>
    <w:rsid w:val="00C018F8"/>
    <w:rsid w:val="00C0406C"/>
    <w:rsid w:val="00C10B57"/>
    <w:rsid w:val="00C15B88"/>
    <w:rsid w:val="00C21D93"/>
    <w:rsid w:val="00C225C9"/>
    <w:rsid w:val="00C26751"/>
    <w:rsid w:val="00C40968"/>
    <w:rsid w:val="00C41692"/>
    <w:rsid w:val="00C473A2"/>
    <w:rsid w:val="00C60E95"/>
    <w:rsid w:val="00C610EC"/>
    <w:rsid w:val="00C63547"/>
    <w:rsid w:val="00C641B0"/>
    <w:rsid w:val="00C70560"/>
    <w:rsid w:val="00C724B6"/>
    <w:rsid w:val="00C737F3"/>
    <w:rsid w:val="00C84E71"/>
    <w:rsid w:val="00C87463"/>
    <w:rsid w:val="00C8797B"/>
    <w:rsid w:val="00C91B1F"/>
    <w:rsid w:val="00C92D29"/>
    <w:rsid w:val="00C93B0B"/>
    <w:rsid w:val="00C94C5E"/>
    <w:rsid w:val="00C965F9"/>
    <w:rsid w:val="00CA41CC"/>
    <w:rsid w:val="00CA7EF2"/>
    <w:rsid w:val="00CB008B"/>
    <w:rsid w:val="00CC0502"/>
    <w:rsid w:val="00CC1AC8"/>
    <w:rsid w:val="00CC6A95"/>
    <w:rsid w:val="00CC7E17"/>
    <w:rsid w:val="00CD4A7D"/>
    <w:rsid w:val="00CE1F43"/>
    <w:rsid w:val="00CE2DF4"/>
    <w:rsid w:val="00CE48C8"/>
    <w:rsid w:val="00CE593D"/>
    <w:rsid w:val="00CF07F1"/>
    <w:rsid w:val="00CF7D11"/>
    <w:rsid w:val="00D00330"/>
    <w:rsid w:val="00D0050C"/>
    <w:rsid w:val="00D014AE"/>
    <w:rsid w:val="00D05926"/>
    <w:rsid w:val="00D06D8D"/>
    <w:rsid w:val="00D16901"/>
    <w:rsid w:val="00D21951"/>
    <w:rsid w:val="00D22D5F"/>
    <w:rsid w:val="00D23BD0"/>
    <w:rsid w:val="00D30894"/>
    <w:rsid w:val="00D333AA"/>
    <w:rsid w:val="00D347CA"/>
    <w:rsid w:val="00D50C3D"/>
    <w:rsid w:val="00D51E80"/>
    <w:rsid w:val="00D53848"/>
    <w:rsid w:val="00D53AC5"/>
    <w:rsid w:val="00D5484F"/>
    <w:rsid w:val="00D61559"/>
    <w:rsid w:val="00D6366B"/>
    <w:rsid w:val="00D7327C"/>
    <w:rsid w:val="00D7396C"/>
    <w:rsid w:val="00D8125F"/>
    <w:rsid w:val="00D82193"/>
    <w:rsid w:val="00D83251"/>
    <w:rsid w:val="00D90E67"/>
    <w:rsid w:val="00D93394"/>
    <w:rsid w:val="00D95B2C"/>
    <w:rsid w:val="00DA1796"/>
    <w:rsid w:val="00DA2814"/>
    <w:rsid w:val="00DA3650"/>
    <w:rsid w:val="00DB2C90"/>
    <w:rsid w:val="00DC0393"/>
    <w:rsid w:val="00DC63A9"/>
    <w:rsid w:val="00DC66A6"/>
    <w:rsid w:val="00DC7533"/>
    <w:rsid w:val="00DD5492"/>
    <w:rsid w:val="00DE0611"/>
    <w:rsid w:val="00DE0F51"/>
    <w:rsid w:val="00DE2930"/>
    <w:rsid w:val="00DF1CFE"/>
    <w:rsid w:val="00DF2CB7"/>
    <w:rsid w:val="00DF3BF1"/>
    <w:rsid w:val="00DF7595"/>
    <w:rsid w:val="00E007F8"/>
    <w:rsid w:val="00E0479A"/>
    <w:rsid w:val="00E048FF"/>
    <w:rsid w:val="00E058BA"/>
    <w:rsid w:val="00E111AA"/>
    <w:rsid w:val="00E14F99"/>
    <w:rsid w:val="00E172C8"/>
    <w:rsid w:val="00E21120"/>
    <w:rsid w:val="00E24E10"/>
    <w:rsid w:val="00E2724A"/>
    <w:rsid w:val="00E30D4B"/>
    <w:rsid w:val="00E32C6D"/>
    <w:rsid w:val="00E372EA"/>
    <w:rsid w:val="00E43BF9"/>
    <w:rsid w:val="00E50187"/>
    <w:rsid w:val="00E55147"/>
    <w:rsid w:val="00E551EB"/>
    <w:rsid w:val="00E67638"/>
    <w:rsid w:val="00E70C9B"/>
    <w:rsid w:val="00E72FF1"/>
    <w:rsid w:val="00E74C0C"/>
    <w:rsid w:val="00E7526A"/>
    <w:rsid w:val="00E767E4"/>
    <w:rsid w:val="00E82266"/>
    <w:rsid w:val="00E842CF"/>
    <w:rsid w:val="00E87248"/>
    <w:rsid w:val="00E87C31"/>
    <w:rsid w:val="00E87FFB"/>
    <w:rsid w:val="00E93068"/>
    <w:rsid w:val="00E95556"/>
    <w:rsid w:val="00E970B9"/>
    <w:rsid w:val="00EA32B8"/>
    <w:rsid w:val="00EA3B32"/>
    <w:rsid w:val="00EB1050"/>
    <w:rsid w:val="00EB113C"/>
    <w:rsid w:val="00EB132E"/>
    <w:rsid w:val="00EB5133"/>
    <w:rsid w:val="00EC16F4"/>
    <w:rsid w:val="00EC17E3"/>
    <w:rsid w:val="00EC3919"/>
    <w:rsid w:val="00EC7C98"/>
    <w:rsid w:val="00ED5E52"/>
    <w:rsid w:val="00ED6904"/>
    <w:rsid w:val="00ED7176"/>
    <w:rsid w:val="00ED75EA"/>
    <w:rsid w:val="00EE2F9A"/>
    <w:rsid w:val="00EF4043"/>
    <w:rsid w:val="00EF5096"/>
    <w:rsid w:val="00F022D4"/>
    <w:rsid w:val="00F062A4"/>
    <w:rsid w:val="00F06ADD"/>
    <w:rsid w:val="00F32AA4"/>
    <w:rsid w:val="00F360F7"/>
    <w:rsid w:val="00F40886"/>
    <w:rsid w:val="00F425A4"/>
    <w:rsid w:val="00F53A19"/>
    <w:rsid w:val="00F53AFD"/>
    <w:rsid w:val="00F573CF"/>
    <w:rsid w:val="00F57A28"/>
    <w:rsid w:val="00F57A2B"/>
    <w:rsid w:val="00F658E5"/>
    <w:rsid w:val="00F755B7"/>
    <w:rsid w:val="00F75F0D"/>
    <w:rsid w:val="00F764F4"/>
    <w:rsid w:val="00F821F8"/>
    <w:rsid w:val="00F8503C"/>
    <w:rsid w:val="00F86F49"/>
    <w:rsid w:val="00FA333E"/>
    <w:rsid w:val="00FA605C"/>
    <w:rsid w:val="00FA664D"/>
    <w:rsid w:val="00FA6AD7"/>
    <w:rsid w:val="00FA7B76"/>
    <w:rsid w:val="00FB29B2"/>
    <w:rsid w:val="00FB33C7"/>
    <w:rsid w:val="00FB3EF4"/>
    <w:rsid w:val="00FC4239"/>
    <w:rsid w:val="00FC4EC7"/>
    <w:rsid w:val="00FC544C"/>
    <w:rsid w:val="00FC7C13"/>
    <w:rsid w:val="00FD2DF4"/>
    <w:rsid w:val="00FD7D4E"/>
    <w:rsid w:val="00FE00D7"/>
    <w:rsid w:val="00FE156B"/>
    <w:rsid w:val="00FE1F3D"/>
    <w:rsid w:val="00FE48F2"/>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AC9C9"/>
  <w15:docId w15:val="{9AEEC96A-BFB3-4926-956F-A41E3884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3E47F0"/>
    <w:rPr>
      <w:sz w:val="22"/>
      <w:szCs w:val="26"/>
    </w:rPr>
  </w:style>
  <w:style w:type="character" w:styleId="Emphasis">
    <w:name w:val="Emphasis"/>
    <w:basedOn w:val="DefaultParagraphFont"/>
    <w:uiPriority w:val="20"/>
    <w:qFormat/>
    <w:rsid w:val="0070700B"/>
    <w:rPr>
      <w:i/>
      <w:iCs/>
    </w:rPr>
  </w:style>
  <w:style w:type="paragraph" w:styleId="BodyText">
    <w:name w:val="Body Text"/>
    <w:basedOn w:val="Normal"/>
    <w:link w:val="BodyTextChar"/>
    <w:uiPriority w:val="99"/>
    <w:semiHidden/>
    <w:unhideWhenUsed/>
    <w:rsid w:val="00F821F8"/>
    <w:pPr>
      <w:spacing w:after="120"/>
    </w:pPr>
  </w:style>
  <w:style w:type="character" w:customStyle="1" w:styleId="BodyTextChar">
    <w:name w:val="Body Text Char"/>
    <w:basedOn w:val="DefaultParagraphFont"/>
    <w:link w:val="BodyText"/>
    <w:uiPriority w:val="99"/>
    <w:semiHidden/>
    <w:rsid w:val="00F821F8"/>
    <w:rPr>
      <w:sz w:val="22"/>
      <w:szCs w:val="26"/>
    </w:rPr>
  </w:style>
  <w:style w:type="character" w:styleId="UnresolvedMention">
    <w:name w:val="Unresolved Mention"/>
    <w:basedOn w:val="DefaultParagraphFont"/>
    <w:uiPriority w:val="99"/>
    <w:semiHidden/>
    <w:unhideWhenUsed/>
    <w:rsid w:val="00381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36959-FDDA-49E8-8F51-C83D5EB0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114</Pages>
  <Words>37377</Words>
  <Characters>213052</Characters>
  <Application>Microsoft Office Word</Application>
  <DocSecurity>0</DocSecurity>
  <Lines>1775</Lines>
  <Paragraphs>499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Buckley</dc:creator>
  <cp:lastModifiedBy>Krista Schelhaas</cp:lastModifiedBy>
  <cp:revision>3</cp:revision>
  <dcterms:created xsi:type="dcterms:W3CDTF">2024-02-29T21:27:00Z</dcterms:created>
  <dcterms:modified xsi:type="dcterms:W3CDTF">2024-02-29T21:28:00Z</dcterms:modified>
</cp:coreProperties>
</file>