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9850C" w14:textId="05BC4AB5" w:rsidR="00CA41CC" w:rsidRPr="00914128" w:rsidRDefault="0068336D" w:rsidP="00914128">
      <w:pPr>
        <w:pStyle w:val="Heading1"/>
      </w:pPr>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503DB3" w:rsidP="00914128">
      <w:pPr>
        <w:pStyle w:val="ToC"/>
      </w:pPr>
      <w:hyperlink w:anchor="a23_01" w:history="1">
        <w:r w:rsidR="00CB5C67" w:rsidRPr="00CB5C67">
          <w:rPr>
            <w:rStyle w:val="Hyperlink"/>
          </w:rPr>
          <w:t>23:1</w:t>
        </w:r>
      </w:hyperlink>
      <w:r w:rsidR="00CB5C67" w:rsidRPr="00CB5C67">
        <w:tab/>
        <w:t xml:space="preserve">Elements </w:t>
      </w:r>
      <w:r w:rsidR="00CB5C67">
        <w:t>o</w:t>
      </w:r>
      <w:r w:rsidR="00CB5C67" w:rsidRPr="00CB5C67">
        <w:t>f Liability</w:t>
      </w:r>
    </w:p>
    <w:p w14:paraId="1E412F0A" w14:textId="77777777" w:rsidR="00CB5C67" w:rsidRDefault="00503DB3" w:rsidP="00914128">
      <w:pPr>
        <w:pStyle w:val="ToC"/>
      </w:pPr>
      <w:hyperlink w:anchor="a23_02" w:history="1">
        <w:r w:rsidR="00CB5C67" w:rsidRPr="00CB5C67">
          <w:rPr>
            <w:rStyle w:val="Hyperlink"/>
          </w:rPr>
          <w:t>23:2</w:t>
        </w:r>
      </w:hyperlink>
      <w:r w:rsidR="00CB5C67" w:rsidRPr="00CB5C67">
        <w:t xml:space="preserve"> </w:t>
      </w:r>
      <w:r w:rsidR="00CB5C67" w:rsidRPr="00CB5C67">
        <w:tab/>
        <w:t xml:space="preserve">Extreme </w:t>
      </w:r>
      <w:r w:rsidR="00CB5C67">
        <w:t>a</w:t>
      </w:r>
      <w:r w:rsidR="00CB5C67" w:rsidRPr="00CB5C67">
        <w:t>nd Outrageous Conduct — Defined</w:t>
      </w:r>
    </w:p>
    <w:p w14:paraId="45B6424A" w14:textId="77777777" w:rsidR="00CB5C67" w:rsidRDefault="00503DB3" w:rsidP="00914128">
      <w:pPr>
        <w:pStyle w:val="ToC"/>
      </w:pPr>
      <w:hyperlink w:anchor="a23_03" w:history="1">
        <w:r w:rsidR="00CB5C67" w:rsidRPr="00CB5C67">
          <w:rPr>
            <w:rStyle w:val="Hyperlink"/>
          </w:rPr>
          <w:t>23:3</w:t>
        </w:r>
      </w:hyperlink>
      <w:r w:rsidR="00CB5C67" w:rsidRPr="00CB5C67">
        <w:t xml:space="preserve"> </w:t>
      </w:r>
      <w:r w:rsidR="00CB5C67" w:rsidRPr="00CB5C67">
        <w:tab/>
        <w:t xml:space="preserve">Recklessly </w:t>
      </w:r>
      <w:r w:rsidR="00CB5C67">
        <w:t>o</w:t>
      </w:r>
      <w:r w:rsidR="00CB5C67" w:rsidRPr="00CB5C67">
        <w:t xml:space="preserve">r </w:t>
      </w:r>
      <w:r w:rsidR="00CB5C67">
        <w:t>w</w:t>
      </w:r>
      <w:r w:rsidR="00CB5C67" w:rsidRPr="00CB5C67">
        <w:t>ith Intent — Defined</w:t>
      </w:r>
    </w:p>
    <w:p w14:paraId="7C19D870" w14:textId="77777777" w:rsidR="00CB5C67" w:rsidRDefault="00503DB3" w:rsidP="00914128">
      <w:pPr>
        <w:pStyle w:val="ToC"/>
      </w:pPr>
      <w:hyperlink w:anchor="a23_04" w:history="1">
        <w:r w:rsidR="00CB5C67" w:rsidRPr="00CB5C67">
          <w:rPr>
            <w:rStyle w:val="Hyperlink"/>
          </w:rPr>
          <w:t>23:4</w:t>
        </w:r>
      </w:hyperlink>
      <w:r w:rsidR="00CB5C67" w:rsidRPr="00CB5C67">
        <w:t xml:space="preserve"> </w:t>
      </w:r>
      <w:r w:rsidR="00CB5C67" w:rsidRPr="00CB5C67">
        <w:tab/>
        <w:t>Severe Emotional Distress — Defined</w:t>
      </w:r>
    </w:p>
    <w:p w14:paraId="06912C70" w14:textId="77777777" w:rsidR="00CB5C67" w:rsidRDefault="00503DB3" w:rsidP="00914128">
      <w:pPr>
        <w:pStyle w:val="ToC"/>
      </w:pPr>
      <w:hyperlink w:anchor="a23_05" w:history="1">
        <w:r w:rsidR="00CB5C67" w:rsidRPr="00CB5C67">
          <w:rPr>
            <w:rStyle w:val="Hyperlink"/>
          </w:rPr>
          <w:t>23:5</w:t>
        </w:r>
      </w:hyperlink>
      <w:r w:rsidR="00CB5C67" w:rsidRPr="00CB5C67">
        <w:t xml:space="preserve"> </w:t>
      </w:r>
      <w:r w:rsidR="00CB5C67" w:rsidRPr="00CB5C67">
        <w:tab/>
        <w:t xml:space="preserve">Exercising Legal Rights </w:t>
      </w:r>
      <w:r w:rsidR="00CB5C67">
        <w:t>i</w:t>
      </w:r>
      <w:r w:rsidR="00CB5C67" w:rsidRPr="00CB5C67">
        <w:t>n Permissible Manner</w:t>
      </w:r>
    </w:p>
    <w:p w14:paraId="0A627FF6" w14:textId="77777777" w:rsidR="00CB5C67" w:rsidRDefault="00503DB3" w:rsidP="00914128">
      <w:pPr>
        <w:pStyle w:val="ToC"/>
      </w:pPr>
      <w:hyperlink w:anchor="a23_06" w:history="1">
        <w:r w:rsidR="00CB5C67" w:rsidRPr="00CB5C67">
          <w:rPr>
            <w:rStyle w:val="Hyperlink"/>
          </w:rPr>
          <w:t>23:6</w:t>
        </w:r>
      </w:hyperlink>
      <w:r w:rsidR="00CB5C67" w:rsidRPr="00CB5C67">
        <w:t xml:space="preserve"> </w:t>
      </w:r>
      <w:r w:rsidR="00CB5C67"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0" w:name="a23_01"/>
      <w:bookmarkEnd w:id="0"/>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00DF24A4"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xml:space="preserve">, on </w:t>
      </w:r>
      <w:r w:rsidR="00695339" w:rsidRPr="00695339">
        <w:rPr>
          <w:rFonts w:eastAsia="Times New Roman"/>
          <w:bCs/>
          <w:i/>
          <w:iCs/>
          <w:sz w:val="24"/>
          <w:szCs w:val="24"/>
        </w:rPr>
        <w:t>(insert applicable pronoun)</w:t>
      </w:r>
      <w:r w:rsidRPr="008B7480">
        <w:rPr>
          <w:rFonts w:eastAsia="Times New Roman"/>
          <w:b/>
          <w:sz w:val="24"/>
          <w:szCs w:val="24"/>
        </w:rPr>
        <w:t xml:space="preserve"> claim of extreme and outrageous conduct,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place">
        <w:smartTag w:uri="urn:schemas-microsoft-com:office:smarttags" w:element="Stat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r w:rsidRPr="008B7480">
        <w:rPr>
          <w:rFonts w:eastAsia="Times New Roman"/>
          <w:b/>
          <w:sz w:val="24"/>
          <w:szCs w:val="24"/>
        </w:rPr>
        <w:t>Reigel v. SavaSeniorCare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 v. Kancilia</w:t>
      </w:r>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r w:rsidRPr="008B7480">
        <w:rPr>
          <w:rFonts w:eastAsia="Times New Roman"/>
          <w:b/>
          <w:sz w:val="24"/>
          <w:szCs w:val="24"/>
        </w:rPr>
        <w:t>Tracz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Mortg.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Corcoran v. Sanner</w:t>
      </w:r>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r w:rsidRPr="008B7480">
        <w:rPr>
          <w:rFonts w:eastAsia="Times New Roman"/>
          <w:b/>
          <w:sz w:val="24"/>
          <w:szCs w:val="24"/>
        </w:rPr>
        <w:t>Reigel</w:t>
      </w:r>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r w:rsidRPr="008B7480">
        <w:rPr>
          <w:rFonts w:eastAsia="Times New Roman"/>
          <w:b/>
          <w:sz w:val="24"/>
          <w:szCs w:val="24"/>
        </w:rPr>
        <w:t>Tracz</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witt v. Pitkin Cty. Bank &amp; Tr. Co.</w:t>
      </w:r>
      <w:r w:rsidRPr="008B7480">
        <w:rPr>
          <w:rFonts w:eastAsia="Times New Roman"/>
          <w:sz w:val="24"/>
          <w:szCs w:val="24"/>
        </w:rPr>
        <w:t xml:space="preserve">, 931 P.2d 456 (Colo. App. 1995); </w:t>
      </w:r>
      <w:r w:rsidRPr="008B7480">
        <w:rPr>
          <w:rFonts w:eastAsia="Times New Roman"/>
          <w:b/>
          <w:sz w:val="24"/>
          <w:szCs w:val="24"/>
        </w:rPr>
        <w:t>Hutton v. Mem’l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“[P]ublic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Vrain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w:t>
      </w:r>
      <w:r w:rsidRPr="008B7480">
        <w:rPr>
          <w:rFonts w:eastAsia="Times New Roman"/>
          <w:sz w:val="24"/>
          <w:szCs w:val="24"/>
        </w:rPr>
        <w:lastRenderedPageBreak/>
        <w:t xml:space="preserve">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Hoffsetz v. Jefferson Cty.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r w:rsidRPr="008B7480">
        <w:rPr>
          <w:rFonts w:eastAsia="Times New Roman"/>
          <w:b/>
          <w:sz w:val="24"/>
          <w:szCs w:val="24"/>
        </w:rPr>
        <w:t>Vikman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the court held that the National Labor Relations Act, 29 U.S.C. §§ 151 to -169, did not preempt outrageous conduct claims against a union arising out of a union activity against union member who crossed a picket line.</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r w:rsidRPr="008B7480">
        <w:rPr>
          <w:rFonts w:eastAsia="Times New Roman"/>
          <w:b/>
          <w:sz w:val="24"/>
          <w:szCs w:val="24"/>
        </w:rPr>
        <w:t>Bigby v. Big 3 Supply Co.</w:t>
      </w:r>
      <w:r w:rsidRPr="008B7480">
        <w:rPr>
          <w:rFonts w:eastAsia="Times New Roman"/>
          <w:sz w:val="24"/>
          <w:szCs w:val="24"/>
        </w:rPr>
        <w:t>, 937 P.2d 794 (Colo. App. 1996).</w:t>
      </w:r>
    </w:p>
    <w:p w14:paraId="6F00C798" w14:textId="7B588BB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13. An outrageous conduct claim may not be stated against an employer providing alcohol as a social host to adults, in light of the protection offered by </w:t>
      </w:r>
      <w:r w:rsidR="00C61B9B">
        <w:rPr>
          <w:rFonts w:eastAsia="Times New Roman"/>
          <w:sz w:val="24"/>
          <w:szCs w:val="24"/>
        </w:rPr>
        <w:t>Colorado’s</w:t>
      </w:r>
      <w:r w:rsidR="009F4F89">
        <w:rPr>
          <w:rFonts w:eastAsia="Times New Roman"/>
          <w:sz w:val="24"/>
          <w:szCs w:val="24"/>
        </w:rPr>
        <w:t xml:space="preserve"> </w:t>
      </w:r>
      <w:r w:rsidR="00C61B9B">
        <w:rPr>
          <w:rFonts w:eastAsia="Times New Roman"/>
          <w:sz w:val="24"/>
          <w:szCs w:val="24"/>
        </w:rPr>
        <w:t>Dram Shop Act</w:t>
      </w:r>
      <w:r w:rsidR="009F4F89">
        <w:rPr>
          <w:rFonts w:eastAsia="Times New Roman"/>
          <w:sz w:val="24"/>
          <w:szCs w:val="24"/>
        </w:rPr>
        <w:t xml:space="preserve">. § </w:t>
      </w:r>
      <w:r w:rsidR="00C2039D">
        <w:rPr>
          <w:rFonts w:eastAsia="Times New Roman"/>
          <w:sz w:val="24"/>
          <w:szCs w:val="24"/>
        </w:rPr>
        <w:t>44-3-801(4)(a)</w:t>
      </w:r>
      <w:r w:rsidR="00317839">
        <w:rPr>
          <w:rFonts w:eastAsia="Times New Roman"/>
          <w:sz w:val="24"/>
          <w:szCs w:val="24"/>
        </w:rPr>
        <w:t>, C.R.S.</w:t>
      </w:r>
      <w:r w:rsidR="000A2309">
        <w:rPr>
          <w:rFonts w:eastAsia="Times New Roman"/>
          <w:sz w:val="24"/>
          <w:szCs w:val="24"/>
        </w:rPr>
        <w:t xml:space="preserve"> (formerly § 12-47-801(4)(a), C.R.S.)</w:t>
      </w:r>
      <w:r w:rsidR="009F4F89">
        <w:rPr>
          <w:rFonts w:eastAsia="Times New Roman"/>
          <w:sz w:val="24"/>
          <w:szCs w:val="24"/>
        </w:rPr>
        <w:t>;</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r w:rsidRPr="008B7480">
        <w:rPr>
          <w:rFonts w:eastAsia="Times New Roman"/>
          <w:b/>
          <w:sz w:val="24"/>
          <w:szCs w:val="24"/>
        </w:rPr>
        <w:t>Seefried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1" w:name="a23_02"/>
      <w:bookmarkEnd w:id="1"/>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 v. Grabrian</w:t>
      </w:r>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 v. Adolph Coors Co.</w:t>
      </w:r>
      <w:r w:rsidRPr="009A273C">
        <w:rPr>
          <w:rFonts w:eastAsia="Times New Roman"/>
          <w:sz w:val="24"/>
          <w:szCs w:val="24"/>
        </w:rPr>
        <w:t>, 759 P.2d 1336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lastRenderedPageBreak/>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Reigel v. SavaSeniorCare,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Tracz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r w:rsidRPr="009A273C">
        <w:rPr>
          <w:rFonts w:eastAsia="Times New Roman"/>
          <w:b/>
          <w:sz w:val="24"/>
          <w:szCs w:val="24"/>
        </w:rPr>
        <w:t>Bohrer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r w:rsidRPr="009A273C">
        <w:rPr>
          <w:rFonts w:eastAsia="Times New Roman"/>
          <w:b/>
          <w:sz w:val="24"/>
          <w:szCs w:val="24"/>
        </w:rPr>
        <w:t>Zick v. Krob</w:t>
      </w:r>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r w:rsidRPr="009A273C">
        <w:rPr>
          <w:rFonts w:eastAsia="Times New Roman"/>
          <w:b/>
          <w:sz w:val="24"/>
          <w:szCs w:val="24"/>
        </w:rPr>
        <w:t>Lindemuth v. Jefferson Cty.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Montoya v.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Cavanaugh</w:t>
      </w:r>
      <w:r w:rsidRPr="009A273C">
        <w:rPr>
          <w:rFonts w:eastAsia="Times New Roman"/>
          <w:sz w:val="24"/>
          <w:szCs w:val="24"/>
        </w:rPr>
        <w:t xml:space="preserve">, 40 Colo. App. 454, 580 P.2d 399;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Ass’n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cmt.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r w:rsidRPr="009A273C">
        <w:rPr>
          <w:rFonts w:eastAsia="Times New Roman"/>
          <w:b/>
          <w:sz w:val="24"/>
          <w:szCs w:val="24"/>
        </w:rPr>
        <w:t>Gorab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1984);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 v. Kancilia</w:t>
      </w:r>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lastRenderedPageBreak/>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r w:rsidRPr="009A273C">
        <w:rPr>
          <w:rFonts w:eastAsia="Times New Roman"/>
          <w:b/>
          <w:sz w:val="24"/>
          <w:szCs w:val="24"/>
        </w:rPr>
        <w:t>Zalnis</w:t>
      </w:r>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State">
        <w:smartTag w:uri="urn:schemas-microsoft-com:office:smarttags" w:element="plac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2" w:name="a23_03"/>
      <w:bookmarkEnd w:id="2"/>
      <w:r w:rsidRPr="009A273C">
        <w:rPr>
          <w:rFonts w:eastAsia="Times New Roman"/>
          <w:b/>
          <w:sz w:val="24"/>
          <w:szCs w:val="24"/>
        </w:rPr>
        <w:lastRenderedPageBreak/>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1994); and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3" w:name="a23_04"/>
      <w:bookmarkEnd w:id="3"/>
      <w:r w:rsidRPr="007C4B23">
        <w:rPr>
          <w:rFonts w:eastAsia="Times New Roman"/>
          <w:b/>
          <w:sz w:val="24"/>
          <w:szCs w:val="24"/>
        </w:rPr>
        <w:lastRenderedPageBreak/>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cmt.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j (1965) is part of Colorado’s common law); </w:t>
      </w:r>
      <w:r w:rsidRPr="007C4B23">
        <w:rPr>
          <w:rFonts w:eastAsia="Times New Roman"/>
          <w:b/>
          <w:sz w:val="24"/>
          <w:szCs w:val="24"/>
        </w:rPr>
        <w:t>DeCicco v. Trinidad Area Health Ass’n</w:t>
      </w:r>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r w:rsidRPr="007C4B23">
        <w:rPr>
          <w:rFonts w:eastAsia="Times New Roman"/>
          <w:b/>
          <w:sz w:val="24"/>
          <w:szCs w:val="24"/>
        </w:rPr>
        <w:t>Zalnis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4" w:name="a23_05"/>
      <w:bookmarkEnd w:id="4"/>
      <w:r w:rsidRPr="007C4B23">
        <w:rPr>
          <w:rFonts w:eastAsia="Times New Roman"/>
          <w:b/>
          <w:sz w:val="24"/>
          <w:szCs w:val="24"/>
        </w:rPr>
        <w:lastRenderedPageBreak/>
        <w:t xml:space="preserve">23:5 </w:t>
      </w:r>
      <w:r w:rsidRPr="007C4B23">
        <w:rPr>
          <w:rFonts w:eastAsia="Times New Roman"/>
          <w:b/>
          <w:sz w:val="24"/>
          <w:szCs w:val="24"/>
        </w:rPr>
        <w:tab/>
        <w:t>EXERCISING LEGAL RIGHTS IN PERMISSIBLE MANNER</w:t>
      </w:r>
    </w:p>
    <w:p w14:paraId="49EE5D6A" w14:textId="592C9C88"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w:t>
      </w:r>
      <w:r w:rsidR="00695339" w:rsidRPr="00695339">
        <w:rPr>
          <w:rFonts w:eastAsia="Times New Roman"/>
          <w:bCs/>
          <w:i/>
          <w:iCs/>
          <w:sz w:val="24"/>
          <w:szCs w:val="24"/>
        </w:rPr>
        <w:t>(insert applicable pronoun)</w:t>
      </w:r>
      <w:r w:rsidRPr="007C4B23">
        <w:rPr>
          <w:rFonts w:eastAsia="Times New Roman"/>
          <w:b/>
          <w:sz w:val="24"/>
          <w:szCs w:val="24"/>
        </w:rPr>
        <w:t xml:space="preserve"> was exercising </w:t>
      </w:r>
      <w:r w:rsidR="00695339" w:rsidRPr="00695339">
        <w:rPr>
          <w:rFonts w:eastAsia="Times New Roman"/>
          <w:bCs/>
          <w:i/>
          <w:iCs/>
          <w:sz w:val="24"/>
          <w:szCs w:val="24"/>
        </w:rPr>
        <w:t>(insert applicable pronoun)</w:t>
      </w:r>
      <w:r w:rsidRPr="007C4B23">
        <w:rPr>
          <w:rFonts w:eastAsia="Times New Roman"/>
          <w:b/>
          <w:sz w:val="24"/>
          <w:szCs w:val="24"/>
        </w:rPr>
        <w:t xml:space="preserve">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xml:space="preserve">. If the defendant was exercising </w:t>
      </w:r>
      <w:r w:rsidR="00695339" w:rsidRPr="00695339">
        <w:rPr>
          <w:rFonts w:eastAsia="Times New Roman"/>
          <w:bCs/>
          <w:i/>
          <w:iCs/>
          <w:sz w:val="24"/>
          <w:szCs w:val="24"/>
        </w:rPr>
        <w:t>(insert applicable pronoun)</w:t>
      </w:r>
      <w:r w:rsidRPr="007C4B23">
        <w:rPr>
          <w:rFonts w:eastAsia="Times New Roman"/>
          <w:b/>
          <w:sz w:val="24"/>
          <w:szCs w:val="24"/>
        </w:rPr>
        <w:t xml:space="preserve">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5" w:name="a23_06"/>
      <w:bookmarkEnd w:id="5"/>
      <w:r w:rsidRPr="007C4B23">
        <w:rPr>
          <w:rFonts w:eastAsia="Times New Roman"/>
          <w:b/>
          <w:sz w:val="24"/>
          <w:szCs w:val="24"/>
        </w:rPr>
        <w:lastRenderedPageBreak/>
        <w:t xml:space="preserve">23:6 </w:t>
      </w:r>
      <w:r w:rsidRPr="007C4B23">
        <w:rPr>
          <w:rFonts w:eastAsia="Times New Roman"/>
          <w:b/>
          <w:sz w:val="24"/>
          <w:szCs w:val="24"/>
        </w:rPr>
        <w:tab/>
        <w:t>ACTUAL DAMAGES</w:t>
      </w:r>
    </w:p>
    <w:p w14:paraId="1024D584" w14:textId="438E87D0"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w:t>
      </w:r>
      <w:r w:rsidR="00695339" w:rsidRPr="00695339">
        <w:rPr>
          <w:rFonts w:eastAsia="Times New Roman"/>
          <w:bCs/>
          <w:i/>
          <w:iCs/>
          <w:sz w:val="24"/>
          <w:szCs w:val="24"/>
        </w:rPr>
        <w:t>(insert applicable pronoun)</w:t>
      </w:r>
      <w:r w:rsidRPr="007C4B23">
        <w:rPr>
          <w:rFonts w:eastAsia="Times New Roman"/>
          <w:b/>
          <w:sz w:val="24"/>
          <w:szCs w:val="24"/>
        </w:rPr>
        <w:t xml:space="preserve">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3F85CC96" w:rsidR="007C4B23" w:rsidRPr="00D46668"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13-15-111.5, C.R.S., requires the pro rata distribution of civil liability among intentional and negligent tortfeasors who jointly cause indivisible injuries</w:t>
      </w:r>
      <w:r w:rsidR="00976597" w:rsidRPr="003F4131">
        <w:rPr>
          <w:rFonts w:ascii="Garamond" w:eastAsia="Garamond" w:hAnsi="Garamond" w:cs="Garamond"/>
          <w:color w:val="000000" w:themeColor="text1"/>
          <w:sz w:val="26"/>
        </w:rPr>
        <w:t>)</w:t>
      </w:r>
      <w:r w:rsidR="00C732D2" w:rsidRPr="00975EB3">
        <w:rPr>
          <w:rFonts w:eastAsia="Garamond"/>
          <w:color w:val="000000" w:themeColor="text1"/>
          <w:sz w:val="26"/>
        </w:rPr>
        <w:t>;</w:t>
      </w:r>
      <w:r w:rsidR="00C732D2" w:rsidRPr="00975EB3">
        <w:rPr>
          <w:rFonts w:eastAsia="Garamond"/>
          <w:b/>
          <w:bCs/>
          <w:color w:val="000000" w:themeColor="text1"/>
          <w:sz w:val="26"/>
        </w:rPr>
        <w:t xml:space="preserve"> </w:t>
      </w:r>
      <w:r w:rsidR="00C732D2" w:rsidRPr="006E7C2A">
        <w:rPr>
          <w:rFonts w:eastAsia="Garamond"/>
          <w:b/>
          <w:bCs/>
          <w:color w:val="000000" w:themeColor="text1"/>
          <w:sz w:val="24"/>
          <w:szCs w:val="24"/>
        </w:rPr>
        <w:t>Blakeland Drive Inv</w:t>
      </w:r>
      <w:r w:rsidR="006E7C2A">
        <w:rPr>
          <w:rFonts w:eastAsia="Garamond"/>
          <w:b/>
          <w:bCs/>
          <w:color w:val="000000" w:themeColor="text1"/>
          <w:sz w:val="24"/>
          <w:szCs w:val="24"/>
        </w:rPr>
        <w:t>’</w:t>
      </w:r>
      <w:r w:rsidR="00A302D9" w:rsidRPr="006E7C2A">
        <w:rPr>
          <w:rFonts w:eastAsia="Garamond"/>
          <w:b/>
          <w:bCs/>
          <w:color w:val="000000" w:themeColor="text1"/>
          <w:sz w:val="24"/>
          <w:szCs w:val="24"/>
        </w:rPr>
        <w:t>rs</w:t>
      </w:r>
      <w:r w:rsidR="00C732D2" w:rsidRPr="006E7C2A">
        <w:rPr>
          <w:rFonts w:eastAsia="Garamond"/>
          <w:b/>
          <w:bCs/>
          <w:color w:val="000000" w:themeColor="text1"/>
          <w:sz w:val="24"/>
          <w:szCs w:val="24"/>
        </w:rPr>
        <w:t>, LLP IV v. Taghavi</w:t>
      </w:r>
      <w:r w:rsidR="00C732D2" w:rsidRPr="006E7C2A">
        <w:rPr>
          <w:rFonts w:eastAsia="Garamond"/>
          <w:color w:val="000000" w:themeColor="text1"/>
          <w:sz w:val="24"/>
          <w:szCs w:val="24"/>
        </w:rPr>
        <w:t>, 2023 COA 30M, ¶</w:t>
      </w:r>
      <w:r w:rsidR="00F407EF" w:rsidRPr="00C0113E">
        <w:rPr>
          <w:rFonts w:eastAsia="Garamond"/>
          <w:color w:val="000000" w:themeColor="text1"/>
          <w:sz w:val="24"/>
          <w:szCs w:val="24"/>
        </w:rPr>
        <w:t>¶</w:t>
      </w:r>
      <w:r w:rsidR="00C732D2" w:rsidRPr="006E7C2A">
        <w:rPr>
          <w:rFonts w:eastAsia="Garamond"/>
          <w:color w:val="000000" w:themeColor="text1"/>
          <w:sz w:val="24"/>
          <w:szCs w:val="24"/>
        </w:rPr>
        <w:t xml:space="preserve"> </w:t>
      </w:r>
      <w:r w:rsidR="00EE356D" w:rsidRPr="006E7C2A">
        <w:rPr>
          <w:rFonts w:eastAsia="Garamond"/>
          <w:color w:val="000000" w:themeColor="text1"/>
          <w:sz w:val="24"/>
          <w:szCs w:val="24"/>
        </w:rPr>
        <w:t>5</w:t>
      </w:r>
      <w:r w:rsidR="00F407EF">
        <w:rPr>
          <w:rFonts w:eastAsia="Garamond"/>
          <w:color w:val="000000" w:themeColor="text1"/>
          <w:sz w:val="24"/>
          <w:szCs w:val="24"/>
        </w:rPr>
        <w:t>6-</w:t>
      </w:r>
      <w:r w:rsidR="006B5135">
        <w:rPr>
          <w:rFonts w:eastAsia="Garamond"/>
          <w:color w:val="000000" w:themeColor="text1"/>
          <w:sz w:val="24"/>
          <w:szCs w:val="24"/>
        </w:rPr>
        <w:t>59</w:t>
      </w:r>
      <w:r w:rsidR="00C732D2" w:rsidRPr="006E7C2A">
        <w:rPr>
          <w:rFonts w:eastAsia="Garamond"/>
          <w:color w:val="000000" w:themeColor="text1"/>
          <w:sz w:val="24"/>
          <w:szCs w:val="24"/>
        </w:rPr>
        <w:t>, 532 P.3d 369</w:t>
      </w:r>
      <w:r w:rsidR="006E7C2A">
        <w:rPr>
          <w:rFonts w:eastAsia="Garamond"/>
          <w:color w:val="000000" w:themeColor="text1"/>
          <w:sz w:val="24"/>
          <w:szCs w:val="24"/>
        </w:rPr>
        <w:t xml:space="preserve"> </w:t>
      </w:r>
      <w:r w:rsidR="00C732D2" w:rsidRPr="006E7C2A">
        <w:rPr>
          <w:rFonts w:eastAsia="Garamond"/>
          <w:color w:val="000000" w:themeColor="text1"/>
          <w:sz w:val="24"/>
          <w:szCs w:val="24"/>
        </w:rPr>
        <w:t>(</w:t>
      </w:r>
      <w:r w:rsidR="00E129F3" w:rsidRPr="006E7C2A">
        <w:rPr>
          <w:rFonts w:eastAsia="Garamond"/>
          <w:color w:val="000000" w:themeColor="text1"/>
          <w:sz w:val="24"/>
          <w:szCs w:val="24"/>
        </w:rPr>
        <w:t xml:space="preserve">rejecting </w:t>
      </w:r>
      <w:r w:rsidR="00A01D33" w:rsidRPr="006E7C2A">
        <w:rPr>
          <w:rFonts w:eastAsia="Garamond"/>
          <w:color w:val="000000" w:themeColor="text1"/>
          <w:sz w:val="24"/>
          <w:szCs w:val="24"/>
        </w:rPr>
        <w:t xml:space="preserve">the argument that </w:t>
      </w:r>
      <w:r w:rsidR="00C7774D" w:rsidRPr="00254258">
        <w:rPr>
          <w:rFonts w:eastAsia="Times New Roman"/>
          <w:smallCaps/>
          <w:sz w:val="24"/>
          <w:szCs w:val="24"/>
        </w:rPr>
        <w:t>Restatement (Second) of Torts</w:t>
      </w:r>
      <w:r w:rsidR="00C7774D" w:rsidRPr="007C4B23">
        <w:rPr>
          <w:rFonts w:eastAsia="Times New Roman"/>
          <w:sz w:val="24"/>
          <w:szCs w:val="24"/>
        </w:rPr>
        <w:t xml:space="preserve"> </w:t>
      </w:r>
      <w:r w:rsidR="000E5AEC">
        <w:rPr>
          <w:color w:val="3D3D3D"/>
          <w:sz w:val="24"/>
          <w:szCs w:val="24"/>
          <w:shd w:val="clear" w:color="auto" w:fill="FFFFFF"/>
        </w:rPr>
        <w:t>§</w:t>
      </w:r>
      <w:r w:rsidR="00A01D33" w:rsidRPr="006E7C2A">
        <w:rPr>
          <w:color w:val="3D3D3D"/>
          <w:sz w:val="24"/>
          <w:szCs w:val="24"/>
          <w:shd w:val="clear" w:color="auto" w:fill="FFFFFF"/>
        </w:rPr>
        <w:t xml:space="preserve"> 433B</w:t>
      </w:r>
      <w:r w:rsidR="002704DD" w:rsidRPr="006E7C2A">
        <w:rPr>
          <w:color w:val="3D3D3D"/>
          <w:sz w:val="24"/>
          <w:szCs w:val="24"/>
          <w:shd w:val="clear" w:color="auto" w:fill="FFFFFF"/>
        </w:rPr>
        <w:t>(2</w:t>
      </w:r>
      <w:r w:rsidR="002704DD" w:rsidRPr="006E7C2A">
        <w:rPr>
          <w:sz w:val="24"/>
          <w:szCs w:val="24"/>
        </w:rPr>
        <w:t xml:space="preserve">) (1965) </w:t>
      </w:r>
      <w:r w:rsidR="00A01D33" w:rsidRPr="006E7C2A">
        <w:rPr>
          <w:color w:val="3D3D3D"/>
          <w:sz w:val="24"/>
          <w:szCs w:val="24"/>
          <w:shd w:val="clear" w:color="auto" w:fill="FFFFFF"/>
        </w:rPr>
        <w:t>creates an exception to</w:t>
      </w:r>
      <w:r w:rsidR="00B83E18" w:rsidRPr="006E7C2A">
        <w:rPr>
          <w:color w:val="3D3D3D"/>
          <w:sz w:val="24"/>
          <w:szCs w:val="24"/>
          <w:shd w:val="clear" w:color="auto" w:fill="FFFFFF"/>
        </w:rPr>
        <w:t xml:space="preserve"> pro</w:t>
      </w:r>
      <w:r w:rsidR="004837C6" w:rsidRPr="006E7C2A">
        <w:rPr>
          <w:color w:val="3D3D3D"/>
          <w:sz w:val="24"/>
          <w:szCs w:val="24"/>
          <w:shd w:val="clear" w:color="auto" w:fill="FFFFFF"/>
        </w:rPr>
        <w:t xml:space="preserve"> rata </w:t>
      </w:r>
      <w:r w:rsidR="00B83E18" w:rsidRPr="006E7C2A">
        <w:rPr>
          <w:color w:val="3D3D3D"/>
          <w:sz w:val="24"/>
          <w:szCs w:val="24"/>
          <w:shd w:val="clear" w:color="auto" w:fill="FFFFFF"/>
        </w:rPr>
        <w:t>liability under</w:t>
      </w:r>
      <w:r w:rsidR="00A01D33" w:rsidRPr="006E7C2A">
        <w:rPr>
          <w:color w:val="3D3D3D"/>
          <w:sz w:val="24"/>
          <w:szCs w:val="24"/>
          <w:shd w:val="clear" w:color="auto" w:fill="FFFFFF"/>
        </w:rPr>
        <w:t xml:space="preserve"> </w:t>
      </w:r>
      <w:r w:rsidR="00C732D2" w:rsidRPr="006E7C2A">
        <w:rPr>
          <w:rFonts w:eastAsia="Garamond"/>
          <w:color w:val="000000" w:themeColor="text1"/>
          <w:sz w:val="24"/>
          <w:szCs w:val="24"/>
        </w:rPr>
        <w:t>section 13-21-111.5(1)</w:t>
      </w:r>
      <w:r w:rsidR="00A01D33" w:rsidRPr="006E7C2A">
        <w:rPr>
          <w:rFonts w:eastAsia="Garamond"/>
          <w:color w:val="000000" w:themeColor="text1"/>
          <w:sz w:val="24"/>
          <w:szCs w:val="24"/>
        </w:rPr>
        <w:t xml:space="preserve"> for </w:t>
      </w:r>
      <w:r w:rsidR="00E95923" w:rsidRPr="006E7C2A">
        <w:rPr>
          <w:rFonts w:eastAsia="Garamond"/>
          <w:color w:val="000000" w:themeColor="text1"/>
          <w:sz w:val="24"/>
          <w:szCs w:val="24"/>
        </w:rPr>
        <w:t>indivisible injuries)</w:t>
      </w:r>
      <w:r w:rsidR="00976597" w:rsidRPr="006E7C2A">
        <w:rPr>
          <w:rFonts w:eastAsia="Garamond"/>
          <w:color w:val="000000" w:themeColor="text1"/>
          <w:sz w:val="24"/>
          <w:szCs w:val="24"/>
        </w:rPr>
        <w:t>.</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lastRenderedPageBreak/>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r w:rsidRPr="007C4B23">
        <w:rPr>
          <w:rFonts w:eastAsia="Times New Roman"/>
          <w:b/>
          <w:sz w:val="24"/>
          <w:szCs w:val="24"/>
        </w:rPr>
        <w:t>Meiter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sentimental and emotional value of property may be considered in awarding damages in claims for the intentional or reckless infliction of emotional distress, such as a claim for outrageous conduct. </w:t>
      </w:r>
      <w:r w:rsidRPr="007C4B23">
        <w:rPr>
          <w:rFonts w:eastAsia="Times New Roman"/>
          <w:b/>
          <w:sz w:val="24"/>
          <w:szCs w:val="24"/>
        </w:rPr>
        <w:t>Chryar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4510" w14:textId="77777777" w:rsidR="00382877" w:rsidRDefault="00382877" w:rsidP="0054263B">
      <w:r>
        <w:separator/>
      </w:r>
    </w:p>
    <w:p w14:paraId="16D2620A" w14:textId="77777777" w:rsidR="00382877" w:rsidRDefault="00382877"/>
  </w:endnote>
  <w:endnote w:type="continuationSeparator" w:id="0">
    <w:p w14:paraId="65EA21A0" w14:textId="77777777" w:rsidR="00382877" w:rsidRDefault="00382877" w:rsidP="0054263B">
      <w:r>
        <w:continuationSeparator/>
      </w:r>
    </w:p>
    <w:p w14:paraId="6218F5E7" w14:textId="77777777" w:rsidR="00382877" w:rsidRDefault="00382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942B73">
          <w:rPr>
            <w:noProof/>
          </w:rPr>
          <w:t>2</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0A6B" w14:textId="77777777" w:rsidR="00382877" w:rsidRDefault="00382877" w:rsidP="0054263B">
      <w:r>
        <w:separator/>
      </w:r>
    </w:p>
    <w:p w14:paraId="32BD86A9" w14:textId="77777777" w:rsidR="00382877" w:rsidRDefault="00382877"/>
  </w:footnote>
  <w:footnote w:type="continuationSeparator" w:id="0">
    <w:p w14:paraId="5C8CDEEE" w14:textId="77777777" w:rsidR="00382877" w:rsidRDefault="00382877" w:rsidP="0054263B">
      <w:r>
        <w:continuationSeparator/>
      </w:r>
    </w:p>
    <w:p w14:paraId="2351286E" w14:textId="77777777" w:rsidR="00382877" w:rsidRDefault="003828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5002144">
    <w:abstractNumId w:val="0"/>
  </w:num>
  <w:num w:numId="2" w16cid:durableId="48116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67F8"/>
    <w:rsid w:val="00037111"/>
    <w:rsid w:val="0006367C"/>
    <w:rsid w:val="000656E9"/>
    <w:rsid w:val="00074558"/>
    <w:rsid w:val="000824C8"/>
    <w:rsid w:val="00085495"/>
    <w:rsid w:val="000921F1"/>
    <w:rsid w:val="0009462F"/>
    <w:rsid w:val="000962C8"/>
    <w:rsid w:val="000A040F"/>
    <w:rsid w:val="000A2309"/>
    <w:rsid w:val="000B1B7A"/>
    <w:rsid w:val="000C204E"/>
    <w:rsid w:val="000C503A"/>
    <w:rsid w:val="000C6F97"/>
    <w:rsid w:val="000D4856"/>
    <w:rsid w:val="000E5AEC"/>
    <w:rsid w:val="000F205C"/>
    <w:rsid w:val="001117D9"/>
    <w:rsid w:val="00112C8E"/>
    <w:rsid w:val="00112FF9"/>
    <w:rsid w:val="00113EB9"/>
    <w:rsid w:val="00116A3D"/>
    <w:rsid w:val="00125209"/>
    <w:rsid w:val="00126B7A"/>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C38F4"/>
    <w:rsid w:val="001E0F3B"/>
    <w:rsid w:val="001F0193"/>
    <w:rsid w:val="00200BA5"/>
    <w:rsid w:val="00202B81"/>
    <w:rsid w:val="002065D8"/>
    <w:rsid w:val="0021368F"/>
    <w:rsid w:val="0021730E"/>
    <w:rsid w:val="00217435"/>
    <w:rsid w:val="0022134E"/>
    <w:rsid w:val="00223286"/>
    <w:rsid w:val="00227D3A"/>
    <w:rsid w:val="00231BC4"/>
    <w:rsid w:val="002358CA"/>
    <w:rsid w:val="0024062B"/>
    <w:rsid w:val="0024597C"/>
    <w:rsid w:val="00254258"/>
    <w:rsid w:val="002547C3"/>
    <w:rsid w:val="00255159"/>
    <w:rsid w:val="002654B4"/>
    <w:rsid w:val="00267805"/>
    <w:rsid w:val="002704DD"/>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17839"/>
    <w:rsid w:val="00320613"/>
    <w:rsid w:val="00320BD7"/>
    <w:rsid w:val="0032367C"/>
    <w:rsid w:val="003247EA"/>
    <w:rsid w:val="003259EE"/>
    <w:rsid w:val="00333886"/>
    <w:rsid w:val="00335934"/>
    <w:rsid w:val="00336CE4"/>
    <w:rsid w:val="00345533"/>
    <w:rsid w:val="00352111"/>
    <w:rsid w:val="00352433"/>
    <w:rsid w:val="00352696"/>
    <w:rsid w:val="00353044"/>
    <w:rsid w:val="003613FE"/>
    <w:rsid w:val="00382177"/>
    <w:rsid w:val="00382877"/>
    <w:rsid w:val="003837B6"/>
    <w:rsid w:val="003937B8"/>
    <w:rsid w:val="00395303"/>
    <w:rsid w:val="003A2F1C"/>
    <w:rsid w:val="003A5A75"/>
    <w:rsid w:val="003B5ABE"/>
    <w:rsid w:val="003C4689"/>
    <w:rsid w:val="003D027F"/>
    <w:rsid w:val="003D1B54"/>
    <w:rsid w:val="003D370E"/>
    <w:rsid w:val="003D7C8E"/>
    <w:rsid w:val="003E472A"/>
    <w:rsid w:val="003E5B38"/>
    <w:rsid w:val="003F108C"/>
    <w:rsid w:val="003F6E89"/>
    <w:rsid w:val="00407044"/>
    <w:rsid w:val="00411585"/>
    <w:rsid w:val="00416B2A"/>
    <w:rsid w:val="00434371"/>
    <w:rsid w:val="004425AA"/>
    <w:rsid w:val="00453922"/>
    <w:rsid w:val="00456038"/>
    <w:rsid w:val="00456B2B"/>
    <w:rsid w:val="00467B80"/>
    <w:rsid w:val="0047120C"/>
    <w:rsid w:val="00471618"/>
    <w:rsid w:val="0047374D"/>
    <w:rsid w:val="00473B65"/>
    <w:rsid w:val="00474B1B"/>
    <w:rsid w:val="004837C6"/>
    <w:rsid w:val="0048541F"/>
    <w:rsid w:val="0049313F"/>
    <w:rsid w:val="00496096"/>
    <w:rsid w:val="0049731C"/>
    <w:rsid w:val="004A1210"/>
    <w:rsid w:val="004A32E6"/>
    <w:rsid w:val="004B753E"/>
    <w:rsid w:val="004C62F9"/>
    <w:rsid w:val="004C723A"/>
    <w:rsid w:val="004D2C99"/>
    <w:rsid w:val="004E0408"/>
    <w:rsid w:val="004E7EF1"/>
    <w:rsid w:val="004F003D"/>
    <w:rsid w:val="00501B73"/>
    <w:rsid w:val="00502D97"/>
    <w:rsid w:val="00503DB3"/>
    <w:rsid w:val="005065E6"/>
    <w:rsid w:val="0051385E"/>
    <w:rsid w:val="00516447"/>
    <w:rsid w:val="0052537F"/>
    <w:rsid w:val="00527A18"/>
    <w:rsid w:val="0053049B"/>
    <w:rsid w:val="00531F87"/>
    <w:rsid w:val="0053544D"/>
    <w:rsid w:val="0054263B"/>
    <w:rsid w:val="00547D97"/>
    <w:rsid w:val="00550AFD"/>
    <w:rsid w:val="00557FCC"/>
    <w:rsid w:val="005648EF"/>
    <w:rsid w:val="0057771F"/>
    <w:rsid w:val="005A22A6"/>
    <w:rsid w:val="005B27FE"/>
    <w:rsid w:val="005B3A78"/>
    <w:rsid w:val="005B52B6"/>
    <w:rsid w:val="005C56C9"/>
    <w:rsid w:val="005C5CCB"/>
    <w:rsid w:val="005C74C6"/>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82B93"/>
    <w:rsid w:val="0068336D"/>
    <w:rsid w:val="00683FA1"/>
    <w:rsid w:val="00685E76"/>
    <w:rsid w:val="00686A57"/>
    <w:rsid w:val="00687304"/>
    <w:rsid w:val="00695339"/>
    <w:rsid w:val="00697DF2"/>
    <w:rsid w:val="006A74B6"/>
    <w:rsid w:val="006A7F32"/>
    <w:rsid w:val="006B2457"/>
    <w:rsid w:val="006B26D7"/>
    <w:rsid w:val="006B5135"/>
    <w:rsid w:val="006D00EC"/>
    <w:rsid w:val="006E0D06"/>
    <w:rsid w:val="006E3575"/>
    <w:rsid w:val="006E62F0"/>
    <w:rsid w:val="006E7C2A"/>
    <w:rsid w:val="006F2942"/>
    <w:rsid w:val="006F7581"/>
    <w:rsid w:val="006F7DC0"/>
    <w:rsid w:val="007028D4"/>
    <w:rsid w:val="00702B5A"/>
    <w:rsid w:val="0070752A"/>
    <w:rsid w:val="007119D8"/>
    <w:rsid w:val="0071225B"/>
    <w:rsid w:val="00712E33"/>
    <w:rsid w:val="00713866"/>
    <w:rsid w:val="00720C60"/>
    <w:rsid w:val="007216DA"/>
    <w:rsid w:val="00724230"/>
    <w:rsid w:val="00726E21"/>
    <w:rsid w:val="007340B5"/>
    <w:rsid w:val="007532AB"/>
    <w:rsid w:val="00766F81"/>
    <w:rsid w:val="00770635"/>
    <w:rsid w:val="00770FFC"/>
    <w:rsid w:val="00771404"/>
    <w:rsid w:val="00787065"/>
    <w:rsid w:val="00792028"/>
    <w:rsid w:val="007A3A0E"/>
    <w:rsid w:val="007A612E"/>
    <w:rsid w:val="007B1633"/>
    <w:rsid w:val="007B6A36"/>
    <w:rsid w:val="007C4B23"/>
    <w:rsid w:val="007D168F"/>
    <w:rsid w:val="007D198E"/>
    <w:rsid w:val="007D2BCE"/>
    <w:rsid w:val="007D39CC"/>
    <w:rsid w:val="007E1675"/>
    <w:rsid w:val="007F7129"/>
    <w:rsid w:val="00801691"/>
    <w:rsid w:val="00806282"/>
    <w:rsid w:val="008127AD"/>
    <w:rsid w:val="00813A6B"/>
    <w:rsid w:val="00813C96"/>
    <w:rsid w:val="0082168C"/>
    <w:rsid w:val="0083254A"/>
    <w:rsid w:val="0083264A"/>
    <w:rsid w:val="00832DB4"/>
    <w:rsid w:val="0083763B"/>
    <w:rsid w:val="00837F81"/>
    <w:rsid w:val="00843A4E"/>
    <w:rsid w:val="00845F81"/>
    <w:rsid w:val="00850A48"/>
    <w:rsid w:val="00852467"/>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424F"/>
    <w:rsid w:val="008B7480"/>
    <w:rsid w:val="008C1739"/>
    <w:rsid w:val="008D2D56"/>
    <w:rsid w:val="008D4A28"/>
    <w:rsid w:val="008D609F"/>
    <w:rsid w:val="008D7D24"/>
    <w:rsid w:val="008D7ECC"/>
    <w:rsid w:val="008E41F1"/>
    <w:rsid w:val="008E51AF"/>
    <w:rsid w:val="008F19CE"/>
    <w:rsid w:val="008F4C42"/>
    <w:rsid w:val="008F746C"/>
    <w:rsid w:val="009007E8"/>
    <w:rsid w:val="009022AA"/>
    <w:rsid w:val="0090292A"/>
    <w:rsid w:val="00902A25"/>
    <w:rsid w:val="00914128"/>
    <w:rsid w:val="00921B82"/>
    <w:rsid w:val="009256BD"/>
    <w:rsid w:val="00932723"/>
    <w:rsid w:val="00935DA8"/>
    <w:rsid w:val="00936D0A"/>
    <w:rsid w:val="00942B73"/>
    <w:rsid w:val="00950692"/>
    <w:rsid w:val="00952BBB"/>
    <w:rsid w:val="0095709A"/>
    <w:rsid w:val="009725D8"/>
    <w:rsid w:val="00973884"/>
    <w:rsid w:val="00975EB3"/>
    <w:rsid w:val="00976597"/>
    <w:rsid w:val="009902F2"/>
    <w:rsid w:val="009931B9"/>
    <w:rsid w:val="0099627C"/>
    <w:rsid w:val="009A273C"/>
    <w:rsid w:val="009A5AA6"/>
    <w:rsid w:val="009B2577"/>
    <w:rsid w:val="009B523E"/>
    <w:rsid w:val="009B6746"/>
    <w:rsid w:val="009B70E8"/>
    <w:rsid w:val="009C03DD"/>
    <w:rsid w:val="009C0C3F"/>
    <w:rsid w:val="009D035C"/>
    <w:rsid w:val="009E20C7"/>
    <w:rsid w:val="009E3DA4"/>
    <w:rsid w:val="009E5868"/>
    <w:rsid w:val="009F4F89"/>
    <w:rsid w:val="009F581C"/>
    <w:rsid w:val="00A005E6"/>
    <w:rsid w:val="00A01D33"/>
    <w:rsid w:val="00A06ED6"/>
    <w:rsid w:val="00A10F3D"/>
    <w:rsid w:val="00A110C7"/>
    <w:rsid w:val="00A302D9"/>
    <w:rsid w:val="00A31024"/>
    <w:rsid w:val="00A36457"/>
    <w:rsid w:val="00A50F20"/>
    <w:rsid w:val="00A54915"/>
    <w:rsid w:val="00A632A0"/>
    <w:rsid w:val="00A677E8"/>
    <w:rsid w:val="00A73AE6"/>
    <w:rsid w:val="00A76341"/>
    <w:rsid w:val="00A80C10"/>
    <w:rsid w:val="00A82D0A"/>
    <w:rsid w:val="00A85AAA"/>
    <w:rsid w:val="00A9205E"/>
    <w:rsid w:val="00A92C18"/>
    <w:rsid w:val="00AB2019"/>
    <w:rsid w:val="00AB71A7"/>
    <w:rsid w:val="00AC78F7"/>
    <w:rsid w:val="00AD2A8B"/>
    <w:rsid w:val="00AD4B56"/>
    <w:rsid w:val="00AD61CD"/>
    <w:rsid w:val="00AF021B"/>
    <w:rsid w:val="00AF40E1"/>
    <w:rsid w:val="00AF7D47"/>
    <w:rsid w:val="00B0264D"/>
    <w:rsid w:val="00B152F2"/>
    <w:rsid w:val="00B338E2"/>
    <w:rsid w:val="00B35185"/>
    <w:rsid w:val="00B37722"/>
    <w:rsid w:val="00B42B46"/>
    <w:rsid w:val="00B567C1"/>
    <w:rsid w:val="00B579DF"/>
    <w:rsid w:val="00B6275E"/>
    <w:rsid w:val="00B70D68"/>
    <w:rsid w:val="00B719C2"/>
    <w:rsid w:val="00B72D6B"/>
    <w:rsid w:val="00B80FD1"/>
    <w:rsid w:val="00B83E18"/>
    <w:rsid w:val="00B937E4"/>
    <w:rsid w:val="00B94955"/>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2039D"/>
    <w:rsid w:val="00C20B69"/>
    <w:rsid w:val="00C21D93"/>
    <w:rsid w:val="00C225C9"/>
    <w:rsid w:val="00C26751"/>
    <w:rsid w:val="00C40968"/>
    <w:rsid w:val="00C473A2"/>
    <w:rsid w:val="00C60E95"/>
    <w:rsid w:val="00C610EC"/>
    <w:rsid w:val="00C61B9B"/>
    <w:rsid w:val="00C724B6"/>
    <w:rsid w:val="00C732D2"/>
    <w:rsid w:val="00C7774D"/>
    <w:rsid w:val="00C84E71"/>
    <w:rsid w:val="00C87463"/>
    <w:rsid w:val="00C8797B"/>
    <w:rsid w:val="00C914ED"/>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23D8"/>
    <w:rsid w:val="00D333AA"/>
    <w:rsid w:val="00D347CA"/>
    <w:rsid w:val="00D46668"/>
    <w:rsid w:val="00D51E80"/>
    <w:rsid w:val="00D53848"/>
    <w:rsid w:val="00D53AC5"/>
    <w:rsid w:val="00D54276"/>
    <w:rsid w:val="00D5484F"/>
    <w:rsid w:val="00D66858"/>
    <w:rsid w:val="00D767EB"/>
    <w:rsid w:val="00D8125F"/>
    <w:rsid w:val="00D90E67"/>
    <w:rsid w:val="00DA1796"/>
    <w:rsid w:val="00DA2814"/>
    <w:rsid w:val="00DB2C90"/>
    <w:rsid w:val="00DB6359"/>
    <w:rsid w:val="00DC0393"/>
    <w:rsid w:val="00DC15A0"/>
    <w:rsid w:val="00DC63A9"/>
    <w:rsid w:val="00DC66A6"/>
    <w:rsid w:val="00DC7533"/>
    <w:rsid w:val="00DD55B8"/>
    <w:rsid w:val="00DE2930"/>
    <w:rsid w:val="00DF2CB7"/>
    <w:rsid w:val="00DF3BF1"/>
    <w:rsid w:val="00DF7595"/>
    <w:rsid w:val="00E007F8"/>
    <w:rsid w:val="00E058BA"/>
    <w:rsid w:val="00E111AA"/>
    <w:rsid w:val="00E129F3"/>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5923"/>
    <w:rsid w:val="00E970B9"/>
    <w:rsid w:val="00EB037B"/>
    <w:rsid w:val="00EB113C"/>
    <w:rsid w:val="00EB5133"/>
    <w:rsid w:val="00EC16F4"/>
    <w:rsid w:val="00EC17E3"/>
    <w:rsid w:val="00EC29A6"/>
    <w:rsid w:val="00EC3919"/>
    <w:rsid w:val="00EC7C98"/>
    <w:rsid w:val="00ED467C"/>
    <w:rsid w:val="00ED5E52"/>
    <w:rsid w:val="00ED7176"/>
    <w:rsid w:val="00ED75EA"/>
    <w:rsid w:val="00EE356D"/>
    <w:rsid w:val="00EF4043"/>
    <w:rsid w:val="00F022D4"/>
    <w:rsid w:val="00F02EE0"/>
    <w:rsid w:val="00F062A4"/>
    <w:rsid w:val="00F32AA4"/>
    <w:rsid w:val="00F4052C"/>
    <w:rsid w:val="00F407EF"/>
    <w:rsid w:val="00F573CF"/>
    <w:rsid w:val="00F57A2B"/>
    <w:rsid w:val="00F60050"/>
    <w:rsid w:val="00F658E5"/>
    <w:rsid w:val="00F764F4"/>
    <w:rsid w:val="00F822C4"/>
    <w:rsid w:val="00F82676"/>
    <w:rsid w:val="00F82E5D"/>
    <w:rsid w:val="00F86F49"/>
    <w:rsid w:val="00FA333E"/>
    <w:rsid w:val="00FA7B76"/>
    <w:rsid w:val="00FB7738"/>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70F0712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732D2"/>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1413-D47D-4755-B399-0F5939A6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4158</Words>
  <Characters>23704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2024-01-10T18:30:00Z</dcterms:created>
  <dcterms:modified xsi:type="dcterms:W3CDTF">2024-01-10T18:31:00Z</dcterms:modified>
</cp:coreProperties>
</file>