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19DF" w14:textId="118A3967" w:rsidR="00CA41CC" w:rsidRPr="00914128" w:rsidRDefault="0068336D" w:rsidP="00914128">
      <w:pPr>
        <w:pStyle w:val="Heading1"/>
      </w:pPr>
      <w:r>
        <w:t xml:space="preserve">CHAPTER </w:t>
      </w:r>
      <w:r w:rsidR="00040F1D">
        <w:t>19</w:t>
      </w:r>
    </w:p>
    <w:p w14:paraId="4A4E6697" w14:textId="77777777" w:rsidR="00EC7C98" w:rsidRPr="00914128" w:rsidRDefault="00040F1D" w:rsidP="00914128">
      <w:pPr>
        <w:pStyle w:val="Heading1"/>
      </w:pPr>
      <w:r w:rsidRPr="00040F1D">
        <w:t>DECEIT BASED ON FRAUD</w:t>
      </w:r>
    </w:p>
    <w:p w14:paraId="3CC27BE2" w14:textId="77777777" w:rsidR="00EC7C98" w:rsidRDefault="00550C80" w:rsidP="00914128">
      <w:pPr>
        <w:pStyle w:val="ToC"/>
      </w:pPr>
      <w:hyperlink w:anchor="a19_01" w:history="1">
        <w:r w:rsidR="00BE7725" w:rsidRPr="00BE5C95">
          <w:rPr>
            <w:rStyle w:val="Hyperlink"/>
          </w:rPr>
          <w:t>19:1</w:t>
        </w:r>
      </w:hyperlink>
      <w:r w:rsidR="00BE7725" w:rsidRPr="00BE5C95">
        <w:t xml:space="preserve"> </w:t>
      </w:r>
      <w:r w:rsidR="00BE7725" w:rsidRPr="00BE5C95">
        <w:tab/>
        <w:t xml:space="preserve">False Representation — Elements </w:t>
      </w:r>
      <w:r w:rsidR="00BE7725">
        <w:t>of</w:t>
      </w:r>
      <w:r w:rsidR="00BE7725" w:rsidRPr="00BE5C95">
        <w:t xml:space="preserve"> Liability</w:t>
      </w:r>
    </w:p>
    <w:p w14:paraId="0C175C74" w14:textId="77777777" w:rsidR="00BE5C95" w:rsidRDefault="00550C80" w:rsidP="00914128">
      <w:pPr>
        <w:pStyle w:val="ToC"/>
      </w:pPr>
      <w:hyperlink w:anchor="a19_02" w:history="1">
        <w:r w:rsidR="00BE7725" w:rsidRPr="00BE5C95">
          <w:rPr>
            <w:rStyle w:val="Hyperlink"/>
          </w:rPr>
          <w:t>19:2</w:t>
        </w:r>
      </w:hyperlink>
      <w:r w:rsidR="00BE7725" w:rsidRPr="00BE5C95">
        <w:t xml:space="preserve"> </w:t>
      </w:r>
      <w:r w:rsidR="00BE7725" w:rsidRPr="00BE5C95">
        <w:tab/>
        <w:t xml:space="preserve">Nondisclosure </w:t>
      </w:r>
      <w:r w:rsidR="00BE7725">
        <w:t>o</w:t>
      </w:r>
      <w:r w:rsidR="00BE7725" w:rsidRPr="00BE5C95">
        <w:t xml:space="preserve">r Concealment — Elements </w:t>
      </w:r>
      <w:r w:rsidR="00BE7725">
        <w:t>of</w:t>
      </w:r>
      <w:r w:rsidR="00BE7725" w:rsidRPr="00BE5C95">
        <w:t xml:space="preserve"> Liability</w:t>
      </w:r>
    </w:p>
    <w:p w14:paraId="77428F53" w14:textId="77777777" w:rsidR="00BE5C95" w:rsidRDefault="00550C80" w:rsidP="00914128">
      <w:pPr>
        <w:pStyle w:val="ToC"/>
      </w:pPr>
      <w:hyperlink w:anchor="a19_03" w:history="1">
        <w:r w:rsidR="00BE7725" w:rsidRPr="00BE5C95">
          <w:rPr>
            <w:rStyle w:val="Hyperlink"/>
          </w:rPr>
          <w:t>19:3</w:t>
        </w:r>
      </w:hyperlink>
      <w:r w:rsidR="00BE7725" w:rsidRPr="00BE5C95">
        <w:t xml:space="preserve"> </w:t>
      </w:r>
      <w:r w:rsidR="00BE7725" w:rsidRPr="00BE5C95">
        <w:tab/>
        <w:t>False Representation — Defined</w:t>
      </w:r>
    </w:p>
    <w:p w14:paraId="4F816467" w14:textId="77777777" w:rsidR="00BE5C95" w:rsidRDefault="00550C80" w:rsidP="00914128">
      <w:pPr>
        <w:pStyle w:val="ToC"/>
      </w:pPr>
      <w:hyperlink w:anchor="a19_04" w:history="1">
        <w:r w:rsidR="00BE7725" w:rsidRPr="00BE5C95">
          <w:rPr>
            <w:rStyle w:val="Hyperlink"/>
          </w:rPr>
          <w:t>19:4</w:t>
        </w:r>
      </w:hyperlink>
      <w:r w:rsidR="00BE7725" w:rsidRPr="00BE5C95">
        <w:t xml:space="preserve"> </w:t>
      </w:r>
      <w:r w:rsidR="00BE7725" w:rsidRPr="00BE5C95">
        <w:tab/>
        <w:t>Material Fact — Defined</w:t>
      </w:r>
    </w:p>
    <w:p w14:paraId="31F5A9FF" w14:textId="77777777" w:rsidR="00BE5C95" w:rsidRDefault="00550C80" w:rsidP="00914128">
      <w:pPr>
        <w:pStyle w:val="ToC"/>
      </w:pPr>
      <w:hyperlink w:anchor="a19_05" w:history="1">
        <w:r w:rsidR="00BE7725" w:rsidRPr="00BE5C95">
          <w:rPr>
            <w:rStyle w:val="Hyperlink"/>
          </w:rPr>
          <w:t>19:5</w:t>
        </w:r>
      </w:hyperlink>
      <w:r w:rsidR="00BE7725" w:rsidRPr="00BE5C95">
        <w:t xml:space="preserve"> </w:t>
      </w:r>
      <w:r w:rsidR="00BE7725" w:rsidRPr="00BE5C95">
        <w:tab/>
        <w:t xml:space="preserve">Nondisclosure — Duty </w:t>
      </w:r>
      <w:r w:rsidR="00BE7725">
        <w:t>t</w:t>
      </w:r>
      <w:r w:rsidR="00BE7725" w:rsidRPr="00BE5C95">
        <w:t>o Disclose</w:t>
      </w:r>
    </w:p>
    <w:p w14:paraId="388768AA" w14:textId="77777777" w:rsidR="00BE5C95" w:rsidRDefault="00550C80" w:rsidP="00914128">
      <w:pPr>
        <w:pStyle w:val="ToC"/>
      </w:pPr>
      <w:hyperlink w:anchor="a19_06" w:history="1">
        <w:r w:rsidR="00BE7725" w:rsidRPr="00BE5C95">
          <w:rPr>
            <w:rStyle w:val="Hyperlink"/>
          </w:rPr>
          <w:t>19:6</w:t>
        </w:r>
      </w:hyperlink>
      <w:r w:rsidR="00BE7725" w:rsidRPr="00BE5C95">
        <w:t xml:space="preserve"> </w:t>
      </w:r>
      <w:r w:rsidR="00BE7725" w:rsidRPr="00BE5C95">
        <w:tab/>
        <w:t>Concealment — Defined</w:t>
      </w:r>
    </w:p>
    <w:p w14:paraId="3DC7111B" w14:textId="77777777" w:rsidR="00BE5C95" w:rsidRDefault="00550C80" w:rsidP="00914128">
      <w:pPr>
        <w:pStyle w:val="ToC"/>
      </w:pPr>
      <w:hyperlink w:anchor="a19_07" w:history="1">
        <w:r w:rsidR="00BE7725" w:rsidRPr="00BE5C95">
          <w:rPr>
            <w:rStyle w:val="Hyperlink"/>
          </w:rPr>
          <w:t>19:7</w:t>
        </w:r>
      </w:hyperlink>
      <w:r w:rsidR="00BE7725" w:rsidRPr="00BE5C95">
        <w:t xml:space="preserve"> </w:t>
      </w:r>
      <w:r w:rsidR="00BE7725" w:rsidRPr="00BE5C95">
        <w:tab/>
        <w:t>False Representation — Reliance — Defined</w:t>
      </w:r>
    </w:p>
    <w:p w14:paraId="18E8205D" w14:textId="77777777" w:rsidR="00BE5C95" w:rsidRDefault="00550C80" w:rsidP="00914128">
      <w:pPr>
        <w:pStyle w:val="ToC"/>
      </w:pPr>
      <w:hyperlink w:anchor="a19_08" w:history="1">
        <w:r w:rsidR="00BE7725" w:rsidRPr="00BE5C95">
          <w:rPr>
            <w:rStyle w:val="Hyperlink"/>
          </w:rPr>
          <w:t>19:8</w:t>
        </w:r>
      </w:hyperlink>
      <w:r w:rsidR="00BE7725" w:rsidRPr="00BE5C95">
        <w:t xml:space="preserve"> </w:t>
      </w:r>
      <w:r w:rsidR="00BE7725" w:rsidRPr="00BE5C95">
        <w:tab/>
        <w:t xml:space="preserve">Justifiable Reliance </w:t>
      </w:r>
      <w:r w:rsidR="00BE7725">
        <w:t>o</w:t>
      </w:r>
      <w:r w:rsidR="00BE7725" w:rsidRPr="00BE5C95">
        <w:t>n False Representation — Defined</w:t>
      </w:r>
    </w:p>
    <w:p w14:paraId="1C2E4450" w14:textId="77777777" w:rsidR="00BE5C95" w:rsidRDefault="00550C80" w:rsidP="00914128">
      <w:pPr>
        <w:pStyle w:val="ToC"/>
      </w:pPr>
      <w:hyperlink w:anchor="a19_09" w:history="1">
        <w:r w:rsidR="00BE7725" w:rsidRPr="00BE5C95">
          <w:rPr>
            <w:rStyle w:val="Hyperlink"/>
          </w:rPr>
          <w:t>19:9</w:t>
        </w:r>
      </w:hyperlink>
      <w:r w:rsidR="00BE7725" w:rsidRPr="00BE5C95">
        <w:t xml:space="preserve"> </w:t>
      </w:r>
      <w:r w:rsidR="00BE7725" w:rsidRPr="00BE5C95">
        <w:tab/>
        <w:t>Justif</w:t>
      </w:r>
      <w:r w:rsidR="00BE7725">
        <w:t>iable Reliance — Nondisclosure o</w:t>
      </w:r>
      <w:r w:rsidR="00BE7725" w:rsidRPr="00BE5C95">
        <w:t>r Concealment — Defined</w:t>
      </w:r>
    </w:p>
    <w:p w14:paraId="35FF7134" w14:textId="77777777" w:rsidR="00BE5C95" w:rsidRDefault="00550C80" w:rsidP="00914128">
      <w:pPr>
        <w:pStyle w:val="ToC"/>
      </w:pPr>
      <w:hyperlink w:anchor="a19_10" w:history="1">
        <w:r w:rsidR="00BE7725" w:rsidRPr="00BE5C95">
          <w:rPr>
            <w:rStyle w:val="Hyperlink"/>
          </w:rPr>
          <w:t>19:10</w:t>
        </w:r>
      </w:hyperlink>
      <w:r w:rsidR="00BE7725" w:rsidRPr="00BE5C95">
        <w:t xml:space="preserve"> </w:t>
      </w:r>
      <w:r w:rsidR="00BE7725" w:rsidRPr="00BE5C95">
        <w:tab/>
        <w:t xml:space="preserve">Justifiable Reliance — No General Duty </w:t>
      </w:r>
      <w:r w:rsidR="00BE7725">
        <w:t>t</w:t>
      </w:r>
      <w:r w:rsidR="00BE7725" w:rsidRPr="00BE5C95">
        <w:t>o Investigate</w:t>
      </w:r>
    </w:p>
    <w:p w14:paraId="23A69DF3" w14:textId="77777777" w:rsidR="00BE5C95" w:rsidRDefault="00550C80" w:rsidP="00914128">
      <w:pPr>
        <w:pStyle w:val="ToC"/>
      </w:pPr>
      <w:hyperlink w:anchor="a19_11" w:history="1">
        <w:r w:rsidR="00BE7725" w:rsidRPr="00BE5C95">
          <w:rPr>
            <w:rStyle w:val="Hyperlink"/>
          </w:rPr>
          <w:t>19:11</w:t>
        </w:r>
      </w:hyperlink>
      <w:r w:rsidR="00BE7725" w:rsidRPr="00BE5C95">
        <w:t xml:space="preserve"> </w:t>
      </w:r>
      <w:r w:rsidR="00BE7725" w:rsidRPr="00BE5C95">
        <w:tab/>
        <w:t>Reliance After Investigation</w:t>
      </w:r>
    </w:p>
    <w:p w14:paraId="4A0646BF" w14:textId="77777777" w:rsidR="00BE5C95" w:rsidRDefault="00550C80" w:rsidP="00914128">
      <w:pPr>
        <w:pStyle w:val="ToC"/>
      </w:pPr>
      <w:hyperlink w:anchor="a19_12" w:history="1">
        <w:r w:rsidR="00BE7725" w:rsidRPr="00BE5C95">
          <w:rPr>
            <w:rStyle w:val="Hyperlink"/>
          </w:rPr>
          <w:t>19:12</w:t>
        </w:r>
      </w:hyperlink>
      <w:r w:rsidR="00BE7725" w:rsidRPr="00BE5C95">
        <w:t xml:space="preserve"> </w:t>
      </w:r>
      <w:r w:rsidR="00BE7725" w:rsidRPr="00BE5C95">
        <w:tab/>
        <w:t xml:space="preserve">Statements </w:t>
      </w:r>
      <w:r w:rsidR="00BE7725">
        <w:t>of</w:t>
      </w:r>
      <w:r w:rsidR="00BE7725" w:rsidRPr="00BE5C95">
        <w:t xml:space="preserve"> Futur</w:t>
      </w:r>
      <w:r w:rsidR="00BE7725">
        <w:t>e Intention o</w:t>
      </w:r>
      <w:r w:rsidR="00BE7725" w:rsidRPr="00BE5C95">
        <w:t xml:space="preserve">r Promises </w:t>
      </w:r>
      <w:r w:rsidR="00BE7725">
        <w:t>a</w:t>
      </w:r>
      <w:r w:rsidR="00BE7725" w:rsidRPr="00BE5C95">
        <w:t>s False Representations</w:t>
      </w:r>
    </w:p>
    <w:p w14:paraId="6DD4F48F" w14:textId="77777777" w:rsidR="00BE5C95" w:rsidRDefault="00550C80" w:rsidP="00914128">
      <w:pPr>
        <w:pStyle w:val="ToC"/>
      </w:pPr>
      <w:hyperlink w:anchor="a19_13" w:history="1">
        <w:r w:rsidR="00BE7725" w:rsidRPr="00BE5C95">
          <w:rPr>
            <w:rStyle w:val="Hyperlink"/>
          </w:rPr>
          <w:t>19:13</w:t>
        </w:r>
      </w:hyperlink>
      <w:r w:rsidR="00BE7725" w:rsidRPr="00BE5C95">
        <w:t xml:space="preserve"> </w:t>
      </w:r>
      <w:r w:rsidR="00BE7725" w:rsidRPr="00BE5C95">
        <w:tab/>
        <w:t xml:space="preserve">Statements About </w:t>
      </w:r>
      <w:r w:rsidR="00BE7725">
        <w:t>t</w:t>
      </w:r>
      <w:r w:rsidR="00BE7725" w:rsidRPr="00BE5C95">
        <w:t xml:space="preserve">he Future </w:t>
      </w:r>
      <w:r w:rsidR="00BE7725">
        <w:t>a</w:t>
      </w:r>
      <w:r w:rsidR="00BE7725" w:rsidRPr="00BE5C95">
        <w:t>s False Representations</w:t>
      </w:r>
    </w:p>
    <w:p w14:paraId="1DB716B9" w14:textId="77777777" w:rsidR="00BE5C95" w:rsidRDefault="00550C80" w:rsidP="00914128">
      <w:pPr>
        <w:pStyle w:val="ToC"/>
      </w:pPr>
      <w:hyperlink w:anchor="a19_14" w:history="1">
        <w:r w:rsidR="00BE7725" w:rsidRPr="00BE5C95">
          <w:rPr>
            <w:rStyle w:val="Hyperlink"/>
          </w:rPr>
          <w:t>19:14</w:t>
        </w:r>
      </w:hyperlink>
      <w:r w:rsidR="00BE7725" w:rsidRPr="00BE5C95">
        <w:t xml:space="preserve"> </w:t>
      </w:r>
      <w:r w:rsidR="00BE7725" w:rsidRPr="00BE5C95">
        <w:tab/>
        <w:t xml:space="preserve">Statements </w:t>
      </w:r>
      <w:r w:rsidR="00BE7725">
        <w:t>of</w:t>
      </w:r>
      <w:r w:rsidR="00BE7725" w:rsidRPr="00BE5C95">
        <w:t xml:space="preserve"> Law </w:t>
      </w:r>
      <w:r w:rsidR="00BE7725">
        <w:t>a</w:t>
      </w:r>
      <w:r w:rsidR="00BE7725" w:rsidRPr="00BE5C95">
        <w:t>s False Representations</w:t>
      </w:r>
    </w:p>
    <w:p w14:paraId="13EF8BF4" w14:textId="77777777" w:rsidR="00BE5C95" w:rsidRDefault="00550C80" w:rsidP="00914128">
      <w:pPr>
        <w:pStyle w:val="ToC"/>
      </w:pPr>
      <w:hyperlink w:anchor="a19_15" w:history="1">
        <w:r w:rsidR="00BE7725" w:rsidRPr="00BE5C95">
          <w:rPr>
            <w:rStyle w:val="Hyperlink"/>
          </w:rPr>
          <w:t>19:15</w:t>
        </w:r>
      </w:hyperlink>
      <w:r w:rsidR="00BE7725" w:rsidRPr="00BE5C95">
        <w:t xml:space="preserve"> </w:t>
      </w:r>
      <w:r w:rsidR="00BE7725" w:rsidRPr="00BE5C95">
        <w:tab/>
        <w:t xml:space="preserve">Statements </w:t>
      </w:r>
      <w:r w:rsidR="00BE7725">
        <w:t>of</w:t>
      </w:r>
      <w:r w:rsidR="00BE7725" w:rsidRPr="00BE5C95">
        <w:t xml:space="preserve"> Opinion </w:t>
      </w:r>
      <w:r w:rsidR="00BE7725">
        <w:t>a</w:t>
      </w:r>
      <w:r w:rsidR="00BE7725" w:rsidRPr="00BE5C95">
        <w:t>s False Representations</w:t>
      </w:r>
    </w:p>
    <w:p w14:paraId="67D8D3D3" w14:textId="77777777" w:rsidR="00BE5C95" w:rsidRDefault="00550C80" w:rsidP="00914128">
      <w:pPr>
        <w:pStyle w:val="ToC"/>
      </w:pPr>
      <w:hyperlink w:anchor="a19_16" w:history="1">
        <w:r w:rsidR="00BE7725" w:rsidRPr="00BE5C95">
          <w:rPr>
            <w:rStyle w:val="Hyperlink"/>
          </w:rPr>
          <w:t>19:16</w:t>
        </w:r>
      </w:hyperlink>
      <w:r w:rsidR="00BE7725" w:rsidRPr="00BE5C95">
        <w:t xml:space="preserve"> </w:t>
      </w:r>
      <w:r w:rsidR="00BE7725" w:rsidRPr="00BE5C95">
        <w:tab/>
        <w:t xml:space="preserve">Affirmative Defense — Waiver </w:t>
      </w:r>
      <w:r w:rsidR="00BE7725">
        <w:t>b</w:t>
      </w:r>
      <w:r w:rsidR="00BE7725" w:rsidRPr="00BE5C95">
        <w:t>y Plaintiff Before Plaintiff’s Complete Performance</w:t>
      </w:r>
    </w:p>
    <w:p w14:paraId="04432ABC" w14:textId="77777777" w:rsidR="00BE5C95" w:rsidRDefault="00550C80" w:rsidP="00914128">
      <w:pPr>
        <w:pStyle w:val="ToC"/>
      </w:pPr>
      <w:hyperlink w:anchor="a19_17" w:history="1">
        <w:r w:rsidR="00BE7725" w:rsidRPr="00BE5C95">
          <w:rPr>
            <w:rStyle w:val="Hyperlink"/>
          </w:rPr>
          <w:t>19:17</w:t>
        </w:r>
      </w:hyperlink>
      <w:r w:rsidR="00BE7725" w:rsidRPr="00BE5C95">
        <w:t xml:space="preserve"> </w:t>
      </w:r>
      <w:r w:rsidR="00BE7725" w:rsidRPr="00BE5C95">
        <w:tab/>
        <w:t>Actual Damages</w:t>
      </w:r>
    </w:p>
    <w:p w14:paraId="1FCB230C" w14:textId="77777777" w:rsidR="00352111" w:rsidRPr="00352111" w:rsidRDefault="00352111">
      <w:pPr>
        <w:rPr>
          <w:rFonts w:eastAsia="Times New Roman"/>
          <w:sz w:val="24"/>
          <w:szCs w:val="24"/>
        </w:rPr>
      </w:pPr>
      <w:r w:rsidRPr="00352111">
        <w:rPr>
          <w:rFonts w:eastAsia="Times New Roman"/>
          <w:sz w:val="24"/>
          <w:szCs w:val="24"/>
        </w:rPr>
        <w:br w:type="page"/>
      </w:r>
    </w:p>
    <w:p w14:paraId="4F0C5867" w14:textId="77777777" w:rsidR="009E3DA4" w:rsidRPr="009E3DA4" w:rsidRDefault="00040F1D" w:rsidP="00CC0502">
      <w:pPr>
        <w:spacing w:after="240"/>
        <w:ind w:left="720" w:hanging="720"/>
        <w:rPr>
          <w:rFonts w:eastAsia="Times New Roman"/>
          <w:b/>
          <w:sz w:val="24"/>
          <w:szCs w:val="24"/>
        </w:rPr>
      </w:pPr>
      <w:bookmarkStart w:id="0" w:name="a19_01"/>
      <w:bookmarkEnd w:id="0"/>
      <w:r w:rsidRPr="00040F1D">
        <w:rPr>
          <w:rFonts w:eastAsia="Times New Roman"/>
          <w:b/>
          <w:sz w:val="24"/>
          <w:szCs w:val="24"/>
        </w:rPr>
        <w:lastRenderedPageBreak/>
        <w:t xml:space="preserve">19:1 </w:t>
      </w:r>
      <w:r w:rsidRPr="00040F1D">
        <w:rPr>
          <w:rFonts w:eastAsia="Times New Roman"/>
          <w:b/>
          <w:sz w:val="24"/>
          <w:szCs w:val="24"/>
        </w:rPr>
        <w:tab/>
        <w:t>FALSE REPRESENTATION — ELEMENTS OF LIABILITY</w:t>
      </w:r>
    </w:p>
    <w:p w14:paraId="27A8477A" w14:textId="7E8FD7A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xml:space="preserve">, on </w:t>
      </w:r>
      <w:r w:rsidR="00EB2FA5">
        <w:rPr>
          <w:rFonts w:eastAsia="Times New Roman"/>
          <w:bCs/>
          <w:i/>
          <w:iCs/>
          <w:sz w:val="24"/>
          <w:szCs w:val="24"/>
        </w:rPr>
        <w:t>(insert applicable pronoun)</w:t>
      </w:r>
      <w:r w:rsidRPr="00040F1D">
        <w:rPr>
          <w:rFonts w:eastAsia="Times New Roman"/>
          <w:b/>
          <w:sz w:val="24"/>
          <w:szCs w:val="24"/>
        </w:rPr>
        <w:t xml:space="preserve"> claim of deceit based on fraud, you must find all of the following have been proved by a preponderance of the evidence:</w:t>
      </w:r>
    </w:p>
    <w:p w14:paraId="7DCAE7E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made a false representation of a past or present fact;</w:t>
      </w:r>
    </w:p>
    <w:p w14:paraId="6C2FD89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029612B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At the time the representation was made, the defendant:</w:t>
      </w:r>
    </w:p>
    <w:p w14:paraId="5258F748"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(a) knew the representation was false; or</w:t>
      </w:r>
    </w:p>
    <w:p w14:paraId="3A136837" w14:textId="02212A76" w:rsidR="00040F1D" w:rsidRPr="00040F1D" w:rsidRDefault="00040F1D" w:rsidP="00040F1D">
      <w:pPr>
        <w:spacing w:after="240"/>
        <w:ind w:left="1440"/>
        <w:rPr>
          <w:rFonts w:eastAsia="Times New Roman"/>
          <w:b/>
          <w:sz w:val="24"/>
          <w:szCs w:val="24"/>
        </w:rPr>
      </w:pPr>
      <w:r w:rsidRPr="00040F1D">
        <w:rPr>
          <w:rFonts w:eastAsia="Times New Roman"/>
          <w:b/>
          <w:sz w:val="24"/>
          <w:szCs w:val="24"/>
        </w:rPr>
        <w:t xml:space="preserve">(b) was aware that </w:t>
      </w:r>
      <w:r w:rsidR="00EB2FA5">
        <w:rPr>
          <w:rFonts w:eastAsia="Times New Roman"/>
          <w:bCs/>
          <w:i/>
          <w:iCs/>
          <w:sz w:val="24"/>
          <w:szCs w:val="24"/>
        </w:rPr>
        <w:t>(insert applicable pronoun)</w:t>
      </w:r>
      <w:r w:rsidRPr="00040F1D">
        <w:rPr>
          <w:rFonts w:eastAsia="Times New Roman"/>
          <w:b/>
          <w:sz w:val="24"/>
          <w:szCs w:val="24"/>
        </w:rPr>
        <w:t xml:space="preserve"> did not know whether the representation was true or false;</w:t>
      </w:r>
    </w:p>
    <w:p w14:paraId="1591D5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made the representation with the intent that (the plaintiff) (a group of persons of which the plaintiff was a member) would rely on the representation;</w:t>
      </w:r>
    </w:p>
    <w:p w14:paraId="16B4BEF1"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relied on the representation;</w:t>
      </w:r>
    </w:p>
    <w:p w14:paraId="2F0DD3F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40891E84"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676496D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8FC0E6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18C22E4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C767352"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1732F199" w14:textId="77777777" w:rsidR="00832DB4" w:rsidRDefault="00832DB4" w:rsidP="0054263B">
      <w:pPr>
        <w:jc w:val="center"/>
        <w:rPr>
          <w:rFonts w:eastAsia="Times New Roman"/>
          <w:sz w:val="24"/>
          <w:szCs w:val="24"/>
        </w:rPr>
      </w:pPr>
    </w:p>
    <w:p w14:paraId="186B482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6BB1A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When the alleged deceit is based on the concealment or nondisclosure of a material fact, rather than an overt misrepresentation, Instruction 19:2 should be used rather than this instruction.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Ballow v. PHICO Ins. Co.</w:t>
      </w:r>
      <w:r w:rsidRPr="00040F1D">
        <w:rPr>
          <w:rFonts w:eastAsia="Times New Roman"/>
          <w:sz w:val="24"/>
          <w:szCs w:val="24"/>
        </w:rPr>
        <w:t xml:space="preserve">, 875 P.2d 1354 (Colo. 1993); </w:t>
      </w:r>
      <w:r w:rsidRPr="00040F1D">
        <w:rPr>
          <w:rFonts w:eastAsia="Times New Roman"/>
          <w:b/>
          <w:sz w:val="24"/>
          <w:szCs w:val="24"/>
        </w:rPr>
        <w:t xml:space="preserve">Colo. Interstate Gas </w:t>
      </w:r>
      <w:r w:rsidRPr="00040F1D">
        <w:rPr>
          <w:rFonts w:eastAsia="Times New Roman"/>
          <w:b/>
          <w:sz w:val="24"/>
          <w:szCs w:val="24"/>
        </w:rPr>
        <w:lastRenderedPageBreak/>
        <w:t>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854 P.2d 1232 (Colo. 1993).</w:t>
      </w:r>
    </w:p>
    <w:p w14:paraId="32E5BB9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325AE07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Omit any numbered paragraphs, the facts of which are not in dispute.</w:t>
      </w:r>
    </w:p>
    <w:p w14:paraId="6361B65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4. Use whichever parenthesized words are most appropriate and omit the parenthesized clause of the last two paragraphs if the defendant has put no affirmative defense in issue or there is insufficient evidence to support any defense.</w:t>
      </w:r>
    </w:p>
    <w:p w14:paraId="369D905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Though mitigation of damages is an affirmative defense, </w:t>
      </w:r>
      <w:r w:rsidRPr="00040F1D">
        <w:rPr>
          <w:rFonts w:eastAsia="Times New Roman"/>
          <w:i/>
          <w:sz w:val="24"/>
          <w:szCs w:val="24"/>
        </w:rPr>
        <w:t>see</w:t>
      </w:r>
      <w:r w:rsidRPr="00040F1D">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5B6ED76"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Other appropriate instructions defining the terms used in this instruction, for example, Instruction 19:4, defining “material fact,” must be given with this instruction, and, when necessary, an appropriate instruction or instructions relating to causation must be given. </w:t>
      </w:r>
      <w:r w:rsidRPr="00040F1D">
        <w:rPr>
          <w:rFonts w:eastAsia="Times New Roman"/>
          <w:i/>
          <w:sz w:val="24"/>
          <w:szCs w:val="24"/>
        </w:rPr>
        <w:t>See</w:t>
      </w:r>
      <w:r w:rsidRPr="00040F1D">
        <w:rPr>
          <w:rFonts w:eastAsia="Times New Roman"/>
          <w:sz w:val="24"/>
          <w:szCs w:val="24"/>
        </w:rPr>
        <w:t xml:space="preserve"> Instructions 9:18 to 9:21.</w:t>
      </w:r>
    </w:p>
    <w:p w14:paraId="65C0A6E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In common-law actions for deceit or in statutory actions under what is now section 42-6-204, C.R.S., based on a misrepresentation in the mileage disclosure statement required by section 42-6-202(5), C.R.S., or created by concealing the actual mileage of a motor vehicle as prohibited by section 42-6-202(1), there is a rebuttable presumption that a purchaser who received the mileage representation justifiably relied on the representation and that the representation was material to the transaction. </w:t>
      </w:r>
      <w:r w:rsidRPr="00040F1D">
        <w:rPr>
          <w:rFonts w:eastAsia="Times New Roman"/>
          <w:b/>
          <w:sz w:val="24"/>
          <w:szCs w:val="24"/>
        </w:rPr>
        <w:t>Lurvey v. Phil Long Ford,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37 Colo. App. 11, 541 P.2d 114 (1975). In those cases, Instruction 3:5, incorporating this presumption, must be given with this instruction or, in a concealment case, with Instruction 19:2.</w:t>
      </w:r>
    </w:p>
    <w:p w14:paraId="2ACEC58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97BAF71"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This instruction is supported by and was cited with approval by the Colorado Supreme Court in </w:t>
      </w:r>
      <w:r w:rsidRPr="00040F1D">
        <w:rPr>
          <w:rFonts w:eastAsia="Times New Roman"/>
          <w:b/>
          <w:sz w:val="24"/>
          <w:szCs w:val="24"/>
        </w:rPr>
        <w:t>Bristol Bay Productions, LLC v. Lampack</w:t>
      </w:r>
      <w:r w:rsidRPr="00040F1D">
        <w:rPr>
          <w:rFonts w:eastAsia="Times New Roman"/>
          <w:sz w:val="24"/>
          <w:szCs w:val="24"/>
        </w:rPr>
        <w:t xml:space="preserve">, 2013 CO 60, ¶ 26, 312 P.3d 1155, 1160 (“For ease of understanding, Colorado’s Model Jury Instructions unpack the fifth element into its three discrete sub-parts, requiring the plaintiff to prove separately actual reliance, the reasonableness of that reliance, and that the plaintiff’s reliance caused its damages.”). This instruction is also supported by </w:t>
      </w:r>
      <w:r w:rsidR="00F86F6C" w:rsidRPr="00F86F6C">
        <w:rPr>
          <w:rFonts w:eastAsia="Times New Roman"/>
          <w:b/>
          <w:sz w:val="24"/>
          <w:szCs w:val="24"/>
        </w:rPr>
        <w:t>Rocky Mountain Exploration,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53, 420 P.3d 223; </w:t>
      </w:r>
      <w:r w:rsidRPr="00040F1D">
        <w:rPr>
          <w:rFonts w:eastAsia="Times New Roman"/>
          <w:b/>
          <w:sz w:val="24"/>
          <w:szCs w:val="24"/>
        </w:rPr>
        <w:t>Knight v. Cantrell</w:t>
      </w:r>
      <w:r w:rsidRPr="00040F1D">
        <w:rPr>
          <w:rFonts w:eastAsia="Times New Roman"/>
          <w:sz w:val="24"/>
          <w:szCs w:val="24"/>
        </w:rPr>
        <w:t xml:space="preserve">, 154 Colo. 396, 390 P.2d 948 (1964); </w:t>
      </w:r>
      <w:r w:rsidRPr="00040F1D">
        <w:rPr>
          <w:rFonts w:eastAsia="Times New Roman"/>
          <w:b/>
          <w:sz w:val="24"/>
          <w:szCs w:val="24"/>
        </w:rPr>
        <w:t>Morrison v. Goodspeed</w:t>
      </w:r>
      <w:r w:rsidRPr="00040F1D">
        <w:rPr>
          <w:rFonts w:eastAsia="Times New Roman"/>
          <w:sz w:val="24"/>
          <w:szCs w:val="24"/>
        </w:rPr>
        <w:t xml:space="preserve">, 100 Colo. 470, 68 P.2d 458 (1937); </w:t>
      </w:r>
      <w:r w:rsidRPr="00040F1D">
        <w:rPr>
          <w:rFonts w:eastAsia="Times New Roman"/>
          <w:b/>
          <w:sz w:val="24"/>
          <w:szCs w:val="24"/>
        </w:rPr>
        <w:t>Colorado Springs Co. v. Wight</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44 Colo. 179, 96 P. 820 (1908); and </w:t>
      </w:r>
      <w:r w:rsidRPr="00040F1D">
        <w:rPr>
          <w:rFonts w:eastAsia="Times New Roman"/>
          <w:b/>
          <w:sz w:val="24"/>
          <w:szCs w:val="24"/>
        </w:rPr>
        <w:t>Sellar v. Clelland</w:t>
      </w:r>
      <w:r w:rsidRPr="00040F1D">
        <w:rPr>
          <w:rFonts w:eastAsia="Times New Roman"/>
          <w:sz w:val="24"/>
          <w:szCs w:val="24"/>
        </w:rPr>
        <w:t xml:space="preserve">, 2 Colo. 532 (1875).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 v. Virzi</w:t>
      </w:r>
      <w:r w:rsidRPr="00040F1D">
        <w:rPr>
          <w:rFonts w:eastAsia="Times New Roman"/>
          <w:sz w:val="24"/>
          <w:szCs w:val="24"/>
        </w:rPr>
        <w:t xml:space="preserve">, 2012 CO 10, ¶ 15, 269 P.3d 1242; </w:t>
      </w:r>
      <w:r w:rsidRPr="00040F1D">
        <w:rPr>
          <w:rFonts w:eastAsia="Times New Roman"/>
          <w:b/>
          <w:sz w:val="24"/>
          <w:szCs w:val="24"/>
        </w:rPr>
        <w:t>Concord Realty Co. v. Cont’l Funding Corp.</w:t>
      </w:r>
      <w:r w:rsidRPr="00040F1D">
        <w:rPr>
          <w:rFonts w:eastAsia="Times New Roman"/>
          <w:sz w:val="24"/>
          <w:szCs w:val="24"/>
        </w:rPr>
        <w:t xml:space="preserve">, 776 P.2d 1114 (Colo. 1989); </w:t>
      </w:r>
      <w:r w:rsidRPr="00040F1D">
        <w:rPr>
          <w:rFonts w:eastAsia="Times New Roman"/>
          <w:b/>
          <w:sz w:val="24"/>
          <w:szCs w:val="24"/>
        </w:rPr>
        <w:t>Alzado v. Blinder, Robinson &amp;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752 P.2d 544 (Colo. 1988); </w:t>
      </w:r>
      <w:r w:rsidRPr="00040F1D">
        <w:rPr>
          <w:rFonts w:eastAsia="Times New Roman"/>
          <w:b/>
          <w:sz w:val="24"/>
          <w:szCs w:val="24"/>
        </w:rPr>
        <w:t>Kinsey v. Preeson</w:t>
      </w:r>
      <w:r w:rsidRPr="00040F1D">
        <w:rPr>
          <w:rFonts w:eastAsia="Times New Roman"/>
          <w:sz w:val="24"/>
          <w:szCs w:val="24"/>
        </w:rPr>
        <w:t xml:space="preserve">, 746 P.2d 542 (Colo. 1987); </w:t>
      </w:r>
      <w:r w:rsidRPr="00040F1D">
        <w:rPr>
          <w:rFonts w:eastAsia="Times New Roman"/>
          <w:b/>
          <w:sz w:val="24"/>
          <w:szCs w:val="24"/>
        </w:rPr>
        <w:t>Trimble v. City &amp; County of Denver</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lastRenderedPageBreak/>
        <w:t xml:space="preserve">697 P.2d 716 (Colo. 1985); </w:t>
      </w:r>
      <w:r w:rsidRPr="00040F1D">
        <w:rPr>
          <w:rFonts w:eastAsia="Times New Roman"/>
          <w:b/>
          <w:sz w:val="24"/>
          <w:szCs w:val="24"/>
        </w:rPr>
        <w:t>Just in</w:t>
      </w:r>
      <w:r w:rsidRPr="00040F1D">
        <w:rPr>
          <w:rFonts w:eastAsia="Times New Roman"/>
          <w:sz w:val="24"/>
          <w:szCs w:val="24"/>
        </w:rPr>
        <w:t xml:space="preserve"> </w:t>
      </w:r>
      <w:r w:rsidRPr="00040F1D">
        <w:rPr>
          <w:rFonts w:eastAsia="Times New Roman"/>
          <w:b/>
          <w:sz w:val="24"/>
          <w:szCs w:val="24"/>
        </w:rPr>
        <w:t>Case Bus. Lighthouse, LLC v. Murray</w:t>
      </w:r>
      <w:r w:rsidRPr="00040F1D">
        <w:rPr>
          <w:rFonts w:eastAsia="Times New Roman"/>
          <w:sz w:val="24"/>
          <w:szCs w:val="24"/>
        </w:rPr>
        <w:t xml:space="preserve">, 2013 COA 112M, ¶ 46,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Barfield v. Hall Realty, Inc.</w:t>
      </w:r>
      <w:r w:rsidRPr="00040F1D">
        <w:rPr>
          <w:rFonts w:eastAsia="Times New Roman"/>
          <w:sz w:val="24"/>
          <w:szCs w:val="24"/>
        </w:rPr>
        <w:t xml:space="preserve">, 232 P.3d 286 (Colo. App. 2010) (citing this instruction); </w:t>
      </w:r>
      <w:r w:rsidRPr="00040F1D">
        <w:rPr>
          <w:rFonts w:eastAsia="Times New Roman"/>
          <w:b/>
          <w:sz w:val="24"/>
          <w:szCs w:val="24"/>
        </w:rPr>
        <w:t>Platt v. Aspenwood Condo. Ass’n</w:t>
      </w:r>
      <w:r w:rsidRPr="00040F1D">
        <w:rPr>
          <w:rFonts w:eastAsia="Times New Roman"/>
          <w:sz w:val="24"/>
          <w:szCs w:val="24"/>
        </w:rPr>
        <w:t xml:space="preserve">, 214 P.3d 1060 (Colo. App. 2009); </w:t>
      </w:r>
      <w:r w:rsidRPr="00040F1D">
        <w:rPr>
          <w:rFonts w:eastAsia="Times New Roman"/>
          <w:b/>
          <w:sz w:val="24"/>
          <w:szCs w:val="24"/>
        </w:rPr>
        <w:t>Nelson v. Gas Research Inst.</w:t>
      </w:r>
      <w:r w:rsidRPr="00040F1D">
        <w:rPr>
          <w:rFonts w:eastAsia="Times New Roman"/>
          <w:sz w:val="24"/>
          <w:szCs w:val="24"/>
        </w:rPr>
        <w:t xml:space="preserve">, 121 P.3d 340 (Colo. App. 2005); </w:t>
      </w:r>
      <w:r w:rsidRPr="00040F1D">
        <w:rPr>
          <w:rFonts w:eastAsia="Times New Roman"/>
          <w:b/>
          <w:sz w:val="24"/>
          <w:szCs w:val="24"/>
        </w:rPr>
        <w:t>Robert K. Schader, P.C. v. Etta Indus.</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892 P.2d 363 (Colo. App. 1994); </w:t>
      </w:r>
      <w:r w:rsidRPr="00040F1D">
        <w:rPr>
          <w:rFonts w:eastAsia="Times New Roman"/>
          <w:b/>
          <w:sz w:val="24"/>
          <w:szCs w:val="24"/>
        </w:rPr>
        <w:t>Pittman v. Larson Distrib. Co.</w:t>
      </w:r>
      <w:r w:rsidRPr="00040F1D">
        <w:rPr>
          <w:rFonts w:eastAsia="Times New Roman"/>
          <w:sz w:val="24"/>
          <w:szCs w:val="24"/>
        </w:rPr>
        <w:t xml:space="preserve">, 724 P.2d 1379 (Colo. App. 1986); </w:t>
      </w:r>
      <w:r w:rsidRPr="00040F1D">
        <w:rPr>
          <w:rFonts w:eastAsia="Times New Roman"/>
          <w:b/>
          <w:sz w:val="24"/>
          <w:szCs w:val="24"/>
        </w:rPr>
        <w:t>Forsyth v. Associated Grocers of Colo.</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724 P.2d 1360 (Colo. App. 1986) (citing with approval the elements as set out in this instruction); </w:t>
      </w:r>
      <w:r w:rsidRPr="00040F1D">
        <w:rPr>
          <w:rFonts w:eastAsia="Times New Roman"/>
          <w:b/>
          <w:sz w:val="24"/>
          <w:szCs w:val="24"/>
        </w:rPr>
        <w:t>Club Valencia Homeowners Ass’n v. Valencia Assocs.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712 P.2d 1024 (Colo. App. 1985).</w:t>
      </w:r>
    </w:p>
    <w:p w14:paraId="79066A1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Paragraph number 3 is supported by </w:t>
      </w:r>
      <w:r w:rsidRPr="00040F1D">
        <w:rPr>
          <w:rFonts w:eastAsia="Times New Roman"/>
          <w:b/>
          <w:sz w:val="24"/>
          <w:szCs w:val="24"/>
        </w:rPr>
        <w:t>Meredith v. Ramsdell</w:t>
      </w:r>
      <w:r w:rsidRPr="00040F1D">
        <w:rPr>
          <w:rFonts w:eastAsia="Times New Roman"/>
          <w:sz w:val="24"/>
          <w:szCs w:val="24"/>
        </w:rPr>
        <w:t xml:space="preserve">, 152 Colo. 548, 552, 384 P.2d 941, 944 (1963) (“[a] person who misleads another by word or act to believe a fact exists, when he knows it does not, is guilty of fraud, notwithstanding he entertains a belief and expectation that it will come into existence”); </w:t>
      </w:r>
      <w:r w:rsidRPr="00040F1D">
        <w:rPr>
          <w:rFonts w:eastAsia="Times New Roman"/>
          <w:b/>
          <w:sz w:val="24"/>
          <w:szCs w:val="24"/>
        </w:rPr>
        <w:t>Denver Business Sales Co. v. Lewis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148 Colo. 293, 365 P.2d 895 (1961) (trial court reversed in a deceit case based on nondisclosure for instructing the jury that the defendant was liable if he failed to disclose a fact which “by the exercise of reasonable prudence” he should have known); </w:t>
      </w:r>
      <w:r w:rsidRPr="00040F1D">
        <w:rPr>
          <w:rFonts w:eastAsia="Times New Roman"/>
          <w:b/>
          <w:sz w:val="24"/>
          <w:szCs w:val="24"/>
        </w:rPr>
        <w:t>Pattridge v. Youmans</w:t>
      </w:r>
      <w:r w:rsidRPr="00040F1D">
        <w:rPr>
          <w:rFonts w:eastAsia="Times New Roman"/>
          <w:sz w:val="24"/>
          <w:szCs w:val="24"/>
        </w:rPr>
        <w:t xml:space="preserve">, 107 Colo. 122, 126, 109 P.2d 646, 648 (1941) (“[h]e who makes a representation as of his own knowledge, not knowing whether it is true or false, and it is in fact untrue, is guilty of fraud as much as if he knew it to be untrue”); </w:t>
      </w:r>
      <w:r w:rsidRPr="00040F1D">
        <w:rPr>
          <w:rFonts w:eastAsia="Times New Roman"/>
          <w:b/>
          <w:sz w:val="24"/>
          <w:szCs w:val="24"/>
        </w:rPr>
        <w:t>Otis &amp; Co. v. Grimes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97 Colo. 219, 221-22, 48 P.2d 788, 789 (1935) (actual knowledge of falsity not required and it is enough if the representation is made “with reckless ignorance of its truth or falsity” or “made . . . recklessly, careless [of] whether it be true or false,” or is made with “no knowledge whether his assertion is true or false”); and </w:t>
      </w:r>
      <w:r w:rsidRPr="00040F1D">
        <w:rPr>
          <w:rFonts w:eastAsia="Times New Roman"/>
          <w:b/>
          <w:sz w:val="24"/>
          <w:szCs w:val="24"/>
        </w:rPr>
        <w:t>Lahay v. City National Bank of Denver</w:t>
      </w:r>
      <w:r w:rsidRPr="00040F1D">
        <w:rPr>
          <w:rFonts w:eastAsia="Times New Roman"/>
          <w:sz w:val="24"/>
          <w:szCs w:val="24"/>
        </w:rPr>
        <w:t xml:space="preserve">, 15 Colo. 339, 25 P. 704 (1891) (same).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Overland Dev. Co. v. Marston Slopes Dev. Co.</w:t>
      </w:r>
      <w:r w:rsidRPr="00040F1D">
        <w:rPr>
          <w:rFonts w:eastAsia="Times New Roman"/>
          <w:sz w:val="24"/>
          <w:szCs w:val="24"/>
        </w:rPr>
        <w:t xml:space="preserve">, 773 P.2d 1112 (Colo. App. 1989); </w:t>
      </w:r>
      <w:r w:rsidRPr="00040F1D">
        <w:rPr>
          <w:rFonts w:eastAsia="Times New Roman"/>
          <w:smallCaps/>
          <w:sz w:val="24"/>
          <w:szCs w:val="24"/>
        </w:rPr>
        <w:t>Harper, James and Gray on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7.3;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107. The language of paragraph 3 was cited with approval in </w:t>
      </w:r>
      <w:r w:rsidRPr="00040F1D">
        <w:rPr>
          <w:rFonts w:eastAsia="Times New Roman"/>
          <w:b/>
          <w:sz w:val="24"/>
          <w:szCs w:val="24"/>
        </w:rPr>
        <w:t>Sodal v. French</w:t>
      </w:r>
      <w:r w:rsidRPr="00040F1D">
        <w:rPr>
          <w:rFonts w:eastAsia="Times New Roman"/>
          <w:sz w:val="24"/>
          <w:szCs w:val="24"/>
        </w:rPr>
        <w:t xml:space="preserve">, 35 Colo. App. 16, 531 P.2d 972 (1974), </w:t>
      </w:r>
      <w:r w:rsidRPr="00040F1D">
        <w:rPr>
          <w:rFonts w:eastAsia="Times New Roman"/>
          <w:i/>
          <w:sz w:val="24"/>
          <w:szCs w:val="24"/>
        </w:rPr>
        <w:t>aff’d on other grounds sub nom.</w:t>
      </w:r>
      <w:r w:rsidRPr="00040F1D">
        <w:rPr>
          <w:rFonts w:eastAsia="Times New Roman"/>
          <w:b/>
          <w:sz w:val="24"/>
          <w:szCs w:val="24"/>
        </w:rPr>
        <w:t xml:space="preserve"> Slack v. Sodal</w:t>
      </w:r>
      <w:r w:rsidRPr="00040F1D">
        <w:rPr>
          <w:rFonts w:eastAsia="Times New Roman"/>
          <w:sz w:val="24"/>
          <w:szCs w:val="24"/>
        </w:rPr>
        <w:t>, 190 Colo. 411, 547 P.2d 923 (1976).</w:t>
      </w:r>
    </w:p>
    <w:p w14:paraId="062232E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Numbered paragraph 5 is specifically supported by </w:t>
      </w:r>
      <w:r w:rsidRPr="00040F1D">
        <w:rPr>
          <w:rFonts w:eastAsia="Times New Roman"/>
          <w:b/>
          <w:sz w:val="24"/>
          <w:szCs w:val="24"/>
        </w:rPr>
        <w:t>Huston v. Ohio &amp; Colorado Smelting &amp; Refining Co.</w:t>
      </w:r>
      <w:r w:rsidRPr="00040F1D">
        <w:rPr>
          <w:rFonts w:eastAsia="Times New Roman"/>
          <w:sz w:val="24"/>
          <w:szCs w:val="24"/>
        </w:rPr>
        <w:t xml:space="preserve">, 63 Colo. 152, 165 P. 251 (1917) (plaintiff denied relief for damages caused by his reliance which was other than that intended by the defendant).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Nielson v. Scott</w:t>
      </w:r>
      <w:r w:rsidRPr="00040F1D">
        <w:rPr>
          <w:rFonts w:eastAsia="Times New Roman"/>
          <w:sz w:val="24"/>
          <w:szCs w:val="24"/>
        </w:rPr>
        <w:t xml:space="preserve">, 53 P.3d 777 (Colo. App. 2002) (summary judgment proper where no evidence that reliance on false representation was justified); </w:t>
      </w:r>
      <w:r w:rsidRPr="00040F1D">
        <w:rPr>
          <w:rFonts w:eastAsia="Times New Roman"/>
          <w:b/>
          <w:sz w:val="24"/>
          <w:szCs w:val="24"/>
        </w:rPr>
        <w:t>Soneff v. Harlan</w:t>
      </w:r>
      <w:r w:rsidRPr="00040F1D">
        <w:rPr>
          <w:rFonts w:eastAsia="Times New Roman"/>
          <w:sz w:val="24"/>
          <w:szCs w:val="24"/>
        </w:rPr>
        <w:t xml:space="preserve">, 712 P.2d 1084 (Colo. App. 1985) (no evidence of detrimental reliance); </w:t>
      </w:r>
      <w:r w:rsidRPr="00040F1D">
        <w:rPr>
          <w:rFonts w:eastAsia="Times New Roman"/>
          <w:b/>
          <w:sz w:val="24"/>
          <w:szCs w:val="24"/>
        </w:rPr>
        <w:t>Blinder, Robinson &amp; Co. v. Alzado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713 P.2d 1314 (Colo. App. 1985), </w:t>
      </w:r>
      <w:r w:rsidRPr="00040F1D">
        <w:rPr>
          <w:rFonts w:eastAsia="Times New Roman"/>
          <w:i/>
          <w:sz w:val="24"/>
          <w:szCs w:val="24"/>
        </w:rPr>
        <w:t>aff’d in part, rev’d in part on other grounds</w:t>
      </w:r>
      <w:r w:rsidRPr="00040F1D">
        <w:rPr>
          <w:rFonts w:eastAsia="Times New Roman"/>
          <w:sz w:val="24"/>
          <w:szCs w:val="24"/>
        </w:rPr>
        <w:t>,</w:t>
      </w:r>
      <w:r w:rsidRPr="00040F1D">
        <w:rPr>
          <w:rFonts w:eastAsia="Times New Roman"/>
          <w:i/>
          <w:sz w:val="24"/>
          <w:szCs w:val="24"/>
        </w:rPr>
        <w:t xml:space="preserve"> </w:t>
      </w:r>
      <w:r w:rsidRPr="00040F1D">
        <w:rPr>
          <w:rFonts w:eastAsia="Times New Roman"/>
          <w:sz w:val="24"/>
          <w:szCs w:val="24"/>
        </w:rPr>
        <w:t>752 P.2d 544 (Colo. 1988).</w:t>
      </w:r>
    </w:p>
    <w:p w14:paraId="69089E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The cases cited above in general support of this instruction do not use the phrase “justifiable reliance” as set out in numbered paragraph 6. In a deceit action, however, while the plaintiff’s reliance need not be “reasonable” in the sense of the objective standard of the reasonably prudent man, </w:t>
      </w:r>
      <w:r w:rsidRPr="00040F1D">
        <w:rPr>
          <w:rFonts w:eastAsia="Times New Roman"/>
          <w:b/>
          <w:sz w:val="24"/>
          <w:szCs w:val="24"/>
        </w:rPr>
        <w:t>Foster v. O’Farrell</w:t>
      </w:r>
      <w:r w:rsidRPr="00040F1D">
        <w:rPr>
          <w:rFonts w:eastAsia="Times New Roman"/>
          <w:sz w:val="24"/>
          <w:szCs w:val="24"/>
        </w:rPr>
        <w:t xml:space="preserve">, 75 Colo. 170, 225 P. 217 (1924), it may not be wholly unwarranted. </w:t>
      </w:r>
      <w:r w:rsidRPr="00040F1D">
        <w:rPr>
          <w:rFonts w:eastAsia="Times New Roman"/>
          <w:i/>
          <w:sz w:val="24"/>
          <w:szCs w:val="24"/>
        </w:rPr>
        <w:t>See</w:t>
      </w:r>
      <w:r w:rsidRPr="00040F1D">
        <w:rPr>
          <w:rFonts w:eastAsia="Times New Roman"/>
          <w:sz w:val="24"/>
          <w:szCs w:val="24"/>
        </w:rPr>
        <w:t xml:space="preserve"> Instructions 19:8, 19:9, 19:10, and 19:11;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Fasing v. LaFond</w:t>
      </w:r>
      <w:r w:rsidRPr="00040F1D">
        <w:rPr>
          <w:rFonts w:eastAsia="Times New Roman"/>
          <w:sz w:val="24"/>
          <w:szCs w:val="24"/>
        </w:rPr>
        <w:t xml:space="preserve">, 944 P.2d 608 (Colo. App. 1997) (element of claim is “reasonable reliance” on the alleged misrepresentation); </w:t>
      </w:r>
      <w:r w:rsidRPr="00040F1D">
        <w:rPr>
          <w:rFonts w:eastAsia="Times New Roman"/>
          <w:b/>
          <w:sz w:val="24"/>
          <w:szCs w:val="24"/>
        </w:rPr>
        <w:t>Frontier Expl., Inc. v. Am. Nat’l Fire Ins. Co.</w:t>
      </w:r>
      <w:r w:rsidRPr="00040F1D">
        <w:rPr>
          <w:rFonts w:eastAsia="Times New Roman"/>
          <w:sz w:val="24"/>
          <w:szCs w:val="24"/>
        </w:rPr>
        <w:t xml:space="preserve">, 849 P.2d 887 (Colo. App. </w:t>
      </w:r>
      <w:r w:rsidRPr="00040F1D">
        <w:rPr>
          <w:rFonts w:eastAsia="Times New Roman"/>
          <w:sz w:val="24"/>
          <w:szCs w:val="24"/>
        </w:rPr>
        <w:lastRenderedPageBreak/>
        <w:t>1992) (false representation requires justifiable reliance by the one to whom the representation is made).</w:t>
      </w:r>
    </w:p>
    <w:p w14:paraId="0AA6AD9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In a deceit action, actual damages must be proved as an element of the tort. </w:t>
      </w:r>
      <w:r w:rsidRPr="00040F1D">
        <w:rPr>
          <w:rFonts w:eastAsia="Times New Roman"/>
          <w:b/>
          <w:sz w:val="24"/>
          <w:szCs w:val="24"/>
        </w:rPr>
        <w:t>W. Cities Broad., Inc. v. Schueller</w:t>
      </w:r>
      <w:r w:rsidRPr="00040F1D">
        <w:rPr>
          <w:rFonts w:eastAsia="Times New Roman"/>
          <w:sz w:val="24"/>
          <w:szCs w:val="24"/>
        </w:rPr>
        <w:t xml:space="preserve">, 849 P.2d 44 (Colo. 1993); </w:t>
      </w:r>
      <w:r w:rsidRPr="00040F1D">
        <w:rPr>
          <w:rFonts w:eastAsia="Times New Roman"/>
          <w:b/>
          <w:sz w:val="24"/>
          <w:szCs w:val="24"/>
        </w:rPr>
        <w:t>Black v. First Fed. Sav. &amp; Loan Ass’n</w:t>
      </w:r>
      <w:r w:rsidRPr="00040F1D">
        <w:rPr>
          <w:rFonts w:eastAsia="Times New Roman"/>
          <w:sz w:val="24"/>
          <w:szCs w:val="24"/>
        </w:rPr>
        <w:t xml:space="preserve">, 830 P.2d 1103 (Colo. App. 1992), </w:t>
      </w:r>
      <w:r w:rsidRPr="00040F1D">
        <w:rPr>
          <w:rFonts w:eastAsia="Times New Roman"/>
          <w:i/>
          <w:sz w:val="24"/>
          <w:szCs w:val="24"/>
        </w:rPr>
        <w:t>aff’d on other grounds sub nom.</w:t>
      </w:r>
      <w:r w:rsidRPr="00040F1D">
        <w:rPr>
          <w:rFonts w:eastAsia="Times New Roman"/>
          <w:sz w:val="24"/>
          <w:szCs w:val="24"/>
        </w:rPr>
        <w:t xml:space="preserve"> </w:t>
      </w:r>
      <w:r w:rsidRPr="00040F1D">
        <w:rPr>
          <w:rFonts w:eastAsia="Times New Roman"/>
          <w:b/>
          <w:sz w:val="24"/>
          <w:szCs w:val="24"/>
        </w:rPr>
        <w:t>La Plata Med. Ctr. Assocs. v. United Bank of Durango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857 P.2d 410 (Colo. 1993); </w:t>
      </w:r>
      <w:r w:rsidRPr="00040F1D">
        <w:rPr>
          <w:rFonts w:eastAsia="Times New Roman"/>
          <w:b/>
          <w:sz w:val="24"/>
          <w:szCs w:val="24"/>
        </w:rPr>
        <w:t>Harrison v. Smith</w:t>
      </w:r>
      <w:r w:rsidRPr="00040F1D">
        <w:rPr>
          <w:rFonts w:eastAsia="Times New Roman"/>
          <w:sz w:val="24"/>
          <w:szCs w:val="24"/>
        </w:rPr>
        <w:t xml:space="preserve">, 821 P.2d 832 (Colo. App. 1991); </w:t>
      </w:r>
      <w:r w:rsidRPr="00040F1D">
        <w:rPr>
          <w:rFonts w:eastAsia="Times New Roman"/>
          <w:b/>
          <w:sz w:val="24"/>
          <w:szCs w:val="24"/>
        </w:rPr>
        <w:t>Dann v. Perrotti &amp; Hauptman Dev. Co.</w:t>
      </w:r>
      <w:r w:rsidRPr="00040F1D">
        <w:rPr>
          <w:rFonts w:eastAsia="Times New Roman"/>
          <w:sz w:val="24"/>
          <w:szCs w:val="24"/>
        </w:rPr>
        <w:t xml:space="preserve">, 670 P.2d 448 (Colo. App. 1983); </w:t>
      </w:r>
      <w:r w:rsidRPr="00040F1D">
        <w:rPr>
          <w:rFonts w:eastAsia="Times New Roman"/>
          <w:b/>
          <w:sz w:val="24"/>
          <w:szCs w:val="24"/>
        </w:rPr>
        <w:t>Greenleaf, Inc. v. Manco Chem.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30 Colo. App. 367, 492 P.2d 889 (1971).</w:t>
      </w:r>
    </w:p>
    <w:p w14:paraId="375DE7F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28981F4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For fraud as a defense to a breach of contract action, see Instruction 30:18. For an excellent discussion of the various remedies and defenses which may be based on fraud, see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 105.</w:t>
      </w:r>
    </w:p>
    <w:p w14:paraId="6EF5DEDB"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Under section 13-25-127, C.R.S., the plaintiff’s burden of proof is by a preponderance of the evidence, rather than by “clear and convincing” evidence, as was the earlier rule.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Wiley v. Byrd</w:t>
      </w:r>
      <w:r w:rsidRPr="00040F1D">
        <w:rPr>
          <w:rFonts w:eastAsia="Times New Roman"/>
          <w:sz w:val="24"/>
          <w:szCs w:val="24"/>
        </w:rPr>
        <w:t xml:space="preserve">, 158 Colo. 479, 408 P.2d 72 (1965) (evidence of “fraud” must be clear and convincing); </w:t>
      </w:r>
      <w:r w:rsidRPr="00040F1D">
        <w:rPr>
          <w:rFonts w:eastAsia="Times New Roman"/>
          <w:b/>
          <w:sz w:val="24"/>
          <w:szCs w:val="24"/>
        </w:rPr>
        <w:t>Wallick v. Eaton</w:t>
      </w:r>
      <w:r w:rsidRPr="00040F1D">
        <w:rPr>
          <w:rFonts w:eastAsia="Times New Roman"/>
          <w:sz w:val="24"/>
          <w:szCs w:val="24"/>
        </w:rPr>
        <w:t>, 110 Colo. 358, 363, 134 P.2d 727, 729 (1943) (proof of fraud must be “clear, precise and indubitable”).</w:t>
      </w:r>
    </w:p>
    <w:p w14:paraId="69736A7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9. For recovery for financial losses arising out of a business relationship caused by a negligently made misrepresentation on which the plaintiff relied, see Instruction 9:4. Also, for the tort of negligent misrepresentation resulting in physical harm, see Instruction 9:3.</w:t>
      </w:r>
    </w:p>
    <w:p w14:paraId="0BC97C8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10. In certain cases, the usual common-law requirements for the tort of deceit may have been changed by statute. </w:t>
      </w:r>
      <w:r w:rsidRPr="00040F1D">
        <w:rPr>
          <w:rFonts w:eastAsia="Times New Roman"/>
          <w:i/>
          <w:sz w:val="24"/>
          <w:szCs w:val="24"/>
        </w:rPr>
        <w:t>See, e.g.</w:t>
      </w:r>
      <w:r w:rsidRPr="00040F1D">
        <w:rPr>
          <w:rFonts w:eastAsia="Times New Roman"/>
          <w:sz w:val="24"/>
          <w:szCs w:val="24"/>
        </w:rPr>
        <w:t xml:space="preserve">, § 13-21-109, C.R.S. (damages recoverable for writing checks or other instruments when no account or insufficient funds). </w:t>
      </w:r>
      <w:r w:rsidRPr="00040F1D">
        <w:rPr>
          <w:rFonts w:eastAsia="Times New Roman"/>
          <w:i/>
          <w:sz w:val="24"/>
          <w:szCs w:val="24"/>
        </w:rPr>
        <w:t xml:space="preserve">See also </w:t>
      </w:r>
      <w:r w:rsidRPr="00040F1D">
        <w:rPr>
          <w:rFonts w:eastAsia="Times New Roman"/>
          <w:b/>
          <w:sz w:val="24"/>
          <w:szCs w:val="24"/>
        </w:rPr>
        <w:t>First Nat’l Bank of Durango v. Lyons</w:t>
      </w:r>
      <w:r w:rsidRPr="00040F1D">
        <w:rPr>
          <w:rFonts w:eastAsia="Times New Roman"/>
          <w:sz w:val="24"/>
          <w:szCs w:val="24"/>
        </w:rPr>
        <w:t>, 2015 COA 19, ¶ 28, 349 P.3d 1161, 1166 (a fraud claim under the Colorado Securities Act could lie in tort for purposes of the Colorado Governmental Immunity Act because section 11-51-604 (3) provides that “[a]ny person who recklessly, knowingly, or with an intent to defraud sells or buys a security in violation of [this section] . . . is liable to the person buying or selling such security”);</w:t>
      </w:r>
      <w:r w:rsidRPr="00040F1D">
        <w:rPr>
          <w:rFonts w:eastAsia="Times New Roman"/>
          <w:b/>
          <w:sz w:val="24"/>
          <w:szCs w:val="24"/>
        </w:rPr>
        <w:t xml:space="preserve"> Barfield</w:t>
      </w:r>
      <w:r w:rsidRPr="00040F1D">
        <w:rPr>
          <w:rFonts w:eastAsia="Times New Roman"/>
          <w:sz w:val="24"/>
          <w:szCs w:val="24"/>
        </w:rPr>
        <w:t>, 232 P.3d at 291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w:t>
      </w:r>
      <w:r w:rsidRPr="00040F1D">
        <w:rPr>
          <w:rFonts w:eastAsia="Times New Roman"/>
          <w:b/>
          <w:sz w:val="24"/>
          <w:szCs w:val="24"/>
        </w:rPr>
        <w:t xml:space="preserve"> Nelson</w:t>
      </w:r>
      <w:r w:rsidRPr="00040F1D">
        <w:rPr>
          <w:rFonts w:eastAsia="Times New Roman"/>
          <w:sz w:val="24"/>
          <w:szCs w:val="24"/>
        </w:rPr>
        <w:t xml:space="preserve">, 121 P.3d at 344 (elements to establish action for fraud under section 8-2-104, C.R.S., prohibiting obtaining workers by misrepresentation, are the same as those for common-law fraud). In other cases, common-law fraud requirements remain the same. </w:t>
      </w:r>
      <w:r w:rsidRPr="00040F1D">
        <w:rPr>
          <w:rFonts w:eastAsia="Times New Roman"/>
          <w:i/>
          <w:sz w:val="24"/>
          <w:szCs w:val="24"/>
        </w:rPr>
        <w:t>See, e.g.</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2013 COA 145, ¶ 16, 318 P.3d 549, 554 (“home sellers’ common law duty to disclose known but latent defects in the property has long been recognized”).</w:t>
      </w:r>
    </w:p>
    <w:p w14:paraId="4BBC151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11. Where a plaintiff has been induced fraudulently to enter into two related contracts as part of the same general transaction, the plaintiff need not elect the same remedy for both contracts. The plaintiff may elect to affirm one and sue for damages in deceit, and rescind the other and seek restitution for any consideration paid. Plaintiff should not be required to elect the same remedy for both contracts unless necessary to prevent double recovery or because the assertion of different remedies would be so inconsistent that the assertion of one would necessarily be a repudiation of the other. </w:t>
      </w:r>
      <w:r w:rsidRPr="00040F1D">
        <w:rPr>
          <w:rFonts w:eastAsia="Times New Roman"/>
          <w:b/>
          <w:sz w:val="24"/>
          <w:szCs w:val="24"/>
        </w:rPr>
        <w:t>Stewart v. Blanning</w:t>
      </w:r>
      <w:r w:rsidRPr="00040F1D">
        <w:rPr>
          <w:rFonts w:eastAsia="Times New Roman"/>
          <w:sz w:val="24"/>
          <w:szCs w:val="24"/>
        </w:rPr>
        <w:t>, 677 P.2d 1382 (Colo. App. 1984).</w:t>
      </w:r>
    </w:p>
    <w:p w14:paraId="09814A4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12. Lack of privity with a remote purchaser does not insulate a seller of property from liability for false representation arising out of a failure to disclose a latent defect which materially affected the desirability of the property. </w:t>
      </w:r>
      <w:r w:rsidRPr="00040F1D">
        <w:rPr>
          <w:rFonts w:eastAsia="Times New Roman"/>
          <w:b/>
          <w:sz w:val="24"/>
          <w:szCs w:val="24"/>
        </w:rPr>
        <w:t>Iverson v. Solsbery</w:t>
      </w:r>
      <w:r w:rsidRPr="00040F1D">
        <w:rPr>
          <w:rFonts w:eastAsia="Times New Roman"/>
          <w:sz w:val="24"/>
          <w:szCs w:val="24"/>
        </w:rPr>
        <w:t xml:space="preserve">, 641 P.2d 314 (Colo. App. 1982); </w:t>
      </w:r>
      <w:r w:rsidRPr="00040F1D">
        <w:rPr>
          <w:rFonts w:eastAsia="Times New Roman"/>
          <w:b/>
          <w:sz w:val="24"/>
          <w:szCs w:val="24"/>
        </w:rPr>
        <w:t>Schnell v. Gustafson</w:t>
      </w:r>
      <w:r w:rsidRPr="00040F1D">
        <w:rPr>
          <w:rFonts w:eastAsia="Times New Roman"/>
          <w:sz w:val="24"/>
          <w:szCs w:val="24"/>
        </w:rPr>
        <w:t>, 638 P.2d 850 (Colo. App. 1981).</w:t>
      </w:r>
    </w:p>
    <w:p w14:paraId="400C41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13. A disclosed principal may be held liable in deceit for a misrepresentation made by an agent within the scope of a transaction the agent was authorized to effect. </w:t>
      </w:r>
      <w:r w:rsidRPr="00040F1D">
        <w:rPr>
          <w:rFonts w:eastAsia="Times New Roman"/>
          <w:b/>
          <w:sz w:val="24"/>
          <w:szCs w:val="24"/>
        </w:rPr>
        <w:t>Erickson v. Oberlohr</w:t>
      </w:r>
      <w:r w:rsidRPr="00040F1D">
        <w:rPr>
          <w:rFonts w:eastAsia="Times New Roman"/>
          <w:sz w:val="24"/>
          <w:szCs w:val="24"/>
        </w:rPr>
        <w:t>, 749 P.2d 996 (Colo. App. 1987).</w:t>
      </w:r>
    </w:p>
    <w:p w14:paraId="314C74D5" w14:textId="072C8DF6"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14. A fraud claim based on only vicarious liability is insufficient. </w:t>
      </w:r>
      <w:r w:rsidRPr="00040F1D">
        <w:rPr>
          <w:rFonts w:eastAsia="Times New Roman"/>
          <w:b/>
          <w:sz w:val="24"/>
          <w:szCs w:val="24"/>
        </w:rPr>
        <w:t>Just in Case Business Lighthouse</w:t>
      </w:r>
      <w:r w:rsidRPr="00040F1D">
        <w:rPr>
          <w:rFonts w:eastAsia="Times New Roman"/>
          <w:sz w:val="24"/>
          <w:szCs w:val="24"/>
        </w:rPr>
        <w:t>, ¶ 64</w:t>
      </w:r>
      <w:r w:rsidR="00C64DA5">
        <w:rPr>
          <w:rFonts w:eastAsia="Times New Roman"/>
          <w:sz w:val="24"/>
          <w:szCs w:val="24"/>
        </w:rPr>
        <w:t>, 383 P.3d at 16</w:t>
      </w:r>
      <w:r w:rsidRPr="00040F1D">
        <w:rPr>
          <w:rFonts w:eastAsia="Times New Roman"/>
          <w:sz w:val="24"/>
          <w:szCs w:val="24"/>
        </w:rPr>
        <w:t>.</w:t>
      </w:r>
    </w:p>
    <w:p w14:paraId="5D2AD4C3" w14:textId="344A5D44"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15.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Colo. Coffee Bean, LLC v. Peaberry Coffee, Inc.</w:t>
      </w:r>
      <w:r w:rsidRPr="00040F1D">
        <w:rPr>
          <w:rFonts w:eastAsia="Times New Roman"/>
          <w:sz w:val="24"/>
          <w:szCs w:val="24"/>
        </w:rPr>
        <w:t xml:space="preserve">, 251 P.3d 9 (Colo. App. 2010); </w:t>
      </w:r>
      <w:r w:rsidRPr="00040F1D">
        <w:rPr>
          <w:rFonts w:eastAsia="Times New Roman"/>
          <w:b/>
          <w:sz w:val="24"/>
          <w:szCs w:val="24"/>
        </w:rPr>
        <w:t>Balkind v. Telluride Mtn. Title Co.</w:t>
      </w:r>
      <w:r w:rsidRPr="00040F1D">
        <w:rPr>
          <w:rFonts w:eastAsia="Times New Roman"/>
          <w:sz w:val="24"/>
          <w:szCs w:val="24"/>
        </w:rPr>
        <w:t xml:space="preserve">, 8 P.3d 581 (Colo. App. 2000);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w:t>
      </w:r>
      <w:r w:rsidRPr="00040F1D">
        <w:rPr>
          <w:rFonts w:eastAsia="Times New Roman"/>
          <w:sz w:val="24"/>
          <w:szCs w:val="24"/>
        </w:rPr>
        <w:t>, ¶ 17</w:t>
      </w:r>
      <w:r w:rsidR="00C64DA5">
        <w:rPr>
          <w:rFonts w:eastAsia="Times New Roman"/>
          <w:sz w:val="24"/>
          <w:szCs w:val="24"/>
        </w:rPr>
        <w:t>, 269 P.3d at 1247</w:t>
      </w:r>
      <w:r w:rsidRPr="00040F1D">
        <w:rPr>
          <w:rFonts w:eastAsia="Times New Roman"/>
          <w:sz w:val="24"/>
          <w:szCs w:val="24"/>
        </w:rPr>
        <w:t xml:space="preserve">; </w:t>
      </w:r>
      <w:r w:rsidRPr="00040F1D">
        <w:rPr>
          <w:rFonts w:eastAsia="Times New Roman"/>
          <w:b/>
          <w:sz w:val="24"/>
          <w:szCs w:val="24"/>
        </w:rPr>
        <w:t>M.D.C./Wood, Inc. v. Mortimer</w:t>
      </w:r>
      <w:r w:rsidRPr="00040F1D">
        <w:rPr>
          <w:rFonts w:eastAsia="Times New Roman"/>
          <w:sz w:val="24"/>
          <w:szCs w:val="24"/>
        </w:rPr>
        <w:t>, 866 P.2d 1380 (Colo. 1994). However, for a different test, see the authority cited in the Source and Authority to Instructions 19:8 to 19:10.</w:t>
      </w:r>
    </w:p>
    <w:p w14:paraId="4F311E52" w14:textId="31599A3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16. The “economic loss rule” bars recovery on post-contractual claims for fraudulent concealment and fraudulent misrepresentation which arise out of contract rather than tort duties.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 14</w:t>
      </w:r>
      <w:r w:rsidR="00C64DA5">
        <w:rPr>
          <w:rFonts w:eastAsia="Times New Roman"/>
          <w:sz w:val="24"/>
          <w:szCs w:val="24"/>
        </w:rPr>
        <w:t>, 318 P.3d at 553</w:t>
      </w:r>
      <w:r w:rsidRPr="00040F1D">
        <w:rPr>
          <w:rFonts w:eastAsia="Times New Roman"/>
          <w:sz w:val="24"/>
          <w:szCs w:val="24"/>
        </w:rPr>
        <w:t xml:space="preserve"> (economic loss rule does not bar a nondisclosure claim against a home seller for latent defects known to the seller).</w:t>
      </w:r>
      <w:r w:rsidR="00FF5412">
        <w:rPr>
          <w:rFonts w:eastAsia="Times New Roman"/>
          <w:sz w:val="24"/>
          <w:szCs w:val="24"/>
        </w:rPr>
        <w:t xml:space="preserve"> The “economic loss rule” does not, however, bar claims that a party was induced to enter into a contract based on fraudulent misrepresentation or fraudulent concealment. </w:t>
      </w:r>
      <w:r w:rsidR="00FF5412">
        <w:rPr>
          <w:rFonts w:eastAsia="Times New Roman"/>
          <w:b/>
          <w:sz w:val="24"/>
          <w:szCs w:val="24"/>
        </w:rPr>
        <w:t>Van Rees v. Unleaded Software, Inc.</w:t>
      </w:r>
      <w:r w:rsidR="00FF5412" w:rsidRPr="006302A4">
        <w:rPr>
          <w:rFonts w:eastAsia="Times New Roman"/>
          <w:sz w:val="24"/>
          <w:szCs w:val="24"/>
        </w:rPr>
        <w:t xml:space="preserve">, </w:t>
      </w:r>
      <w:r w:rsidR="00FF5412" w:rsidRPr="00CF1358">
        <w:rPr>
          <w:rFonts w:eastAsia="Times New Roman"/>
          <w:sz w:val="24"/>
          <w:szCs w:val="24"/>
        </w:rPr>
        <w:t xml:space="preserve">2016 CO 51, </w:t>
      </w:r>
      <w:r w:rsidR="00FF5412">
        <w:rPr>
          <w:rFonts w:eastAsia="Times New Roman"/>
          <w:sz w:val="24"/>
          <w:szCs w:val="24"/>
        </w:rPr>
        <w:t xml:space="preserve">¶ 15, </w:t>
      </w:r>
      <w:r w:rsidR="00FF5412" w:rsidRPr="00CF1358">
        <w:rPr>
          <w:rFonts w:eastAsia="Times New Roman"/>
          <w:sz w:val="24"/>
          <w:szCs w:val="24"/>
        </w:rPr>
        <w:t>373 P.3d 603</w:t>
      </w:r>
      <w:r w:rsidR="00FF5412">
        <w:rPr>
          <w:rFonts w:eastAsia="Times New Roman"/>
          <w:b/>
          <w:sz w:val="24"/>
          <w:szCs w:val="24"/>
        </w:rPr>
        <w:t>.</w:t>
      </w:r>
    </w:p>
    <w:p w14:paraId="2A6515B1" w14:textId="77777777" w:rsidR="00040F1D" w:rsidRDefault="00040F1D">
      <w:pPr>
        <w:rPr>
          <w:rFonts w:eastAsia="Times New Roman"/>
          <w:sz w:val="24"/>
          <w:szCs w:val="24"/>
        </w:rPr>
      </w:pPr>
      <w:r>
        <w:rPr>
          <w:rFonts w:eastAsia="Times New Roman"/>
          <w:sz w:val="24"/>
          <w:szCs w:val="24"/>
        </w:rPr>
        <w:br w:type="page"/>
      </w:r>
    </w:p>
    <w:p w14:paraId="02FE0258" w14:textId="77777777" w:rsidR="00040F1D" w:rsidRPr="009E3DA4" w:rsidRDefault="00040F1D" w:rsidP="00040F1D">
      <w:pPr>
        <w:spacing w:after="240"/>
        <w:ind w:left="720" w:hanging="720"/>
        <w:rPr>
          <w:rFonts w:eastAsia="Times New Roman"/>
          <w:b/>
          <w:sz w:val="24"/>
          <w:szCs w:val="24"/>
        </w:rPr>
      </w:pPr>
      <w:bookmarkStart w:id="1" w:name="a19_02"/>
      <w:bookmarkEnd w:id="1"/>
      <w:r w:rsidRPr="00040F1D">
        <w:rPr>
          <w:rFonts w:eastAsia="Times New Roman"/>
          <w:b/>
          <w:sz w:val="24"/>
          <w:szCs w:val="24"/>
        </w:rPr>
        <w:lastRenderedPageBreak/>
        <w:t xml:space="preserve">19:2 </w:t>
      </w:r>
      <w:r w:rsidRPr="00040F1D">
        <w:rPr>
          <w:rFonts w:eastAsia="Times New Roman"/>
          <w:b/>
          <w:sz w:val="24"/>
          <w:szCs w:val="24"/>
        </w:rPr>
        <w:tab/>
        <w:t>NONDISCLOSURE OR CONCEALMENT — ELEMENTS OF LIABILITY</w:t>
      </w:r>
    </w:p>
    <w:p w14:paraId="65AC91AE" w14:textId="0B0AC500"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xml:space="preserve">, on </w:t>
      </w:r>
      <w:r w:rsidR="00EB2FA5">
        <w:rPr>
          <w:rFonts w:eastAsia="Times New Roman"/>
          <w:bCs/>
          <w:i/>
          <w:iCs/>
          <w:sz w:val="24"/>
          <w:szCs w:val="24"/>
        </w:rPr>
        <w:t>(insert applicable pronoun)</w:t>
      </w:r>
      <w:r w:rsidRPr="00040F1D">
        <w:rPr>
          <w:rFonts w:eastAsia="Times New Roman"/>
          <w:b/>
          <w:sz w:val="24"/>
          <w:szCs w:val="24"/>
        </w:rPr>
        <w:t xml:space="preserve"> claim of deceit based on fraud, you must find all of the following have been proved by a preponderance of the evidence:</w:t>
      </w:r>
    </w:p>
    <w:p w14:paraId="285DA465" w14:textId="0FE3FEA4"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1. The defendant (concealed a past or present fact) (failed to disclose a past or present fact which </w:t>
      </w:r>
      <w:r w:rsidR="00EB2FA5">
        <w:rPr>
          <w:rFonts w:eastAsia="Times New Roman"/>
          <w:bCs/>
          <w:i/>
          <w:iCs/>
          <w:sz w:val="24"/>
          <w:szCs w:val="24"/>
        </w:rPr>
        <w:t>[insert applicable pronoun]</w:t>
      </w:r>
      <w:r w:rsidRPr="00040F1D">
        <w:rPr>
          <w:rFonts w:eastAsia="Times New Roman"/>
          <w:b/>
          <w:sz w:val="24"/>
          <w:szCs w:val="24"/>
        </w:rPr>
        <w:t xml:space="preserve"> had a duty to disclose);</w:t>
      </w:r>
    </w:p>
    <w:p w14:paraId="2B787B8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4828A74A" w14:textId="405FE95A"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The defendant (concealed it) (failed to disclose it) with the intent of creating a false impression of the actual facts in the mind of the plaintiff;</w:t>
      </w:r>
    </w:p>
    <w:p w14:paraId="5AA69E45" w14:textId="78A2CA8E"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4. The defendant (concealed) (failed to disclose) the fact with the intent that the plaintiff take a course of action </w:t>
      </w:r>
      <w:r w:rsidR="00EB2FA5">
        <w:rPr>
          <w:rFonts w:eastAsia="Times New Roman"/>
          <w:bCs/>
          <w:i/>
          <w:iCs/>
          <w:sz w:val="24"/>
          <w:szCs w:val="24"/>
        </w:rPr>
        <w:t>(insert applicable pronoun)</w:t>
      </w:r>
      <w:r w:rsidRPr="00040F1D">
        <w:rPr>
          <w:rFonts w:eastAsia="Times New Roman"/>
          <w:b/>
          <w:sz w:val="24"/>
          <w:szCs w:val="24"/>
        </w:rPr>
        <w:t xml:space="preserve"> might not take if </w:t>
      </w:r>
      <w:r w:rsidR="00EB2FA5">
        <w:rPr>
          <w:rFonts w:eastAsia="Times New Roman"/>
          <w:bCs/>
          <w:i/>
          <w:iCs/>
          <w:sz w:val="24"/>
          <w:szCs w:val="24"/>
        </w:rPr>
        <w:t>(insert applicable pronoun)</w:t>
      </w:r>
      <w:r w:rsidRPr="00040F1D">
        <w:rPr>
          <w:rFonts w:eastAsia="Times New Roman"/>
          <w:b/>
          <w:sz w:val="24"/>
          <w:szCs w:val="24"/>
        </w:rPr>
        <w:t xml:space="preserve"> knew the actual facts;</w:t>
      </w:r>
    </w:p>
    <w:p w14:paraId="4512957B" w14:textId="1C70B1C1"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took such action or decided not to act relying on the assumption that the (concealed) (undisclosed) fact did not exist or was different from what it actually was;</w:t>
      </w:r>
    </w:p>
    <w:p w14:paraId="74FD7668" w14:textId="2A5FF0C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3AB4751C" w14:textId="3DA5274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37FD7A6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24E9DD6"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6D09E65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FD6A260"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581FFFA3" w14:textId="77777777" w:rsidR="00040F1D" w:rsidRDefault="00040F1D" w:rsidP="00040F1D">
      <w:pPr>
        <w:jc w:val="center"/>
        <w:rPr>
          <w:rFonts w:eastAsia="Times New Roman"/>
          <w:sz w:val="24"/>
          <w:szCs w:val="24"/>
        </w:rPr>
      </w:pPr>
    </w:p>
    <w:p w14:paraId="5E9EE3FC" w14:textId="77777777" w:rsidR="00040F1D" w:rsidRPr="0054263B" w:rsidRDefault="00040F1D" w:rsidP="00040F1D">
      <w:pPr>
        <w:keepNext/>
        <w:spacing w:after="240"/>
        <w:jc w:val="center"/>
        <w:rPr>
          <w:rFonts w:eastAsia="Times New Roman"/>
          <w:b/>
          <w:sz w:val="24"/>
          <w:szCs w:val="24"/>
        </w:rPr>
      </w:pPr>
      <w:r w:rsidRPr="0054263B">
        <w:rPr>
          <w:rFonts w:eastAsia="Times New Roman"/>
          <w:b/>
          <w:sz w:val="24"/>
          <w:szCs w:val="24"/>
        </w:rPr>
        <w:t>Notes on Use</w:t>
      </w:r>
    </w:p>
    <w:p w14:paraId="109D17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1. With the exception of the first Note on Use, the remaining Notes on Use to Instruction 19:1 are also applicable to this instruction and should be read and applied accordingly.</w:t>
      </w:r>
    </w:p>
    <w:p w14:paraId="759126B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2. In cases involving multiple defendants or designated nonparties where the pro rata liability statute, section 13-21-111.5, C.R.S., is applicable, see the Notes on Use to Instruction 4:20 (model unified verdict form).</w:t>
      </w:r>
    </w:p>
    <w:p w14:paraId="5C875D7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When the alleged deceit is based on an overt misrepresentation, rather than a concealment or nondisclosure, Instruction 19:1 should be used rather than this instruction.</w:t>
      </w:r>
    </w:p>
    <w:p w14:paraId="5018E150" w14:textId="77777777" w:rsidR="00040F1D" w:rsidRPr="0054263B" w:rsidRDefault="00040F1D" w:rsidP="00040F1D">
      <w:pPr>
        <w:keepNext/>
        <w:spacing w:after="240"/>
        <w:jc w:val="center"/>
        <w:rPr>
          <w:rFonts w:eastAsia="Times New Roman"/>
          <w:b/>
          <w:sz w:val="24"/>
          <w:szCs w:val="24"/>
        </w:rPr>
      </w:pPr>
      <w:r>
        <w:rPr>
          <w:rFonts w:eastAsia="Times New Roman"/>
          <w:b/>
          <w:sz w:val="24"/>
          <w:szCs w:val="24"/>
        </w:rPr>
        <w:t>Source and Authority</w:t>
      </w:r>
    </w:p>
    <w:p w14:paraId="6588A06A" w14:textId="4CB0B1BB"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In addition to the authority cited and discussed in the Source and Authority to Instruction 19:1, this instruction is supported by </w:t>
      </w:r>
      <w:r w:rsidR="00FF5412">
        <w:rPr>
          <w:rFonts w:eastAsia="Times New Roman"/>
          <w:b/>
          <w:sz w:val="24"/>
          <w:szCs w:val="24"/>
        </w:rPr>
        <w:t>Baker v. Wood, Ris &amp; Hames, P.C.</w:t>
      </w:r>
      <w:r w:rsidR="00FF5412" w:rsidRPr="00D07BF3">
        <w:rPr>
          <w:rFonts w:eastAsia="Times New Roman"/>
          <w:i/>
          <w:sz w:val="24"/>
          <w:szCs w:val="24"/>
        </w:rPr>
        <w:t xml:space="preserve">, </w:t>
      </w:r>
      <w:r w:rsidR="00FF5412" w:rsidRPr="00D07BF3">
        <w:rPr>
          <w:rFonts w:eastAsia="Times New Roman"/>
          <w:sz w:val="24"/>
          <w:szCs w:val="24"/>
        </w:rPr>
        <w:t>2016 CO 5</w:t>
      </w:r>
      <w:r w:rsidR="00FF5412" w:rsidRPr="00D07BF3">
        <w:rPr>
          <w:rFonts w:eastAsia="Times New Roman"/>
          <w:i/>
          <w:sz w:val="24"/>
          <w:szCs w:val="24"/>
        </w:rPr>
        <w:t>,</w:t>
      </w:r>
      <w:r w:rsidR="00FF5412" w:rsidRPr="00D07BF3">
        <w:rPr>
          <w:rFonts w:eastAsia="Times New Roman"/>
          <w:sz w:val="24"/>
          <w:szCs w:val="24"/>
        </w:rPr>
        <w:t xml:space="preserve"> ¶ 59, 364 P.3d 872;</w:t>
      </w:r>
      <w:r w:rsidR="00FF5412" w:rsidRPr="00D07BF3">
        <w:rPr>
          <w:rFonts w:eastAsia="Times New Roman"/>
          <w:i/>
          <w:sz w:val="24"/>
          <w:szCs w:val="24"/>
        </w:rPr>
        <w:t xml:space="preserve"> </w:t>
      </w:r>
      <w:r w:rsidRPr="00040F1D">
        <w:rPr>
          <w:rFonts w:eastAsia="Times New Roman"/>
          <w:b/>
          <w:sz w:val="24"/>
          <w:szCs w:val="24"/>
        </w:rPr>
        <w:t>BP America Production Co. v. Patterson</w:t>
      </w:r>
      <w:r w:rsidRPr="00040F1D">
        <w:rPr>
          <w:rFonts w:eastAsia="Times New Roman"/>
          <w:sz w:val="24"/>
          <w:szCs w:val="24"/>
        </w:rPr>
        <w:t xml:space="preserve">, 263 P.3d 103 (Colo. 2011); </w:t>
      </w:r>
      <w:r w:rsidRPr="00040F1D">
        <w:rPr>
          <w:rFonts w:eastAsia="Times New Roman"/>
          <w:b/>
          <w:sz w:val="24"/>
          <w:szCs w:val="24"/>
        </w:rPr>
        <w:t>Mallon Oil Co. v. Bowen/Edwards Associates, Inc.</w:t>
      </w:r>
      <w:r w:rsidRPr="00040F1D">
        <w:rPr>
          <w:rFonts w:eastAsia="Times New Roman"/>
          <w:sz w:val="24"/>
          <w:szCs w:val="24"/>
        </w:rPr>
        <w:t xml:space="preserve">, 965 P.2d 105 (Colo. 1998); </w:t>
      </w:r>
      <w:r w:rsidRPr="00040F1D">
        <w:rPr>
          <w:rFonts w:eastAsia="Times New Roman"/>
          <w:b/>
          <w:sz w:val="24"/>
          <w:szCs w:val="24"/>
        </w:rPr>
        <w:t>Ballow v. PHICO Insurance Co.</w:t>
      </w:r>
      <w:r w:rsidRPr="00040F1D">
        <w:rPr>
          <w:rFonts w:eastAsia="Times New Roman"/>
          <w:sz w:val="24"/>
          <w:szCs w:val="24"/>
        </w:rPr>
        <w:t xml:space="preserve">, 875 P.2d 1354 (Colo. 1993); </w:t>
      </w:r>
      <w:r w:rsidRPr="00040F1D">
        <w:rPr>
          <w:rFonts w:eastAsia="Times New Roman"/>
          <w:b/>
          <w:sz w:val="24"/>
          <w:szCs w:val="24"/>
        </w:rPr>
        <w:t>Kopeikin v. Merchants Mortgage &amp; Trust Corp.</w:t>
      </w:r>
      <w:r w:rsidRPr="00040F1D">
        <w:rPr>
          <w:rFonts w:eastAsia="Times New Roman"/>
          <w:sz w:val="24"/>
          <w:szCs w:val="24"/>
        </w:rPr>
        <w:t xml:space="preserve">, 679 P.2d 599 (Colo. 1984) (direct evidence of plaintiff’s reliance is not required); </w:t>
      </w:r>
      <w:r w:rsidRPr="00040F1D">
        <w:rPr>
          <w:rFonts w:eastAsia="Times New Roman"/>
          <w:b/>
          <w:sz w:val="24"/>
          <w:szCs w:val="24"/>
        </w:rPr>
        <w:t>Ackmann v. Merchants Mortgage &amp; Trust Corp.</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645 P.2d 7 (Colo. 1982) (fraud as defense to breach of contract and rescission and restitution); </w:t>
      </w:r>
      <w:r w:rsidRPr="00040F1D">
        <w:rPr>
          <w:rFonts w:eastAsia="Times New Roman"/>
          <w:b/>
          <w:sz w:val="24"/>
          <w:szCs w:val="24"/>
        </w:rPr>
        <w:t>Teodonno v. Bachman</w:t>
      </w:r>
      <w:r w:rsidRPr="00040F1D">
        <w:rPr>
          <w:rFonts w:eastAsia="Times New Roman"/>
          <w:sz w:val="24"/>
          <w:szCs w:val="24"/>
        </w:rPr>
        <w:t xml:space="preserve">, 158 Colo. 1, 404 P.2d 284 (1965); </w:t>
      </w:r>
      <w:r w:rsidRPr="00040F1D">
        <w:rPr>
          <w:rFonts w:eastAsia="Times New Roman"/>
          <w:b/>
          <w:sz w:val="24"/>
          <w:szCs w:val="24"/>
        </w:rPr>
        <w:t>Carpenter v. Donohoe</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154 Colo. 78, 388 P.2d 399 (1964); </w:t>
      </w:r>
      <w:r w:rsidRPr="00040F1D">
        <w:rPr>
          <w:rFonts w:eastAsia="Times New Roman"/>
          <w:b/>
          <w:sz w:val="24"/>
          <w:szCs w:val="24"/>
        </w:rPr>
        <w:t>Cahill v. Readon</w:t>
      </w:r>
      <w:r w:rsidRPr="00040F1D">
        <w:rPr>
          <w:rFonts w:eastAsia="Times New Roman"/>
          <w:sz w:val="24"/>
          <w:szCs w:val="24"/>
        </w:rPr>
        <w:t xml:space="preserve">, 85 Colo. 9, 273 P. 653 (1928) (rescission action); </w:t>
      </w:r>
      <w:r w:rsidRPr="00040F1D">
        <w:rPr>
          <w:rFonts w:eastAsia="Times New Roman"/>
          <w:b/>
          <w:sz w:val="24"/>
          <w:szCs w:val="24"/>
        </w:rPr>
        <w:t>Patterson v. BP America Production Co.</w:t>
      </w:r>
      <w:r w:rsidRPr="00040F1D">
        <w:rPr>
          <w:rFonts w:eastAsia="Times New Roman"/>
          <w:sz w:val="24"/>
          <w:szCs w:val="24"/>
        </w:rPr>
        <w:t xml:space="preserve">, 2015 COA 28, ¶ 38, 360 P.3d 211; </w:t>
      </w:r>
      <w:r w:rsidRPr="00040F1D">
        <w:rPr>
          <w:rFonts w:eastAsia="Times New Roman"/>
          <w:b/>
          <w:sz w:val="24"/>
          <w:szCs w:val="24"/>
        </w:rPr>
        <w:t>Wainscott v. Centura Health Corp.</w:t>
      </w:r>
      <w:r w:rsidRPr="00040F1D">
        <w:rPr>
          <w:rFonts w:eastAsia="Times New Roman"/>
          <w:sz w:val="24"/>
          <w:szCs w:val="24"/>
        </w:rPr>
        <w:t xml:space="preserve">, 2014 COA 105, ¶ 77, 351 P.3d 513; </w:t>
      </w:r>
      <w:r w:rsidRPr="00040F1D">
        <w:rPr>
          <w:rFonts w:eastAsia="Times New Roman"/>
          <w:b/>
          <w:sz w:val="24"/>
          <w:szCs w:val="24"/>
        </w:rPr>
        <w:t>Maxwell v. United Services Automobile Ass’n</w:t>
      </w:r>
      <w:r w:rsidRPr="00040F1D">
        <w:rPr>
          <w:rFonts w:eastAsia="Times New Roman"/>
          <w:sz w:val="24"/>
          <w:szCs w:val="24"/>
        </w:rPr>
        <w:t xml:space="preserve">, 2014 COA 2, ¶ 19, 342 P.3d 474 (if all five elements can be resolved by common questions of law or fact, fraudulent concealment claim can be certified as a class action); </w:t>
      </w:r>
      <w:r w:rsidRPr="00040F1D">
        <w:rPr>
          <w:rFonts w:eastAsia="Times New Roman"/>
          <w:b/>
          <w:sz w:val="24"/>
          <w:szCs w:val="24"/>
        </w:rPr>
        <w:t>Jehly v. Brown</w:t>
      </w:r>
      <w:r w:rsidRPr="00040F1D">
        <w:rPr>
          <w:rFonts w:eastAsia="Times New Roman"/>
          <w:sz w:val="24"/>
          <w:szCs w:val="24"/>
        </w:rPr>
        <w:t xml:space="preserve">, 2014 COA 39, ¶ 9, 327 P.3d 351; </w:t>
      </w:r>
      <w:r w:rsidRPr="00040F1D">
        <w:rPr>
          <w:rFonts w:eastAsia="Times New Roman"/>
          <w:b/>
          <w:sz w:val="24"/>
          <w:szCs w:val="24"/>
        </w:rPr>
        <w:t>Just in Case Business Lighthouse, LLC v. Murray</w:t>
      </w:r>
      <w:r w:rsidRPr="00040F1D">
        <w:rPr>
          <w:rFonts w:eastAsia="Times New Roman"/>
          <w:sz w:val="24"/>
          <w:szCs w:val="24"/>
        </w:rPr>
        <w:t xml:space="preserve">, 2013 COA 112M,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xml:space="preserve">, 2013 COA 145, ¶ 9, 318 P.3d 549 (citing this instruction); </w:t>
      </w:r>
      <w:r w:rsidRPr="00040F1D">
        <w:rPr>
          <w:rFonts w:eastAsia="Times New Roman"/>
          <w:b/>
          <w:sz w:val="24"/>
          <w:szCs w:val="24"/>
        </w:rPr>
        <w:t>Colorado Coffee Bean, LLC v. Peaberry Coffee, Inc.</w:t>
      </w:r>
      <w:r w:rsidRPr="00040F1D">
        <w:rPr>
          <w:rFonts w:eastAsia="Times New Roman"/>
          <w:sz w:val="24"/>
          <w:szCs w:val="24"/>
        </w:rPr>
        <w:t xml:space="preserve">, 251 P.3d 9 (Colo. App. 2010); </w:t>
      </w:r>
      <w:r w:rsidRPr="00040F1D">
        <w:rPr>
          <w:rFonts w:eastAsia="Times New Roman"/>
          <w:b/>
          <w:sz w:val="24"/>
          <w:szCs w:val="24"/>
        </w:rPr>
        <w:t>Barfield v. Hall Realty, Inc.</w:t>
      </w:r>
      <w:r w:rsidRPr="00040F1D">
        <w:rPr>
          <w:rFonts w:eastAsia="Times New Roman"/>
          <w:sz w:val="24"/>
          <w:szCs w:val="24"/>
        </w:rPr>
        <w:t xml:space="preserve">, 232 P.3d 286 (Colo. App. 2010) (elements of fraudulent concealment); </w:t>
      </w:r>
      <w:r w:rsidRPr="00040F1D">
        <w:rPr>
          <w:rFonts w:eastAsia="Times New Roman"/>
          <w:b/>
          <w:sz w:val="24"/>
          <w:szCs w:val="24"/>
        </w:rPr>
        <w:t>Frontier Exploration, Inc. v. American National Fire Insurance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849 P.2d 887 (Colo. App. 1992); </w:t>
      </w:r>
      <w:r w:rsidRPr="00040F1D">
        <w:rPr>
          <w:rFonts w:eastAsia="Times New Roman"/>
          <w:b/>
          <w:sz w:val="24"/>
          <w:szCs w:val="24"/>
        </w:rPr>
        <w:t>Black v. First Federal Savings &amp; Loan Ass’n</w:t>
      </w:r>
      <w:r w:rsidRPr="00040F1D">
        <w:rPr>
          <w:rFonts w:eastAsia="Times New Roman"/>
          <w:sz w:val="24"/>
          <w:szCs w:val="24"/>
        </w:rPr>
        <w:t>, 830 P.2d 1103 (Colo.</w:t>
      </w:r>
      <w:r w:rsidR="002E7530">
        <w:rPr>
          <w:rFonts w:eastAsia="Times New Roman"/>
          <w:sz w:val="24"/>
          <w:szCs w:val="24"/>
        </w:rPr>
        <w:t xml:space="preserve"> </w:t>
      </w:r>
      <w:r w:rsidRPr="00040F1D">
        <w:rPr>
          <w:rFonts w:eastAsia="Times New Roman"/>
          <w:sz w:val="24"/>
          <w:szCs w:val="24"/>
        </w:rPr>
        <w:t xml:space="preserve">App. 1992) (deceit action based on nondisclosure), </w:t>
      </w:r>
      <w:r w:rsidRPr="00040F1D">
        <w:rPr>
          <w:rFonts w:eastAsia="Times New Roman"/>
          <w:i/>
          <w:sz w:val="24"/>
          <w:szCs w:val="24"/>
        </w:rPr>
        <w:t>aff’d sub nom.</w:t>
      </w:r>
      <w:r w:rsidRPr="00040F1D">
        <w:rPr>
          <w:rFonts w:eastAsia="Times New Roman"/>
          <w:sz w:val="24"/>
          <w:szCs w:val="24"/>
        </w:rPr>
        <w:t xml:space="preserve"> </w:t>
      </w:r>
      <w:r w:rsidRPr="00040F1D">
        <w:rPr>
          <w:rFonts w:eastAsia="Times New Roman"/>
          <w:b/>
          <w:sz w:val="24"/>
          <w:szCs w:val="24"/>
        </w:rPr>
        <w:t>La Plata Medical Center Associates, Ltd. v. United Bank of Durango</w:t>
      </w:r>
      <w:r w:rsidRPr="00040F1D">
        <w:rPr>
          <w:rFonts w:eastAsia="Times New Roman"/>
          <w:sz w:val="24"/>
          <w:szCs w:val="24"/>
        </w:rPr>
        <w:t xml:space="preserve">, 857 P.2d 410 (Colo. 1993); </w:t>
      </w:r>
      <w:r w:rsidRPr="00040F1D">
        <w:rPr>
          <w:rFonts w:eastAsia="Times New Roman"/>
          <w:b/>
          <w:sz w:val="24"/>
          <w:szCs w:val="24"/>
        </w:rPr>
        <w:t>Colorado Interstate Gas 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xml:space="preserve">, 854 P.2d 1232 (Colo. 1993); </w:t>
      </w:r>
      <w:r w:rsidRPr="00040F1D">
        <w:rPr>
          <w:rFonts w:eastAsia="Times New Roman"/>
          <w:b/>
          <w:sz w:val="24"/>
          <w:szCs w:val="24"/>
        </w:rPr>
        <w:t>Berger v. Security Pacific Information Systems, Inc.</w:t>
      </w:r>
      <w:r w:rsidRPr="00040F1D">
        <w:rPr>
          <w:rFonts w:eastAsia="Times New Roman"/>
          <w:sz w:val="24"/>
          <w:szCs w:val="24"/>
        </w:rPr>
        <w:t xml:space="preserve">, 795 P.2d 1380 (Colo. App. 1990); </w:t>
      </w:r>
      <w:r w:rsidRPr="00040F1D">
        <w:rPr>
          <w:rFonts w:eastAsia="Times New Roman"/>
          <w:b/>
          <w:sz w:val="24"/>
          <w:szCs w:val="24"/>
        </w:rPr>
        <w:t>Colorado Performance Corp. v. Mariposa Associates</w:t>
      </w:r>
      <w:r w:rsidRPr="00040F1D">
        <w:rPr>
          <w:rFonts w:eastAsia="Times New Roman"/>
          <w:sz w:val="24"/>
          <w:szCs w:val="24"/>
        </w:rPr>
        <w:t xml:space="preserve">, 754 P.2d 401 (Colo. App. 1987); </w:t>
      </w:r>
      <w:r w:rsidRPr="00040F1D">
        <w:rPr>
          <w:rFonts w:eastAsia="Times New Roman"/>
          <w:b/>
          <w:sz w:val="24"/>
          <w:szCs w:val="24"/>
        </w:rPr>
        <w:t>Basnett v. Vista Village Mobile Home Park</w:t>
      </w:r>
      <w:r w:rsidRPr="00040F1D">
        <w:rPr>
          <w:rFonts w:eastAsia="Times New Roman"/>
          <w:sz w:val="24"/>
          <w:szCs w:val="24"/>
        </w:rPr>
        <w:t xml:space="preserve">, 699 P.2d 1343 (Colo. App. 1984) (elements of deceit by nondisclosure), </w:t>
      </w:r>
      <w:r w:rsidRPr="00040F1D">
        <w:rPr>
          <w:rFonts w:eastAsia="Times New Roman"/>
          <w:i/>
          <w:sz w:val="24"/>
          <w:szCs w:val="24"/>
        </w:rPr>
        <w:t>rev’d on other grounds</w:t>
      </w:r>
      <w:r w:rsidRPr="00040F1D">
        <w:rPr>
          <w:rFonts w:eastAsia="Times New Roman"/>
          <w:sz w:val="24"/>
          <w:szCs w:val="24"/>
        </w:rPr>
        <w:t xml:space="preserve">, 731 P.2d 700 (Colo. 1987); </w:t>
      </w:r>
      <w:r w:rsidRPr="00040F1D">
        <w:rPr>
          <w:rFonts w:eastAsia="Times New Roman"/>
          <w:b/>
          <w:sz w:val="24"/>
          <w:szCs w:val="24"/>
        </w:rPr>
        <w:t>Carlson v. Garrison</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689 P.2d 735 (Colo. App. 1984) (elements of deceit by nondisclosure); </w:t>
      </w:r>
      <w:r w:rsidRPr="00040F1D">
        <w:rPr>
          <w:rFonts w:eastAsia="Times New Roman"/>
          <w:b/>
          <w:sz w:val="24"/>
          <w:szCs w:val="24"/>
        </w:rPr>
        <w:t>Johnson v. Graham</w:t>
      </w:r>
      <w:r w:rsidRPr="00040F1D">
        <w:rPr>
          <w:rFonts w:eastAsia="Times New Roman"/>
          <w:sz w:val="24"/>
          <w:szCs w:val="24"/>
        </w:rPr>
        <w:t xml:space="preserve">, 679 P.2d 1090 (Colo. App. 1983), </w:t>
      </w:r>
      <w:r w:rsidRPr="00040F1D">
        <w:rPr>
          <w:rFonts w:eastAsia="Times New Roman"/>
          <w:i/>
          <w:sz w:val="24"/>
          <w:szCs w:val="24"/>
        </w:rPr>
        <w:t>rev’d in part on other grounds</w:t>
      </w:r>
      <w:r w:rsidRPr="00040F1D">
        <w:rPr>
          <w:rFonts w:eastAsia="Times New Roman"/>
          <w:sz w:val="24"/>
          <w:szCs w:val="24"/>
        </w:rPr>
        <w:t xml:space="preserve"> </w:t>
      </w:r>
      <w:r w:rsidRPr="00040F1D">
        <w:rPr>
          <w:rFonts w:eastAsia="Times New Roman"/>
          <w:i/>
          <w:sz w:val="24"/>
          <w:szCs w:val="24"/>
        </w:rPr>
        <w:t>sub nom.</w:t>
      </w:r>
      <w:r w:rsidRPr="00040F1D">
        <w:rPr>
          <w:rFonts w:eastAsia="Times New Roman"/>
          <w:sz w:val="24"/>
          <w:szCs w:val="24"/>
        </w:rPr>
        <w:t xml:space="preserve"> </w:t>
      </w:r>
      <w:r w:rsidRPr="00040F1D">
        <w:rPr>
          <w:rFonts w:eastAsia="Times New Roman"/>
          <w:b/>
          <w:sz w:val="24"/>
          <w:szCs w:val="24"/>
        </w:rPr>
        <w:t>Tri-Aspen Construction Co. v. Johnson</w:t>
      </w:r>
      <w:r w:rsidRPr="00040F1D">
        <w:rPr>
          <w:rFonts w:eastAsia="Times New Roman"/>
          <w:sz w:val="24"/>
          <w:szCs w:val="24"/>
        </w:rPr>
        <w:t xml:space="preserve">, 714 P.2d 484 (Colo. 1986); </w:t>
      </w:r>
      <w:r w:rsidRPr="00040F1D">
        <w:rPr>
          <w:rFonts w:eastAsia="Times New Roman"/>
          <w:b/>
          <w:sz w:val="24"/>
          <w:szCs w:val="24"/>
        </w:rPr>
        <w:t>Schnell v. Gustafson</w:t>
      </w:r>
      <w:r w:rsidRPr="00040F1D">
        <w:rPr>
          <w:rFonts w:eastAsia="Times New Roman"/>
          <w:sz w:val="24"/>
          <w:szCs w:val="24"/>
        </w:rPr>
        <w:t xml:space="preserve">, 638 P.2d 850 (Colo. App. 1981); </w:t>
      </w:r>
      <w:r w:rsidRPr="00040F1D">
        <w:rPr>
          <w:rFonts w:eastAsia="Times New Roman"/>
          <w:b/>
          <w:sz w:val="24"/>
          <w:szCs w:val="24"/>
        </w:rPr>
        <w:t>Xerox Corp. v. ISC Corp.</w:t>
      </w:r>
      <w:r w:rsidRPr="00040F1D">
        <w:rPr>
          <w:rFonts w:eastAsia="Times New Roman"/>
          <w:sz w:val="24"/>
          <w:szCs w:val="24"/>
        </w:rPr>
        <w:t xml:space="preserve">, 632 P.2d 618 (Colo. App. 1981) (fraud as defense to breach of contract and counterclaim for damages); 2 </w:t>
      </w:r>
      <w:r w:rsidRPr="00220F53">
        <w:rPr>
          <w:rFonts w:eastAsia="Times New Roman"/>
          <w:smallCaps/>
          <w:sz w:val="24"/>
          <w:szCs w:val="24"/>
        </w:rPr>
        <w:t>F. Harper, et al., Harper, James, and Gray on Torts</w:t>
      </w:r>
      <w:r w:rsidRPr="00040F1D">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040F1D">
        <w:rPr>
          <w:rFonts w:eastAsia="Times New Roman"/>
          <w:sz w:val="24"/>
          <w:szCs w:val="24"/>
        </w:rPr>
        <w:t xml:space="preserve"> § 106 (5th ed. 1984).</w:t>
      </w:r>
    </w:p>
    <w:p w14:paraId="457EE0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The element of intent in paragraph 3 of this instruction is supported by </w:t>
      </w:r>
      <w:r w:rsidRPr="00040F1D">
        <w:rPr>
          <w:rFonts w:eastAsia="Times New Roman"/>
          <w:b/>
          <w:sz w:val="24"/>
          <w:szCs w:val="24"/>
        </w:rPr>
        <w:t>Anson v. Trujillo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56 P.3d 114 (Colo. App. 2002).</w:t>
      </w:r>
    </w:p>
    <w:p w14:paraId="2F8A4BF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3. Although the courts have generally used “concealment” to mean the same thing as “nondisclosure,” “concealment” is used in these instructions to mean more than the simple act of remaining silent when there is a duty to speak, which is the usual meaning of “nondisclosure.” </w:t>
      </w:r>
      <w:r w:rsidRPr="00040F1D">
        <w:rPr>
          <w:rFonts w:eastAsia="Times New Roman"/>
          <w:i/>
          <w:sz w:val="24"/>
          <w:szCs w:val="24"/>
        </w:rPr>
        <w:t xml:space="preserve">Compare </w:t>
      </w:r>
      <w:r w:rsidRPr="00040F1D">
        <w:rPr>
          <w:rFonts w:eastAsia="Times New Roman"/>
          <w:sz w:val="24"/>
          <w:szCs w:val="24"/>
        </w:rPr>
        <w:t xml:space="preserve">Instruction 19:6, </w:t>
      </w:r>
      <w:r w:rsidRPr="00040F1D">
        <w:rPr>
          <w:rFonts w:eastAsia="Times New Roman"/>
          <w:i/>
          <w:sz w:val="24"/>
          <w:szCs w:val="24"/>
        </w:rPr>
        <w:t>with</w:t>
      </w:r>
      <w:r w:rsidRPr="00040F1D">
        <w:rPr>
          <w:rFonts w:eastAsia="Times New Roman"/>
          <w:sz w:val="24"/>
          <w:szCs w:val="24"/>
        </w:rPr>
        <w:t xml:space="preserve"> Instruction 19:5.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Wisehart v. Zions Bancorporation</w:t>
      </w:r>
      <w:r w:rsidRPr="00040F1D">
        <w:rPr>
          <w:rFonts w:eastAsia="Times New Roman"/>
          <w:sz w:val="24"/>
          <w:szCs w:val="24"/>
        </w:rPr>
        <w:t>, 49 P.3d 1200 (Colo. App. 2002) (fraudulent concealment and fraudulent nondisclosure are sometimes used interchangeably, and the two torts require essentially the same elements).</w:t>
      </w:r>
    </w:p>
    <w:p w14:paraId="6791E8F9" w14:textId="002EB07F"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To establish a claim for fraudulent concealment or nondisclosure, the plaintiff must show that the defendant had a duty to disclose information. </w:t>
      </w:r>
      <w:r w:rsidR="00B35917">
        <w:rPr>
          <w:rFonts w:eastAsia="Times New Roman"/>
          <w:b/>
          <w:sz w:val="24"/>
          <w:szCs w:val="24"/>
        </w:rPr>
        <w:t>Rocky Mountain Exploration</w:t>
      </w:r>
      <w:r w:rsidR="00F86F6C" w:rsidRPr="00F86F6C">
        <w:rPr>
          <w:rFonts w:eastAsia="Times New Roman"/>
          <w:b/>
          <w:sz w:val="24"/>
          <w:szCs w:val="24"/>
        </w:rPr>
        <w:t>,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57, 420 P.3d 223, 234 (“RMEI has not asserted, nor could it assert, that DG&amp;S owed it a duty to disclose Tracker’s existence. . . . [W]ere we to impose such a duty on DG&amp;S here, parties would no longer be permitted to conduct transactions involving undisclosed principals.”); </w:t>
      </w:r>
      <w:r w:rsidRPr="00040F1D">
        <w:rPr>
          <w:rFonts w:eastAsia="Times New Roman"/>
          <w:b/>
          <w:sz w:val="24"/>
          <w:szCs w:val="24"/>
        </w:rPr>
        <w:t>Mallon Oil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965 P.2d at 111; </w:t>
      </w:r>
      <w:r w:rsidRPr="00040F1D">
        <w:rPr>
          <w:rFonts w:eastAsia="Times New Roman"/>
          <w:b/>
          <w:sz w:val="24"/>
          <w:szCs w:val="24"/>
        </w:rPr>
        <w:t>Wainscott</w:t>
      </w:r>
      <w:r w:rsidRPr="00040F1D">
        <w:rPr>
          <w:rFonts w:eastAsia="Times New Roman"/>
          <w:sz w:val="24"/>
          <w:szCs w:val="24"/>
        </w:rPr>
        <w:t>, ¶ 79</w:t>
      </w:r>
      <w:r w:rsidR="00C64DA5">
        <w:rPr>
          <w:rFonts w:eastAsia="Times New Roman"/>
          <w:sz w:val="24"/>
          <w:szCs w:val="24"/>
        </w:rPr>
        <w:t>, 351 P.3d at 529</w:t>
      </w:r>
      <w:r w:rsidRPr="00040F1D">
        <w:rPr>
          <w:rFonts w:eastAsia="Times New Roman"/>
          <w:sz w:val="24"/>
          <w:szCs w:val="24"/>
        </w:rPr>
        <w:t xml:space="preserve">; </w:t>
      </w:r>
      <w:r w:rsidRPr="00040F1D">
        <w:rPr>
          <w:rFonts w:eastAsia="Times New Roman"/>
          <w:b/>
          <w:sz w:val="24"/>
          <w:szCs w:val="24"/>
        </w:rPr>
        <w:t>Burman v. Richmond Homes Ltd.</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821 P.2d 913 (Colo. App. 1991). Whether a defendant has a duty to disclose a particular fact is a question of law. </w:t>
      </w:r>
      <w:r w:rsidRPr="00040F1D">
        <w:rPr>
          <w:rFonts w:eastAsia="Times New Roman"/>
          <w:b/>
          <w:sz w:val="24"/>
          <w:szCs w:val="24"/>
        </w:rPr>
        <w:t>Burman</w:t>
      </w:r>
      <w:r w:rsidRPr="00040F1D">
        <w:rPr>
          <w:rFonts w:eastAsia="Times New Roman"/>
          <w:sz w:val="24"/>
          <w:szCs w:val="24"/>
        </w:rPr>
        <w:t xml:space="preserve">, 821 P.2d at 918; </w:t>
      </w:r>
      <w:r w:rsidRPr="00040F1D">
        <w:rPr>
          <w:rFonts w:eastAsia="Times New Roman"/>
          <w:b/>
          <w:sz w:val="24"/>
          <w:szCs w:val="24"/>
        </w:rPr>
        <w:t>Berger</w:t>
      </w:r>
      <w:r w:rsidRPr="00040F1D">
        <w:rPr>
          <w:rFonts w:eastAsia="Times New Roman"/>
          <w:sz w:val="24"/>
          <w:szCs w:val="24"/>
        </w:rPr>
        <w:t xml:space="preserve">, 795 P.2d at 1383; </w:t>
      </w:r>
      <w:r w:rsidRPr="00040F1D">
        <w:rPr>
          <w:rFonts w:eastAsia="Times New Roman"/>
          <w:i/>
          <w:sz w:val="24"/>
          <w:szCs w:val="24"/>
        </w:rPr>
        <w:t xml:space="preserve">see also </w:t>
      </w:r>
      <w:r w:rsidRPr="00040F1D">
        <w:rPr>
          <w:rFonts w:eastAsia="Times New Roman"/>
          <w:b/>
          <w:sz w:val="24"/>
          <w:szCs w:val="24"/>
        </w:rPr>
        <w:t>Poly Trucking, Inc. v. Concentra Health Servs., Inc.</w:t>
      </w:r>
      <w:r w:rsidRPr="00040F1D">
        <w:rPr>
          <w:rFonts w:eastAsia="Times New Roman"/>
          <w:sz w:val="24"/>
          <w:szCs w:val="24"/>
        </w:rPr>
        <w:t xml:space="preserve">, 93 P.3d 561 (Colo. App. 2004); </w:t>
      </w:r>
      <w:r w:rsidRPr="00040F1D">
        <w:rPr>
          <w:rFonts w:eastAsia="Times New Roman"/>
          <w:b/>
          <w:sz w:val="24"/>
          <w:szCs w:val="24"/>
        </w:rPr>
        <w:t>Bair v. Pub. Serv. Employees Credit Union</w:t>
      </w:r>
      <w:r w:rsidRPr="00040F1D">
        <w:rPr>
          <w:rFonts w:eastAsia="Times New Roman"/>
          <w:sz w:val="24"/>
          <w:szCs w:val="24"/>
        </w:rPr>
        <w:t>, 709 P.2d 961 (Colo. App. 1985) (</w:t>
      </w:r>
      <w:r w:rsidR="005872C6">
        <w:rPr>
          <w:rFonts w:eastAsia="Times New Roman"/>
          <w:sz w:val="24"/>
          <w:szCs w:val="24"/>
        </w:rPr>
        <w:t>applying</w:t>
      </w:r>
      <w:r w:rsidR="005872C6" w:rsidRPr="00040F1D">
        <w:rPr>
          <w:rFonts w:eastAsia="Times New Roman"/>
          <w:sz w:val="24"/>
          <w:szCs w:val="24"/>
        </w:rPr>
        <w:t xml:space="preserve"> </w:t>
      </w:r>
      <w:r w:rsidRPr="00040F1D">
        <w:rPr>
          <w:rFonts w:eastAsia="Times New Roman"/>
          <w:sz w:val="24"/>
          <w:szCs w:val="24"/>
        </w:rPr>
        <w:t xml:space="preserve">the provisions of </w:t>
      </w:r>
      <w:r w:rsidRPr="00220F53">
        <w:rPr>
          <w:rFonts w:eastAsia="Times New Roman"/>
          <w:smallCaps/>
          <w:sz w:val="24"/>
          <w:szCs w:val="24"/>
        </w:rPr>
        <w:t>Restatement (Second) of Torts</w:t>
      </w:r>
      <w:r w:rsidRPr="00040F1D">
        <w:rPr>
          <w:rFonts w:eastAsia="Times New Roman"/>
          <w:sz w:val="24"/>
          <w:szCs w:val="24"/>
        </w:rPr>
        <w:t xml:space="preserve"> § 551(2)(e) (1977), for purposes of determining whether a duty to disclose exists in a business transaction).</w:t>
      </w:r>
    </w:p>
    <w:p w14:paraId="63A37DE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5. For circumstances in which a duty of disclosure may arise, see Instruction 19:5 and its Notes on Use.</w:t>
      </w:r>
    </w:p>
    <w:p w14:paraId="12222B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43E18399"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Justifiable reliance is an element common to both fraudulent misrepresentation and fraudulent concealment claims. </w:t>
      </w:r>
      <w:r w:rsidRPr="00040F1D">
        <w:rPr>
          <w:rFonts w:eastAsia="Times New Roman"/>
          <w:b/>
          <w:sz w:val="24"/>
          <w:szCs w:val="24"/>
        </w:rPr>
        <w:t>Nielson v. Scott</w:t>
      </w:r>
      <w:r w:rsidRPr="00040F1D">
        <w:rPr>
          <w:rFonts w:eastAsia="Times New Roman"/>
          <w:sz w:val="24"/>
          <w:szCs w:val="24"/>
        </w:rPr>
        <w:t xml:space="preserve">, 53 P.3d 777 (Colo. App. 2002). </w:t>
      </w:r>
    </w:p>
    <w:p w14:paraId="3D826684"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In a fraudulent concealment claim, an exculpatory clause may preclude reasonable reliance on nondisclosure if the clause explains why certain inferences should not be drawn. </w:t>
      </w:r>
      <w:r w:rsidRPr="00040F1D">
        <w:rPr>
          <w:rFonts w:eastAsia="Times New Roman"/>
          <w:i/>
          <w:sz w:val="24"/>
          <w:szCs w:val="24"/>
        </w:rPr>
        <w:t xml:space="preserve">See </w:t>
      </w:r>
      <w:r w:rsidRPr="00040F1D">
        <w:rPr>
          <w:rFonts w:eastAsia="Times New Roman"/>
          <w:b/>
          <w:sz w:val="24"/>
          <w:szCs w:val="24"/>
        </w:rPr>
        <w:t>Colo. Coffee Bean, LLC</w:t>
      </w:r>
      <w:r w:rsidRPr="00040F1D">
        <w:rPr>
          <w:rFonts w:eastAsia="Times New Roman"/>
          <w:sz w:val="24"/>
          <w:szCs w:val="24"/>
        </w:rPr>
        <w:t>, 251 P.3d at 21-22.</w:t>
      </w:r>
    </w:p>
    <w:p w14:paraId="4EA398F0" w14:textId="4A668D02"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9. The “economic loss rule” bars recovery on claims for post-contractual fraudulent concealment and fraudulent misrepresentation that arise out of the contract and not any independent tort duty.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 xml:space="preserve">see also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 14</w:t>
      </w:r>
      <w:r w:rsidR="00C64DA5">
        <w:rPr>
          <w:rFonts w:eastAsia="Times New Roman"/>
          <w:sz w:val="24"/>
          <w:szCs w:val="24"/>
        </w:rPr>
        <w:t>, 318 P.3d at 553</w:t>
      </w:r>
      <w:r w:rsidRPr="00040F1D">
        <w:rPr>
          <w:rFonts w:eastAsia="Times New Roman"/>
          <w:sz w:val="24"/>
          <w:szCs w:val="24"/>
        </w:rPr>
        <w:t xml:space="preserve"> (economic loss rule does not bar a nondisclosure claim against a home seller for latent defects known to the seller).</w:t>
      </w:r>
    </w:p>
    <w:p w14:paraId="752F17DC" w14:textId="77777777" w:rsidR="00220F53" w:rsidRDefault="00220F53">
      <w:pPr>
        <w:rPr>
          <w:rFonts w:eastAsia="Times New Roman"/>
          <w:sz w:val="24"/>
          <w:szCs w:val="24"/>
        </w:rPr>
      </w:pPr>
      <w:r>
        <w:rPr>
          <w:rFonts w:eastAsia="Times New Roman"/>
          <w:sz w:val="24"/>
          <w:szCs w:val="24"/>
        </w:rPr>
        <w:br w:type="page"/>
      </w:r>
    </w:p>
    <w:p w14:paraId="2AB3499C" w14:textId="77777777" w:rsidR="00220F53" w:rsidRPr="009E3DA4" w:rsidRDefault="00220F53" w:rsidP="00220F53">
      <w:pPr>
        <w:spacing w:after="240"/>
        <w:ind w:left="720" w:hanging="720"/>
        <w:rPr>
          <w:rFonts w:eastAsia="Times New Roman"/>
          <w:b/>
          <w:sz w:val="24"/>
          <w:szCs w:val="24"/>
        </w:rPr>
      </w:pPr>
      <w:bookmarkStart w:id="2" w:name="a19_03"/>
      <w:bookmarkEnd w:id="2"/>
      <w:r w:rsidRPr="00220F53">
        <w:rPr>
          <w:rFonts w:eastAsia="Times New Roman"/>
          <w:b/>
          <w:sz w:val="24"/>
          <w:szCs w:val="24"/>
        </w:rPr>
        <w:lastRenderedPageBreak/>
        <w:t xml:space="preserve">19:3 </w:t>
      </w:r>
      <w:r w:rsidRPr="00220F53">
        <w:rPr>
          <w:rFonts w:eastAsia="Times New Roman"/>
          <w:b/>
          <w:sz w:val="24"/>
          <w:szCs w:val="24"/>
        </w:rPr>
        <w:tab/>
        <w:t>FALSE REPRESENTATION — DEFINED</w:t>
      </w:r>
    </w:p>
    <w:p w14:paraId="3B1BB4B9" w14:textId="77777777" w:rsidR="00220F53" w:rsidRPr="00220F53" w:rsidRDefault="00220F53" w:rsidP="00220F53">
      <w:pPr>
        <w:spacing w:after="240"/>
        <w:ind w:firstLine="720"/>
        <w:rPr>
          <w:rFonts w:eastAsia="Times New Roman"/>
          <w:b/>
          <w:sz w:val="24"/>
          <w:szCs w:val="24"/>
        </w:rPr>
      </w:pPr>
      <w:r w:rsidRPr="00220F53">
        <w:rPr>
          <w:rFonts w:eastAsia="Times New Roman"/>
          <w:b/>
          <w:sz w:val="24"/>
          <w:szCs w:val="24"/>
        </w:rPr>
        <w:t>A false representation is any oral or written words, conduct, or combination of words and conduct that creates an untrue or misleading impression in the mind of another.</w:t>
      </w:r>
    </w:p>
    <w:p w14:paraId="30F0E8E3" w14:textId="77777777" w:rsidR="00220F53" w:rsidRDefault="00220F53" w:rsidP="00220F53">
      <w:pPr>
        <w:jc w:val="center"/>
        <w:rPr>
          <w:rFonts w:eastAsia="Times New Roman"/>
          <w:sz w:val="24"/>
          <w:szCs w:val="24"/>
        </w:rPr>
      </w:pPr>
    </w:p>
    <w:p w14:paraId="2523117A"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4D6233F6"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This instruction should be given with Instruction 19:1.</w:t>
      </w:r>
    </w:p>
    <w:p w14:paraId="4B703883"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2B34D2C2"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 xml:space="preserve">This instruction is supported by </w:t>
      </w:r>
      <w:r w:rsidRPr="00220F53">
        <w:rPr>
          <w:rFonts w:eastAsia="Times New Roman"/>
          <w:b/>
          <w:sz w:val="24"/>
          <w:szCs w:val="24"/>
        </w:rPr>
        <w:t>Meredith v. Ramsdell</w:t>
      </w:r>
      <w:r w:rsidRPr="00220F53">
        <w:rPr>
          <w:rFonts w:eastAsia="Times New Roman"/>
          <w:sz w:val="24"/>
          <w:szCs w:val="24"/>
        </w:rPr>
        <w:t xml:space="preserve">, 152 Colo. 548, 552, 384 P.2d 941, 944 (1963) (rescission against principal and deceit against agent; “[a] person who misleads another by word or act to believe that a fact exists, when he knows it does not, is guilty of fraud”); </w:t>
      </w:r>
      <w:r w:rsidRPr="00220F53">
        <w:rPr>
          <w:rFonts w:eastAsia="Times New Roman"/>
          <w:b/>
          <w:sz w:val="24"/>
          <w:szCs w:val="24"/>
        </w:rPr>
        <w:t>Corder v. Laws</w:t>
      </w:r>
      <w:r w:rsidRPr="00220F53">
        <w:rPr>
          <w:rFonts w:eastAsia="Times New Roman"/>
          <w:sz w:val="24"/>
          <w:szCs w:val="24"/>
        </w:rPr>
        <w:t>,</w:t>
      </w:r>
      <w:r w:rsidRPr="00220F53">
        <w:rPr>
          <w:rFonts w:eastAsia="Times New Roman"/>
          <w:b/>
          <w:sz w:val="24"/>
          <w:szCs w:val="24"/>
        </w:rPr>
        <w:t xml:space="preserve"> </w:t>
      </w:r>
      <w:r w:rsidRPr="00220F53">
        <w:rPr>
          <w:rFonts w:eastAsia="Times New Roman"/>
          <w:sz w:val="24"/>
          <w:szCs w:val="24"/>
        </w:rPr>
        <w:t xml:space="preserve">148 Colo. 310, 366 P.2d 369 (1961) (creation of a false impression, by whatever means, is the gist of a false representation); </w:t>
      </w:r>
      <w:r w:rsidRPr="00220F53">
        <w:rPr>
          <w:rFonts w:eastAsia="Times New Roman"/>
          <w:b/>
          <w:sz w:val="24"/>
          <w:szCs w:val="24"/>
        </w:rPr>
        <w:t>Cahill v. Readon</w:t>
      </w:r>
      <w:r w:rsidRPr="00220F53">
        <w:rPr>
          <w:rFonts w:eastAsia="Times New Roman"/>
          <w:sz w:val="24"/>
          <w:szCs w:val="24"/>
        </w:rPr>
        <w:t xml:space="preserve">, 85 Colo. 9, 14, 273 P. 653, 655 (1928) (“[a] statement literally true is actionable, if made to create an impression substantially false”); </w:t>
      </w:r>
      <w:r w:rsidRPr="00220F53">
        <w:rPr>
          <w:rFonts w:eastAsia="Times New Roman"/>
          <w:b/>
          <w:sz w:val="24"/>
          <w:szCs w:val="24"/>
        </w:rPr>
        <w:t>Nelson v. Gas Research Institute</w:t>
      </w:r>
      <w:r w:rsidRPr="00220F53">
        <w:rPr>
          <w:rFonts w:eastAsia="Times New Roman"/>
          <w:sz w:val="24"/>
          <w:szCs w:val="24"/>
        </w:rPr>
        <w:t xml:space="preserve">, 121 P.3d 340 (Colo. App. 2005); 2 </w:t>
      </w:r>
      <w:r w:rsidRPr="00220F53">
        <w:rPr>
          <w:rFonts w:eastAsia="Times New Roman"/>
          <w:smallCaps/>
          <w:sz w:val="24"/>
          <w:szCs w:val="24"/>
        </w:rPr>
        <w:t>F. Harper et al., Harper, James, and Gray on Torts</w:t>
      </w:r>
      <w:r w:rsidRPr="00220F53">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220F53">
        <w:rPr>
          <w:rFonts w:eastAsia="Times New Roman"/>
          <w:sz w:val="24"/>
          <w:szCs w:val="24"/>
        </w:rPr>
        <w:t xml:space="preserve"> § 106 (5th ed. 1984). </w:t>
      </w:r>
    </w:p>
    <w:p w14:paraId="248615CC" w14:textId="77777777" w:rsidR="00220F53" w:rsidRDefault="00220F53">
      <w:pPr>
        <w:rPr>
          <w:rFonts w:eastAsia="Times New Roman"/>
          <w:sz w:val="24"/>
          <w:szCs w:val="24"/>
        </w:rPr>
      </w:pPr>
      <w:r>
        <w:rPr>
          <w:rFonts w:eastAsia="Times New Roman"/>
          <w:sz w:val="24"/>
          <w:szCs w:val="24"/>
        </w:rPr>
        <w:br w:type="page"/>
      </w:r>
    </w:p>
    <w:p w14:paraId="46FF0B3A" w14:textId="77777777" w:rsidR="00220F53" w:rsidRPr="009E3DA4" w:rsidRDefault="009474BF" w:rsidP="00220F53">
      <w:pPr>
        <w:spacing w:after="240"/>
        <w:ind w:left="720" w:hanging="720"/>
        <w:rPr>
          <w:rFonts w:eastAsia="Times New Roman"/>
          <w:b/>
          <w:sz w:val="24"/>
          <w:szCs w:val="24"/>
        </w:rPr>
      </w:pPr>
      <w:bookmarkStart w:id="3" w:name="a19_04"/>
      <w:bookmarkEnd w:id="3"/>
      <w:r w:rsidRPr="009474BF">
        <w:rPr>
          <w:rFonts w:eastAsia="Times New Roman"/>
          <w:b/>
          <w:sz w:val="24"/>
          <w:szCs w:val="24"/>
        </w:rPr>
        <w:lastRenderedPageBreak/>
        <w:t xml:space="preserve">19:4 </w:t>
      </w:r>
      <w:r w:rsidRPr="009474BF">
        <w:rPr>
          <w:rFonts w:eastAsia="Times New Roman"/>
          <w:b/>
          <w:sz w:val="24"/>
          <w:szCs w:val="24"/>
        </w:rPr>
        <w:tab/>
        <w:t>MATERIAL FACT — DEFINED</w:t>
      </w:r>
    </w:p>
    <w:p w14:paraId="415E7AED"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is material if a reasonable person under the circumstances would regard it as important in deciding what to do.</w:t>
      </w:r>
    </w:p>
    <w:p w14:paraId="609E9B2E"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may also be material even though a reasonable person might not regard it as important, if (the person stating it knows that) (the person concealing it knows that) the person receiving the information would regard it as important in deciding what to do.</w:t>
      </w:r>
    </w:p>
    <w:p w14:paraId="3FB41FAF" w14:textId="77777777" w:rsidR="00220F53" w:rsidRDefault="00220F53" w:rsidP="00220F53">
      <w:pPr>
        <w:jc w:val="center"/>
        <w:rPr>
          <w:rFonts w:eastAsia="Times New Roman"/>
          <w:sz w:val="24"/>
          <w:szCs w:val="24"/>
        </w:rPr>
      </w:pPr>
    </w:p>
    <w:p w14:paraId="7C304C98"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63F7631F"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1. Use whichever parenthesized phrase is more appropriate.</w:t>
      </w:r>
    </w:p>
    <w:p w14:paraId="24A27880"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2. The second paragraph should be given only in cases where there is evidence to support it and, also, where there is evidence that the defendant may have deliberately taken advantage of the plaintiff’s deficiencies or peculiarities.</w:t>
      </w:r>
    </w:p>
    <w:p w14:paraId="07F590FC"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3. This instruction should not be used for claims brought under sections 11-51-501(1)(b) and 11-51-604(4), C.R.S., for damages for fraud in the sale of securities. </w:t>
      </w:r>
      <w:r w:rsidRPr="009474BF">
        <w:rPr>
          <w:rFonts w:eastAsia="Times New Roman"/>
          <w:b/>
          <w:sz w:val="24"/>
          <w:szCs w:val="24"/>
        </w:rPr>
        <w:t>Goss v. Clutch Exch., Inc.</w:t>
      </w:r>
      <w:r w:rsidRPr="009474BF">
        <w:rPr>
          <w:rFonts w:eastAsia="Times New Roman"/>
          <w:sz w:val="24"/>
          <w:szCs w:val="24"/>
        </w:rPr>
        <w:t>, 701 P.2d 33, 36 (Colo. 1985) (The appropriate test for materiality under the Colorado Securities Act is whether there was a “substantial likelihood that a reasonable investor would consider the matter important in making an investment decision.”).</w:t>
      </w:r>
    </w:p>
    <w:p w14:paraId="72C7B5C9"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7295E098"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1. This instruction is supported by 2 </w:t>
      </w:r>
      <w:r w:rsidRPr="009474BF">
        <w:rPr>
          <w:rFonts w:eastAsia="Times New Roman"/>
          <w:smallCaps/>
          <w:sz w:val="24"/>
          <w:szCs w:val="24"/>
        </w:rPr>
        <w:t>F. Harper et al., Harper, James, and Gray on Torts</w:t>
      </w:r>
      <w:r w:rsidRPr="009474BF">
        <w:rPr>
          <w:rFonts w:eastAsia="Times New Roman"/>
          <w:sz w:val="24"/>
          <w:szCs w:val="24"/>
        </w:rPr>
        <w:t xml:space="preserve"> § 7.9 (3d ed. 2006); and </w:t>
      </w:r>
      <w:r w:rsidRPr="009474BF">
        <w:rPr>
          <w:rFonts w:eastAsia="Times New Roman"/>
          <w:smallCaps/>
          <w:sz w:val="24"/>
          <w:szCs w:val="24"/>
        </w:rPr>
        <w:t>W. Page Keeton et al., Prosser and Keeton on the Law of Torts</w:t>
      </w:r>
      <w:r w:rsidRPr="009474BF">
        <w:rPr>
          <w:rFonts w:eastAsia="Times New Roman"/>
          <w:sz w:val="24"/>
          <w:szCs w:val="24"/>
        </w:rPr>
        <w:t xml:space="preserve"> § 108, at 753-54 (5th ed. 1984). </w:t>
      </w:r>
      <w:r w:rsidRPr="009474BF">
        <w:rPr>
          <w:rFonts w:eastAsia="Times New Roman"/>
          <w:i/>
          <w:sz w:val="24"/>
          <w:szCs w:val="24"/>
        </w:rPr>
        <w:t>See also</w:t>
      </w:r>
      <w:r w:rsidRPr="009474BF">
        <w:rPr>
          <w:rFonts w:eastAsia="Times New Roman"/>
          <w:sz w:val="24"/>
          <w:szCs w:val="24"/>
        </w:rPr>
        <w:t xml:space="preserve"> </w:t>
      </w:r>
      <w:r w:rsidRPr="009474BF">
        <w:rPr>
          <w:rFonts w:eastAsia="Times New Roman"/>
          <w:b/>
          <w:sz w:val="24"/>
          <w:szCs w:val="24"/>
        </w:rPr>
        <w:t>Wade v. Olinger Life Ins. Co.</w:t>
      </w:r>
      <w:r w:rsidRPr="009474BF">
        <w:rPr>
          <w:rFonts w:eastAsia="Times New Roman"/>
          <w:sz w:val="24"/>
          <w:szCs w:val="24"/>
        </w:rPr>
        <w:t xml:space="preserve">, 192 Colo. 401, 560 P.2d 446 (1977) (citing instruction with approval); </w:t>
      </w:r>
      <w:r w:rsidRPr="009474BF">
        <w:rPr>
          <w:rFonts w:eastAsia="Times New Roman"/>
          <w:b/>
          <w:sz w:val="24"/>
          <w:szCs w:val="24"/>
        </w:rPr>
        <w:t>Mullen v. Allstate Ins. Co.</w:t>
      </w:r>
      <w:r w:rsidRPr="009474BF">
        <w:rPr>
          <w:rFonts w:eastAsia="Times New Roman"/>
          <w:sz w:val="24"/>
          <w:szCs w:val="24"/>
        </w:rPr>
        <w:t xml:space="preserve">, 232 P.3d 168 (Colo. App. 2009) (insurer was not required to provide information about business practices of other companies and therefore did not fail to disclose material fact); </w:t>
      </w:r>
      <w:r w:rsidRPr="009474BF">
        <w:rPr>
          <w:rFonts w:eastAsia="Times New Roman"/>
          <w:b/>
          <w:sz w:val="24"/>
          <w:szCs w:val="24"/>
        </w:rPr>
        <w:t>Briggs v. Am. Nat’l Prop. &amp; Cas. Co.</w:t>
      </w:r>
      <w:r w:rsidRPr="009474BF">
        <w:rPr>
          <w:rFonts w:eastAsia="Times New Roman"/>
          <w:sz w:val="24"/>
          <w:szCs w:val="24"/>
        </w:rPr>
        <w:t xml:space="preserve">, 209 P.3d 1181 (Colo. App. 2009) (jury could conclude insurance policy purchaser might have made different decision if aware that an invalid exclusion was included in his policy); </w:t>
      </w:r>
      <w:r w:rsidRPr="009474BF">
        <w:rPr>
          <w:rFonts w:eastAsia="Times New Roman"/>
          <w:b/>
          <w:sz w:val="24"/>
          <w:szCs w:val="24"/>
        </w:rPr>
        <w:t>Denberg v. Loretto Heights College</w:t>
      </w:r>
      <w:r w:rsidRPr="009474BF">
        <w:rPr>
          <w:rFonts w:eastAsia="Times New Roman"/>
          <w:sz w:val="24"/>
          <w:szCs w:val="24"/>
        </w:rPr>
        <w:t xml:space="preserve">, 694 P.2d 375 (Colo. App. 1984) (using language of first paragraph). In addition, several Colorado cases have considered the definition of “material” as part of the definition of reliance. </w:t>
      </w:r>
      <w:r w:rsidRPr="009474BF">
        <w:rPr>
          <w:rFonts w:eastAsia="Times New Roman"/>
          <w:i/>
          <w:sz w:val="24"/>
          <w:szCs w:val="24"/>
        </w:rPr>
        <w:t>See</w:t>
      </w:r>
      <w:r w:rsidRPr="009474BF">
        <w:rPr>
          <w:rFonts w:eastAsia="Times New Roman"/>
          <w:sz w:val="24"/>
          <w:szCs w:val="24"/>
        </w:rPr>
        <w:t xml:space="preserve"> Source and Authority to Instruction 19:7.</w:t>
      </w:r>
    </w:p>
    <w:p w14:paraId="7AD61BBB"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2. Many Colorado cases require that the representation be “material.” </w:t>
      </w:r>
      <w:r w:rsidRPr="009474BF">
        <w:rPr>
          <w:rFonts w:eastAsia="Times New Roman"/>
          <w:i/>
          <w:sz w:val="24"/>
          <w:szCs w:val="24"/>
        </w:rPr>
        <w:t>See</w:t>
      </w:r>
      <w:r w:rsidRPr="009474BF">
        <w:rPr>
          <w:rFonts w:eastAsia="Times New Roman"/>
          <w:sz w:val="24"/>
          <w:szCs w:val="24"/>
        </w:rPr>
        <w:t xml:space="preserve"> Source and Authority to Instructions 19:1 and 19:2.</w:t>
      </w:r>
    </w:p>
    <w:p w14:paraId="02F2C029" w14:textId="77777777" w:rsidR="006E1057" w:rsidRDefault="006E1057">
      <w:pPr>
        <w:rPr>
          <w:rFonts w:eastAsia="Times New Roman"/>
          <w:sz w:val="24"/>
          <w:szCs w:val="24"/>
        </w:rPr>
      </w:pPr>
      <w:r>
        <w:rPr>
          <w:rFonts w:eastAsia="Times New Roman"/>
          <w:sz w:val="24"/>
          <w:szCs w:val="24"/>
        </w:rPr>
        <w:br w:type="page"/>
      </w:r>
    </w:p>
    <w:p w14:paraId="35C295AC" w14:textId="77777777" w:rsidR="006E1057" w:rsidRPr="009E3DA4" w:rsidRDefault="006E1057" w:rsidP="006E1057">
      <w:pPr>
        <w:spacing w:after="240"/>
        <w:ind w:left="720" w:hanging="720"/>
        <w:rPr>
          <w:rFonts w:eastAsia="Times New Roman"/>
          <w:b/>
          <w:sz w:val="24"/>
          <w:szCs w:val="24"/>
        </w:rPr>
      </w:pPr>
      <w:bookmarkStart w:id="4" w:name="a19_05"/>
      <w:bookmarkEnd w:id="4"/>
      <w:r w:rsidRPr="006E1057">
        <w:rPr>
          <w:rFonts w:eastAsia="Times New Roman"/>
          <w:b/>
          <w:sz w:val="24"/>
          <w:szCs w:val="24"/>
        </w:rPr>
        <w:lastRenderedPageBreak/>
        <w:t xml:space="preserve">19:5 </w:t>
      </w:r>
      <w:r w:rsidRPr="006E1057">
        <w:rPr>
          <w:rFonts w:eastAsia="Times New Roman"/>
          <w:b/>
          <w:sz w:val="24"/>
          <w:szCs w:val="24"/>
        </w:rPr>
        <w:tab/>
        <w:t>NONDISCLOSURE — DUTY TO DISCLOSE</w:t>
      </w:r>
    </w:p>
    <w:p w14:paraId="04F4CAD8" w14:textId="47625B25"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The defendant, </w:t>
      </w:r>
      <w:r w:rsidRPr="006E1057">
        <w:rPr>
          <w:rFonts w:eastAsia="Times New Roman"/>
          <w:i/>
          <w:sz w:val="24"/>
          <w:szCs w:val="24"/>
        </w:rPr>
        <w:t>(name)</w:t>
      </w:r>
      <w:r w:rsidRPr="006E1057">
        <w:rPr>
          <w:rFonts w:eastAsia="Times New Roman"/>
          <w:b/>
          <w:sz w:val="24"/>
          <w:szCs w:val="24"/>
        </w:rPr>
        <w:t xml:space="preserve">, had a duty to disclose material facts if </w:t>
      </w:r>
      <w:r w:rsidR="00EB2FA5">
        <w:rPr>
          <w:rFonts w:eastAsia="Times New Roman"/>
          <w:bCs/>
          <w:i/>
          <w:iCs/>
          <w:sz w:val="24"/>
          <w:szCs w:val="24"/>
        </w:rPr>
        <w:t>(insert applicable pronoun)</w:t>
      </w:r>
      <w:r w:rsidRPr="006E1057">
        <w:rPr>
          <w:rFonts w:eastAsia="Times New Roman"/>
          <w:b/>
          <w:sz w:val="24"/>
          <w:szCs w:val="24"/>
        </w:rPr>
        <w:t xml:space="preserve"> knew about them and if:</w:t>
      </w:r>
    </w:p>
    <w:p w14:paraId="3E168567"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(1. The defendant and the plaintiff were in a [confidential] [or] [fiduciary] relationship) (or)</w:t>
      </w:r>
    </w:p>
    <w:p w14:paraId="01089E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(2. The defendant stated some facts, but not all material facts, knowing that they would create a false impression in the mind of the plaintiff) (or)</w:t>
      </w:r>
    </w:p>
    <w:p w14:paraId="42B3A068" w14:textId="16E584EB"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(3. The defendant knew that by </w:t>
      </w:r>
      <w:r w:rsidR="00EB2FA5">
        <w:rPr>
          <w:rFonts w:eastAsia="Times New Roman"/>
          <w:bCs/>
          <w:i/>
          <w:iCs/>
          <w:sz w:val="24"/>
          <w:szCs w:val="24"/>
        </w:rPr>
        <w:t>[insert applicable pronoun]</w:t>
      </w:r>
      <w:r w:rsidRPr="006E1057">
        <w:rPr>
          <w:rFonts w:eastAsia="Times New Roman"/>
          <w:b/>
          <w:sz w:val="24"/>
          <w:szCs w:val="24"/>
        </w:rPr>
        <w:t xml:space="preserve"> own unclear or deceptive words or conduct that </w:t>
      </w:r>
      <w:r w:rsidR="00EB2FA5">
        <w:rPr>
          <w:rFonts w:eastAsia="Times New Roman"/>
          <w:bCs/>
          <w:i/>
          <w:iCs/>
          <w:sz w:val="24"/>
          <w:szCs w:val="24"/>
        </w:rPr>
        <w:t>[insert applicable pronoun]</w:t>
      </w:r>
      <w:r w:rsidRPr="006E1057">
        <w:rPr>
          <w:rFonts w:eastAsia="Times New Roman"/>
          <w:b/>
          <w:sz w:val="24"/>
          <w:szCs w:val="24"/>
        </w:rPr>
        <w:t xml:space="preserve"> created a false impression of the actual facts in the mind of the plaintiff) (or)</w:t>
      </w:r>
    </w:p>
    <w:p w14:paraId="001D8E94" w14:textId="710F8630"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(4. The defendant knew that the plaintiff was not in a position to discover the facts for </w:t>
      </w:r>
      <w:r w:rsidR="00EB2FA5">
        <w:rPr>
          <w:rFonts w:eastAsia="Times New Roman"/>
          <w:bCs/>
          <w:i/>
          <w:iCs/>
          <w:sz w:val="24"/>
          <w:szCs w:val="24"/>
        </w:rPr>
        <w:t>[insert applicable pronoun]</w:t>
      </w:r>
      <w:r w:rsidRPr="006E1057">
        <w:rPr>
          <w:rFonts w:eastAsia="Times New Roman"/>
          <w:b/>
          <w:sz w:val="24"/>
          <w:szCs w:val="24"/>
        </w:rPr>
        <w:t>) (or)</w:t>
      </w:r>
    </w:p>
    <w:p w14:paraId="08F365B6" w14:textId="28F688A8"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(5. The defendant communicated material facts that were true or that </w:t>
      </w:r>
      <w:r w:rsidR="00EB2FA5">
        <w:rPr>
          <w:rFonts w:eastAsia="Times New Roman"/>
          <w:bCs/>
          <w:i/>
          <w:iCs/>
          <w:sz w:val="24"/>
          <w:szCs w:val="24"/>
        </w:rPr>
        <w:t>[insert applicable pronoun]</w:t>
      </w:r>
      <w:r w:rsidRPr="006E1057">
        <w:rPr>
          <w:rFonts w:eastAsia="Times New Roman"/>
          <w:b/>
          <w:sz w:val="24"/>
          <w:szCs w:val="24"/>
        </w:rPr>
        <w:t xml:space="preserve"> believed were true at the time the time they were communicated. Later, the defendant learned that the material facts were [not] [no longer] true and knew that the plaintiff was acting under the impression that the facts were true) (or)</w:t>
      </w:r>
    </w:p>
    <w:p w14:paraId="7C91B575" w14:textId="1A54C69F"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(6. The defendant promised to perform an act or communicated an intention to perform an act knowing that undisclosed facts made </w:t>
      </w:r>
      <w:r w:rsidR="00EB2FA5">
        <w:rPr>
          <w:rFonts w:eastAsia="Times New Roman"/>
          <w:bCs/>
          <w:i/>
          <w:iCs/>
          <w:sz w:val="24"/>
          <w:szCs w:val="24"/>
        </w:rPr>
        <w:t>[insert applicable pronoun]</w:t>
      </w:r>
      <w:r w:rsidRPr="006E1057">
        <w:rPr>
          <w:rFonts w:eastAsia="Times New Roman"/>
          <w:b/>
          <w:sz w:val="24"/>
          <w:szCs w:val="24"/>
        </w:rPr>
        <w:t xml:space="preserve"> performance unlikely.)</w:t>
      </w:r>
    </w:p>
    <w:p w14:paraId="7CEB3683" w14:textId="77777777" w:rsidR="006E1057" w:rsidRDefault="006E1057" w:rsidP="006E1057">
      <w:pPr>
        <w:jc w:val="center"/>
        <w:rPr>
          <w:rFonts w:eastAsia="Times New Roman"/>
          <w:sz w:val="24"/>
          <w:szCs w:val="24"/>
        </w:rPr>
      </w:pPr>
    </w:p>
    <w:p w14:paraId="66973B98" w14:textId="77777777" w:rsidR="006E1057" w:rsidRPr="0054263B" w:rsidRDefault="006E1057" w:rsidP="006E1057">
      <w:pPr>
        <w:keepNext/>
        <w:spacing w:after="240"/>
        <w:jc w:val="center"/>
        <w:rPr>
          <w:rFonts w:eastAsia="Times New Roman"/>
          <w:b/>
          <w:sz w:val="24"/>
          <w:szCs w:val="24"/>
        </w:rPr>
      </w:pPr>
      <w:r w:rsidRPr="0054263B">
        <w:rPr>
          <w:rFonts w:eastAsia="Times New Roman"/>
          <w:b/>
          <w:sz w:val="24"/>
          <w:szCs w:val="24"/>
        </w:rPr>
        <w:t>Notes on Use</w:t>
      </w:r>
    </w:p>
    <w:p w14:paraId="52D627BC"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1. Only those parenthesized or bracketed portions of this instruction should be used as are appropriate to the evidence in the case. If the false representation was allegedly made to someone other than the plaintiff, then this instruction must be appropriately modified.</w:t>
      </w:r>
    </w:p>
    <w:p w14:paraId="7CBF3840"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2. When appropriate, this instruction should be given with Instruction 19:2.</w:t>
      </w:r>
    </w:p>
    <w:p w14:paraId="4EDDF11A"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If reasonable minds could not differ as to the facts giving rise to a duty to disclose, the existence of that duty is a matter of law for the court to determine. </w:t>
      </w:r>
      <w:r w:rsidRPr="006E1057">
        <w:rPr>
          <w:rFonts w:eastAsia="Times New Roman"/>
          <w:i/>
          <w:sz w:val="24"/>
          <w:szCs w:val="24"/>
        </w:rPr>
        <w:t>See, e.g.</w:t>
      </w:r>
      <w:r w:rsidRPr="006E1057">
        <w:rPr>
          <w:rFonts w:eastAsia="Times New Roman"/>
          <w:sz w:val="24"/>
          <w:szCs w:val="24"/>
        </w:rPr>
        <w:t xml:space="preserve">, </w:t>
      </w:r>
      <w:r w:rsidRPr="006E1057">
        <w:rPr>
          <w:rFonts w:eastAsia="Times New Roman"/>
          <w:b/>
          <w:sz w:val="24"/>
          <w:szCs w:val="24"/>
        </w:rPr>
        <w:t>Morrison v. Goodspeed</w:t>
      </w:r>
      <w:r w:rsidRPr="006E1057">
        <w:rPr>
          <w:rFonts w:eastAsia="Times New Roman"/>
          <w:sz w:val="24"/>
          <w:szCs w:val="24"/>
        </w:rPr>
        <w:t xml:space="preserve">, 100 Colo. 470, 68 P.2d 458 (1937); </w:t>
      </w:r>
      <w:r w:rsidRPr="006E1057">
        <w:rPr>
          <w:rFonts w:eastAsia="Times New Roman"/>
          <w:b/>
          <w:sz w:val="24"/>
          <w:szCs w:val="24"/>
        </w:rPr>
        <w:t>Colo. Interstate Gas Co. v. Chemco,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833 P.2d 786 (Colo. App. 1991), </w:t>
      </w:r>
      <w:r w:rsidRPr="006E1057">
        <w:rPr>
          <w:rFonts w:eastAsia="Times New Roman"/>
          <w:i/>
          <w:sz w:val="24"/>
          <w:szCs w:val="24"/>
        </w:rPr>
        <w:t>aff’d on other grounds</w:t>
      </w:r>
      <w:r w:rsidRPr="006E1057">
        <w:rPr>
          <w:rFonts w:eastAsia="Times New Roman"/>
          <w:sz w:val="24"/>
          <w:szCs w:val="24"/>
        </w:rPr>
        <w:t>,</w:t>
      </w:r>
      <w:r w:rsidRPr="006E1057">
        <w:rPr>
          <w:rFonts w:eastAsia="Times New Roman"/>
          <w:i/>
          <w:sz w:val="24"/>
          <w:szCs w:val="24"/>
        </w:rPr>
        <w:t xml:space="preserve"> </w:t>
      </w:r>
      <w:r w:rsidRPr="006E1057">
        <w:rPr>
          <w:rFonts w:eastAsia="Times New Roman"/>
          <w:sz w:val="24"/>
          <w:szCs w:val="24"/>
        </w:rPr>
        <w:t xml:space="preserve">854 P.2d 1232 (Colo. 1993); </w:t>
      </w:r>
      <w:r w:rsidRPr="006E1057">
        <w:rPr>
          <w:rFonts w:eastAsia="Times New Roman"/>
          <w:b/>
          <w:sz w:val="24"/>
          <w:szCs w:val="24"/>
        </w:rPr>
        <w:t>Burman v. Richmond Homes, Ltd.</w:t>
      </w:r>
      <w:r w:rsidRPr="006E1057">
        <w:rPr>
          <w:rFonts w:eastAsia="Times New Roman"/>
          <w:sz w:val="24"/>
          <w:szCs w:val="24"/>
        </w:rPr>
        <w:t xml:space="preserve">, 821 P.2d 913 (Colo. App. 1991). This instruction has been drafted to cover those specific situations that have so far been recognized by the courts. </w:t>
      </w:r>
      <w:r w:rsidRPr="006E1057">
        <w:rPr>
          <w:rFonts w:eastAsia="Times New Roman"/>
          <w:i/>
          <w:sz w:val="24"/>
          <w:szCs w:val="24"/>
        </w:rPr>
        <w:t>See</w:t>
      </w:r>
      <w:r w:rsidRPr="006E1057">
        <w:rPr>
          <w:rFonts w:eastAsia="Times New Roman"/>
          <w:sz w:val="24"/>
          <w:szCs w:val="24"/>
        </w:rPr>
        <w:t xml:space="preserve"> Source and Authority below. It is not intended to be exhaustive of all possible situations. </w:t>
      </w:r>
    </w:p>
    <w:p w14:paraId="3377440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4. For a definition of “confidential relationship,” see Instruction 34:18. For a definition of “fiduciary relationship,” see Instructions 26:2 and 26:3.</w:t>
      </w:r>
    </w:p>
    <w:p w14:paraId="017A2C6C" w14:textId="77777777" w:rsidR="006E1057" w:rsidRPr="0054263B" w:rsidRDefault="006E1057" w:rsidP="006E1057">
      <w:pPr>
        <w:keepNext/>
        <w:spacing w:after="240"/>
        <w:jc w:val="center"/>
        <w:rPr>
          <w:rFonts w:eastAsia="Times New Roman"/>
          <w:b/>
          <w:sz w:val="24"/>
          <w:szCs w:val="24"/>
        </w:rPr>
      </w:pPr>
      <w:r>
        <w:rPr>
          <w:rFonts w:eastAsia="Times New Roman"/>
          <w:b/>
          <w:sz w:val="24"/>
          <w:szCs w:val="24"/>
        </w:rPr>
        <w:lastRenderedPageBreak/>
        <w:t>Source and Authority</w:t>
      </w:r>
    </w:p>
    <w:p w14:paraId="4706D73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1. The numbered paragraphs of this instruction are supported by the following cases. Paragraph 1: </w:t>
      </w:r>
      <w:r w:rsidRPr="006E1057">
        <w:rPr>
          <w:rFonts w:eastAsia="Times New Roman"/>
          <w:b/>
          <w:sz w:val="24"/>
          <w:szCs w:val="24"/>
        </w:rPr>
        <w:t>Hanson v. Chamberlin</w:t>
      </w:r>
      <w:r w:rsidRPr="006E1057">
        <w:rPr>
          <w:rFonts w:eastAsia="Times New Roman"/>
          <w:sz w:val="24"/>
          <w:szCs w:val="24"/>
        </w:rPr>
        <w:t xml:space="preserve">, 76 Colo. 562, 233 P. 830 (1925) (duty of disclosure between joint venturers); </w:t>
      </w:r>
      <w:r w:rsidRPr="006E1057">
        <w:rPr>
          <w:rFonts w:eastAsia="Times New Roman"/>
          <w:b/>
          <w:sz w:val="24"/>
          <w:szCs w:val="24"/>
        </w:rPr>
        <w:t>Pouppirt v. Greenwood</w:t>
      </w:r>
      <w:r w:rsidRPr="006E1057">
        <w:rPr>
          <w:rFonts w:eastAsia="Times New Roman"/>
          <w:sz w:val="24"/>
          <w:szCs w:val="24"/>
        </w:rPr>
        <w:t xml:space="preserve">, 48 Colo. 405, 110 P. 195 (1910) (agency relationship). Paragraph 2: </w:t>
      </w:r>
      <w:r w:rsidRPr="006E1057">
        <w:rPr>
          <w:rFonts w:eastAsia="Times New Roman"/>
          <w:b/>
          <w:sz w:val="24"/>
          <w:szCs w:val="24"/>
        </w:rPr>
        <w:t>Mallon Oil Co. v. Bowen/Edwards Assocs.,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105 (Colo. 1998); </w:t>
      </w:r>
      <w:r w:rsidRPr="006E1057">
        <w:rPr>
          <w:rFonts w:eastAsia="Times New Roman"/>
          <w:b/>
          <w:sz w:val="24"/>
          <w:szCs w:val="24"/>
        </w:rPr>
        <w:t>Corder v. Laws</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148 Colo. 310, 366 P.2d 369 (1961); </w:t>
      </w:r>
      <w:r w:rsidRPr="006E1057">
        <w:rPr>
          <w:rFonts w:eastAsia="Times New Roman"/>
          <w:b/>
          <w:sz w:val="24"/>
          <w:szCs w:val="24"/>
        </w:rPr>
        <w:t>Cahill v. Readon</w:t>
      </w:r>
      <w:r w:rsidRPr="006E1057">
        <w:rPr>
          <w:rFonts w:eastAsia="Times New Roman"/>
          <w:sz w:val="24"/>
          <w:szCs w:val="24"/>
        </w:rPr>
        <w:t xml:space="preserve">, 85 Colo. 9, 14, 273 P. 653, 655 (1928) (“[a] statement literally true is actionable, if made to create an impression substantially false”); </w:t>
      </w:r>
      <w:r w:rsidRPr="006E1057">
        <w:rPr>
          <w:rFonts w:eastAsia="Times New Roman"/>
          <w:b/>
          <w:sz w:val="24"/>
          <w:szCs w:val="24"/>
        </w:rPr>
        <w:t>Berger v. Sec. Pac. Info. Sys., Inc.</w:t>
      </w:r>
      <w:r w:rsidRPr="006E1057">
        <w:rPr>
          <w:rFonts w:eastAsia="Times New Roman"/>
          <w:sz w:val="24"/>
          <w:szCs w:val="24"/>
        </w:rPr>
        <w:t xml:space="preserve">, 795 P.2d 1380 (Colo. App. 1990) (prospective employer’s duty to disclose information to prospective employee). Paragraph 3: </w:t>
      </w:r>
      <w:r w:rsidRPr="006E1057">
        <w:rPr>
          <w:rFonts w:eastAsia="Times New Roman"/>
          <w:b/>
          <w:sz w:val="24"/>
          <w:szCs w:val="24"/>
        </w:rPr>
        <w:t>Meredith v. Ramsdell</w:t>
      </w:r>
      <w:r w:rsidRPr="006E1057">
        <w:rPr>
          <w:rFonts w:eastAsia="Times New Roman"/>
          <w:sz w:val="24"/>
          <w:szCs w:val="24"/>
        </w:rPr>
        <w:t xml:space="preserve">, 152 Colo. 548, 384 P.2d 941 (1963); </w:t>
      </w:r>
      <w:r w:rsidRPr="006E1057">
        <w:rPr>
          <w:rFonts w:eastAsia="Times New Roman"/>
          <w:b/>
          <w:sz w:val="24"/>
          <w:szCs w:val="24"/>
        </w:rPr>
        <w:t>Feit v. Donahue</w:t>
      </w:r>
      <w:r w:rsidRPr="006E1057">
        <w:rPr>
          <w:rFonts w:eastAsia="Times New Roman"/>
          <w:sz w:val="24"/>
          <w:szCs w:val="24"/>
        </w:rPr>
        <w:t xml:space="preserve">, 826 P.2d 407 (Colo. App. 1992); </w:t>
      </w:r>
      <w:r w:rsidRPr="006E1057">
        <w:rPr>
          <w:rFonts w:eastAsia="Times New Roman"/>
          <w:b/>
          <w:sz w:val="24"/>
          <w:szCs w:val="24"/>
        </w:rPr>
        <w:t>H &amp; H Distribs., Inc. v. BBC Int’l, Inc.</w:t>
      </w:r>
      <w:r w:rsidRPr="006E1057">
        <w:rPr>
          <w:rFonts w:eastAsia="Times New Roman"/>
          <w:sz w:val="24"/>
          <w:szCs w:val="24"/>
        </w:rPr>
        <w:t xml:space="preserve">, 812 P.2d 659 (Colo. App. 1990). Paragraph 4: </w:t>
      </w:r>
      <w:r w:rsidRPr="006E1057">
        <w:rPr>
          <w:rFonts w:eastAsia="Times New Roman"/>
          <w:b/>
          <w:sz w:val="24"/>
          <w:szCs w:val="24"/>
        </w:rPr>
        <w:t>Cohen v. Vivian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141 Colo. 443, 349 P.2d 366 (1960) (by implication); </w:t>
      </w:r>
      <w:r w:rsidRPr="006E1057">
        <w:rPr>
          <w:rFonts w:eastAsia="Times New Roman"/>
          <w:b/>
          <w:sz w:val="24"/>
          <w:szCs w:val="24"/>
        </w:rPr>
        <w:t>Morrison</w:t>
      </w:r>
      <w:r w:rsidRPr="006E1057">
        <w:rPr>
          <w:rFonts w:eastAsia="Times New Roman"/>
          <w:sz w:val="24"/>
          <w:szCs w:val="24"/>
        </w:rPr>
        <w:t xml:space="preserve">, 100 Colo. at 478, 68 P.2d at 462 (by implication); </w:t>
      </w:r>
      <w:r w:rsidRPr="006E1057">
        <w:rPr>
          <w:rFonts w:eastAsia="Times New Roman"/>
          <w:b/>
          <w:sz w:val="24"/>
          <w:szCs w:val="24"/>
        </w:rPr>
        <w:t>McNeill v. Allen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35 Colo. App. 317, 534 P.2d 813 (1975). Paragraph 5: </w:t>
      </w:r>
      <w:r w:rsidRPr="006E1057">
        <w:rPr>
          <w:rFonts w:eastAsia="Times New Roman"/>
          <w:b/>
          <w:sz w:val="24"/>
          <w:szCs w:val="24"/>
        </w:rPr>
        <w:t>Cahill</w:t>
      </w:r>
      <w:r w:rsidRPr="006E1057">
        <w:rPr>
          <w:rFonts w:eastAsia="Times New Roman"/>
          <w:sz w:val="24"/>
          <w:szCs w:val="24"/>
        </w:rPr>
        <w:t xml:space="preserve">, 85 Colo. at 16, 273 P. at 656 (by implication); </w:t>
      </w:r>
      <w:r w:rsidRPr="006E1057">
        <w:rPr>
          <w:rFonts w:eastAsia="Times New Roman"/>
          <w:b/>
          <w:sz w:val="24"/>
          <w:szCs w:val="24"/>
        </w:rPr>
        <w:t>Bohe v. Scott</w:t>
      </w:r>
      <w:r w:rsidRPr="006E1057">
        <w:rPr>
          <w:rFonts w:eastAsia="Times New Roman"/>
          <w:sz w:val="24"/>
          <w:szCs w:val="24"/>
        </w:rPr>
        <w:t xml:space="preserve">, 83 Colo. 374, 265 P. 694 (1928). Paragraph 6: </w:t>
      </w:r>
      <w:r w:rsidRPr="006E1057">
        <w:rPr>
          <w:rFonts w:eastAsia="Times New Roman"/>
          <w:b/>
          <w:sz w:val="24"/>
          <w:szCs w:val="24"/>
        </w:rPr>
        <w:t>Ackmann v. Merchs. Mortg. &amp; Trust Corp.</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645 P.2d 7 (Colo. 1982) (fraud as a defense to breach of contract and as basis of claim for rescission and restitution).</w:t>
      </w:r>
    </w:p>
    <w:p w14:paraId="6C7B4AB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2. This instruction is also supported by 2 </w:t>
      </w:r>
      <w:r w:rsidRPr="00595B79">
        <w:rPr>
          <w:rFonts w:eastAsia="Times New Roman"/>
          <w:smallCaps/>
          <w:sz w:val="24"/>
          <w:szCs w:val="24"/>
        </w:rPr>
        <w:t>F. Harper et al., Harper, James, and Gray on Torts</w:t>
      </w:r>
      <w:r w:rsidRPr="006E1057">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6E1057">
        <w:rPr>
          <w:rFonts w:eastAsia="Times New Roman"/>
          <w:sz w:val="24"/>
          <w:szCs w:val="24"/>
        </w:rPr>
        <w:t xml:space="preserve"> § 106 (5th ed. 1984).</w:t>
      </w:r>
    </w:p>
    <w:p w14:paraId="50EE762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In a deceit action, a person may have a duty to disclose a material fact only if the person knows that fact. </w:t>
      </w:r>
      <w:r w:rsidRPr="006E1057">
        <w:rPr>
          <w:rFonts w:eastAsia="Times New Roman"/>
          <w:b/>
          <w:sz w:val="24"/>
          <w:szCs w:val="24"/>
        </w:rPr>
        <w:t>Johnson v. Graham</w:t>
      </w:r>
      <w:r w:rsidRPr="006E1057">
        <w:rPr>
          <w:rFonts w:eastAsia="Times New Roman"/>
          <w:sz w:val="24"/>
          <w:szCs w:val="24"/>
        </w:rPr>
        <w:t xml:space="preserve">, 679 P.2d 1090 (Colo. App. 1983), </w:t>
      </w:r>
      <w:r w:rsidRPr="006E1057">
        <w:rPr>
          <w:rFonts w:eastAsia="Times New Roman"/>
          <w:i/>
          <w:sz w:val="24"/>
          <w:szCs w:val="24"/>
        </w:rPr>
        <w:t xml:space="preserve">rev’d in part on other grounds sub nom. </w:t>
      </w:r>
      <w:r w:rsidRPr="006E1057">
        <w:rPr>
          <w:rFonts w:eastAsia="Times New Roman"/>
          <w:b/>
          <w:sz w:val="24"/>
          <w:szCs w:val="24"/>
        </w:rPr>
        <w:t>Tri-Aspen Constr. Co. v. Johnson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714 P.2d 484 (Colo. 1986). It is not sufficient that one should have known the fact as a reasonably prudent person. </w:t>
      </w:r>
      <w:r w:rsidRPr="006E1057">
        <w:rPr>
          <w:rFonts w:eastAsia="Times New Roman"/>
          <w:i/>
          <w:sz w:val="24"/>
          <w:szCs w:val="24"/>
        </w:rPr>
        <w:t xml:space="preserve">See </w:t>
      </w:r>
      <w:r w:rsidRPr="006E1057">
        <w:rPr>
          <w:rFonts w:eastAsia="Times New Roman"/>
          <w:b/>
          <w:sz w:val="24"/>
          <w:szCs w:val="24"/>
        </w:rPr>
        <w:t>Denver Bus. Sales Co. v. Lewis</w:t>
      </w:r>
      <w:r w:rsidRPr="006E1057">
        <w:rPr>
          <w:rFonts w:eastAsia="Times New Roman"/>
          <w:sz w:val="24"/>
          <w:szCs w:val="24"/>
        </w:rPr>
        <w:t xml:space="preserve">, 148 Colo. 293, 365 P.2d 895 (1961) (specifically rejecting the reasonable care standard suggested in </w:t>
      </w:r>
      <w:r w:rsidRPr="006E1057">
        <w:rPr>
          <w:rFonts w:eastAsia="Times New Roman"/>
          <w:b/>
          <w:sz w:val="24"/>
          <w:szCs w:val="24"/>
        </w:rPr>
        <w:t>Cohen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141 Colo. at 446, 349 P.2d at 367).</w:t>
      </w:r>
    </w:p>
    <w:p w14:paraId="67383D3D" w14:textId="6A5F04F5"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4. The following cases have concluded that no duty existed in the context of particular relationships: </w:t>
      </w:r>
      <w:r w:rsidR="00FF5412">
        <w:rPr>
          <w:rFonts w:eastAsia="Times New Roman"/>
          <w:b/>
          <w:sz w:val="24"/>
          <w:szCs w:val="24"/>
        </w:rPr>
        <w:t>Rocky Mountain Exploration</w:t>
      </w:r>
      <w:r w:rsidR="00FF5412" w:rsidRPr="00F86F6C">
        <w:rPr>
          <w:rFonts w:eastAsia="Times New Roman"/>
          <w:b/>
          <w:sz w:val="24"/>
          <w:szCs w:val="24"/>
        </w:rPr>
        <w:t>, Inc. v. Davis Graham &amp; Stubbs</w:t>
      </w:r>
      <w:r w:rsidR="00FF5412">
        <w:rPr>
          <w:rFonts w:eastAsia="Times New Roman"/>
          <w:b/>
          <w:sz w:val="24"/>
          <w:szCs w:val="24"/>
        </w:rPr>
        <w:t xml:space="preserve"> LLP</w:t>
      </w:r>
      <w:r w:rsidR="00FF5412">
        <w:rPr>
          <w:rFonts w:eastAsia="Times New Roman"/>
          <w:sz w:val="24"/>
          <w:szCs w:val="24"/>
        </w:rPr>
        <w:t xml:space="preserve">, 2018 CO 54, </w:t>
      </w:r>
      <w:r w:rsidR="00FF5412" w:rsidRPr="008F30CF">
        <w:rPr>
          <w:rFonts w:eastAsia="Times New Roman"/>
          <w:sz w:val="24"/>
          <w:szCs w:val="24"/>
        </w:rPr>
        <w:t>¶</w:t>
      </w:r>
      <w:r w:rsidR="00FF5412">
        <w:rPr>
          <w:rFonts w:eastAsia="Times New Roman"/>
          <w:sz w:val="24"/>
          <w:szCs w:val="24"/>
        </w:rPr>
        <w:t xml:space="preserve"> 57, 420 P.3d 223 (law firm did not owe a duty to disclose its client’s identity to a counterparty in an asset purchase); </w:t>
      </w:r>
      <w:r w:rsidRPr="006E1057">
        <w:rPr>
          <w:rFonts w:eastAsia="Times New Roman"/>
          <w:b/>
          <w:sz w:val="24"/>
          <w:szCs w:val="24"/>
        </w:rPr>
        <w:t>Mallon Oil Co.</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at 112 (there was no special relationship or improper acquisition of information that would create duty on the part of geologist to disclose information about minerals on seller’s property); </w:t>
      </w:r>
      <w:r w:rsidRPr="006E1057">
        <w:rPr>
          <w:rFonts w:eastAsia="Times New Roman"/>
          <w:b/>
          <w:sz w:val="24"/>
          <w:szCs w:val="24"/>
        </w:rPr>
        <w:t>Barfield v. Hall Realty, Inc.</w:t>
      </w:r>
      <w:r w:rsidRPr="006E1057">
        <w:rPr>
          <w:rFonts w:eastAsia="Times New Roman"/>
          <w:sz w:val="24"/>
          <w:szCs w:val="24"/>
        </w:rPr>
        <w:t xml:space="preserve">, 232 P.3d 286 (Colo. App. 2010)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 </w:t>
      </w:r>
      <w:r w:rsidRPr="006E1057">
        <w:rPr>
          <w:rFonts w:eastAsia="Times New Roman"/>
          <w:b/>
          <w:sz w:val="24"/>
          <w:szCs w:val="24"/>
        </w:rPr>
        <w:t>Mullen v. Allstate Ins. Co.</w:t>
      </w:r>
      <w:r w:rsidRPr="006E1057">
        <w:rPr>
          <w:rFonts w:eastAsia="Times New Roman"/>
          <w:sz w:val="24"/>
          <w:szCs w:val="24"/>
        </w:rPr>
        <w:t xml:space="preserve">, 232 P.3d 168 (Colo. App. 2009) (insurer has no duty to disclose nature of policies offered by other insurers); </w:t>
      </w:r>
      <w:r w:rsidRPr="006E1057">
        <w:rPr>
          <w:rFonts w:eastAsia="Times New Roman"/>
          <w:b/>
          <w:sz w:val="24"/>
          <w:szCs w:val="24"/>
        </w:rPr>
        <w:t>Poly Trucking, Inc. v. Concentra Health Servs., Inc.</w:t>
      </w:r>
      <w:r w:rsidRPr="006E1057">
        <w:rPr>
          <w:rFonts w:eastAsia="Times New Roman"/>
          <w:sz w:val="24"/>
          <w:szCs w:val="24"/>
        </w:rPr>
        <w:t>, 93 P.3d 561 (Colo. App. 2004) (trucking company had no duty to disclose intent to sue doctor during negotiations for the release of other claims against doctor’s employer).</w:t>
      </w:r>
    </w:p>
    <w:p w14:paraId="73924365"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lastRenderedPageBreak/>
        <w:t xml:space="preserve">5. A duty to disclose may be found in the context of the particular facts of the case. </w:t>
      </w:r>
      <w:r w:rsidRPr="006E1057">
        <w:rPr>
          <w:rFonts w:eastAsia="Times New Roman"/>
          <w:i/>
          <w:sz w:val="24"/>
          <w:szCs w:val="24"/>
        </w:rPr>
        <w:t>See</w:t>
      </w:r>
      <w:r w:rsidRPr="006E1057">
        <w:rPr>
          <w:rFonts w:eastAsia="Times New Roman"/>
          <w:sz w:val="24"/>
          <w:szCs w:val="24"/>
        </w:rPr>
        <w:t xml:space="preserve"> </w:t>
      </w:r>
      <w:r w:rsidRPr="006E1057">
        <w:rPr>
          <w:rFonts w:eastAsia="Times New Roman"/>
          <w:b/>
          <w:sz w:val="24"/>
          <w:szCs w:val="24"/>
        </w:rPr>
        <w:t>Bair v. Pub. Serv. Employees Credit Union</w:t>
      </w:r>
      <w:r w:rsidRPr="006E1057">
        <w:rPr>
          <w:rFonts w:eastAsia="Times New Roman"/>
          <w:sz w:val="24"/>
          <w:szCs w:val="24"/>
        </w:rPr>
        <w:t>, 709 P.2d 961 (Colo. App. 1985) (lender requiring insurance of creditor has duty to disclose what kind of insurance is required).</w:t>
      </w:r>
    </w:p>
    <w:p w14:paraId="4D306BA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6. In a nondisclosure claim against a home seller, there is an independent duty to disclose latent defects known to the seller. Further, “the disclosure terms in [a] Form Contract do not subsume a home seller’s common law duty to disclose such defects . . . .” </w:t>
      </w:r>
      <w:r w:rsidRPr="006E1057">
        <w:rPr>
          <w:rFonts w:eastAsia="Times New Roman"/>
          <w:b/>
          <w:sz w:val="24"/>
          <w:szCs w:val="24"/>
        </w:rPr>
        <w:t>In re Estate of Gattis</w:t>
      </w:r>
      <w:r w:rsidRPr="006E1057">
        <w:rPr>
          <w:rFonts w:eastAsia="Times New Roman"/>
          <w:sz w:val="24"/>
          <w:szCs w:val="24"/>
        </w:rPr>
        <w:t>, 2013 COA 145, ¶ 32, 318 P.3d 549, 557.</w:t>
      </w:r>
    </w:p>
    <w:p w14:paraId="559EF082" w14:textId="77777777" w:rsidR="00595B79" w:rsidRDefault="00595B79">
      <w:pPr>
        <w:rPr>
          <w:rFonts w:eastAsia="Times New Roman"/>
          <w:sz w:val="24"/>
          <w:szCs w:val="24"/>
        </w:rPr>
      </w:pPr>
      <w:r>
        <w:rPr>
          <w:rFonts w:eastAsia="Times New Roman"/>
          <w:sz w:val="24"/>
          <w:szCs w:val="24"/>
        </w:rPr>
        <w:br w:type="page"/>
      </w:r>
    </w:p>
    <w:p w14:paraId="4D7D9B52" w14:textId="77777777" w:rsidR="00595B79" w:rsidRPr="009E3DA4" w:rsidRDefault="00595B79" w:rsidP="00595B79">
      <w:pPr>
        <w:spacing w:after="240"/>
        <w:ind w:left="720" w:hanging="720"/>
        <w:rPr>
          <w:rFonts w:eastAsia="Times New Roman"/>
          <w:b/>
          <w:sz w:val="24"/>
          <w:szCs w:val="24"/>
        </w:rPr>
      </w:pPr>
      <w:bookmarkStart w:id="5" w:name="a19_06"/>
      <w:bookmarkEnd w:id="5"/>
      <w:r w:rsidRPr="00595B79">
        <w:rPr>
          <w:rFonts w:eastAsia="Times New Roman"/>
          <w:b/>
          <w:sz w:val="24"/>
          <w:szCs w:val="24"/>
        </w:rPr>
        <w:lastRenderedPageBreak/>
        <w:t xml:space="preserve">19:6 </w:t>
      </w:r>
      <w:r w:rsidRPr="00595B79">
        <w:rPr>
          <w:rFonts w:eastAsia="Times New Roman"/>
          <w:b/>
          <w:sz w:val="24"/>
          <w:szCs w:val="24"/>
        </w:rPr>
        <w:tab/>
        <w:t>CONCEALMENT — DEFINED</w:t>
      </w:r>
    </w:p>
    <w:p w14:paraId="66BC6870" w14:textId="21C970DC"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The defendant,</w:t>
      </w:r>
      <w:r w:rsidRPr="00595B79">
        <w:rPr>
          <w:rFonts w:eastAsia="Times New Roman"/>
          <w:i/>
          <w:sz w:val="24"/>
          <w:szCs w:val="24"/>
        </w:rPr>
        <w:t xml:space="preserve"> (name)</w:t>
      </w:r>
      <w:r w:rsidRPr="00595B79">
        <w:rPr>
          <w:rFonts w:eastAsia="Times New Roman"/>
          <w:b/>
          <w:sz w:val="24"/>
          <w:szCs w:val="24"/>
        </w:rPr>
        <w:t xml:space="preserve">, concealed a fact that </w:t>
      </w:r>
      <w:r w:rsidR="00EB2FA5">
        <w:rPr>
          <w:rFonts w:eastAsia="Times New Roman"/>
          <w:bCs/>
          <w:i/>
          <w:iCs/>
          <w:sz w:val="24"/>
          <w:szCs w:val="24"/>
        </w:rPr>
        <w:t>(insert applicable pronoun)</w:t>
      </w:r>
      <w:r w:rsidRPr="00595B79">
        <w:rPr>
          <w:rFonts w:eastAsia="Times New Roman"/>
          <w:b/>
          <w:sz w:val="24"/>
          <w:szCs w:val="24"/>
        </w:rPr>
        <w:t xml:space="preserve"> knew, if, by conduct, or by written or oral words, or by a combination of conduct and words, </w:t>
      </w:r>
      <w:r w:rsidR="00EB2FA5">
        <w:rPr>
          <w:rFonts w:eastAsia="Times New Roman"/>
          <w:bCs/>
          <w:i/>
          <w:iCs/>
          <w:sz w:val="24"/>
          <w:szCs w:val="24"/>
        </w:rPr>
        <w:t>(insert applicable pronoun)</w:t>
      </w:r>
      <w:r w:rsidRPr="00595B79">
        <w:rPr>
          <w:rFonts w:eastAsia="Times New Roman"/>
          <w:b/>
          <w:sz w:val="24"/>
          <w:szCs w:val="24"/>
        </w:rPr>
        <w:t xml:space="preserve"> created a false impression of the actual fact in the mind of the plaintiff,</w:t>
      </w:r>
      <w:r w:rsidRPr="00595B79">
        <w:rPr>
          <w:rFonts w:eastAsia="Times New Roman"/>
          <w:i/>
          <w:sz w:val="24"/>
          <w:szCs w:val="24"/>
        </w:rPr>
        <w:t xml:space="preserve"> (name)</w:t>
      </w:r>
      <w:r w:rsidRPr="00595B79">
        <w:rPr>
          <w:rFonts w:eastAsia="Times New Roman"/>
          <w:b/>
          <w:sz w:val="24"/>
          <w:szCs w:val="24"/>
        </w:rPr>
        <w:t>:</w:t>
      </w:r>
    </w:p>
    <w:p w14:paraId="64FF6DBF"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(1. By covering up the truth) (or)</w:t>
      </w:r>
    </w:p>
    <w:p w14:paraId="36222928" w14:textId="10E9568C"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 xml:space="preserve">(2. By preventing the plaintiff from discovering the actual fact for </w:t>
      </w:r>
      <w:r w:rsidR="00EB2FA5">
        <w:rPr>
          <w:rFonts w:eastAsia="Times New Roman"/>
          <w:bCs/>
          <w:i/>
          <w:iCs/>
          <w:sz w:val="24"/>
          <w:szCs w:val="24"/>
        </w:rPr>
        <w:t>[insert applicable pronoun]</w:t>
      </w:r>
      <w:r w:rsidRPr="00595B79">
        <w:rPr>
          <w:rFonts w:eastAsia="Times New Roman"/>
          <w:b/>
          <w:sz w:val="24"/>
          <w:szCs w:val="24"/>
        </w:rPr>
        <w:t>).</w:t>
      </w:r>
    </w:p>
    <w:p w14:paraId="5791A52B" w14:textId="77777777" w:rsidR="00595B79" w:rsidRDefault="00595B79" w:rsidP="00595B79">
      <w:pPr>
        <w:jc w:val="center"/>
        <w:rPr>
          <w:rFonts w:eastAsia="Times New Roman"/>
          <w:sz w:val="24"/>
          <w:szCs w:val="24"/>
        </w:rPr>
      </w:pPr>
    </w:p>
    <w:p w14:paraId="097A40F6" w14:textId="77777777" w:rsidR="00595B79" w:rsidRPr="0054263B" w:rsidRDefault="00595B79" w:rsidP="00595B79">
      <w:pPr>
        <w:keepNext/>
        <w:spacing w:after="240"/>
        <w:jc w:val="center"/>
        <w:rPr>
          <w:rFonts w:eastAsia="Times New Roman"/>
          <w:b/>
          <w:sz w:val="24"/>
          <w:szCs w:val="24"/>
        </w:rPr>
      </w:pPr>
      <w:r w:rsidRPr="0054263B">
        <w:rPr>
          <w:rFonts w:eastAsia="Times New Roman"/>
          <w:b/>
          <w:sz w:val="24"/>
          <w:szCs w:val="24"/>
        </w:rPr>
        <w:t>Notes on Use</w:t>
      </w:r>
    </w:p>
    <w:p w14:paraId="321AC4C8"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1. When appropriate, this instruction should be used with Instruction 19:2.</w:t>
      </w:r>
    </w:p>
    <w:p w14:paraId="47FBF4F6"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2. This instruction covers the situation where it is claimed that the defendant, instead of failing to disclose a material fact that the defendant had a duty to disclose, took affirmative steps to mislead another by covering up a material fact or by making it difficult for the other person to discover the truth about a material fact, as for example, setting a speedometer back on a used car. Use only those parenthesized and bracketed portions of this instruction that are appropriate to the evidence.</w:t>
      </w:r>
    </w:p>
    <w:p w14:paraId="27F16613"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3. If the false representation was allegedly made to someone other than the plaintiff, then this instruction must be appropriately modified.</w:t>
      </w:r>
    </w:p>
    <w:p w14:paraId="72E59F2C" w14:textId="77777777" w:rsidR="00595B79" w:rsidRPr="0054263B" w:rsidRDefault="00595B79" w:rsidP="00595B79">
      <w:pPr>
        <w:keepNext/>
        <w:spacing w:after="240"/>
        <w:jc w:val="center"/>
        <w:rPr>
          <w:rFonts w:eastAsia="Times New Roman"/>
          <w:b/>
          <w:sz w:val="24"/>
          <w:szCs w:val="24"/>
        </w:rPr>
      </w:pPr>
      <w:r>
        <w:rPr>
          <w:rFonts w:eastAsia="Times New Roman"/>
          <w:b/>
          <w:sz w:val="24"/>
          <w:szCs w:val="24"/>
        </w:rPr>
        <w:t>Source and Authority</w:t>
      </w:r>
    </w:p>
    <w:p w14:paraId="6E1844A1" w14:textId="6A3B42ED"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1. This instruction is supported by the broad language of </w:t>
      </w:r>
      <w:r w:rsidRPr="00595B79">
        <w:rPr>
          <w:rFonts w:eastAsia="Times New Roman"/>
          <w:b/>
          <w:sz w:val="24"/>
          <w:szCs w:val="24"/>
        </w:rPr>
        <w:t>Meredith v. Ramsdell</w:t>
      </w:r>
      <w:r w:rsidRPr="00595B79">
        <w:rPr>
          <w:rFonts w:eastAsia="Times New Roman"/>
          <w:sz w:val="24"/>
          <w:szCs w:val="24"/>
        </w:rPr>
        <w:t xml:space="preserve">, 152 Colo. 548, 384 P.2d </w:t>
      </w:r>
      <w:r w:rsidR="00AB0C10">
        <w:rPr>
          <w:rFonts w:eastAsia="Times New Roman"/>
          <w:sz w:val="24"/>
          <w:szCs w:val="24"/>
        </w:rPr>
        <w:t>9</w:t>
      </w:r>
      <w:r w:rsidRPr="00595B79">
        <w:rPr>
          <w:rFonts w:eastAsia="Times New Roman"/>
          <w:sz w:val="24"/>
          <w:szCs w:val="24"/>
        </w:rPr>
        <w:t xml:space="preserve">41 (1963), and by 2 </w:t>
      </w:r>
      <w:r w:rsidRPr="00595B79">
        <w:rPr>
          <w:rFonts w:eastAsia="Times New Roman"/>
          <w:smallCaps/>
          <w:sz w:val="24"/>
          <w:szCs w:val="24"/>
        </w:rPr>
        <w:t>F. Harper et al., Harper, James, and Gray on Torts</w:t>
      </w:r>
      <w:r w:rsidRPr="00595B79">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595B79">
        <w:rPr>
          <w:rFonts w:eastAsia="Times New Roman"/>
          <w:sz w:val="24"/>
          <w:szCs w:val="24"/>
        </w:rPr>
        <w:t xml:space="preserve"> § 106 (5th ed. 1984); and </w:t>
      </w:r>
      <w:r w:rsidRPr="00595B79">
        <w:rPr>
          <w:rFonts w:eastAsia="Times New Roman"/>
          <w:smallCaps/>
          <w:sz w:val="24"/>
          <w:szCs w:val="24"/>
        </w:rPr>
        <w:t>Restatement (Second) of Torts</w:t>
      </w:r>
      <w:r w:rsidRPr="00595B79">
        <w:rPr>
          <w:rFonts w:eastAsia="Times New Roman"/>
          <w:sz w:val="24"/>
          <w:szCs w:val="24"/>
        </w:rPr>
        <w:t xml:space="preserve"> § 550 (1977).</w:t>
      </w:r>
    </w:p>
    <w:p w14:paraId="340DD930" w14:textId="621206F5"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2. No Colorado cases have been found involving affirmative acts of concealment. However, the spirit of the nondisclosure cases, </w:t>
      </w:r>
      <w:r w:rsidRPr="00595B79">
        <w:rPr>
          <w:rFonts w:eastAsia="Times New Roman"/>
          <w:i/>
          <w:sz w:val="24"/>
          <w:szCs w:val="24"/>
        </w:rPr>
        <w:t>see</w:t>
      </w:r>
      <w:r w:rsidRPr="00595B79">
        <w:rPr>
          <w:rFonts w:eastAsia="Times New Roman"/>
          <w:sz w:val="24"/>
          <w:szCs w:val="24"/>
        </w:rPr>
        <w:t xml:space="preserve"> Source and Authority to Instruction 19:5, supports this instruction. In those cases, where the courts used the word “concealment,” they were referring to a knowing nondisclosure of a material fact that the speaker was under a duty to disclose rather than an affirmative act of concealment.</w:t>
      </w:r>
    </w:p>
    <w:p w14:paraId="1251D44B" w14:textId="77777777" w:rsidR="002949BF" w:rsidRDefault="002949BF">
      <w:pPr>
        <w:rPr>
          <w:rFonts w:eastAsia="Times New Roman"/>
          <w:sz w:val="24"/>
          <w:szCs w:val="24"/>
        </w:rPr>
      </w:pPr>
      <w:r>
        <w:rPr>
          <w:rFonts w:eastAsia="Times New Roman"/>
          <w:sz w:val="24"/>
          <w:szCs w:val="24"/>
        </w:rPr>
        <w:br w:type="page"/>
      </w:r>
    </w:p>
    <w:p w14:paraId="6849EA28" w14:textId="77777777" w:rsidR="002949BF" w:rsidRPr="009E3DA4" w:rsidRDefault="002949BF" w:rsidP="002949BF">
      <w:pPr>
        <w:spacing w:after="240"/>
        <w:ind w:left="720" w:hanging="720"/>
        <w:rPr>
          <w:rFonts w:eastAsia="Times New Roman"/>
          <w:b/>
          <w:sz w:val="24"/>
          <w:szCs w:val="24"/>
        </w:rPr>
      </w:pPr>
      <w:bookmarkStart w:id="6" w:name="a19_07"/>
      <w:bookmarkEnd w:id="6"/>
      <w:r w:rsidRPr="002949BF">
        <w:rPr>
          <w:rFonts w:eastAsia="Times New Roman"/>
          <w:b/>
          <w:sz w:val="24"/>
          <w:szCs w:val="24"/>
        </w:rPr>
        <w:lastRenderedPageBreak/>
        <w:t xml:space="preserve">19:7 </w:t>
      </w:r>
      <w:r w:rsidRPr="002949BF">
        <w:rPr>
          <w:rFonts w:eastAsia="Times New Roman"/>
          <w:b/>
          <w:sz w:val="24"/>
          <w:szCs w:val="24"/>
        </w:rPr>
        <w:tab/>
        <w:t>FALSE REPRESENTATION — RELIANCE — DEFINED</w:t>
      </w:r>
    </w:p>
    <w:p w14:paraId="76A8E11C" w14:textId="0A925E29"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The plaintiff, </w:t>
      </w:r>
      <w:r w:rsidRPr="002949BF">
        <w:rPr>
          <w:rFonts w:eastAsia="Times New Roman"/>
          <w:i/>
          <w:sz w:val="24"/>
          <w:szCs w:val="24"/>
        </w:rPr>
        <w:t>(name)</w:t>
      </w:r>
      <w:r w:rsidRPr="002949BF">
        <w:rPr>
          <w:rFonts w:eastAsia="Times New Roman"/>
          <w:b/>
          <w:sz w:val="24"/>
          <w:szCs w:val="24"/>
        </w:rPr>
        <w:t xml:space="preserve">, relied on the claimed representation if </w:t>
      </w:r>
      <w:r w:rsidR="00EB2FA5">
        <w:rPr>
          <w:rFonts w:eastAsia="Times New Roman"/>
          <w:bCs/>
          <w:i/>
          <w:iCs/>
          <w:sz w:val="24"/>
          <w:szCs w:val="24"/>
        </w:rPr>
        <w:t>(insert applicable pronoun)</w:t>
      </w:r>
      <w:r w:rsidRPr="002949BF">
        <w:rPr>
          <w:rFonts w:eastAsia="Times New Roman"/>
          <w:b/>
          <w:sz w:val="24"/>
          <w:szCs w:val="24"/>
        </w:rPr>
        <w:t xml:space="preserve"> believed it was true, and based on that representation:</w:t>
      </w:r>
    </w:p>
    <w:p w14:paraId="47D0F48B" w14:textId="5597CF0F"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(1. Took action </w:t>
      </w:r>
      <w:r w:rsidR="00EB2FA5" w:rsidRPr="00EB2FA5">
        <w:rPr>
          <w:rFonts w:eastAsia="Times New Roman"/>
          <w:bCs/>
          <w:i/>
          <w:iCs/>
          <w:sz w:val="24"/>
          <w:szCs w:val="24"/>
        </w:rPr>
        <w:t>[</w:t>
      </w:r>
      <w:r w:rsidR="00EB2FA5">
        <w:rPr>
          <w:rFonts w:eastAsia="Times New Roman"/>
          <w:bCs/>
          <w:i/>
          <w:iCs/>
          <w:sz w:val="24"/>
          <w:szCs w:val="24"/>
        </w:rPr>
        <w:t>insert applicable pronoun]</w:t>
      </w:r>
      <w:r w:rsidRPr="002949BF">
        <w:rPr>
          <w:rFonts w:eastAsia="Times New Roman"/>
          <w:b/>
          <w:sz w:val="24"/>
          <w:szCs w:val="24"/>
        </w:rPr>
        <w:t xml:space="preserve"> otherwise would not have taken) (or)</w:t>
      </w:r>
    </w:p>
    <w:p w14:paraId="36425EA0" w14:textId="1310021A"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(2. Decided not to take action </w:t>
      </w:r>
      <w:r w:rsidR="00EB2FA5">
        <w:rPr>
          <w:rFonts w:eastAsia="Times New Roman"/>
          <w:bCs/>
          <w:i/>
          <w:iCs/>
          <w:sz w:val="24"/>
          <w:szCs w:val="24"/>
        </w:rPr>
        <w:t>[insert applicable pronoun]</w:t>
      </w:r>
      <w:r w:rsidRPr="002949BF">
        <w:rPr>
          <w:rFonts w:eastAsia="Times New Roman"/>
          <w:b/>
          <w:sz w:val="24"/>
          <w:szCs w:val="24"/>
        </w:rPr>
        <w:t xml:space="preserve"> otherwise would have taken.)</w:t>
      </w:r>
    </w:p>
    <w:p w14:paraId="2B34E9B5" w14:textId="77777777" w:rsidR="002949BF" w:rsidRDefault="002949BF" w:rsidP="002949BF">
      <w:pPr>
        <w:jc w:val="center"/>
        <w:rPr>
          <w:rFonts w:eastAsia="Times New Roman"/>
          <w:sz w:val="24"/>
          <w:szCs w:val="24"/>
        </w:rPr>
      </w:pPr>
    </w:p>
    <w:p w14:paraId="27F68678"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791688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1. This instruction has been prepared for those cases where the misrepresentation is overt and Instruction 19:1 is used. When the misrepresentation is by way of concealment or nondisclosure, the requirement of reliance is adequately explained in Instruction 19:2 (numbered paragraph 5).</w:t>
      </w:r>
    </w:p>
    <w:p w14:paraId="6064196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2. Use only those parenthesized or bracketed portions of this instruction that are appropriate to the evidence.</w:t>
      </w:r>
    </w:p>
    <w:p w14:paraId="7B303346"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032C0BFB" w14:textId="0C76DD67" w:rsidR="002949BF" w:rsidRPr="002949BF" w:rsidRDefault="007F59AC" w:rsidP="002949BF">
      <w:pPr>
        <w:spacing w:after="240"/>
        <w:ind w:firstLine="720"/>
        <w:rPr>
          <w:rFonts w:eastAsia="Times New Roman"/>
          <w:sz w:val="24"/>
          <w:szCs w:val="24"/>
        </w:rPr>
      </w:pPr>
      <w:r>
        <w:rPr>
          <w:rFonts w:eastAsia="Times New Roman"/>
          <w:sz w:val="24"/>
          <w:szCs w:val="24"/>
        </w:rPr>
        <w:t xml:space="preserve">1. </w:t>
      </w:r>
      <w:r w:rsidR="002949BF" w:rsidRPr="002949BF">
        <w:rPr>
          <w:rFonts w:eastAsia="Times New Roman"/>
          <w:sz w:val="24"/>
          <w:szCs w:val="24"/>
        </w:rPr>
        <w:t xml:space="preserve">The language of this instruction is supported by </w:t>
      </w:r>
      <w:r w:rsidR="002949BF" w:rsidRPr="002949BF">
        <w:rPr>
          <w:rFonts w:eastAsia="Times New Roman"/>
          <w:b/>
          <w:sz w:val="24"/>
          <w:szCs w:val="24"/>
        </w:rPr>
        <w:t>Teare v. Sussman</w:t>
      </w:r>
      <w:r w:rsidR="002949BF" w:rsidRPr="002949BF">
        <w:rPr>
          <w:rFonts w:eastAsia="Times New Roman"/>
          <w:sz w:val="24"/>
          <w:szCs w:val="24"/>
        </w:rPr>
        <w:t xml:space="preserve">, 120 Colo. 488, 210 P.2d 446 (1949), which appears to be in accord with cases from other jurisdictions. </w:t>
      </w:r>
      <w:r w:rsidR="002949BF" w:rsidRPr="002949BF">
        <w:rPr>
          <w:rFonts w:eastAsia="Times New Roman"/>
          <w:i/>
          <w:sz w:val="24"/>
          <w:szCs w:val="24"/>
        </w:rPr>
        <w:t>See</w:t>
      </w:r>
      <w:r w:rsidR="002949BF" w:rsidRPr="002949BF">
        <w:rPr>
          <w:rFonts w:eastAsia="Times New Roman"/>
          <w:sz w:val="24"/>
          <w:szCs w:val="24"/>
        </w:rPr>
        <w:t xml:space="preserve"> 2 </w:t>
      </w:r>
      <w:r w:rsidR="002949BF" w:rsidRPr="002949BF">
        <w:rPr>
          <w:rFonts w:eastAsia="Times New Roman"/>
          <w:smallCaps/>
          <w:sz w:val="24"/>
          <w:szCs w:val="24"/>
        </w:rPr>
        <w:t>F. Harper et al., Harper, James, and Gray on Torts</w:t>
      </w:r>
      <w:r w:rsidR="002949BF" w:rsidRPr="002949BF">
        <w:rPr>
          <w:rFonts w:eastAsia="Times New Roman"/>
          <w:sz w:val="24"/>
          <w:szCs w:val="24"/>
        </w:rPr>
        <w:t xml:space="preserve"> § 7.13 (3d ed. 2006); </w:t>
      </w:r>
      <w:r w:rsidR="002949BF" w:rsidRPr="002949BF">
        <w:rPr>
          <w:rFonts w:eastAsia="Times New Roman"/>
          <w:smallCaps/>
          <w:sz w:val="24"/>
          <w:szCs w:val="24"/>
        </w:rPr>
        <w:t>W. Page Keeton et al., Prosser and Keeton on the Law of Torts</w:t>
      </w:r>
      <w:r w:rsidR="002949BF" w:rsidRPr="002949BF">
        <w:rPr>
          <w:rFonts w:eastAsia="Times New Roman"/>
          <w:sz w:val="24"/>
          <w:szCs w:val="24"/>
        </w:rPr>
        <w:t xml:space="preserve"> § 108 (5th ed. 1984). The plaintiff need not be compelled to act because of the misrepresentation; it is sufficient if the plaintiff is induced to act or refrain from acting.</w:t>
      </w:r>
    </w:p>
    <w:p w14:paraId="4BD43FED" w14:textId="68A1DBE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 plaintiff must have believed the representation was true. </w:t>
      </w:r>
      <w:r w:rsidRPr="002949BF">
        <w:rPr>
          <w:rFonts w:eastAsia="Times New Roman"/>
          <w:b/>
          <w:sz w:val="24"/>
          <w:szCs w:val="24"/>
        </w:rPr>
        <w:t>Sears v. Hicklin</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13 Colo. 143, 21 P. 1022 (1889) (rescission action); </w:t>
      </w:r>
      <w:r w:rsidRPr="00EF6281">
        <w:rPr>
          <w:rFonts w:eastAsia="Times New Roman"/>
          <w:smallCaps/>
          <w:sz w:val="24"/>
          <w:szCs w:val="24"/>
        </w:rPr>
        <w:t>Harper, James, and Gray on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7.13; </w:t>
      </w:r>
      <w:r w:rsidRPr="00EF6281">
        <w:rPr>
          <w:rFonts w:eastAsia="Times New Roman"/>
          <w:smallCaps/>
          <w:sz w:val="24"/>
          <w:szCs w:val="24"/>
        </w:rPr>
        <w:t>Prosser and Keeton on the Law of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108. </w:t>
      </w:r>
      <w:r w:rsidRPr="002949BF">
        <w:rPr>
          <w:rFonts w:eastAsia="Times New Roman"/>
          <w:i/>
          <w:sz w:val="24"/>
          <w:szCs w:val="24"/>
        </w:rPr>
        <w:t>But see</w:t>
      </w:r>
      <w:r w:rsidRPr="002949BF">
        <w:rPr>
          <w:rFonts w:eastAsia="Times New Roman"/>
          <w:sz w:val="24"/>
          <w:szCs w:val="24"/>
        </w:rPr>
        <w:t xml:space="preserve"> </w:t>
      </w:r>
      <w:r w:rsidRPr="002949BF">
        <w:rPr>
          <w:rFonts w:eastAsia="Times New Roman"/>
          <w:b/>
          <w:sz w:val="24"/>
          <w:szCs w:val="24"/>
        </w:rPr>
        <w:t>Fitzgerald v. McDonald</w:t>
      </w:r>
      <w:r w:rsidRPr="002949BF">
        <w:rPr>
          <w:rFonts w:eastAsia="Times New Roman"/>
          <w:sz w:val="24"/>
          <w:szCs w:val="24"/>
        </w:rPr>
        <w:t>, 81 Colo. 413, 255 P. 989 (1927) (in false representation case, plaintiff’s belief in truth of defendant’s statement not required when plaintiff acted as if he accepted the truth of the statement).</w:t>
      </w:r>
    </w:p>
    <w:p w14:paraId="28A5333B"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3. In a deceit action, the plaintiff’s reliance constitutes the causal connection between the defendant’s alleged improper conduct and the plaintiff’s claimed damages. While in some cases there is language suggesting that, before reliance can exist, the alleged misrepresentation must have been virtually the sole and only cause of the transaction, </w:t>
      </w:r>
      <w:r w:rsidRPr="002949BF">
        <w:rPr>
          <w:rFonts w:eastAsia="Times New Roman"/>
          <w:i/>
          <w:sz w:val="24"/>
          <w:szCs w:val="24"/>
        </w:rPr>
        <w:t>see, e.g.</w:t>
      </w:r>
      <w:r w:rsidRPr="002949BF">
        <w:rPr>
          <w:rFonts w:eastAsia="Times New Roman"/>
          <w:sz w:val="24"/>
          <w:szCs w:val="24"/>
        </w:rPr>
        <w:t>,</w:t>
      </w:r>
      <w:r w:rsidRPr="002949BF">
        <w:rPr>
          <w:rFonts w:eastAsia="Times New Roman"/>
          <w:i/>
          <w:sz w:val="24"/>
          <w:szCs w:val="24"/>
        </w:rPr>
        <w:t xml:space="preserve"> </w:t>
      </w:r>
      <w:r w:rsidRPr="002949BF">
        <w:rPr>
          <w:rFonts w:eastAsia="Times New Roman"/>
          <w:b/>
          <w:sz w:val="24"/>
          <w:szCs w:val="24"/>
        </w:rPr>
        <w:t>Wheeler v. Dunn</w:t>
      </w:r>
      <w:r w:rsidRPr="002949BF">
        <w:rPr>
          <w:rFonts w:eastAsia="Times New Roman"/>
          <w:sz w:val="24"/>
          <w:szCs w:val="24"/>
        </w:rPr>
        <w:t xml:space="preserve">, 13 Colo. 428, 22 P. 827 (1889), in </w:t>
      </w:r>
      <w:r w:rsidRPr="002949BF">
        <w:rPr>
          <w:rFonts w:eastAsia="Times New Roman"/>
          <w:b/>
          <w:sz w:val="24"/>
          <w:szCs w:val="24"/>
        </w:rPr>
        <w:t>Morrison v. Goodspeed</w:t>
      </w:r>
      <w:r w:rsidRPr="002949BF">
        <w:rPr>
          <w:rFonts w:eastAsia="Times New Roman"/>
          <w:sz w:val="24"/>
          <w:szCs w:val="24"/>
        </w:rPr>
        <w:t>, 100 Colo. 470, 68 P.2d 458 (1937), it was suggested that it was sufficient if the misrepresentation “might” h</w:t>
      </w:r>
      <w:r>
        <w:rPr>
          <w:rFonts w:eastAsia="Times New Roman"/>
          <w:sz w:val="24"/>
          <w:szCs w:val="24"/>
        </w:rPr>
        <w:t>ave influenced the transaction.</w:t>
      </w:r>
    </w:p>
    <w:p w14:paraId="64AB1787" w14:textId="77777777" w:rsidR="002949BF" w:rsidRDefault="002949BF">
      <w:pPr>
        <w:rPr>
          <w:rFonts w:eastAsia="Times New Roman"/>
          <w:sz w:val="24"/>
          <w:szCs w:val="24"/>
        </w:rPr>
      </w:pPr>
      <w:r>
        <w:rPr>
          <w:rFonts w:eastAsia="Times New Roman"/>
          <w:sz w:val="24"/>
          <w:szCs w:val="24"/>
        </w:rPr>
        <w:br w:type="page"/>
      </w:r>
    </w:p>
    <w:p w14:paraId="12B27F9F" w14:textId="77777777" w:rsidR="002949BF" w:rsidRPr="009E3DA4" w:rsidRDefault="002949BF" w:rsidP="002949BF">
      <w:pPr>
        <w:spacing w:after="240"/>
        <w:ind w:left="720" w:hanging="720"/>
        <w:rPr>
          <w:rFonts w:eastAsia="Times New Roman"/>
          <w:b/>
          <w:sz w:val="24"/>
          <w:szCs w:val="24"/>
        </w:rPr>
      </w:pPr>
      <w:bookmarkStart w:id="7" w:name="a19_08"/>
      <w:bookmarkEnd w:id="7"/>
      <w:r w:rsidRPr="002949BF">
        <w:rPr>
          <w:rFonts w:eastAsia="Times New Roman"/>
          <w:b/>
          <w:sz w:val="24"/>
          <w:szCs w:val="24"/>
        </w:rPr>
        <w:lastRenderedPageBreak/>
        <w:t xml:space="preserve">19:8 </w:t>
      </w:r>
      <w:r w:rsidRPr="002949BF">
        <w:rPr>
          <w:rFonts w:eastAsia="Times New Roman"/>
          <w:b/>
          <w:sz w:val="24"/>
          <w:szCs w:val="24"/>
        </w:rPr>
        <w:tab/>
        <w:t>JUSTIFIABLE RELIANCE ON FALSE REPRESENTATION — DEFINED</w:t>
      </w:r>
    </w:p>
    <w:p w14:paraId="64D6A79D"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A person is justified in assuming that a representation is true if a person of the same or similar intelligence, education, or experience would rely on that representation.</w:t>
      </w:r>
    </w:p>
    <w:p w14:paraId="19E91C5C" w14:textId="77777777" w:rsidR="002949BF" w:rsidRDefault="002949BF" w:rsidP="002949BF">
      <w:pPr>
        <w:jc w:val="center"/>
        <w:rPr>
          <w:rFonts w:eastAsia="Times New Roman"/>
          <w:sz w:val="24"/>
          <w:szCs w:val="24"/>
        </w:rPr>
      </w:pPr>
    </w:p>
    <w:p w14:paraId="1EF1C599"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C363FB2"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should be appropriately modified when the person to whom the representation was made was of less than normal intelligence, education, or experience. </w:t>
      </w:r>
    </w:p>
    <w:p w14:paraId="08366396" w14:textId="682D4E8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This instruction should be used with Instruction 19:1. When the alleged deceit is based on a concealment or nondisclosure, </w:t>
      </w:r>
      <w:r w:rsidRPr="002949BF">
        <w:rPr>
          <w:rFonts w:eastAsia="Times New Roman"/>
          <w:i/>
          <w:sz w:val="24"/>
          <w:szCs w:val="24"/>
        </w:rPr>
        <w:t>see</w:t>
      </w:r>
      <w:r w:rsidRPr="002949BF">
        <w:rPr>
          <w:rFonts w:eastAsia="Times New Roman"/>
          <w:sz w:val="24"/>
          <w:szCs w:val="24"/>
        </w:rPr>
        <w:t xml:space="preserve"> Instruction 19:2, Instruction 19:9 should be used in place of this instruction.</w:t>
      </w:r>
    </w:p>
    <w:p w14:paraId="299735C1"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28F5F2C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is supported by </w:t>
      </w:r>
      <w:r w:rsidRPr="002949BF">
        <w:rPr>
          <w:rFonts w:eastAsia="Times New Roman"/>
          <w:b/>
          <w:sz w:val="24"/>
          <w:szCs w:val="24"/>
        </w:rPr>
        <w:t>Zimmerman v. Loose</w:t>
      </w:r>
      <w:r w:rsidRPr="002949BF">
        <w:rPr>
          <w:rFonts w:eastAsia="Times New Roman"/>
          <w:sz w:val="24"/>
          <w:szCs w:val="24"/>
        </w:rPr>
        <w:t xml:space="preserve">, 162 Colo. 80, 425 P.2d 803, 807 (1967) (A chronic alcoholic’s reliance was justified even though defendants claimed that his actions were not that of a reasonably prudent person; “[t]he court must consider each case on its own merits as to the particular individual, his mentality, awareness and experience, in determining his ability and right to rely.”); </w:t>
      </w:r>
      <w:r w:rsidRPr="002949BF">
        <w:rPr>
          <w:rFonts w:eastAsia="Times New Roman"/>
          <w:b/>
          <w:sz w:val="24"/>
          <w:szCs w:val="24"/>
        </w:rPr>
        <w:t>Foster v. O’Farrell</w:t>
      </w:r>
      <w:r w:rsidRPr="002949BF">
        <w:rPr>
          <w:rFonts w:eastAsia="Times New Roman"/>
          <w:sz w:val="24"/>
          <w:szCs w:val="24"/>
        </w:rPr>
        <w:t xml:space="preserve">, 75 Colo. 170, 225 P. 217 (1924) (error to instruct that plaintiff’s reliance had to be that of a person of ordinary prudence, especially where plaintiff was ignorant and unable to read or write more than his own name); </w:t>
      </w:r>
      <w:r w:rsidRPr="002949BF">
        <w:rPr>
          <w:rFonts w:eastAsia="Times New Roman"/>
          <w:b/>
          <w:sz w:val="24"/>
          <w:szCs w:val="24"/>
        </w:rPr>
        <w:t>Patterson v. BP America Production Co.</w:t>
      </w:r>
      <w:r w:rsidRPr="002949BF">
        <w:rPr>
          <w:rFonts w:eastAsia="Times New Roman"/>
          <w:sz w:val="24"/>
          <w:szCs w:val="24"/>
        </w:rPr>
        <w:t xml:space="preserve">, 2015 COA 28, ¶ 70, 360 P.3d 211 (jury instruction properly explained that proving a fraudulent concealment claim based on ignorance requires plaintiff to show “ignorance” of the “material facts” giving rise to the claim); 2 </w:t>
      </w:r>
      <w:r w:rsidRPr="002949BF">
        <w:rPr>
          <w:rFonts w:eastAsia="Times New Roman"/>
          <w:smallCaps/>
          <w:sz w:val="24"/>
          <w:szCs w:val="24"/>
        </w:rPr>
        <w:t>F. Harper et al., Harper, James, and Gray on Torts</w:t>
      </w:r>
      <w:r w:rsidRPr="002949BF">
        <w:rPr>
          <w:rFonts w:eastAsia="Times New Roman"/>
          <w:sz w:val="24"/>
          <w:szCs w:val="24"/>
        </w:rPr>
        <w:t xml:space="preserve"> §§ 7.8-7.12 (3d ed. 2006); and </w:t>
      </w:r>
      <w:r w:rsidRPr="002949BF">
        <w:rPr>
          <w:rFonts w:eastAsia="Times New Roman"/>
          <w:smallCaps/>
          <w:sz w:val="24"/>
          <w:szCs w:val="24"/>
        </w:rPr>
        <w:t>W. Page Keeton et al., Prosser and Keeton on the Law of Torts</w:t>
      </w:r>
      <w:r w:rsidRPr="002949BF">
        <w:rPr>
          <w:rFonts w:eastAsia="Times New Roman"/>
          <w:sz w:val="24"/>
          <w:szCs w:val="24"/>
        </w:rPr>
        <w:t xml:space="preserve"> § 108 (5th ed. 1984). </w:t>
      </w:r>
      <w:r w:rsidRPr="002949BF">
        <w:rPr>
          <w:rFonts w:eastAsia="Times New Roman"/>
          <w:i/>
          <w:sz w:val="24"/>
          <w:szCs w:val="24"/>
        </w:rPr>
        <w:t>See also</w:t>
      </w:r>
      <w:r w:rsidRPr="002949BF">
        <w:rPr>
          <w:rFonts w:eastAsia="Times New Roman"/>
          <w:sz w:val="24"/>
          <w:szCs w:val="24"/>
        </w:rPr>
        <w:t xml:space="preserve"> authorities cited in Source and Authority to Instruction 19:10.</w:t>
      </w:r>
    </w:p>
    <w:p w14:paraId="7E70531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49BF">
        <w:rPr>
          <w:rFonts w:eastAsia="Times New Roman"/>
          <w:i/>
          <w:sz w:val="24"/>
          <w:szCs w:val="24"/>
        </w:rPr>
        <w:t>See</w:t>
      </w:r>
      <w:r w:rsidRPr="002949BF">
        <w:rPr>
          <w:rFonts w:eastAsia="Times New Roman"/>
          <w:sz w:val="24"/>
          <w:szCs w:val="24"/>
        </w:rPr>
        <w:t xml:space="preserve"> </w:t>
      </w:r>
      <w:r w:rsidRPr="002949BF">
        <w:rPr>
          <w:rFonts w:eastAsia="Times New Roman"/>
          <w:b/>
          <w:sz w:val="24"/>
          <w:szCs w:val="24"/>
        </w:rPr>
        <w:t>Colo. Coffee Bean, LLC v. Peaberry Coffee Inc.</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251 P.3d 9 (Colo. App. 2010); </w:t>
      </w:r>
      <w:r w:rsidRPr="002949BF">
        <w:rPr>
          <w:rFonts w:eastAsia="Times New Roman"/>
          <w:b/>
          <w:sz w:val="24"/>
          <w:szCs w:val="24"/>
        </w:rPr>
        <w:t>Balkind v. Telluride Mtn. Title Co.</w:t>
      </w:r>
      <w:r w:rsidRPr="002949BF">
        <w:rPr>
          <w:rFonts w:eastAsia="Times New Roman"/>
          <w:sz w:val="24"/>
          <w:szCs w:val="24"/>
        </w:rPr>
        <w:t xml:space="preserve">, 8 P.3d 581 (Colo. App. 2000); </w:t>
      </w:r>
      <w:r w:rsidRPr="002949BF">
        <w:rPr>
          <w:rFonts w:eastAsia="Times New Roman"/>
          <w:i/>
          <w:sz w:val="24"/>
          <w:szCs w:val="24"/>
        </w:rPr>
        <w:t>see also</w:t>
      </w:r>
      <w:r w:rsidRPr="002949BF">
        <w:rPr>
          <w:rFonts w:eastAsia="Times New Roman"/>
          <w:sz w:val="24"/>
          <w:szCs w:val="24"/>
        </w:rPr>
        <w:t xml:space="preserve"> </w:t>
      </w:r>
      <w:r w:rsidRPr="002949BF">
        <w:rPr>
          <w:rFonts w:eastAsia="Times New Roman"/>
          <w:b/>
          <w:sz w:val="24"/>
          <w:szCs w:val="24"/>
        </w:rPr>
        <w:t>Vinton v. Virzi</w:t>
      </w:r>
      <w:r w:rsidRPr="002949BF">
        <w:rPr>
          <w:rFonts w:eastAsia="Times New Roman"/>
          <w:sz w:val="24"/>
          <w:szCs w:val="24"/>
        </w:rPr>
        <w:t xml:space="preserve">, 2012 CO 10, ¶ 17, 269 P.3d 1242; </w:t>
      </w:r>
      <w:r w:rsidRPr="002949BF">
        <w:rPr>
          <w:rFonts w:eastAsia="Times New Roman"/>
          <w:b/>
          <w:sz w:val="24"/>
          <w:szCs w:val="24"/>
        </w:rPr>
        <w:t>M.D.C./Wood, Inc. v. Mortimer</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866 P.2d 1380 (Colo. 1994). However, for a different test, see the authority cited in the Source and Authority to this instruction and to Instructions 19:9 and 19:10.</w:t>
      </w:r>
    </w:p>
    <w:p w14:paraId="3630E1DD" w14:textId="77777777" w:rsidR="00355A98" w:rsidRDefault="00355A98">
      <w:pPr>
        <w:rPr>
          <w:rFonts w:eastAsia="Times New Roman"/>
          <w:sz w:val="24"/>
          <w:szCs w:val="24"/>
        </w:rPr>
      </w:pPr>
      <w:r>
        <w:rPr>
          <w:rFonts w:eastAsia="Times New Roman"/>
          <w:sz w:val="24"/>
          <w:szCs w:val="24"/>
        </w:rPr>
        <w:br w:type="page"/>
      </w:r>
    </w:p>
    <w:p w14:paraId="0C55B7D3" w14:textId="77777777" w:rsidR="00355A98" w:rsidRPr="009E3DA4" w:rsidRDefault="00355A98" w:rsidP="00355A98">
      <w:pPr>
        <w:spacing w:after="240"/>
        <w:ind w:left="720" w:hanging="720"/>
        <w:rPr>
          <w:rFonts w:eastAsia="Times New Roman"/>
          <w:b/>
          <w:sz w:val="24"/>
          <w:szCs w:val="24"/>
        </w:rPr>
      </w:pPr>
      <w:bookmarkStart w:id="8" w:name="a19_09"/>
      <w:bookmarkEnd w:id="8"/>
      <w:r w:rsidRPr="00355A98">
        <w:rPr>
          <w:rFonts w:eastAsia="Times New Roman"/>
          <w:b/>
          <w:sz w:val="24"/>
          <w:szCs w:val="24"/>
        </w:rPr>
        <w:lastRenderedPageBreak/>
        <w:t xml:space="preserve">19:9 </w:t>
      </w:r>
      <w:r w:rsidRPr="00355A98">
        <w:rPr>
          <w:rFonts w:eastAsia="Times New Roman"/>
          <w:b/>
          <w:sz w:val="24"/>
          <w:szCs w:val="24"/>
        </w:rPr>
        <w:tab/>
        <w:t>JUSTIFIABLE RELIANCE — NONDISCLOSURE OR CONCEALMENT — DEFINED</w:t>
      </w:r>
    </w:p>
    <w:p w14:paraId="4F79D9A4"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When dealing with someone else, a person is justified in assuming that the other person will not intentionally (fail to disclose a past or present material fact which the other person knows and has a duty to disclose) (conceal a material fact).</w:t>
      </w:r>
    </w:p>
    <w:p w14:paraId="109F4711"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However, a person is not justified in relying on this assumption when someone of the same or similar intelligence, education, or experience would not rely on it.</w:t>
      </w:r>
    </w:p>
    <w:p w14:paraId="49760C86" w14:textId="77777777" w:rsidR="00355A98" w:rsidRDefault="00355A98" w:rsidP="00355A98">
      <w:pPr>
        <w:jc w:val="center"/>
        <w:rPr>
          <w:rFonts w:eastAsia="Times New Roman"/>
          <w:sz w:val="24"/>
          <w:szCs w:val="24"/>
        </w:rPr>
      </w:pPr>
    </w:p>
    <w:p w14:paraId="50CB571B" w14:textId="77777777" w:rsidR="00355A98" w:rsidRPr="0054263B" w:rsidRDefault="00355A98" w:rsidP="00355A98">
      <w:pPr>
        <w:keepNext/>
        <w:spacing w:after="240"/>
        <w:jc w:val="center"/>
        <w:rPr>
          <w:rFonts w:eastAsia="Times New Roman"/>
          <w:b/>
          <w:sz w:val="24"/>
          <w:szCs w:val="24"/>
        </w:rPr>
      </w:pPr>
      <w:r w:rsidRPr="0054263B">
        <w:rPr>
          <w:rFonts w:eastAsia="Times New Roman"/>
          <w:b/>
          <w:sz w:val="24"/>
          <w:szCs w:val="24"/>
        </w:rPr>
        <w:t>Notes on Use</w:t>
      </w:r>
    </w:p>
    <w:p w14:paraId="23D98C43" w14:textId="247D1411"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should be appropriately modified when the person to whom the representation was made was of less than normal intelligence, education, or experience. </w:t>
      </w:r>
      <w:r w:rsidRPr="00355A98">
        <w:rPr>
          <w:rFonts w:eastAsia="Times New Roman"/>
          <w:i/>
          <w:sz w:val="24"/>
          <w:szCs w:val="24"/>
        </w:rPr>
        <w:t>See</w:t>
      </w:r>
      <w:r w:rsidRPr="00355A98">
        <w:rPr>
          <w:rFonts w:eastAsia="Times New Roman"/>
          <w:sz w:val="24"/>
          <w:szCs w:val="24"/>
        </w:rPr>
        <w:t xml:space="preserve"> Source and Authority to Instruction 19:8.</w:t>
      </w:r>
    </w:p>
    <w:p w14:paraId="6BE6BDEE"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This instruction should be used with Instruction 19:2. When the alleged deceit is based on an overt misrepresentation, </w:t>
      </w:r>
      <w:r w:rsidRPr="00355A98">
        <w:rPr>
          <w:rFonts w:eastAsia="Times New Roman"/>
          <w:i/>
          <w:sz w:val="24"/>
          <w:szCs w:val="24"/>
        </w:rPr>
        <w:t>see</w:t>
      </w:r>
      <w:r w:rsidRPr="00355A98">
        <w:rPr>
          <w:rFonts w:eastAsia="Times New Roman"/>
          <w:sz w:val="24"/>
          <w:szCs w:val="24"/>
        </w:rPr>
        <w:t xml:space="preserve"> Instruction 19:1, Instruction 19:8 should be used in place of this instruction.</w:t>
      </w:r>
    </w:p>
    <w:p w14:paraId="0E113A44" w14:textId="77777777" w:rsidR="00355A98" w:rsidRPr="0054263B" w:rsidRDefault="00355A98" w:rsidP="00355A98">
      <w:pPr>
        <w:keepNext/>
        <w:spacing w:after="240"/>
        <w:jc w:val="center"/>
        <w:rPr>
          <w:rFonts w:eastAsia="Times New Roman"/>
          <w:b/>
          <w:sz w:val="24"/>
          <w:szCs w:val="24"/>
        </w:rPr>
      </w:pPr>
      <w:r>
        <w:rPr>
          <w:rFonts w:eastAsia="Times New Roman"/>
          <w:b/>
          <w:sz w:val="24"/>
          <w:szCs w:val="24"/>
        </w:rPr>
        <w:t>Source and Authority</w:t>
      </w:r>
    </w:p>
    <w:p w14:paraId="45F4FE45"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is supported by necessary implication by the authorities cited in the Source and Authority to Instructions 19:8 and 19:10.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Glisan v. Smolenske</w:t>
      </w:r>
      <w:r w:rsidRPr="00355A98">
        <w:rPr>
          <w:rFonts w:eastAsia="Times New Roman"/>
          <w:sz w:val="24"/>
          <w:szCs w:val="24"/>
        </w:rPr>
        <w:t>, 153 Colo. 274, 387 P.2d 260 (1963) (plaintiff not entitled to recover where undisclosed material fact was patent).</w:t>
      </w:r>
    </w:p>
    <w:p w14:paraId="62CB866A"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“Direct evidence of reliance [in a] fraudulent concealment [case] is not required.” It “may be inferred from circumstantial evidence.” </w:t>
      </w:r>
      <w:r w:rsidRPr="00355A98">
        <w:rPr>
          <w:rFonts w:eastAsia="Times New Roman"/>
          <w:b/>
          <w:sz w:val="24"/>
          <w:szCs w:val="24"/>
        </w:rPr>
        <w:t>Kopeikin v. Merchs. Mortg. &amp; Trust Corp.</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679 P.2d 599, 602 (Colo. 1984).</w:t>
      </w:r>
    </w:p>
    <w:p w14:paraId="34F0792F"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3. In a class action context</w:t>
      </w:r>
      <w:r w:rsidRPr="00355A98">
        <w:rPr>
          <w:rFonts w:eastAsia="Times New Roman"/>
          <w:i/>
          <w:sz w:val="24"/>
          <w:szCs w:val="24"/>
        </w:rPr>
        <w:t xml:space="preserve"> </w:t>
      </w:r>
      <w:r w:rsidRPr="00355A98">
        <w:rPr>
          <w:rFonts w:eastAsia="Times New Roman"/>
          <w:sz w:val="24"/>
          <w:szCs w:val="24"/>
        </w:rPr>
        <w:t xml:space="preserve">“the inference of reliance based on uniform nondisclosure can be rebutted with evidence of other explanations for the putative class members’ behavior.” Circumstantial evidence may be introduced to refute reliance inference and deny class certification.” </w:t>
      </w:r>
      <w:r w:rsidRPr="00355A98">
        <w:rPr>
          <w:rFonts w:eastAsia="Times New Roman"/>
          <w:b/>
          <w:sz w:val="24"/>
          <w:szCs w:val="24"/>
        </w:rPr>
        <w:t>Maxwell v. United Servs. Auto. Ass’n</w:t>
      </w:r>
      <w:r w:rsidRPr="00355A98">
        <w:rPr>
          <w:rFonts w:eastAsia="Times New Roman"/>
          <w:sz w:val="24"/>
          <w:szCs w:val="24"/>
        </w:rPr>
        <w:t xml:space="preserve">, 2014 COA 2, ¶ 29, 342 P.3d 474. </w:t>
      </w:r>
    </w:p>
    <w:p w14:paraId="0865D067"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4. In a fraudulent concealment claim, an exculpatory clause may preclude reasonable reliance on nondisclosure if the clause explains why certain inferences should not be drawn.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 v. Peaberry Coffee Inc.</w:t>
      </w:r>
      <w:r w:rsidRPr="00355A98">
        <w:rPr>
          <w:rFonts w:eastAsia="Times New Roman"/>
          <w:sz w:val="24"/>
          <w:szCs w:val="24"/>
        </w:rPr>
        <w:t>, 251 P.3d 9 (Colo. App. 2010).</w:t>
      </w:r>
    </w:p>
    <w:p w14:paraId="44F8A81B" w14:textId="77777777" w:rsidR="00631956" w:rsidRDefault="00355A98" w:rsidP="00631956">
      <w:pPr>
        <w:spacing w:after="240"/>
        <w:ind w:firstLine="720"/>
        <w:rPr>
          <w:rFonts w:eastAsia="Times New Roman"/>
          <w:sz w:val="24"/>
          <w:szCs w:val="24"/>
        </w:rPr>
      </w:pPr>
      <w:r w:rsidRPr="00355A98">
        <w:rPr>
          <w:rFonts w:eastAsia="Times New Roman"/>
          <w:sz w:val="24"/>
          <w:szCs w:val="24"/>
        </w:rPr>
        <w:t xml:space="preserve">5.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w:t>
      </w:r>
      <w:r w:rsidRPr="00355A98">
        <w:rPr>
          <w:rFonts w:eastAsia="Times New Roman"/>
          <w:sz w:val="24"/>
          <w:szCs w:val="24"/>
        </w:rPr>
        <w:t xml:space="preserve">, 251 P.3d at 18; </w:t>
      </w:r>
      <w:r w:rsidRPr="00355A98">
        <w:rPr>
          <w:rFonts w:eastAsia="Times New Roman"/>
          <w:b/>
          <w:sz w:val="24"/>
          <w:szCs w:val="24"/>
        </w:rPr>
        <w:t>Balkind v. Telluride Mtn. Title Co.</w:t>
      </w:r>
      <w:r w:rsidRPr="00355A98">
        <w:rPr>
          <w:rFonts w:eastAsia="Times New Roman"/>
          <w:sz w:val="24"/>
          <w:szCs w:val="24"/>
        </w:rPr>
        <w:t xml:space="preserve">, 8 P.3d 581 (Colo. App. 2000);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Vinton v. Virzi</w:t>
      </w:r>
      <w:r w:rsidRPr="00355A98">
        <w:rPr>
          <w:rFonts w:eastAsia="Times New Roman"/>
          <w:sz w:val="24"/>
          <w:szCs w:val="24"/>
        </w:rPr>
        <w:t xml:space="preserve">, 2012 CO 10, ¶ 17, 269 P.3d 1242; </w:t>
      </w:r>
      <w:r w:rsidRPr="00355A98">
        <w:rPr>
          <w:rFonts w:eastAsia="Times New Roman"/>
          <w:b/>
          <w:sz w:val="24"/>
          <w:szCs w:val="24"/>
        </w:rPr>
        <w:t>M.D.C./Wood, Inc. v. Mortimer</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866 P.2d 1380 (Colo. 1994). However, for a different test, see the authority cited in the Source and Authority to this instruction and to Instructions 19:8 and 19:10.</w:t>
      </w:r>
      <w:r w:rsidR="00631956">
        <w:rPr>
          <w:rFonts w:eastAsia="Times New Roman"/>
          <w:sz w:val="24"/>
          <w:szCs w:val="24"/>
        </w:rPr>
        <w:br w:type="page"/>
      </w:r>
    </w:p>
    <w:p w14:paraId="1255DF7D" w14:textId="77777777" w:rsidR="00631956" w:rsidRPr="009E3DA4" w:rsidRDefault="00631956" w:rsidP="00631956">
      <w:pPr>
        <w:spacing w:after="240"/>
        <w:ind w:left="720" w:hanging="720"/>
        <w:rPr>
          <w:rFonts w:eastAsia="Times New Roman"/>
          <w:b/>
          <w:sz w:val="24"/>
          <w:szCs w:val="24"/>
        </w:rPr>
      </w:pPr>
      <w:bookmarkStart w:id="9" w:name="a19_10"/>
      <w:bookmarkEnd w:id="9"/>
      <w:r w:rsidRPr="00631956">
        <w:rPr>
          <w:rFonts w:eastAsia="Times New Roman"/>
          <w:b/>
          <w:sz w:val="24"/>
          <w:szCs w:val="24"/>
        </w:rPr>
        <w:lastRenderedPageBreak/>
        <w:t xml:space="preserve">19:10 </w:t>
      </w:r>
      <w:r w:rsidRPr="00631956">
        <w:rPr>
          <w:rFonts w:eastAsia="Times New Roman"/>
          <w:b/>
          <w:sz w:val="24"/>
          <w:szCs w:val="24"/>
        </w:rPr>
        <w:tab/>
        <w:t>JUSTIFIABLE RELIANCE — NO GENERAL DUTY TO INVESTIGATE</w:t>
      </w:r>
    </w:p>
    <w:p w14:paraId="036B836C" w14:textId="57A1F44D"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 xml:space="preserve">A person’s reliance is justified even though </w:t>
      </w:r>
      <w:r w:rsidR="00EB2FA5">
        <w:rPr>
          <w:rFonts w:eastAsia="Times New Roman"/>
          <w:bCs/>
          <w:i/>
          <w:iCs/>
          <w:sz w:val="24"/>
          <w:szCs w:val="24"/>
        </w:rPr>
        <w:t>(insert applicable pronoun)</w:t>
      </w:r>
      <w:r w:rsidRPr="00631956">
        <w:rPr>
          <w:rFonts w:eastAsia="Times New Roman"/>
          <w:b/>
          <w:sz w:val="24"/>
          <w:szCs w:val="24"/>
        </w:rPr>
        <w:t xml:space="preserve"> did not make an investigation that would have revealed the facts unless:</w:t>
      </w:r>
    </w:p>
    <w:p w14:paraId="4E9D84E0" w14:textId="01A02088"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 xml:space="preserve">1. </w:t>
      </w:r>
      <w:r w:rsidR="00EB2FA5">
        <w:rPr>
          <w:rFonts w:eastAsia="Times New Roman"/>
          <w:bCs/>
          <w:i/>
          <w:iCs/>
          <w:sz w:val="24"/>
          <w:szCs w:val="24"/>
        </w:rPr>
        <w:t>(Insert applicable pronoun)</w:t>
      </w:r>
      <w:r w:rsidRPr="00631956">
        <w:rPr>
          <w:rFonts w:eastAsia="Times New Roman"/>
          <w:b/>
          <w:sz w:val="24"/>
          <w:szCs w:val="24"/>
        </w:rPr>
        <w:t xml:space="preserve"> knew specific facts that would have caused a person of the same or similar intelligence, education or experience to be suspicious and investigate; and</w:t>
      </w:r>
    </w:p>
    <w:p w14:paraId="0BFF5986" w14:textId="075871DF"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 xml:space="preserve">2. </w:t>
      </w:r>
      <w:r w:rsidR="00EB2FA5">
        <w:rPr>
          <w:rFonts w:eastAsia="Times New Roman"/>
          <w:bCs/>
          <w:i/>
          <w:iCs/>
          <w:sz w:val="24"/>
          <w:szCs w:val="24"/>
        </w:rPr>
        <w:t>(Insert applicable pronoun)</w:t>
      </w:r>
      <w:r w:rsidRPr="00631956">
        <w:rPr>
          <w:rFonts w:eastAsia="Times New Roman"/>
          <w:b/>
          <w:sz w:val="24"/>
          <w:szCs w:val="24"/>
        </w:rPr>
        <w:t>) had a reasonable opportunity to investigate.</w:t>
      </w:r>
    </w:p>
    <w:p w14:paraId="5E1A1C7B" w14:textId="77777777" w:rsidR="00631956" w:rsidRDefault="00631956" w:rsidP="00631956">
      <w:pPr>
        <w:jc w:val="center"/>
        <w:rPr>
          <w:rFonts w:eastAsia="Times New Roman"/>
          <w:sz w:val="24"/>
          <w:szCs w:val="24"/>
        </w:rPr>
      </w:pPr>
    </w:p>
    <w:p w14:paraId="2AC37A5E" w14:textId="77777777" w:rsidR="00631956" w:rsidRPr="0054263B" w:rsidRDefault="00631956" w:rsidP="00631956">
      <w:pPr>
        <w:keepNext/>
        <w:spacing w:after="240"/>
        <w:jc w:val="center"/>
        <w:rPr>
          <w:rFonts w:eastAsia="Times New Roman"/>
          <w:b/>
          <w:sz w:val="24"/>
          <w:szCs w:val="24"/>
        </w:rPr>
      </w:pPr>
      <w:r w:rsidRPr="0054263B">
        <w:rPr>
          <w:rFonts w:eastAsia="Times New Roman"/>
          <w:b/>
          <w:sz w:val="24"/>
          <w:szCs w:val="24"/>
        </w:rPr>
        <w:t>Notes on Use</w:t>
      </w:r>
    </w:p>
    <w:p w14:paraId="283A4044" w14:textId="342EF531" w:rsidR="00631956" w:rsidRPr="00631956" w:rsidRDefault="00631956" w:rsidP="00631956">
      <w:pPr>
        <w:spacing w:after="240"/>
        <w:ind w:firstLine="720"/>
        <w:rPr>
          <w:rFonts w:eastAsia="Times New Roman"/>
          <w:sz w:val="24"/>
          <w:szCs w:val="24"/>
        </w:rPr>
      </w:pPr>
      <w:r w:rsidRPr="00631956">
        <w:rPr>
          <w:rFonts w:eastAsia="Times New Roman"/>
          <w:sz w:val="24"/>
          <w:szCs w:val="24"/>
        </w:rPr>
        <w:t>1. When appropriate, this instruction should be used with Instruction 19:8 or Instruction 19:9.</w:t>
      </w:r>
    </w:p>
    <w:p w14:paraId="5DC03B8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2. When appropriate, a more suitable word such as “examination” may be substituted for the word “investigation.”</w:t>
      </w:r>
    </w:p>
    <w:p w14:paraId="32B9A209"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This instruction and the concept of “inquiry notice” that it embodies do not apply to a claim that an antenuptial agreement was unenforceable based upon the deceased spouse’s fraud, concealment, and failure to make “fair disclosure.” </w:t>
      </w:r>
      <w:r w:rsidRPr="00631956">
        <w:rPr>
          <w:rFonts w:eastAsia="Times New Roman"/>
          <w:b/>
          <w:sz w:val="24"/>
          <w:szCs w:val="24"/>
        </w:rPr>
        <w:t>In re Estate of Lebsock</w:t>
      </w:r>
      <w:r w:rsidRPr="00631956">
        <w:rPr>
          <w:rFonts w:eastAsia="Times New Roman"/>
          <w:sz w:val="24"/>
          <w:szCs w:val="24"/>
        </w:rPr>
        <w:t>, 44 Colo. App. 220, 618 P.2d 683</w:t>
      </w:r>
      <w:r w:rsidRPr="00631956">
        <w:rPr>
          <w:rFonts w:eastAsia="Times New Roman"/>
          <w:i/>
          <w:sz w:val="24"/>
          <w:szCs w:val="24"/>
        </w:rPr>
        <w:t xml:space="preserve"> </w:t>
      </w:r>
      <w:r w:rsidRPr="00631956">
        <w:rPr>
          <w:rFonts w:eastAsia="Times New Roman"/>
          <w:sz w:val="24"/>
          <w:szCs w:val="24"/>
        </w:rPr>
        <w:t>(1980) (citing section 15-11-204, C.R.S.). The duty of fair disclosure with regard to premarital agreements is now addressed in section 14-2-309, C.R.S.</w:t>
      </w:r>
    </w:p>
    <w:p w14:paraId="1689F8E1"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631956">
        <w:rPr>
          <w:rFonts w:eastAsia="Times New Roman"/>
          <w:i/>
          <w:sz w:val="24"/>
          <w:szCs w:val="24"/>
        </w:rPr>
        <w:t>See</w:t>
      </w:r>
      <w:r w:rsidRPr="00631956">
        <w:rPr>
          <w:rFonts w:eastAsia="Times New Roman"/>
          <w:sz w:val="24"/>
          <w:szCs w:val="24"/>
        </w:rPr>
        <w:t xml:space="preserve"> </w:t>
      </w:r>
      <w:r w:rsidRPr="00631956">
        <w:rPr>
          <w:rFonts w:eastAsia="Times New Roman"/>
          <w:b/>
          <w:sz w:val="24"/>
          <w:szCs w:val="24"/>
        </w:rPr>
        <w:t>Colo. Coffee Bean, LLC v. Peaberry Coffee, Inc.</w:t>
      </w:r>
      <w:r w:rsidRPr="00631956">
        <w:rPr>
          <w:rFonts w:eastAsia="Times New Roman"/>
          <w:sz w:val="24"/>
          <w:szCs w:val="24"/>
        </w:rPr>
        <w:t xml:space="preserve">, 251 P.3d 9 (Colo. App. 2010); </w:t>
      </w:r>
      <w:r w:rsidRPr="00631956">
        <w:rPr>
          <w:rFonts w:eastAsia="Times New Roman"/>
          <w:b/>
          <w:sz w:val="24"/>
          <w:szCs w:val="24"/>
        </w:rPr>
        <w:t>Balkind v. Telluride Mtn. Title Co.</w:t>
      </w:r>
      <w:r w:rsidRPr="00631956">
        <w:rPr>
          <w:rFonts w:eastAsia="Times New Roman"/>
          <w:sz w:val="24"/>
          <w:szCs w:val="24"/>
        </w:rPr>
        <w:t xml:space="preserve">, 8 P.3d 581 (Colo. App. 2000);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Vinton v. Virzi</w:t>
      </w:r>
      <w:r w:rsidRPr="00631956">
        <w:rPr>
          <w:rFonts w:eastAsia="Times New Roman"/>
          <w:sz w:val="24"/>
          <w:szCs w:val="24"/>
        </w:rPr>
        <w:t xml:space="preserve">, 2012 CO 10, ¶ 17, 269 P.3d 1242; </w:t>
      </w:r>
      <w:r w:rsidRPr="00631956">
        <w:rPr>
          <w:rFonts w:eastAsia="Times New Roman"/>
          <w:b/>
          <w:sz w:val="24"/>
          <w:szCs w:val="24"/>
        </w:rPr>
        <w:t>M.D.C./Wood, Inc.</w:t>
      </w:r>
      <w:r w:rsidRPr="00631956">
        <w:rPr>
          <w:rFonts w:eastAsia="Times New Roman"/>
          <w:sz w:val="24"/>
          <w:szCs w:val="24"/>
        </w:rPr>
        <w:t xml:space="preserve"> </w:t>
      </w:r>
      <w:r w:rsidRPr="00631956">
        <w:rPr>
          <w:rFonts w:eastAsia="Times New Roman"/>
          <w:b/>
          <w:sz w:val="24"/>
          <w:szCs w:val="24"/>
        </w:rPr>
        <w:t>v. Mortimer</w:t>
      </w:r>
      <w:r w:rsidRPr="00631956">
        <w:rPr>
          <w:rFonts w:eastAsia="Times New Roman"/>
          <w:sz w:val="24"/>
          <w:szCs w:val="24"/>
        </w:rPr>
        <w:t xml:space="preserve">, 866 P.2d 1380 (Colo. 1994). However, for a different test, see the authority cited in the Source and Authority to Instructions 19:8 to 19:10. </w:t>
      </w:r>
    </w:p>
    <w:p w14:paraId="461D9FC3" w14:textId="77777777" w:rsidR="00631956" w:rsidRPr="0054263B" w:rsidRDefault="00631956" w:rsidP="00631956">
      <w:pPr>
        <w:keepNext/>
        <w:spacing w:after="240"/>
        <w:jc w:val="center"/>
        <w:rPr>
          <w:rFonts w:eastAsia="Times New Roman"/>
          <w:b/>
          <w:sz w:val="24"/>
          <w:szCs w:val="24"/>
        </w:rPr>
      </w:pPr>
      <w:r>
        <w:rPr>
          <w:rFonts w:eastAsia="Times New Roman"/>
          <w:b/>
          <w:sz w:val="24"/>
          <w:szCs w:val="24"/>
        </w:rPr>
        <w:t>Source and Authority</w:t>
      </w:r>
    </w:p>
    <w:p w14:paraId="7986D560"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1. This instruction is supported by </w:t>
      </w:r>
      <w:r w:rsidRPr="00631956">
        <w:rPr>
          <w:rFonts w:eastAsia="Times New Roman"/>
          <w:b/>
          <w:sz w:val="24"/>
          <w:szCs w:val="24"/>
        </w:rPr>
        <w:t>Sellar v. Clelland</w:t>
      </w:r>
      <w:r w:rsidRPr="00631956">
        <w:rPr>
          <w:rFonts w:eastAsia="Times New Roman"/>
          <w:sz w:val="24"/>
          <w:szCs w:val="24"/>
        </w:rPr>
        <w:t xml:space="preserve">, 2 Colo. 532, 545 (1875) (“[A] man to whom a particular and distinct representation has been made is entitled to rely on the representation, and need not make any further inquiry. He is not bound to inquire, unless something has happened to excite suspicion, or unless there is something in the case, or in the terms of the representation, to put him on inquiry”; it is no defense that the party receiving the incorrect statement was negligent in not making an inquiry.).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Nielson v. Scott</w:t>
      </w:r>
      <w:r w:rsidRPr="00631956">
        <w:rPr>
          <w:rFonts w:eastAsia="Times New Roman"/>
          <w:sz w:val="24"/>
          <w:szCs w:val="24"/>
        </w:rPr>
        <w:t xml:space="preserve">, 53 P.3d 777, 780 (Colo. App. 2002) (“If the circumstances surrounding a transaction would arouse a reasonable person’s suspicion, then equity will not relieve a party from the consequences of inattention and negligence in failing to pursue an investigation.” (citing </w:t>
      </w:r>
      <w:r w:rsidRPr="00631956">
        <w:rPr>
          <w:rFonts w:eastAsia="Times New Roman"/>
          <w:b/>
          <w:sz w:val="24"/>
          <w:szCs w:val="24"/>
        </w:rPr>
        <w:t>Brassford v. Cook</w:t>
      </w:r>
      <w:r w:rsidRPr="00631956">
        <w:rPr>
          <w:rFonts w:eastAsia="Times New Roman"/>
          <w:sz w:val="24"/>
          <w:szCs w:val="24"/>
        </w:rPr>
        <w:t>, 152 Colo. 136, 380 P.2d 907 (1963))).</w:t>
      </w:r>
    </w:p>
    <w:p w14:paraId="44B4C666" w14:textId="6D779508" w:rsidR="00631956" w:rsidRPr="00631956" w:rsidRDefault="00631956" w:rsidP="00631956">
      <w:pPr>
        <w:spacing w:after="240"/>
        <w:ind w:firstLine="720"/>
        <w:rPr>
          <w:rFonts w:eastAsia="Times New Roman"/>
          <w:sz w:val="24"/>
          <w:szCs w:val="24"/>
        </w:rPr>
      </w:pPr>
      <w:r w:rsidRPr="00631956">
        <w:rPr>
          <w:rFonts w:eastAsia="Times New Roman"/>
          <w:sz w:val="24"/>
          <w:szCs w:val="24"/>
        </w:rPr>
        <w:lastRenderedPageBreak/>
        <w:t xml:space="preserve">2. Other Colorado cases that also support this instruction include </w:t>
      </w:r>
      <w:r w:rsidRPr="00631956">
        <w:rPr>
          <w:rFonts w:eastAsia="Times New Roman"/>
          <w:b/>
          <w:sz w:val="24"/>
          <w:szCs w:val="24"/>
        </w:rPr>
        <w:t>Hayden v. Perry</w:t>
      </w:r>
      <w:r w:rsidRPr="00631956">
        <w:rPr>
          <w:rFonts w:eastAsia="Times New Roman"/>
          <w:sz w:val="24"/>
          <w:szCs w:val="24"/>
        </w:rPr>
        <w:t xml:space="preserve">, 110 Colo. 347, 351, 134 P.2d 212, 214 (1943) (“where one party to a transaction induces the other party to enter it by willful misrepresentations, the representor cannot escape liability for his fraud by claiming that the representee could have investigated the representations made and would then have found that they were untrue”); </w:t>
      </w:r>
      <w:r w:rsidRPr="00631956">
        <w:rPr>
          <w:rFonts w:eastAsia="Times New Roman"/>
          <w:b/>
          <w:sz w:val="24"/>
          <w:szCs w:val="24"/>
        </w:rPr>
        <w:t>Pattridge v. Youmans</w:t>
      </w:r>
      <w:r w:rsidRPr="00631956">
        <w:rPr>
          <w:rFonts w:eastAsia="Times New Roman"/>
          <w:sz w:val="24"/>
          <w:szCs w:val="24"/>
        </w:rPr>
        <w:t xml:space="preserve">, 107 Colo. 122, 126, 109 P.2d 646, 648 (1941) (“‘However negligent the party may have been to whom the incorrect statement has been made, yet that is a matter affording no ground of defense to the other.” (quoting </w:t>
      </w:r>
      <w:r w:rsidRPr="00631956">
        <w:rPr>
          <w:rFonts w:eastAsia="Times New Roman"/>
          <w:b/>
          <w:sz w:val="24"/>
          <w:szCs w:val="24"/>
        </w:rPr>
        <w:t>Sellar</w:t>
      </w:r>
      <w:r w:rsidRPr="00631956">
        <w:rPr>
          <w:rFonts w:eastAsia="Times New Roman"/>
          <w:sz w:val="24"/>
          <w:szCs w:val="24"/>
        </w:rPr>
        <w:t xml:space="preserve">, 2 Colo. at 545)); </w:t>
      </w:r>
      <w:r w:rsidRPr="00631956">
        <w:rPr>
          <w:rFonts w:eastAsia="Times New Roman"/>
          <w:b/>
          <w:sz w:val="24"/>
          <w:szCs w:val="24"/>
        </w:rPr>
        <w:t>Bucci v. Pizza</w:t>
      </w:r>
      <w:r w:rsidRPr="00631956">
        <w:rPr>
          <w:rFonts w:eastAsia="Times New Roman"/>
          <w:sz w:val="24"/>
          <w:szCs w:val="24"/>
        </w:rPr>
        <w:t xml:space="preserve">, 90 Colo. 30, 31, 6 P.2d 5, 5 (1931) (where parties were friends, “[p]laintiff’s credulity and lack of greater diligence does not absolve defendant from the consequences of his misrepresentations”); </w:t>
      </w:r>
      <w:r w:rsidRPr="00631956">
        <w:rPr>
          <w:rFonts w:eastAsia="Times New Roman"/>
          <w:b/>
          <w:sz w:val="24"/>
          <w:szCs w:val="24"/>
        </w:rPr>
        <w:t>Masser v. Foxworthy</w:t>
      </w:r>
      <w:r w:rsidRPr="00631956">
        <w:rPr>
          <w:rFonts w:eastAsia="Times New Roman"/>
          <w:sz w:val="24"/>
          <w:szCs w:val="24"/>
        </w:rPr>
        <w:t xml:space="preserve">, 86 Colo. 313, 281 P. 360 (1929) (plaintiff who was 65, ignorant, and chronic asthmatic had no duty to investigate condition of property where defendant made false representations about it); </w:t>
      </w:r>
      <w:r w:rsidRPr="00631956">
        <w:rPr>
          <w:rFonts w:eastAsia="Times New Roman"/>
          <w:b/>
          <w:sz w:val="24"/>
          <w:szCs w:val="24"/>
        </w:rPr>
        <w:t>Schtul v. Wilson</w:t>
      </w:r>
      <w:r w:rsidRPr="00631956">
        <w:rPr>
          <w:rFonts w:eastAsia="Times New Roman"/>
          <w:sz w:val="24"/>
          <w:szCs w:val="24"/>
        </w:rPr>
        <w:t xml:space="preserve">, 83 Colo. 528, 266 P. 1112 (1928) (not error to deny instruction saying plaintiff had duty to investigate); </w:t>
      </w:r>
      <w:r w:rsidRPr="00631956">
        <w:rPr>
          <w:rFonts w:eastAsia="Times New Roman"/>
          <w:b/>
          <w:sz w:val="24"/>
          <w:szCs w:val="24"/>
        </w:rPr>
        <w:t>Colorado Mortgage Co. v. Wilson</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83 Colo. 254, 263 P. 406 (1928) (negligence of old and inexperienced plaintiffs who failed to examine promissory notes no excuse for defendant’s deceit); </w:t>
      </w:r>
      <w:r w:rsidRPr="00631956">
        <w:rPr>
          <w:rFonts w:eastAsia="Times New Roman"/>
          <w:b/>
          <w:sz w:val="24"/>
          <w:szCs w:val="24"/>
        </w:rPr>
        <w:t>American National Bank of Denver v. Hammond</w:t>
      </w:r>
      <w:r w:rsidRPr="00631956">
        <w:rPr>
          <w:rFonts w:eastAsia="Times New Roman"/>
          <w:sz w:val="24"/>
          <w:szCs w:val="24"/>
        </w:rPr>
        <w:t>, 25 Colo. 367, 371-72, 55 P. 1090, 1091 (1898) (“There was nothing in the transaction, nor does [plaintiff] appear to have possessed any information, which would have aroused his suspicions, or cast doubt upon the truth of the statements claimed to have been made . . . and he was therefore justified in relying upon them.”)</w:t>
      </w:r>
      <w:r w:rsidR="008261B3">
        <w:rPr>
          <w:rFonts w:eastAsia="Times New Roman"/>
          <w:sz w:val="24"/>
          <w:szCs w:val="24"/>
        </w:rPr>
        <w:t>;</w:t>
      </w:r>
      <w:r w:rsidRPr="00631956">
        <w:rPr>
          <w:rFonts w:eastAsia="Times New Roman"/>
          <w:sz w:val="24"/>
          <w:szCs w:val="24"/>
        </w:rPr>
        <w:t xml:space="preserve"> </w:t>
      </w:r>
      <w:r w:rsidRPr="00631956">
        <w:rPr>
          <w:rFonts w:eastAsia="Times New Roman"/>
          <w:b/>
          <w:sz w:val="24"/>
          <w:szCs w:val="24"/>
        </w:rPr>
        <w:t>Zang v. Adams</w:t>
      </w:r>
      <w:r w:rsidRPr="00631956">
        <w:rPr>
          <w:rFonts w:eastAsia="Times New Roman"/>
          <w:sz w:val="24"/>
          <w:szCs w:val="24"/>
        </w:rPr>
        <w:t xml:space="preserve">, 23 Colo. 408, 412, 48 P. 509, 511 (1897) (“Where a willful wrong has been committed, courts are not keen to find an avenue of escape for the wrongdoer, merely because the victim has been unsuspecting.”); </w:t>
      </w:r>
      <w:r w:rsidRPr="00631956">
        <w:rPr>
          <w:rFonts w:eastAsia="Times New Roman"/>
          <w:b/>
          <w:sz w:val="24"/>
          <w:szCs w:val="24"/>
        </w:rPr>
        <w:t>Sears v. Hicklin</w:t>
      </w:r>
      <w:r w:rsidRPr="00631956">
        <w:rPr>
          <w:rFonts w:eastAsia="Times New Roman"/>
          <w:sz w:val="24"/>
          <w:szCs w:val="24"/>
        </w:rPr>
        <w:t xml:space="preserve">, 13 Colo. 143, 21 P. 1022 (1889) (no duty where parties in a confidential relationship); </w:t>
      </w:r>
      <w:r w:rsidRPr="00631956">
        <w:rPr>
          <w:rFonts w:eastAsia="Times New Roman"/>
          <w:b/>
          <w:sz w:val="24"/>
          <w:szCs w:val="24"/>
        </w:rPr>
        <w:t>Herefort v. Cramer</w:t>
      </w:r>
      <w:r w:rsidRPr="00631956">
        <w:rPr>
          <w:rFonts w:eastAsia="Times New Roman"/>
          <w:sz w:val="24"/>
          <w:szCs w:val="24"/>
        </w:rPr>
        <w:t xml:space="preserve">, 7 Colo. 483, 4 P. 896 (1884) (no duty where information was peculiarly within the misrepresentor’s knowledge); and </w:t>
      </w:r>
      <w:r w:rsidRPr="00631956">
        <w:rPr>
          <w:rFonts w:eastAsia="Times New Roman"/>
          <w:b/>
          <w:sz w:val="24"/>
          <w:szCs w:val="24"/>
        </w:rPr>
        <w:t>Barfield v. Hall Realty, Inc.</w:t>
      </w:r>
      <w:r w:rsidRPr="00631956">
        <w:rPr>
          <w:rFonts w:eastAsia="Times New Roman"/>
          <w:sz w:val="24"/>
          <w:szCs w:val="24"/>
        </w:rPr>
        <w:t>, 232 P.3d 286 (Colo. App. 2010) (agent acting as real estate “transaction broker” has no duty to investigate whether property could be used as RV park or to verify accuracy of seller’s representations, and failure to do so could not be basis for negligent misrepresentation or fraud claim).</w:t>
      </w:r>
    </w:p>
    <w:p w14:paraId="662C2114" w14:textId="3ED9D52F"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The court stated as dictum in </w:t>
      </w:r>
      <w:r w:rsidRPr="00631956">
        <w:rPr>
          <w:rFonts w:eastAsia="Times New Roman"/>
          <w:b/>
          <w:sz w:val="24"/>
          <w:szCs w:val="24"/>
        </w:rPr>
        <w:t>Sellar</w:t>
      </w:r>
      <w:r w:rsidRPr="00631956">
        <w:rPr>
          <w:rFonts w:eastAsia="Times New Roman"/>
          <w:sz w:val="24"/>
          <w:szCs w:val="24"/>
        </w:rPr>
        <w:t>, 2 Colo. at 544: “When the means of knowledge are at hand, and equally available to both parties, and the subject about which the representations are made is open to their inspection, if the party to whom the representations are made does not avail himself of these means and opportunities, he will not be heard to say that he has been deceived.” Colorado cases have expressly or impliedly approved this rule, but not all have noted that the dictum as originally stated was in reference to matters that were patent.</w:t>
      </w:r>
      <w:r w:rsidRPr="00631956">
        <w:rPr>
          <w:rFonts w:eastAsia="Times New Roman"/>
          <w:b/>
          <w:sz w:val="24"/>
          <w:szCs w:val="24"/>
        </w:rPr>
        <w:t xml:space="preserve"> </w:t>
      </w:r>
      <w:r w:rsidRPr="00631956">
        <w:rPr>
          <w:rFonts w:eastAsia="Times New Roman"/>
          <w:i/>
          <w:sz w:val="24"/>
          <w:szCs w:val="24"/>
        </w:rPr>
        <w:t>See</w:t>
      </w:r>
      <w:r w:rsidRPr="00631956">
        <w:rPr>
          <w:rFonts w:eastAsia="Times New Roman"/>
          <w:b/>
          <w:sz w:val="24"/>
          <w:szCs w:val="24"/>
        </w:rPr>
        <w:t xml:space="preserve"> Colo. Coffee Bean, LLC</w:t>
      </w:r>
      <w:r w:rsidRPr="00631956">
        <w:rPr>
          <w:rFonts w:eastAsia="Times New Roman"/>
          <w:sz w:val="24"/>
          <w:szCs w:val="24"/>
        </w:rPr>
        <w:t xml:space="preserve">, 251 P.3d at 19 (publicly available and equally accessible store profit information prevents a claim that nondisclosure of net losses at some company stores is unreasonable); </w:t>
      </w:r>
      <w:r w:rsidRPr="00631956">
        <w:rPr>
          <w:rFonts w:eastAsia="Times New Roman"/>
          <w:i/>
          <w:sz w:val="24"/>
          <w:szCs w:val="24"/>
        </w:rPr>
        <w:t xml:space="preserve">see also </w:t>
      </w:r>
      <w:r w:rsidRPr="00631956">
        <w:rPr>
          <w:rFonts w:eastAsia="Times New Roman"/>
          <w:b/>
          <w:sz w:val="24"/>
          <w:szCs w:val="24"/>
        </w:rPr>
        <w:t>Vinton</w:t>
      </w:r>
      <w:r w:rsidRPr="00631956">
        <w:rPr>
          <w:rFonts w:eastAsia="Times New Roman"/>
          <w:sz w:val="24"/>
          <w:szCs w:val="24"/>
        </w:rPr>
        <w:t>, ¶ 17</w:t>
      </w:r>
      <w:r w:rsidR="00C64DA5">
        <w:rPr>
          <w:rFonts w:eastAsia="Times New Roman"/>
          <w:sz w:val="24"/>
          <w:szCs w:val="24"/>
        </w:rPr>
        <w:t>, 269 P.3d at 1247</w:t>
      </w:r>
      <w:r w:rsidRPr="00631956">
        <w:rPr>
          <w:rFonts w:eastAsia="Times New Roman"/>
          <w:sz w:val="24"/>
          <w:szCs w:val="24"/>
        </w:rPr>
        <w:t xml:space="preserve"> (a recorded deed of title is precisely the kind of information that is equally accessible); </w:t>
      </w:r>
      <w:r w:rsidRPr="00631956">
        <w:rPr>
          <w:rFonts w:eastAsia="Times New Roman"/>
          <w:b/>
          <w:sz w:val="24"/>
          <w:szCs w:val="24"/>
        </w:rPr>
        <w:t>M.D.C./Wood, Inc. v. Mortimer</w:t>
      </w:r>
      <w:r w:rsidRPr="00631956">
        <w:rPr>
          <w:rFonts w:eastAsia="Times New Roman"/>
          <w:sz w:val="24"/>
          <w:szCs w:val="24"/>
        </w:rPr>
        <w:t xml:space="preserve">, 866 P.2d at 1382 (where both parties had equal access to information that would have led to true facts, reliance not justified); </w:t>
      </w:r>
      <w:r w:rsidRPr="00631956">
        <w:rPr>
          <w:rFonts w:eastAsia="Times New Roman"/>
          <w:b/>
          <w:sz w:val="24"/>
          <w:szCs w:val="24"/>
        </w:rPr>
        <w:t>Bassford v. Cook</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152 Colo. 136, 380 P.2d 907 (1963) (where rescission action is based on innocent misrepresentation as opposed to a fraudulent one, and plaintiffs have been put on notice by facts known to them, no relief if they were negligent in not making further inquiry); </w:t>
      </w:r>
      <w:r w:rsidRPr="00631956">
        <w:rPr>
          <w:rFonts w:eastAsia="Times New Roman"/>
          <w:b/>
          <w:sz w:val="24"/>
          <w:szCs w:val="24"/>
        </w:rPr>
        <w:t>Cherrington v. Woods</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132 Colo. 500, 290 P.2d 226 (1955) (recovery not allowed where plaintiffs made partial inspection and information was immediately before them because notice that excites attention, puts party on guard, and calls for inquiry, is sufficient notice for a </w:t>
      </w:r>
      <w:r w:rsidRPr="00631956">
        <w:rPr>
          <w:rFonts w:eastAsia="Times New Roman"/>
          <w:sz w:val="24"/>
          <w:szCs w:val="24"/>
        </w:rPr>
        <w:lastRenderedPageBreak/>
        <w:t xml:space="preserve">reasonable inquiry); </w:t>
      </w:r>
      <w:r w:rsidRPr="00631956">
        <w:rPr>
          <w:rFonts w:eastAsia="Times New Roman"/>
          <w:b/>
          <w:sz w:val="24"/>
          <w:szCs w:val="24"/>
        </w:rPr>
        <w:t>Ringsby v. Timpte</w:t>
      </w:r>
      <w:r w:rsidRPr="00631956">
        <w:rPr>
          <w:rFonts w:eastAsia="Times New Roman"/>
          <w:sz w:val="24"/>
          <w:szCs w:val="24"/>
        </w:rPr>
        <w:t xml:space="preserve">, 105 Colo. 356, 98 P.2d 287 (1939) (rule approved in dictum where insufficient evidence of reliance); </w:t>
      </w:r>
      <w:r w:rsidRPr="00631956">
        <w:rPr>
          <w:rFonts w:eastAsia="Times New Roman"/>
          <w:b/>
          <w:sz w:val="24"/>
          <w:szCs w:val="24"/>
        </w:rPr>
        <w:t>Bosick v. Youngblood</w:t>
      </w:r>
      <w:r w:rsidRPr="00631956">
        <w:rPr>
          <w:rFonts w:eastAsia="Times New Roman"/>
          <w:sz w:val="24"/>
          <w:szCs w:val="24"/>
        </w:rPr>
        <w:t xml:space="preserve">, 95 Colo. 532, 37 P.2d 1095 (1934) (rule approved in dictum, and supreme court held there was no reliance because plaintiff made own inspection and was relying on it); </w:t>
      </w:r>
      <w:r w:rsidRPr="00631956">
        <w:rPr>
          <w:rFonts w:eastAsia="Times New Roman"/>
          <w:b/>
          <w:sz w:val="24"/>
          <w:szCs w:val="24"/>
        </w:rPr>
        <w:t>Troutman v. Stiles</w:t>
      </w:r>
      <w:r w:rsidRPr="00631956">
        <w:rPr>
          <w:rFonts w:eastAsia="Times New Roman"/>
          <w:sz w:val="24"/>
          <w:szCs w:val="24"/>
        </w:rPr>
        <w:t xml:space="preserve">, 87 Colo. 597, 290 P. 281 (1930) (applied dictum in </w:t>
      </w:r>
      <w:r w:rsidRPr="00631956">
        <w:rPr>
          <w:rFonts w:eastAsia="Times New Roman"/>
          <w:b/>
          <w:sz w:val="24"/>
          <w:szCs w:val="24"/>
        </w:rPr>
        <w:t>Sellar</w:t>
      </w:r>
      <w:r w:rsidRPr="00631956">
        <w:rPr>
          <w:rFonts w:eastAsia="Times New Roman"/>
          <w:sz w:val="24"/>
          <w:szCs w:val="24"/>
        </w:rPr>
        <w:t xml:space="preserve">, and concluded that plaintiff made a partial examination); </w:t>
      </w:r>
      <w:r w:rsidRPr="00631956">
        <w:rPr>
          <w:rFonts w:eastAsia="Times New Roman"/>
          <w:b/>
          <w:sz w:val="24"/>
          <w:szCs w:val="24"/>
        </w:rPr>
        <w:t>Jasper v. Bicknell</w:t>
      </w:r>
      <w:r w:rsidRPr="00631956">
        <w:rPr>
          <w:rFonts w:eastAsia="Times New Roman"/>
          <w:sz w:val="24"/>
          <w:szCs w:val="24"/>
        </w:rPr>
        <w:t>, 62 Colo. 318, 162 P. 144 (1916) (rule approved in dictum, but held not to be applicable).</w:t>
      </w:r>
    </w:p>
    <w:p w14:paraId="45FDD6E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In support of the general rule that one may rely on a deliberately made, false representation without making an independent investigation even though a reasonable man might not, see 2 </w:t>
      </w:r>
      <w:r w:rsidRPr="00631956">
        <w:rPr>
          <w:rFonts w:eastAsia="Times New Roman"/>
          <w:smallCaps/>
          <w:sz w:val="24"/>
          <w:szCs w:val="24"/>
        </w:rPr>
        <w:t>F. Harper et al., Harper, James, and Gray on Torts</w:t>
      </w:r>
      <w:r w:rsidRPr="00631956">
        <w:rPr>
          <w:rFonts w:eastAsia="Times New Roman"/>
          <w:sz w:val="24"/>
          <w:szCs w:val="24"/>
        </w:rPr>
        <w:t xml:space="preserve"> § 7.12 (3d ed. 2006); and </w:t>
      </w:r>
      <w:r w:rsidRPr="00631956">
        <w:rPr>
          <w:rFonts w:eastAsia="Times New Roman"/>
          <w:smallCaps/>
          <w:sz w:val="24"/>
          <w:szCs w:val="24"/>
        </w:rPr>
        <w:t>W. Page Keeton et al., Prosser and Keeton on the Law of Torts</w:t>
      </w:r>
      <w:r w:rsidRPr="00631956">
        <w:rPr>
          <w:rFonts w:eastAsia="Times New Roman"/>
          <w:sz w:val="24"/>
          <w:szCs w:val="24"/>
        </w:rPr>
        <w:t xml:space="preserve"> § 108 (5th ed. 1984).</w:t>
      </w:r>
    </w:p>
    <w:p w14:paraId="362B3A0F" w14:textId="77777777" w:rsidR="00465DAA" w:rsidRDefault="00465DAA">
      <w:pPr>
        <w:rPr>
          <w:rFonts w:eastAsia="Times New Roman"/>
          <w:sz w:val="24"/>
          <w:szCs w:val="24"/>
        </w:rPr>
      </w:pPr>
      <w:r>
        <w:rPr>
          <w:rFonts w:eastAsia="Times New Roman"/>
          <w:sz w:val="24"/>
          <w:szCs w:val="24"/>
        </w:rPr>
        <w:br w:type="page"/>
      </w:r>
    </w:p>
    <w:p w14:paraId="335F23DF" w14:textId="77777777" w:rsidR="00465DAA" w:rsidRPr="009E3DA4" w:rsidRDefault="00465DAA" w:rsidP="00465DAA">
      <w:pPr>
        <w:spacing w:after="240"/>
        <w:ind w:left="720" w:hanging="720"/>
        <w:rPr>
          <w:rFonts w:eastAsia="Times New Roman"/>
          <w:b/>
          <w:sz w:val="24"/>
          <w:szCs w:val="24"/>
        </w:rPr>
      </w:pPr>
      <w:bookmarkStart w:id="10" w:name="a19_11"/>
      <w:bookmarkEnd w:id="10"/>
      <w:r w:rsidRPr="00465DAA">
        <w:rPr>
          <w:rFonts w:eastAsia="Times New Roman"/>
          <w:b/>
          <w:sz w:val="24"/>
          <w:szCs w:val="24"/>
        </w:rPr>
        <w:lastRenderedPageBreak/>
        <w:t xml:space="preserve">19:11 </w:t>
      </w:r>
      <w:r w:rsidRPr="00465DAA">
        <w:rPr>
          <w:rFonts w:eastAsia="Times New Roman"/>
          <w:b/>
          <w:sz w:val="24"/>
          <w:szCs w:val="24"/>
        </w:rPr>
        <w:tab/>
        <w:t>RELIANCE AFTER INVESTIGATION</w:t>
      </w:r>
    </w:p>
    <w:p w14:paraId="63EFF45B" w14:textId="38BC7841"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 xml:space="preserve">The defendant’s (representation) (or) (concealment of a material fact) is not the cause of plaintiff’s damages if the plaintiff substantially relied and acted on </w:t>
      </w:r>
      <w:r w:rsidR="00EB2FA5">
        <w:rPr>
          <w:rFonts w:eastAsia="Times New Roman"/>
          <w:bCs/>
          <w:i/>
          <w:iCs/>
          <w:sz w:val="24"/>
          <w:szCs w:val="24"/>
        </w:rPr>
        <w:t>(insert applicable pronoun)</w:t>
      </w:r>
      <w:r w:rsidRPr="00465DAA">
        <w:rPr>
          <w:rFonts w:eastAsia="Times New Roman"/>
          <w:b/>
          <w:sz w:val="24"/>
          <w:szCs w:val="24"/>
        </w:rPr>
        <w:t xml:space="preserve"> own investigation rather than on the defendant’s (representation) (or) (concealment).</w:t>
      </w:r>
    </w:p>
    <w:p w14:paraId="077E38CE" w14:textId="77777777" w:rsidR="00465DAA" w:rsidRDefault="00465DAA" w:rsidP="00465DAA">
      <w:pPr>
        <w:jc w:val="center"/>
        <w:rPr>
          <w:rFonts w:eastAsia="Times New Roman"/>
          <w:sz w:val="24"/>
          <w:szCs w:val="24"/>
        </w:rPr>
      </w:pPr>
    </w:p>
    <w:p w14:paraId="1055DFFA"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97E229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This instruction should be used only when there is some evidence in the case that the plaintiff may have made his or her own investigation or examination. When applicable, this instruction should be given with Instruction 19:8 or 19:9.</w:t>
      </w:r>
    </w:p>
    <w:p w14:paraId="070180C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5FB6132E"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Greathouse v. Jones</w:t>
      </w:r>
      <w:r w:rsidRPr="00465DAA">
        <w:rPr>
          <w:rFonts w:eastAsia="Times New Roman"/>
          <w:sz w:val="24"/>
          <w:szCs w:val="24"/>
        </w:rPr>
        <w:t xml:space="preserve">, 167 Colo. 406, 447 P.2d 985 (1968); </w:t>
      </w:r>
      <w:r w:rsidRPr="00465DAA">
        <w:rPr>
          <w:rFonts w:eastAsia="Times New Roman"/>
          <w:b/>
          <w:sz w:val="24"/>
          <w:szCs w:val="24"/>
        </w:rPr>
        <w:t>Brannan v. Collins</w:t>
      </w:r>
      <w:r w:rsidRPr="00465DAA">
        <w:rPr>
          <w:rFonts w:eastAsia="Times New Roman"/>
          <w:sz w:val="24"/>
          <w:szCs w:val="24"/>
        </w:rPr>
        <w:t xml:space="preserve">, 89 Colo. 492, 4 P.2d 684 (1931); </w:t>
      </w:r>
      <w:r w:rsidRPr="00465DAA">
        <w:rPr>
          <w:rFonts w:eastAsia="Times New Roman"/>
          <w:b/>
          <w:sz w:val="24"/>
          <w:szCs w:val="24"/>
        </w:rPr>
        <w:t>Nelson v. Van Schaack &amp; Co.</w:t>
      </w:r>
      <w:r w:rsidRPr="00465DAA">
        <w:rPr>
          <w:rFonts w:eastAsia="Times New Roman"/>
          <w:sz w:val="24"/>
          <w:szCs w:val="24"/>
        </w:rPr>
        <w:t xml:space="preserve">, 87 Colo. 199, 286 P. 865 (1930); </w:t>
      </w:r>
      <w:r w:rsidRPr="00465DAA">
        <w:rPr>
          <w:rFonts w:eastAsia="Times New Roman"/>
          <w:b/>
          <w:sz w:val="24"/>
          <w:szCs w:val="24"/>
        </w:rPr>
        <w:t>Johnson v. Graham</w:t>
      </w:r>
      <w:r w:rsidRPr="00465DAA">
        <w:rPr>
          <w:rFonts w:eastAsia="Times New Roman"/>
          <w:sz w:val="24"/>
          <w:szCs w:val="24"/>
        </w:rPr>
        <w:t>,</w:t>
      </w:r>
      <w:r w:rsidRPr="00465DAA">
        <w:rPr>
          <w:rFonts w:eastAsia="Times New Roman"/>
          <w:b/>
          <w:sz w:val="24"/>
          <w:szCs w:val="24"/>
        </w:rPr>
        <w:t xml:space="preserve"> </w:t>
      </w:r>
      <w:r w:rsidRPr="00465DAA">
        <w:rPr>
          <w:rFonts w:eastAsia="Times New Roman"/>
          <w:sz w:val="24"/>
          <w:szCs w:val="24"/>
        </w:rPr>
        <w:t xml:space="preserve">679 P.2d 1090 (Colo. App. 1983), </w:t>
      </w:r>
      <w:r w:rsidRPr="00465DAA">
        <w:rPr>
          <w:rFonts w:eastAsia="Times New Roman"/>
          <w:i/>
          <w:sz w:val="24"/>
          <w:szCs w:val="24"/>
        </w:rPr>
        <w:t>rev’d in part on other grounds sub nom.</w:t>
      </w:r>
      <w:r w:rsidRPr="00465DAA">
        <w:rPr>
          <w:rFonts w:eastAsia="Times New Roman"/>
          <w:sz w:val="24"/>
          <w:szCs w:val="24"/>
        </w:rPr>
        <w:t xml:space="preserve"> </w:t>
      </w:r>
      <w:r w:rsidRPr="00465DAA">
        <w:rPr>
          <w:rFonts w:eastAsia="Times New Roman"/>
          <w:b/>
          <w:sz w:val="24"/>
          <w:szCs w:val="24"/>
        </w:rPr>
        <w:t>Tri-Aspen Construction Co. v. Johnson</w:t>
      </w:r>
      <w:r w:rsidRPr="00465DAA">
        <w:rPr>
          <w:rFonts w:eastAsia="Times New Roman"/>
          <w:sz w:val="24"/>
          <w:szCs w:val="24"/>
        </w:rPr>
        <w:t xml:space="preserve">, 714 P.2d 484 (Colo. 1986); 2 </w:t>
      </w:r>
      <w:r w:rsidRPr="00465DAA">
        <w:rPr>
          <w:rFonts w:eastAsia="Times New Roman"/>
          <w:smallCaps/>
          <w:sz w:val="24"/>
          <w:szCs w:val="24"/>
        </w:rPr>
        <w:t>F. Harper et al., Harper, James, and Gray on Torts</w:t>
      </w:r>
      <w:r w:rsidRPr="00465DAA">
        <w:rPr>
          <w:rFonts w:eastAsia="Times New Roman"/>
          <w:sz w:val="24"/>
          <w:szCs w:val="24"/>
        </w:rPr>
        <w:t xml:space="preserve"> § 7.13 (3d ed. 2006); and </w:t>
      </w:r>
      <w:r w:rsidRPr="00465DAA">
        <w:rPr>
          <w:rFonts w:eastAsia="Times New Roman"/>
          <w:smallCaps/>
          <w:sz w:val="24"/>
          <w:szCs w:val="24"/>
        </w:rPr>
        <w:t>W. Page Keeton, et al., Prosser and Keeton on the Law of Torts</w:t>
      </w:r>
      <w:r w:rsidRPr="00465DAA">
        <w:rPr>
          <w:rFonts w:eastAsia="Times New Roman"/>
          <w:sz w:val="24"/>
          <w:szCs w:val="24"/>
        </w:rPr>
        <w:t xml:space="preserve"> § 108 (5th ed. 1984). </w:t>
      </w:r>
      <w:r w:rsidRPr="00465DAA">
        <w:rPr>
          <w:rFonts w:eastAsia="Times New Roman"/>
          <w:i/>
          <w:sz w:val="24"/>
          <w:szCs w:val="24"/>
        </w:rPr>
        <w:t>See also</w:t>
      </w:r>
      <w:r w:rsidRPr="00465DAA">
        <w:rPr>
          <w:rFonts w:eastAsia="Times New Roman"/>
          <w:sz w:val="24"/>
          <w:szCs w:val="24"/>
        </w:rPr>
        <w:t xml:space="preserve"> </w:t>
      </w:r>
      <w:r w:rsidRPr="00465DAA">
        <w:rPr>
          <w:rFonts w:eastAsia="Times New Roman"/>
          <w:b/>
          <w:sz w:val="24"/>
          <w:szCs w:val="24"/>
        </w:rPr>
        <w:t>Cohen v. Vivian</w:t>
      </w:r>
      <w:r w:rsidRPr="00465DAA">
        <w:rPr>
          <w:rFonts w:eastAsia="Times New Roman"/>
          <w:sz w:val="24"/>
          <w:szCs w:val="24"/>
        </w:rPr>
        <w:t>, 141 Colo. 443, 349 P.2d 366 (1960) (inspection which did not reveal to the plaintiffs a latent defect which the defendant was under a duty to disclose does not absolve defendant).</w:t>
      </w:r>
    </w:p>
    <w:p w14:paraId="670AB116" w14:textId="77777777" w:rsidR="00465DAA" w:rsidRDefault="00465DAA">
      <w:pPr>
        <w:rPr>
          <w:rFonts w:eastAsia="Times New Roman"/>
          <w:sz w:val="24"/>
          <w:szCs w:val="24"/>
        </w:rPr>
      </w:pPr>
      <w:r>
        <w:rPr>
          <w:rFonts w:eastAsia="Times New Roman"/>
          <w:sz w:val="24"/>
          <w:szCs w:val="24"/>
        </w:rPr>
        <w:br w:type="page"/>
      </w:r>
    </w:p>
    <w:p w14:paraId="20388FFB" w14:textId="77777777" w:rsidR="00465DAA" w:rsidRPr="009E3DA4" w:rsidRDefault="00465DAA" w:rsidP="00465DAA">
      <w:pPr>
        <w:spacing w:after="240"/>
        <w:ind w:left="720" w:hanging="720"/>
        <w:rPr>
          <w:rFonts w:eastAsia="Times New Roman"/>
          <w:b/>
          <w:sz w:val="24"/>
          <w:szCs w:val="24"/>
        </w:rPr>
      </w:pPr>
      <w:bookmarkStart w:id="11" w:name="a19_12"/>
      <w:bookmarkEnd w:id="11"/>
      <w:r w:rsidRPr="00465DAA">
        <w:rPr>
          <w:rFonts w:eastAsia="Times New Roman"/>
          <w:b/>
          <w:sz w:val="24"/>
          <w:szCs w:val="24"/>
        </w:rPr>
        <w:lastRenderedPageBreak/>
        <w:t xml:space="preserve">19:12 </w:t>
      </w:r>
      <w:r w:rsidRPr="00465DAA">
        <w:rPr>
          <w:rFonts w:eastAsia="Times New Roman"/>
          <w:b/>
          <w:sz w:val="24"/>
          <w:szCs w:val="24"/>
        </w:rPr>
        <w:tab/>
        <w:t>STATEMENTS OF FUTURE INTENTION OR PROMISES AS FALSE REPRESENTATIONS</w:t>
      </w:r>
    </w:p>
    <w:p w14:paraId="34F854BE" w14:textId="11D3D9AC"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 xml:space="preserve">(A promise to do something in the future is a false representation if the person making the promise did not intend to keep the promise when </w:t>
      </w:r>
      <w:r w:rsidR="00EB2FA5">
        <w:rPr>
          <w:rFonts w:eastAsia="Times New Roman"/>
          <w:bCs/>
          <w:i/>
          <w:iCs/>
          <w:sz w:val="24"/>
          <w:szCs w:val="24"/>
        </w:rPr>
        <w:t>(insert applicable pronoun)</w:t>
      </w:r>
      <w:r w:rsidRPr="00465DAA">
        <w:rPr>
          <w:rFonts w:eastAsia="Times New Roman"/>
          <w:b/>
          <w:sz w:val="24"/>
          <w:szCs w:val="24"/>
        </w:rPr>
        <w:t xml:space="preserve"> made it.)</w:t>
      </w:r>
    </w:p>
    <w:p w14:paraId="35D7DE95" w14:textId="0E9C589E"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 xml:space="preserve">(A statement of intent to do something in the future is a false representation if the person making the statement did not intend to do it when </w:t>
      </w:r>
      <w:r w:rsidR="00EB2FA5">
        <w:rPr>
          <w:rFonts w:eastAsia="Times New Roman"/>
          <w:bCs/>
          <w:i/>
          <w:iCs/>
          <w:sz w:val="24"/>
          <w:szCs w:val="24"/>
        </w:rPr>
        <w:t>(insert applicable pronoun)</w:t>
      </w:r>
      <w:r w:rsidRPr="00465DAA">
        <w:rPr>
          <w:rFonts w:eastAsia="Times New Roman"/>
          <w:b/>
          <w:sz w:val="24"/>
          <w:szCs w:val="24"/>
        </w:rPr>
        <w:t xml:space="preserve"> made the statement.)</w:t>
      </w:r>
    </w:p>
    <w:p w14:paraId="3582C0A3" w14:textId="77777777" w:rsidR="00465DAA" w:rsidRDefault="00465DAA" w:rsidP="00465DAA">
      <w:pPr>
        <w:jc w:val="center"/>
        <w:rPr>
          <w:rFonts w:eastAsia="Times New Roman"/>
          <w:sz w:val="24"/>
          <w:szCs w:val="24"/>
        </w:rPr>
      </w:pPr>
    </w:p>
    <w:p w14:paraId="74250421"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B1C5ACD"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1. Use whichever parenthesized phrases are appropriate.</w:t>
      </w:r>
    </w:p>
    <w:p w14:paraId="19D44B3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2. When appropriate, this instruction should be given with Instruction 19:3.</w:t>
      </w:r>
    </w:p>
    <w:p w14:paraId="0055F6D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7CEB4DA0"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Brody v. Bock</w:t>
      </w:r>
      <w:r w:rsidRPr="00465DAA">
        <w:rPr>
          <w:rFonts w:eastAsia="Times New Roman"/>
          <w:sz w:val="24"/>
          <w:szCs w:val="24"/>
        </w:rPr>
        <w:t xml:space="preserve">, 897 P.2d 769 (Colo. 1995) (promise concerning future event coupled with present intention not to fulfill promise is actionable as fraud); </w:t>
      </w:r>
      <w:r w:rsidRPr="00465DAA">
        <w:rPr>
          <w:rFonts w:eastAsia="Times New Roman"/>
          <w:b/>
          <w:sz w:val="24"/>
          <w:szCs w:val="24"/>
        </w:rPr>
        <w:t>Ballow v. PHICO Insurance Co.</w:t>
      </w:r>
      <w:r w:rsidRPr="00465DAA">
        <w:rPr>
          <w:rFonts w:eastAsia="Times New Roman"/>
          <w:sz w:val="24"/>
          <w:szCs w:val="24"/>
        </w:rPr>
        <w:t xml:space="preserve">, 875 P.2d 1354 (Colo. 1993); </w:t>
      </w:r>
      <w:r w:rsidRPr="00465DAA">
        <w:rPr>
          <w:rFonts w:eastAsia="Times New Roman"/>
          <w:b/>
          <w:sz w:val="24"/>
          <w:szCs w:val="24"/>
        </w:rPr>
        <w:t>Kinsey v. Preeson</w:t>
      </w:r>
      <w:r w:rsidRPr="00465DAA">
        <w:rPr>
          <w:rFonts w:eastAsia="Times New Roman"/>
          <w:sz w:val="24"/>
          <w:szCs w:val="24"/>
        </w:rPr>
        <w:t xml:space="preserve">, 746 P.2d 542 (Colo. 1987); </w:t>
      </w:r>
      <w:r w:rsidRPr="00465DAA">
        <w:rPr>
          <w:rFonts w:eastAsia="Times New Roman"/>
          <w:b/>
          <w:sz w:val="24"/>
          <w:szCs w:val="24"/>
        </w:rPr>
        <w:t>H &amp; H Distributors, Inc. v. BBC International, Inc.</w:t>
      </w:r>
      <w:r w:rsidRPr="00465DAA">
        <w:rPr>
          <w:rFonts w:eastAsia="Times New Roman"/>
          <w:sz w:val="24"/>
          <w:szCs w:val="24"/>
        </w:rPr>
        <w:t xml:space="preserve">, 812 P.2d 659 (Colo. App. 1990); </w:t>
      </w:r>
      <w:r w:rsidRPr="00465DAA">
        <w:rPr>
          <w:rFonts w:eastAsia="Times New Roman"/>
          <w:b/>
          <w:sz w:val="24"/>
          <w:szCs w:val="24"/>
        </w:rPr>
        <w:t>State Bank of Wiley v. States</w:t>
      </w:r>
      <w:r w:rsidRPr="00465DAA">
        <w:rPr>
          <w:rFonts w:eastAsia="Times New Roman"/>
          <w:sz w:val="24"/>
          <w:szCs w:val="24"/>
        </w:rPr>
        <w:t xml:space="preserve">, 723 P.2d 159, 160 (Colo. App. 1986) (“[f]raud cannot be predicated upon the mere non-performance of a promise or contractual obligation . . . or upon failure to fulfill an agreement to do something at a future time”); </w:t>
      </w:r>
      <w:r w:rsidRPr="00465DAA">
        <w:rPr>
          <w:rFonts w:eastAsia="Times New Roman"/>
          <w:b/>
          <w:sz w:val="24"/>
          <w:szCs w:val="24"/>
        </w:rPr>
        <w:t>Stalos v. Booras</w:t>
      </w:r>
      <w:r w:rsidRPr="00465DAA">
        <w:rPr>
          <w:rFonts w:eastAsia="Times New Roman"/>
          <w:sz w:val="24"/>
          <w:szCs w:val="24"/>
        </w:rPr>
        <w:t>, 34 Colo. App. 252, 528 P.2d 254</w:t>
      </w:r>
      <w:r w:rsidRPr="00465DAA">
        <w:rPr>
          <w:rFonts w:eastAsia="Times New Roman"/>
          <w:i/>
          <w:sz w:val="24"/>
          <w:szCs w:val="24"/>
        </w:rPr>
        <w:t xml:space="preserve"> </w:t>
      </w:r>
      <w:r w:rsidRPr="00465DAA">
        <w:rPr>
          <w:rFonts w:eastAsia="Times New Roman"/>
          <w:sz w:val="24"/>
          <w:szCs w:val="24"/>
        </w:rPr>
        <w:t xml:space="preserve">(1974); and </w:t>
      </w:r>
      <w:r w:rsidRPr="00465DAA">
        <w:rPr>
          <w:rFonts w:eastAsia="Times New Roman"/>
          <w:b/>
          <w:sz w:val="24"/>
          <w:szCs w:val="24"/>
        </w:rPr>
        <w:t>Teare v. Sussman</w:t>
      </w:r>
      <w:r w:rsidRPr="00465DAA">
        <w:rPr>
          <w:rFonts w:eastAsia="Times New Roman"/>
          <w:sz w:val="24"/>
          <w:szCs w:val="24"/>
        </w:rPr>
        <w:t>, 120 Colo. 488, 491, 210 P.2d 446, 447 (1949) (“[w]here a present intention, even though as to future conduct, is predicated upon or evidenced by false statements as to existing facts, such statements, if relied on, constitute actionable fraud”).</w:t>
      </w:r>
    </w:p>
    <w:p w14:paraId="6A0DE3D1" w14:textId="77777777" w:rsidR="00F51743" w:rsidRDefault="00F51743">
      <w:pPr>
        <w:rPr>
          <w:rFonts w:eastAsia="Times New Roman"/>
          <w:sz w:val="24"/>
          <w:szCs w:val="24"/>
        </w:rPr>
      </w:pPr>
      <w:r>
        <w:rPr>
          <w:rFonts w:eastAsia="Times New Roman"/>
          <w:sz w:val="24"/>
          <w:szCs w:val="24"/>
        </w:rPr>
        <w:br w:type="page"/>
      </w:r>
    </w:p>
    <w:p w14:paraId="31E9B858" w14:textId="77777777" w:rsidR="00F51743" w:rsidRPr="009E3DA4" w:rsidRDefault="00F51743" w:rsidP="00F51743">
      <w:pPr>
        <w:spacing w:after="240"/>
        <w:ind w:left="720" w:hanging="720"/>
        <w:rPr>
          <w:rFonts w:eastAsia="Times New Roman"/>
          <w:b/>
          <w:sz w:val="24"/>
          <w:szCs w:val="24"/>
        </w:rPr>
      </w:pPr>
      <w:bookmarkStart w:id="12" w:name="a19_13"/>
      <w:bookmarkEnd w:id="12"/>
      <w:r w:rsidRPr="00F51743">
        <w:rPr>
          <w:rFonts w:eastAsia="Times New Roman"/>
          <w:b/>
          <w:sz w:val="24"/>
          <w:szCs w:val="24"/>
        </w:rPr>
        <w:lastRenderedPageBreak/>
        <w:t xml:space="preserve">19:13 </w:t>
      </w:r>
      <w:r w:rsidRPr="00F51743">
        <w:rPr>
          <w:rFonts w:eastAsia="Times New Roman"/>
          <w:b/>
          <w:sz w:val="24"/>
          <w:szCs w:val="24"/>
        </w:rPr>
        <w:tab/>
        <w:t>STATEMENTS ABOUT THE FUTURE AS FALSE REPRESENTATIONS</w:t>
      </w:r>
    </w:p>
    <w:p w14:paraId="6E51E5A0"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A statement about what (will) (or) (will not) happen in the future is a false representation only if it turns out to be false and the person making the statement:</w:t>
      </w:r>
    </w:p>
    <w:p w14:paraId="56E32D4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(1. Claimed to have special knowledge to support the statement that he or she did not have;) (or)</w:t>
      </w:r>
    </w:p>
    <w:p w14:paraId="644CC3E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(2. Had special knowledge that he or she failed to disclose and that he or she knew would make the future event unlikely to happen).</w:t>
      </w:r>
    </w:p>
    <w:p w14:paraId="700436DA" w14:textId="77777777" w:rsidR="00F51743" w:rsidRDefault="00F51743" w:rsidP="00F51743">
      <w:pPr>
        <w:jc w:val="center"/>
        <w:rPr>
          <w:rFonts w:eastAsia="Times New Roman"/>
          <w:sz w:val="24"/>
          <w:szCs w:val="24"/>
        </w:rPr>
      </w:pPr>
    </w:p>
    <w:p w14:paraId="6CB94367" w14:textId="77777777" w:rsidR="00F51743" w:rsidRPr="0054263B" w:rsidRDefault="00F51743" w:rsidP="00F51743">
      <w:pPr>
        <w:keepNext/>
        <w:spacing w:after="240"/>
        <w:jc w:val="center"/>
        <w:rPr>
          <w:rFonts w:eastAsia="Times New Roman"/>
          <w:b/>
          <w:sz w:val="24"/>
          <w:szCs w:val="24"/>
        </w:rPr>
      </w:pPr>
      <w:r w:rsidRPr="0054263B">
        <w:rPr>
          <w:rFonts w:eastAsia="Times New Roman"/>
          <w:b/>
          <w:sz w:val="24"/>
          <w:szCs w:val="24"/>
        </w:rPr>
        <w:t>Notes on Use</w:t>
      </w:r>
    </w:p>
    <w:p w14:paraId="1A5BAA26"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1. Use whichever parenthesized words are appropriate.</w:t>
      </w:r>
    </w:p>
    <w:p w14:paraId="499B44A7"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2. When appropriate, this instruction should be given with Instruction 19:3.</w:t>
      </w:r>
    </w:p>
    <w:p w14:paraId="64A59421"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3. When the statement about the future relates to the defendant’s conduct, Instruction 19:12 should be used rather than this instruction.</w:t>
      </w:r>
    </w:p>
    <w:p w14:paraId="3F30B18C" w14:textId="77777777" w:rsidR="00F51743" w:rsidRPr="0054263B" w:rsidRDefault="00F51743" w:rsidP="00F51743">
      <w:pPr>
        <w:keepNext/>
        <w:spacing w:after="240"/>
        <w:jc w:val="center"/>
        <w:rPr>
          <w:rFonts w:eastAsia="Times New Roman"/>
          <w:b/>
          <w:sz w:val="24"/>
          <w:szCs w:val="24"/>
        </w:rPr>
      </w:pPr>
      <w:r>
        <w:rPr>
          <w:rFonts w:eastAsia="Times New Roman"/>
          <w:b/>
          <w:sz w:val="24"/>
          <w:szCs w:val="24"/>
        </w:rPr>
        <w:t>Source and Authority</w:t>
      </w:r>
    </w:p>
    <w:p w14:paraId="4A180F7E"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 xml:space="preserve">This instruction, stating the general rule that a false statement about a future event does not constitute an actionable misrepresentation, is supported by </w:t>
      </w:r>
      <w:r w:rsidRPr="00F51743">
        <w:rPr>
          <w:rFonts w:eastAsia="Times New Roman"/>
          <w:b/>
          <w:sz w:val="24"/>
          <w:szCs w:val="24"/>
        </w:rPr>
        <w:t>Ackmann v. Merchants Mortgage &amp; Trust Corp.</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645 P.2d 7 (Colo. 1982) (fraud as defense to breach of contract and rescission and restitution); </w:t>
      </w:r>
      <w:r w:rsidRPr="00F51743">
        <w:rPr>
          <w:rFonts w:eastAsia="Times New Roman"/>
          <w:b/>
          <w:sz w:val="24"/>
          <w:szCs w:val="24"/>
        </w:rPr>
        <w:t>United Fire &amp; Casualty Co. v. Nissan Motor Corp.</w:t>
      </w:r>
      <w:r w:rsidRPr="00F51743">
        <w:rPr>
          <w:rFonts w:eastAsia="Times New Roman"/>
          <w:sz w:val="24"/>
          <w:szCs w:val="24"/>
        </w:rPr>
        <w:t xml:space="preserve">, 164 Colo. 42, 433 P.2d 769 (1967); </w:t>
      </w:r>
      <w:r w:rsidRPr="00F51743">
        <w:rPr>
          <w:rFonts w:eastAsia="Times New Roman"/>
          <w:b/>
          <w:sz w:val="24"/>
          <w:szCs w:val="24"/>
        </w:rPr>
        <w:t>Leece v. Griffin</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150 Colo. 132, 371 P.2d 264 (1962); </w:t>
      </w:r>
      <w:r w:rsidRPr="00F51743">
        <w:rPr>
          <w:rFonts w:eastAsia="Times New Roman"/>
          <w:b/>
          <w:sz w:val="24"/>
          <w:szCs w:val="24"/>
        </w:rPr>
        <w:t>Bell Press, Inc. v. Phillips</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147 Colo. 461, 364 P.2d 398 (1961) (fraud as defense to breach of contract); and </w:t>
      </w:r>
      <w:r w:rsidRPr="00F51743">
        <w:rPr>
          <w:rFonts w:eastAsia="Times New Roman"/>
          <w:b/>
          <w:sz w:val="24"/>
          <w:szCs w:val="24"/>
        </w:rPr>
        <w:t>Burman v. Richmond Homes, Ltd.</w:t>
      </w:r>
      <w:r w:rsidRPr="00F51743">
        <w:rPr>
          <w:rFonts w:eastAsia="Times New Roman"/>
          <w:sz w:val="24"/>
          <w:szCs w:val="24"/>
        </w:rPr>
        <w:t xml:space="preserve">, 821 P.2d 913 (Colo. App. 1991) (statement that is only an expression of opinion about the happening of a future event is not actionable fraud). The exceptions to the general rule are supported by 2 </w:t>
      </w:r>
      <w:r w:rsidRPr="00F51743">
        <w:rPr>
          <w:rFonts w:eastAsia="Times New Roman"/>
          <w:smallCaps/>
          <w:sz w:val="24"/>
          <w:szCs w:val="24"/>
        </w:rPr>
        <w:t>F. Harper et al., Harper, James, and Gray on Torts</w:t>
      </w:r>
      <w:r w:rsidRPr="00F51743">
        <w:rPr>
          <w:rFonts w:eastAsia="Times New Roman"/>
          <w:sz w:val="24"/>
          <w:szCs w:val="24"/>
        </w:rPr>
        <w:t xml:space="preserve"> § 7.10 (3d ed. 2006); and </w:t>
      </w:r>
      <w:r w:rsidRPr="00F51743">
        <w:rPr>
          <w:rFonts w:eastAsia="Times New Roman"/>
          <w:smallCaps/>
          <w:sz w:val="24"/>
          <w:szCs w:val="24"/>
        </w:rPr>
        <w:t>W. Page Keeton et al., Prosser and Keeton on the Law of Torts</w:t>
      </w:r>
      <w:r w:rsidRPr="00F51743">
        <w:rPr>
          <w:rFonts w:eastAsia="Times New Roman"/>
          <w:sz w:val="24"/>
          <w:szCs w:val="24"/>
        </w:rPr>
        <w:t xml:space="preserve"> § 109 (5th ed. 1984).</w:t>
      </w:r>
    </w:p>
    <w:p w14:paraId="18172121" w14:textId="77777777" w:rsidR="003E795A" w:rsidRDefault="003E795A">
      <w:pPr>
        <w:rPr>
          <w:rFonts w:eastAsia="Times New Roman"/>
          <w:sz w:val="24"/>
          <w:szCs w:val="24"/>
        </w:rPr>
      </w:pPr>
      <w:r>
        <w:rPr>
          <w:rFonts w:eastAsia="Times New Roman"/>
          <w:sz w:val="24"/>
          <w:szCs w:val="24"/>
        </w:rPr>
        <w:br w:type="page"/>
      </w:r>
    </w:p>
    <w:p w14:paraId="4A5EA5FC" w14:textId="77777777" w:rsidR="003E795A" w:rsidRPr="009E3DA4" w:rsidRDefault="003E795A" w:rsidP="003E795A">
      <w:pPr>
        <w:spacing w:after="240"/>
        <w:ind w:left="720" w:hanging="720"/>
        <w:rPr>
          <w:rFonts w:eastAsia="Times New Roman"/>
          <w:b/>
          <w:sz w:val="24"/>
          <w:szCs w:val="24"/>
        </w:rPr>
      </w:pPr>
      <w:bookmarkStart w:id="13" w:name="a19_14"/>
      <w:bookmarkEnd w:id="13"/>
      <w:r w:rsidRPr="003E795A">
        <w:rPr>
          <w:rFonts w:eastAsia="Times New Roman"/>
          <w:b/>
          <w:sz w:val="24"/>
          <w:szCs w:val="24"/>
        </w:rPr>
        <w:lastRenderedPageBreak/>
        <w:t xml:space="preserve">19:14 </w:t>
      </w:r>
      <w:r w:rsidRPr="003E795A">
        <w:rPr>
          <w:rFonts w:eastAsia="Times New Roman"/>
          <w:b/>
          <w:sz w:val="24"/>
          <w:szCs w:val="24"/>
        </w:rPr>
        <w:tab/>
        <w:t>STATEMENTS OF LAW AS FALSE REPRESENTATIONS</w:t>
      </w:r>
    </w:p>
    <w:p w14:paraId="2C129AD3" w14:textId="77777777" w:rsidR="003E795A" w:rsidRPr="003E795A" w:rsidRDefault="003E795A" w:rsidP="003E795A">
      <w:pPr>
        <w:spacing w:after="240"/>
        <w:ind w:firstLine="720"/>
        <w:rPr>
          <w:rFonts w:eastAsia="Times New Roman"/>
          <w:b/>
          <w:sz w:val="24"/>
          <w:szCs w:val="24"/>
        </w:rPr>
      </w:pPr>
      <w:r w:rsidRPr="003E795A">
        <w:rPr>
          <w:rFonts w:eastAsia="Times New Roman"/>
          <w:b/>
          <w:sz w:val="24"/>
          <w:szCs w:val="24"/>
        </w:rPr>
        <w:t>A statement about the law is an expression of opinion and is not a false representation of fact.</w:t>
      </w:r>
    </w:p>
    <w:p w14:paraId="60CA682B" w14:textId="77777777" w:rsidR="003E795A" w:rsidRDefault="003E795A" w:rsidP="003E795A">
      <w:pPr>
        <w:jc w:val="center"/>
        <w:rPr>
          <w:rFonts w:eastAsia="Times New Roman"/>
          <w:sz w:val="24"/>
          <w:szCs w:val="24"/>
        </w:rPr>
      </w:pPr>
    </w:p>
    <w:p w14:paraId="500B1974" w14:textId="77777777" w:rsidR="003E795A" w:rsidRPr="0054263B" w:rsidRDefault="003E795A" w:rsidP="003E795A">
      <w:pPr>
        <w:keepNext/>
        <w:spacing w:after="240"/>
        <w:jc w:val="center"/>
        <w:rPr>
          <w:rFonts w:eastAsia="Times New Roman"/>
          <w:b/>
          <w:sz w:val="24"/>
          <w:szCs w:val="24"/>
        </w:rPr>
      </w:pPr>
      <w:r w:rsidRPr="0054263B">
        <w:rPr>
          <w:rFonts w:eastAsia="Times New Roman"/>
          <w:b/>
          <w:sz w:val="24"/>
          <w:szCs w:val="24"/>
        </w:rPr>
        <w:t>Notes on Use</w:t>
      </w:r>
    </w:p>
    <w:p w14:paraId="54DC5D3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None</w:t>
      </w:r>
      <w:r>
        <w:rPr>
          <w:rFonts w:eastAsia="Times New Roman"/>
          <w:sz w:val="24"/>
          <w:szCs w:val="24"/>
        </w:rPr>
        <w:t>.</w:t>
      </w:r>
    </w:p>
    <w:p w14:paraId="24F009C7" w14:textId="77777777" w:rsidR="003E795A" w:rsidRPr="0054263B" w:rsidRDefault="003E795A" w:rsidP="003E795A">
      <w:pPr>
        <w:keepNext/>
        <w:spacing w:after="240"/>
        <w:jc w:val="center"/>
        <w:rPr>
          <w:rFonts w:eastAsia="Times New Roman"/>
          <w:b/>
          <w:sz w:val="24"/>
          <w:szCs w:val="24"/>
        </w:rPr>
      </w:pPr>
      <w:r>
        <w:rPr>
          <w:rFonts w:eastAsia="Times New Roman"/>
          <w:b/>
          <w:sz w:val="24"/>
          <w:szCs w:val="24"/>
        </w:rPr>
        <w:t>Source and Authority</w:t>
      </w:r>
    </w:p>
    <w:p w14:paraId="27B3DD2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1. This instruction is supported by 2 </w:t>
      </w:r>
      <w:r w:rsidRPr="00600DFF">
        <w:rPr>
          <w:rFonts w:eastAsia="Times New Roman"/>
          <w:smallCaps/>
          <w:sz w:val="24"/>
          <w:szCs w:val="24"/>
        </w:rPr>
        <w:t>F. Harper et al., Harper, James, and Gray on Torts</w:t>
      </w:r>
      <w:r w:rsidRPr="00600DFF">
        <w:rPr>
          <w:rFonts w:eastAsia="Times New Roman"/>
          <w:sz w:val="24"/>
          <w:szCs w:val="24"/>
        </w:rPr>
        <w:t xml:space="preserve"> § 7.8 (3d ed. 2006); </w:t>
      </w:r>
      <w:r w:rsidRPr="00600DFF">
        <w:rPr>
          <w:rFonts w:eastAsia="Times New Roman"/>
          <w:smallCaps/>
          <w:sz w:val="24"/>
          <w:szCs w:val="24"/>
        </w:rPr>
        <w:t>W. Page Keeton et al., Prosser and Keeton on the Law of Torts</w:t>
      </w:r>
      <w:r w:rsidRPr="00600DFF">
        <w:rPr>
          <w:rFonts w:eastAsia="Times New Roman"/>
          <w:sz w:val="24"/>
          <w:szCs w:val="24"/>
        </w:rPr>
        <w:t xml:space="preserve"> § 109 (5th ed. 1984); </w:t>
      </w:r>
      <w:r w:rsidRPr="00600DFF">
        <w:rPr>
          <w:rFonts w:eastAsia="Times New Roman"/>
          <w:b/>
          <w:sz w:val="24"/>
          <w:szCs w:val="24"/>
        </w:rPr>
        <w:t>Chacon v. Scavo</w:t>
      </w:r>
      <w:r w:rsidRPr="00600DFF">
        <w:rPr>
          <w:rFonts w:eastAsia="Times New Roman"/>
          <w:sz w:val="24"/>
          <w:szCs w:val="24"/>
        </w:rPr>
        <w:t xml:space="preserve">, 145 Colo. 222, 358 P.2d 614 (1960); </w:t>
      </w:r>
      <w:r w:rsidRPr="00600DFF">
        <w:rPr>
          <w:rFonts w:eastAsia="Times New Roman"/>
          <w:b/>
          <w:sz w:val="24"/>
          <w:szCs w:val="24"/>
        </w:rPr>
        <w:t>Seal v. Hart</w:t>
      </w:r>
      <w:r w:rsidRPr="00600DFF">
        <w:rPr>
          <w:rFonts w:eastAsia="Times New Roman"/>
          <w:sz w:val="24"/>
          <w:szCs w:val="24"/>
        </w:rPr>
        <w:t xml:space="preserve">, 755 P.2d 462 (Colo. App. 1988); and </w:t>
      </w:r>
      <w:r w:rsidRPr="00600DFF">
        <w:rPr>
          <w:rFonts w:eastAsia="Times New Roman"/>
          <w:b/>
          <w:sz w:val="24"/>
          <w:szCs w:val="24"/>
        </w:rPr>
        <w:t>Kunz v. Warren</w:t>
      </w:r>
      <w:r w:rsidRPr="00600DFF">
        <w:rPr>
          <w:rFonts w:eastAsia="Times New Roman"/>
          <w:sz w:val="24"/>
          <w:szCs w:val="24"/>
        </w:rPr>
        <w:t>, 725 P.2d 794 (Colo. App. 1986).</w:t>
      </w:r>
    </w:p>
    <w:p w14:paraId="3A36F98E"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2. There may be an issue as to whether a statement is a statement of law or fact. </w:t>
      </w:r>
      <w:r w:rsidRPr="00600DFF">
        <w:rPr>
          <w:rFonts w:eastAsia="Times New Roman"/>
          <w:b/>
          <w:sz w:val="24"/>
          <w:szCs w:val="24"/>
        </w:rPr>
        <w:t>Brodeur v. Am. Home Assurance Co.</w:t>
      </w:r>
      <w:r w:rsidRPr="00600DFF">
        <w:rPr>
          <w:rFonts w:eastAsia="Times New Roman"/>
          <w:sz w:val="24"/>
          <w:szCs w:val="24"/>
        </w:rPr>
        <w:t xml:space="preserve">, 169 P.3d 139 (Colo. 2007); </w:t>
      </w:r>
      <w:r w:rsidRPr="00600DFF">
        <w:rPr>
          <w:rFonts w:eastAsia="Times New Roman"/>
          <w:b/>
          <w:sz w:val="24"/>
          <w:szCs w:val="24"/>
        </w:rPr>
        <w:t>Feit v. Donahue</w:t>
      </w:r>
      <w:r w:rsidRPr="00600DFF">
        <w:rPr>
          <w:rFonts w:eastAsia="Times New Roman"/>
          <w:sz w:val="24"/>
          <w:szCs w:val="24"/>
        </w:rPr>
        <w:t xml:space="preserve">, 826 P.2d 407 (Colo. App. 1992); </w:t>
      </w:r>
      <w:r w:rsidRPr="00600DFF">
        <w:rPr>
          <w:rFonts w:eastAsia="Times New Roman"/>
          <w:b/>
          <w:sz w:val="24"/>
          <w:szCs w:val="24"/>
        </w:rPr>
        <w:t>Two, Inc. v. Gilmore</w:t>
      </w:r>
      <w:r w:rsidRPr="00600DFF">
        <w:rPr>
          <w:rFonts w:eastAsia="Times New Roman"/>
          <w:sz w:val="24"/>
          <w:szCs w:val="24"/>
        </w:rPr>
        <w:t>, 679 P.2d 116 (Colo. App. 1984).</w:t>
      </w:r>
    </w:p>
    <w:p w14:paraId="6A1089C3"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3. The general rule set forth in this instruction is subject to certain qualifications such as special knowledge possessed by one and not available to the other, a fiduciary relationship, and representations as to the law of a foreign state.</w:t>
      </w:r>
      <w:r w:rsidRPr="00600DFF">
        <w:rPr>
          <w:rFonts w:eastAsia="Times New Roman"/>
          <w:b/>
          <w:sz w:val="24"/>
          <w:szCs w:val="24"/>
        </w:rPr>
        <w:t xml:space="preserve"> Brodeur</w:t>
      </w:r>
      <w:r w:rsidRPr="00600DFF">
        <w:rPr>
          <w:rFonts w:eastAsia="Times New Roman"/>
          <w:sz w:val="24"/>
          <w:szCs w:val="24"/>
        </w:rPr>
        <w:t xml:space="preserve">, 169 P.3d at 154; </w:t>
      </w:r>
      <w:r w:rsidRPr="00600DFF">
        <w:rPr>
          <w:rFonts w:eastAsia="Times New Roman"/>
          <w:b/>
          <w:sz w:val="24"/>
          <w:szCs w:val="24"/>
        </w:rPr>
        <w:t>Metzger v. Baker</w:t>
      </w:r>
      <w:r w:rsidRPr="00600DFF">
        <w:rPr>
          <w:rFonts w:eastAsia="Times New Roman"/>
          <w:sz w:val="24"/>
          <w:szCs w:val="24"/>
        </w:rPr>
        <w:t>, 93 Colo. 165, 24 P.2d 748 (1933).</w:t>
      </w:r>
    </w:p>
    <w:p w14:paraId="1781DB21" w14:textId="77777777" w:rsidR="008F35ED" w:rsidRDefault="008F35ED">
      <w:pPr>
        <w:rPr>
          <w:rFonts w:eastAsia="Times New Roman"/>
          <w:sz w:val="24"/>
          <w:szCs w:val="24"/>
        </w:rPr>
      </w:pPr>
      <w:r>
        <w:rPr>
          <w:rFonts w:eastAsia="Times New Roman"/>
          <w:sz w:val="24"/>
          <w:szCs w:val="24"/>
        </w:rPr>
        <w:br w:type="page"/>
      </w:r>
    </w:p>
    <w:p w14:paraId="6BC039EE" w14:textId="77777777" w:rsidR="008F35ED" w:rsidRPr="009E3DA4" w:rsidRDefault="008F35ED" w:rsidP="008F35ED">
      <w:pPr>
        <w:spacing w:after="240"/>
        <w:ind w:left="720" w:hanging="720"/>
        <w:rPr>
          <w:rFonts w:eastAsia="Times New Roman"/>
          <w:b/>
          <w:sz w:val="24"/>
          <w:szCs w:val="24"/>
        </w:rPr>
      </w:pPr>
      <w:bookmarkStart w:id="14" w:name="a19_15"/>
      <w:bookmarkEnd w:id="14"/>
      <w:r w:rsidRPr="008F35ED">
        <w:rPr>
          <w:rFonts w:eastAsia="Times New Roman"/>
          <w:b/>
          <w:sz w:val="24"/>
          <w:szCs w:val="24"/>
        </w:rPr>
        <w:lastRenderedPageBreak/>
        <w:t xml:space="preserve">19:15 </w:t>
      </w:r>
      <w:r w:rsidRPr="008F35ED">
        <w:rPr>
          <w:rFonts w:eastAsia="Times New Roman"/>
          <w:b/>
          <w:sz w:val="24"/>
          <w:szCs w:val="24"/>
        </w:rPr>
        <w:tab/>
        <w:t>STATEMENTS OF OPINION AS FALSE REPRESENTATIONS</w:t>
      </w:r>
    </w:p>
    <w:p w14:paraId="487B6176"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A statement that is made and reasonably understood to be only an opinion is not a false representation of a past or present fact.</w:t>
      </w:r>
    </w:p>
    <w:p w14:paraId="4056CB67"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However, a statement in the form of an opinion is a false representation of a past or present fact if:</w:t>
      </w:r>
    </w:p>
    <w:p w14:paraId="5CC5F898"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1. The statement is intended by the speaker and reasonably understood by the listener to be a statement of a past or present fact; and</w:t>
      </w:r>
    </w:p>
    <w:p w14:paraId="31DED8AE"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2. The statement is false.</w:t>
      </w:r>
    </w:p>
    <w:p w14:paraId="4D2B4F8C" w14:textId="77777777" w:rsidR="008F35ED" w:rsidRDefault="008F35ED" w:rsidP="008F35ED">
      <w:pPr>
        <w:jc w:val="center"/>
        <w:rPr>
          <w:rFonts w:eastAsia="Times New Roman"/>
          <w:sz w:val="24"/>
          <w:szCs w:val="24"/>
        </w:rPr>
      </w:pPr>
    </w:p>
    <w:p w14:paraId="11977A84"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7B43C67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1. When appropriate, this instruction should be given with Instruction 19:3.</w:t>
      </w:r>
    </w:p>
    <w:p w14:paraId="722172A8"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2. This instruction is intended primarily for use in two situations: (1) where the statement of the defendant might or might not reasonably be considered one of fact or opinion and the court cannot say as a matter of law that it is a statement of opinion, and (2) where the plaintiff has charged the defendant with having made several false statements, both of fact and of opinion, and those statements of opinion are, under the particular circumstances, insufficient to support a claim for relief for deceit. In the latter case, if appropriate, the court should add to this instruction by specifying those particular statements of opinion on which the jury may not base a verdict.</w:t>
      </w:r>
    </w:p>
    <w:p w14:paraId="0838967D"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DF1EBD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1. The first paragraph of this instruction is supported by </w:t>
      </w:r>
      <w:r w:rsidRPr="008F35ED">
        <w:rPr>
          <w:rFonts w:eastAsia="Times New Roman"/>
          <w:b/>
          <w:sz w:val="24"/>
          <w:szCs w:val="24"/>
        </w:rPr>
        <w:t>Knight v. Cantrell</w:t>
      </w:r>
      <w:r w:rsidRPr="008F35ED">
        <w:rPr>
          <w:rFonts w:eastAsia="Times New Roman"/>
          <w:sz w:val="24"/>
          <w:szCs w:val="24"/>
        </w:rPr>
        <w:t xml:space="preserve">, 154 Colo. 396, 390 P.2d 948 (1964). </w:t>
      </w:r>
    </w:p>
    <w:p w14:paraId="44F153F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2. The second paragraph of this instruction is supported by </w:t>
      </w:r>
      <w:r w:rsidRPr="008F35ED">
        <w:rPr>
          <w:rFonts w:eastAsia="Times New Roman"/>
          <w:b/>
          <w:sz w:val="24"/>
          <w:szCs w:val="24"/>
        </w:rPr>
        <w:t>Powell v. Landis</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95 Colo. 375, 36 P.2d 462 (1934) (misrepresentation as to weekly profits of a business); </w:t>
      </w:r>
      <w:r w:rsidRPr="008F35ED">
        <w:rPr>
          <w:rFonts w:eastAsia="Times New Roman"/>
          <w:b/>
          <w:sz w:val="24"/>
          <w:szCs w:val="24"/>
        </w:rPr>
        <w:t>Lesser v. Porter</w:t>
      </w:r>
      <w:r w:rsidRPr="008F35ED">
        <w:rPr>
          <w:rFonts w:eastAsia="Times New Roman"/>
          <w:sz w:val="24"/>
          <w:szCs w:val="24"/>
        </w:rPr>
        <w:t xml:space="preserve">, 94 Colo. 348, 30 P.2d 318 (1934) (misrepresentation of market value of farm); </w:t>
      </w:r>
      <w:r w:rsidRPr="008F35ED">
        <w:rPr>
          <w:rFonts w:eastAsia="Times New Roman"/>
          <w:b/>
          <w:sz w:val="24"/>
          <w:szCs w:val="24"/>
        </w:rPr>
        <w:t>Cahill v. Readon</w:t>
      </w:r>
      <w:r w:rsidRPr="008F35ED">
        <w:rPr>
          <w:rFonts w:eastAsia="Times New Roman"/>
          <w:sz w:val="24"/>
          <w:szCs w:val="24"/>
        </w:rPr>
        <w:t xml:space="preserve">, 85 Colo. 9, 273 P. 653 (1928) (misrepresentation of rental value of property); </w:t>
      </w:r>
      <w:r w:rsidRPr="008F35ED">
        <w:rPr>
          <w:rFonts w:eastAsia="Times New Roman"/>
          <w:b/>
          <w:sz w:val="24"/>
          <w:szCs w:val="24"/>
        </w:rPr>
        <w:t>Lewis v. Winslow</w:t>
      </w:r>
      <w:r w:rsidRPr="008F35ED">
        <w:rPr>
          <w:rFonts w:eastAsia="Times New Roman"/>
          <w:sz w:val="24"/>
          <w:szCs w:val="24"/>
        </w:rPr>
        <w:t xml:space="preserve">, 77 Colo. 95, 98, 234 P. 1070, 1071 (1925) (“representations of value, or cost or quality, of property, if made with the purpose of having them accepted by the party to whom they are made, as of fact, and so relied upon, are to be treated as representations of fact”); </w:t>
      </w:r>
      <w:r w:rsidRPr="008F35ED">
        <w:rPr>
          <w:rFonts w:eastAsia="Times New Roman"/>
          <w:b/>
          <w:sz w:val="24"/>
          <w:szCs w:val="24"/>
        </w:rPr>
        <w:t>Highfill v. Ermence</w:t>
      </w:r>
      <w:r w:rsidRPr="008F35ED">
        <w:rPr>
          <w:rFonts w:eastAsia="Times New Roman"/>
          <w:sz w:val="24"/>
          <w:szCs w:val="24"/>
        </w:rPr>
        <w:t xml:space="preserve">, 73 Colo. 478, 216 P. 533 (1923) (misrepresentation that lease could be extended); and </w:t>
      </w:r>
      <w:r w:rsidRPr="008F35ED">
        <w:rPr>
          <w:rFonts w:eastAsia="Times New Roman"/>
          <w:b/>
          <w:sz w:val="24"/>
          <w:szCs w:val="24"/>
        </w:rPr>
        <w:t>American National Bank of Denver v. Hammond</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25 Colo. 367, 372, 55 P. 1090, 1091-92 (1898) (In a case involving misrepresentation of the value of corporate stock, the supreme court held: “The true rule appears to be that a fraudulent misrepresentation cannot itself be the mere expression of an opinion entertained by the party making it; but where such party makes a statement which might otherwise be only an opinion, and does not state it as the mere expression of his opinion, but affirms it as a fact . . . so that the person to whom it is addressed may reasonably treat it as a fact . . ., then such statement becomes an affirmation of fact, within the meaning of the general rule, and may be a fraudulent misrepresentation.”).</w:t>
      </w:r>
    </w:p>
    <w:p w14:paraId="792E57A2"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lastRenderedPageBreak/>
        <w:t xml:space="preserve">3. Also supporting this instruction are </w:t>
      </w:r>
      <w:r w:rsidRPr="008F35ED">
        <w:rPr>
          <w:rFonts w:eastAsia="Times New Roman"/>
          <w:b/>
          <w:sz w:val="24"/>
          <w:szCs w:val="24"/>
        </w:rPr>
        <w:t>Ballow v. PHICO Insurance Co.</w:t>
      </w:r>
      <w:r w:rsidRPr="008F35ED">
        <w:rPr>
          <w:rFonts w:eastAsia="Times New Roman"/>
          <w:sz w:val="24"/>
          <w:szCs w:val="24"/>
        </w:rPr>
        <w:t xml:space="preserve">, 875 P.2d 1354 (Colo. 1993); </w:t>
      </w:r>
      <w:r w:rsidRPr="008F35ED">
        <w:rPr>
          <w:rFonts w:eastAsia="Times New Roman"/>
          <w:b/>
          <w:sz w:val="24"/>
          <w:szCs w:val="24"/>
        </w:rPr>
        <w:t>Colorado Interstate Gas Co. v. Chemco, Inc.</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833 P.2d 786 (Colo. App. 1991), </w:t>
      </w:r>
      <w:r w:rsidRPr="008F35ED">
        <w:rPr>
          <w:rFonts w:eastAsia="Times New Roman"/>
          <w:i/>
          <w:sz w:val="24"/>
          <w:szCs w:val="24"/>
        </w:rPr>
        <w:t>aff’d on other grounds</w:t>
      </w:r>
      <w:r w:rsidRPr="008F35ED">
        <w:rPr>
          <w:rFonts w:eastAsia="Times New Roman"/>
          <w:sz w:val="24"/>
          <w:szCs w:val="24"/>
        </w:rPr>
        <w:t xml:space="preserve">, 854 P.2d 1232 (Colo. 1993); 2 </w:t>
      </w:r>
      <w:r w:rsidRPr="008F35ED">
        <w:rPr>
          <w:rFonts w:eastAsia="Times New Roman"/>
          <w:smallCaps/>
          <w:sz w:val="24"/>
          <w:szCs w:val="24"/>
        </w:rPr>
        <w:t>F. Harper et al., Harper, James, and Gray on Torts</w:t>
      </w:r>
      <w:r w:rsidRPr="008F35ED">
        <w:rPr>
          <w:rFonts w:eastAsia="Times New Roman"/>
          <w:sz w:val="24"/>
          <w:szCs w:val="24"/>
        </w:rPr>
        <w:t xml:space="preserve"> §§ 7.8, 7.11 (3d ed. 2006); and </w:t>
      </w:r>
      <w:r w:rsidRPr="008F35ED">
        <w:rPr>
          <w:rFonts w:eastAsia="Times New Roman"/>
          <w:smallCaps/>
          <w:sz w:val="24"/>
          <w:szCs w:val="24"/>
        </w:rPr>
        <w:t>W. Page Keeton et al., Prosser and Keeton on the Law of Torts</w:t>
      </w:r>
      <w:r w:rsidRPr="008F35ED">
        <w:rPr>
          <w:rFonts w:eastAsia="Times New Roman"/>
          <w:sz w:val="24"/>
          <w:szCs w:val="24"/>
        </w:rPr>
        <w:t xml:space="preserve"> § 109 (5th ed. 1984). </w:t>
      </w:r>
    </w:p>
    <w:p w14:paraId="01E4D13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4. Where a statement can reasonably be construed as an opinion or a representation of fact, it is for the jury to decide which it is. </w:t>
      </w:r>
      <w:r w:rsidRPr="008F35ED">
        <w:rPr>
          <w:rFonts w:eastAsia="Times New Roman"/>
          <w:b/>
          <w:sz w:val="24"/>
          <w:szCs w:val="24"/>
        </w:rPr>
        <w:t>Lesser</w:t>
      </w:r>
      <w:r w:rsidRPr="008F35ED">
        <w:rPr>
          <w:rFonts w:eastAsia="Times New Roman"/>
          <w:sz w:val="24"/>
          <w:szCs w:val="24"/>
        </w:rPr>
        <w:t xml:space="preserve">, 94 Colo. at 350, 30 P.2d at 319; </w:t>
      </w:r>
      <w:r w:rsidRPr="008F35ED">
        <w:rPr>
          <w:rFonts w:eastAsia="Times New Roman"/>
          <w:b/>
          <w:sz w:val="24"/>
          <w:szCs w:val="24"/>
        </w:rPr>
        <w:t>Highfill</w:t>
      </w:r>
      <w:r w:rsidRPr="008F35ED">
        <w:rPr>
          <w:rFonts w:eastAsia="Times New Roman"/>
          <w:sz w:val="24"/>
          <w:szCs w:val="24"/>
        </w:rPr>
        <w:t xml:space="preserve">, 73 Colo. at 480, 216 P. at 533; </w:t>
      </w:r>
      <w:r w:rsidRPr="008F35ED">
        <w:rPr>
          <w:rFonts w:eastAsia="Times New Roman"/>
          <w:b/>
          <w:sz w:val="24"/>
          <w:szCs w:val="24"/>
        </w:rPr>
        <w:t>Hammond</w:t>
      </w:r>
      <w:r w:rsidRPr="008F35ED">
        <w:rPr>
          <w:rFonts w:eastAsia="Times New Roman"/>
          <w:sz w:val="24"/>
          <w:szCs w:val="24"/>
        </w:rPr>
        <w:t>, 25 Colo. at 372, 55 P. at 1092.</w:t>
      </w:r>
    </w:p>
    <w:p w14:paraId="423A4202" w14:textId="77777777" w:rsidR="008F35ED" w:rsidRDefault="008F35ED">
      <w:pPr>
        <w:rPr>
          <w:rFonts w:eastAsia="Times New Roman"/>
          <w:sz w:val="24"/>
          <w:szCs w:val="24"/>
        </w:rPr>
      </w:pPr>
      <w:r>
        <w:rPr>
          <w:rFonts w:eastAsia="Times New Roman"/>
          <w:sz w:val="24"/>
          <w:szCs w:val="24"/>
        </w:rPr>
        <w:br w:type="page"/>
      </w:r>
    </w:p>
    <w:p w14:paraId="50030E36" w14:textId="77777777" w:rsidR="008F35ED" w:rsidRPr="009E3DA4" w:rsidRDefault="00A638C1" w:rsidP="008F35ED">
      <w:pPr>
        <w:spacing w:after="240"/>
        <w:ind w:left="720" w:hanging="720"/>
        <w:rPr>
          <w:rFonts w:eastAsia="Times New Roman"/>
          <w:b/>
          <w:sz w:val="24"/>
          <w:szCs w:val="24"/>
        </w:rPr>
      </w:pPr>
      <w:bookmarkStart w:id="15" w:name="a19_16"/>
      <w:bookmarkEnd w:id="15"/>
      <w:r w:rsidRPr="00A638C1">
        <w:rPr>
          <w:rFonts w:eastAsia="Times New Roman"/>
          <w:b/>
          <w:sz w:val="24"/>
          <w:szCs w:val="24"/>
        </w:rPr>
        <w:lastRenderedPageBreak/>
        <w:t xml:space="preserve">19:16 </w:t>
      </w:r>
      <w:r w:rsidRPr="00A638C1">
        <w:rPr>
          <w:rFonts w:eastAsia="Times New Roman"/>
          <w:b/>
          <w:sz w:val="24"/>
          <w:szCs w:val="24"/>
        </w:rPr>
        <w:tab/>
        <w:t>AFFIRMATIVE DEFENSE — WAIVER BY PLAINTIFF BEFORE PLAINTIFF’S COMPLETE PERFORMANCE</w:t>
      </w:r>
    </w:p>
    <w:p w14:paraId="2045030A" w14:textId="66179084"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The defendant, </w:t>
      </w:r>
      <w:r w:rsidRPr="00A638C1">
        <w:rPr>
          <w:rFonts w:eastAsia="Times New Roman"/>
          <w:i/>
          <w:sz w:val="24"/>
          <w:szCs w:val="24"/>
        </w:rPr>
        <w:t>(name)</w:t>
      </w:r>
      <w:r w:rsidRPr="00A638C1">
        <w:rPr>
          <w:rFonts w:eastAsia="Times New Roman"/>
          <w:b/>
          <w:sz w:val="24"/>
          <w:szCs w:val="24"/>
        </w:rPr>
        <w:t xml:space="preserve">, is not legally responsible to the plaintiff, </w:t>
      </w:r>
      <w:r w:rsidRPr="00A638C1">
        <w:rPr>
          <w:rFonts w:eastAsia="Times New Roman"/>
          <w:i/>
          <w:sz w:val="24"/>
          <w:szCs w:val="24"/>
        </w:rPr>
        <w:t>(name)</w:t>
      </w:r>
      <w:r w:rsidRPr="00A638C1">
        <w:rPr>
          <w:rFonts w:eastAsia="Times New Roman"/>
          <w:b/>
          <w:sz w:val="24"/>
          <w:szCs w:val="24"/>
        </w:rPr>
        <w:t xml:space="preserve">, on </w:t>
      </w:r>
      <w:r w:rsidR="00EB2FA5">
        <w:rPr>
          <w:rFonts w:eastAsia="Times New Roman"/>
          <w:bCs/>
          <w:i/>
          <w:iCs/>
          <w:sz w:val="24"/>
          <w:szCs w:val="24"/>
        </w:rPr>
        <w:t>(insert applicable pronoun)</w:t>
      </w:r>
      <w:r w:rsidRPr="00A638C1">
        <w:rPr>
          <w:rFonts w:eastAsia="Times New Roman"/>
          <w:b/>
          <w:sz w:val="24"/>
          <w:szCs w:val="24"/>
        </w:rPr>
        <w:t xml:space="preserve"> claim of deceit based on fraud if the affirmative defense of waiver is proved. This defense is proved if you find both of the following:</w:t>
      </w:r>
    </w:p>
    <w:p w14:paraId="12924CCF" w14:textId="71AC4733"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1. The plaintiff learned the actual facts after </w:t>
      </w:r>
      <w:r w:rsidR="00EB2FA5">
        <w:rPr>
          <w:rFonts w:eastAsia="Times New Roman"/>
          <w:bCs/>
          <w:i/>
          <w:iCs/>
          <w:sz w:val="24"/>
          <w:szCs w:val="24"/>
        </w:rPr>
        <w:t>(insert applicable pronoun)</w:t>
      </w:r>
      <w:r w:rsidRPr="00A638C1">
        <w:rPr>
          <w:rFonts w:eastAsia="Times New Roman"/>
          <w:b/>
          <w:sz w:val="24"/>
          <w:szCs w:val="24"/>
        </w:rPr>
        <w:t xml:space="preserve"> began </w:t>
      </w:r>
      <w:r w:rsidRPr="00A638C1">
        <w:rPr>
          <w:rFonts w:eastAsia="Times New Roman"/>
          <w:i/>
          <w:sz w:val="24"/>
          <w:szCs w:val="24"/>
        </w:rPr>
        <w:t>[insert description of course of action]</w:t>
      </w:r>
      <w:r w:rsidRPr="00A638C1">
        <w:rPr>
          <w:rFonts w:eastAsia="Times New Roman"/>
          <w:b/>
          <w:sz w:val="24"/>
          <w:szCs w:val="24"/>
        </w:rPr>
        <w:t xml:space="preserve">, but before </w:t>
      </w:r>
      <w:r w:rsidR="00EB2FA5">
        <w:rPr>
          <w:rFonts w:eastAsia="Times New Roman"/>
          <w:bCs/>
          <w:i/>
          <w:iCs/>
          <w:sz w:val="24"/>
          <w:szCs w:val="24"/>
        </w:rPr>
        <w:t>(insert applicable pronoun)</w:t>
      </w:r>
      <w:r w:rsidRPr="00A638C1">
        <w:rPr>
          <w:rFonts w:eastAsia="Times New Roman"/>
          <w:b/>
          <w:sz w:val="24"/>
          <w:szCs w:val="24"/>
        </w:rPr>
        <w:t xml:space="preserve"> completed </w:t>
      </w:r>
      <w:r w:rsidRPr="00A638C1">
        <w:rPr>
          <w:rFonts w:eastAsia="Times New Roman"/>
          <w:i/>
          <w:sz w:val="24"/>
          <w:szCs w:val="24"/>
        </w:rPr>
        <w:t>[insert description of course of action]</w:t>
      </w:r>
      <w:r w:rsidRPr="00A638C1">
        <w:rPr>
          <w:rFonts w:eastAsia="Times New Roman"/>
          <w:b/>
          <w:sz w:val="24"/>
          <w:szCs w:val="24"/>
        </w:rPr>
        <w:t>; and</w:t>
      </w:r>
    </w:p>
    <w:p w14:paraId="11996131"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2. The plaintiff continued </w:t>
      </w:r>
      <w:r w:rsidRPr="00A638C1">
        <w:rPr>
          <w:rFonts w:eastAsia="Times New Roman"/>
          <w:i/>
          <w:sz w:val="24"/>
          <w:szCs w:val="24"/>
        </w:rPr>
        <w:t>[insert description of course of action]</w:t>
      </w:r>
      <w:r w:rsidRPr="00A638C1">
        <w:rPr>
          <w:rFonts w:eastAsia="Times New Roman"/>
          <w:b/>
          <w:sz w:val="24"/>
          <w:szCs w:val="24"/>
        </w:rPr>
        <w:t xml:space="preserve"> with full knowledge of the actual facts when a reasonable person under the same or similar circumstances would not have done so.</w:t>
      </w:r>
    </w:p>
    <w:p w14:paraId="44324CEC" w14:textId="77777777" w:rsidR="008F35ED" w:rsidRDefault="008F35ED" w:rsidP="008F35ED">
      <w:pPr>
        <w:jc w:val="center"/>
        <w:rPr>
          <w:rFonts w:eastAsia="Times New Roman"/>
          <w:sz w:val="24"/>
          <w:szCs w:val="24"/>
        </w:rPr>
      </w:pPr>
    </w:p>
    <w:p w14:paraId="58BDD572"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05B25CD8"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Use whichever parenthesized words are appropriate.</w:t>
      </w:r>
    </w:p>
    <w:p w14:paraId="26A0898F"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7CA0A8A"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1. This instruction is supported by</w:t>
      </w:r>
      <w:r w:rsidRPr="00A638C1">
        <w:rPr>
          <w:rFonts w:eastAsia="Times New Roman"/>
          <w:b/>
          <w:sz w:val="24"/>
          <w:szCs w:val="24"/>
        </w:rPr>
        <w:t xml:space="preserve"> Tisdel v. Central Sav. Bank &amp; Trust Co.</w:t>
      </w:r>
      <w:r w:rsidRPr="00A638C1">
        <w:rPr>
          <w:rFonts w:eastAsia="Times New Roman"/>
          <w:sz w:val="24"/>
          <w:szCs w:val="24"/>
        </w:rPr>
        <w:t xml:space="preserve">, 90 Colo. 114, 6 P.2d 912 (1931) (fraud as defense to breach of contract); </w:t>
      </w:r>
      <w:r w:rsidRPr="00A638C1">
        <w:rPr>
          <w:rFonts w:eastAsia="Times New Roman"/>
          <w:b/>
          <w:sz w:val="24"/>
          <w:szCs w:val="24"/>
        </w:rPr>
        <w:t>Lewis v. Carsh</w:t>
      </w:r>
      <w:r w:rsidRPr="00A638C1">
        <w:rPr>
          <w:rFonts w:eastAsia="Times New Roman"/>
          <w:sz w:val="24"/>
          <w:szCs w:val="24"/>
        </w:rPr>
        <w:t xml:space="preserve">, 79 Colo. 51, 244 P. 598 (1926); </w:t>
      </w:r>
      <w:r w:rsidRPr="00A638C1">
        <w:rPr>
          <w:rFonts w:eastAsia="Times New Roman"/>
          <w:b/>
          <w:sz w:val="24"/>
          <w:szCs w:val="24"/>
        </w:rPr>
        <w:t>Ponder v. Altura Farms Co.</w:t>
      </w:r>
      <w:r w:rsidRPr="00A638C1">
        <w:rPr>
          <w:rFonts w:eastAsia="Times New Roman"/>
          <w:sz w:val="24"/>
          <w:szCs w:val="24"/>
        </w:rPr>
        <w:t>, 57 Colo. 519, 143 P. 570 (1914).</w:t>
      </w:r>
    </w:p>
    <w:p w14:paraId="1D0336F0"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2. For an effective waiver, the plaintiff must have elected to continue after receiving full</w:t>
      </w:r>
      <w:r w:rsidRPr="00A638C1">
        <w:rPr>
          <w:rFonts w:eastAsia="Times New Roman"/>
          <w:i/>
          <w:sz w:val="24"/>
          <w:szCs w:val="24"/>
        </w:rPr>
        <w:t xml:space="preserve"> </w:t>
      </w:r>
      <w:r w:rsidRPr="00A638C1">
        <w:rPr>
          <w:rFonts w:eastAsia="Times New Roman"/>
          <w:sz w:val="24"/>
          <w:szCs w:val="24"/>
        </w:rPr>
        <w:t xml:space="preserve">knowledge of the true facts. </w:t>
      </w:r>
      <w:r w:rsidRPr="00A638C1">
        <w:rPr>
          <w:rFonts w:eastAsia="Times New Roman"/>
          <w:b/>
          <w:sz w:val="24"/>
          <w:szCs w:val="24"/>
        </w:rPr>
        <w:t>Holland Furnace Co. v. Robson</w:t>
      </w:r>
      <w:r w:rsidRPr="00A638C1">
        <w:rPr>
          <w:rFonts w:eastAsia="Times New Roman"/>
          <w:sz w:val="24"/>
          <w:szCs w:val="24"/>
        </w:rPr>
        <w:t xml:space="preserve">, 157 Colo. 347, 402 P.2d 628 (1965); </w:t>
      </w:r>
      <w:r w:rsidRPr="00A638C1">
        <w:rPr>
          <w:rFonts w:eastAsia="Times New Roman"/>
          <w:b/>
          <w:sz w:val="24"/>
          <w:szCs w:val="24"/>
        </w:rPr>
        <w:t>Elk River Assocs. v. Huskin</w:t>
      </w:r>
      <w:r w:rsidRPr="00A638C1">
        <w:rPr>
          <w:rFonts w:eastAsia="Times New Roman"/>
          <w:sz w:val="24"/>
          <w:szCs w:val="24"/>
        </w:rPr>
        <w:t>,</w:t>
      </w:r>
      <w:r w:rsidRPr="00A638C1">
        <w:rPr>
          <w:rFonts w:eastAsia="Times New Roman"/>
          <w:b/>
          <w:sz w:val="24"/>
          <w:szCs w:val="24"/>
        </w:rPr>
        <w:t xml:space="preserve"> </w:t>
      </w:r>
      <w:r w:rsidRPr="00A638C1">
        <w:rPr>
          <w:rFonts w:eastAsia="Times New Roman"/>
          <w:sz w:val="24"/>
          <w:szCs w:val="24"/>
        </w:rPr>
        <w:t xml:space="preserve">691 P.2d 1148 (Colo. App. 1984); </w:t>
      </w:r>
      <w:r w:rsidRPr="00A638C1">
        <w:rPr>
          <w:rFonts w:eastAsia="Times New Roman"/>
          <w:b/>
          <w:sz w:val="24"/>
          <w:szCs w:val="24"/>
        </w:rPr>
        <w:t>Adams v. Paine, Webber, Jackson &amp; Curtis, Inc.</w:t>
      </w:r>
      <w:r w:rsidRPr="00A638C1">
        <w:rPr>
          <w:rFonts w:eastAsia="Times New Roman"/>
          <w:sz w:val="24"/>
          <w:szCs w:val="24"/>
        </w:rPr>
        <w:t xml:space="preserve">, 686 P.2d 797 (Colo. App. 1983), </w:t>
      </w:r>
      <w:r w:rsidRPr="00A638C1">
        <w:rPr>
          <w:rFonts w:eastAsia="Times New Roman"/>
          <w:i/>
          <w:sz w:val="24"/>
          <w:szCs w:val="24"/>
        </w:rPr>
        <w:t>aff’d on other grounds</w:t>
      </w:r>
      <w:r w:rsidRPr="00A638C1">
        <w:rPr>
          <w:rFonts w:eastAsia="Times New Roman"/>
          <w:sz w:val="24"/>
          <w:szCs w:val="24"/>
        </w:rPr>
        <w:t xml:space="preserve">, 718 P.2d 508 (Colo. 1986). Even with full knowledge, continuing performance does not constitute a waiver if, under the circumstances, a reasonably prudent person would have done so. </w:t>
      </w:r>
      <w:r w:rsidRPr="00A638C1">
        <w:rPr>
          <w:rFonts w:eastAsia="Times New Roman"/>
          <w:b/>
          <w:sz w:val="24"/>
          <w:szCs w:val="24"/>
        </w:rPr>
        <w:t>Sellar v. Clelland</w:t>
      </w:r>
      <w:r w:rsidRPr="00A638C1">
        <w:rPr>
          <w:rFonts w:eastAsia="Times New Roman"/>
          <w:sz w:val="24"/>
          <w:szCs w:val="24"/>
        </w:rPr>
        <w:t>, 2 Colo. 532 (1875).</w:t>
      </w:r>
    </w:p>
    <w:p w14:paraId="1F5F50C2"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 xml:space="preserve">3. If the plaintiff learned of the actual facts before the plaintiff took any action in reliance, for example, entering into a contract with another person, then the plaintiff’s claim must fail not because of waiver but because the plaintiff cannot meet his or her own burden of proof on the issue of reliance. </w:t>
      </w:r>
      <w:r w:rsidRPr="00A638C1">
        <w:rPr>
          <w:rFonts w:eastAsia="Times New Roman"/>
          <w:i/>
          <w:sz w:val="24"/>
          <w:szCs w:val="24"/>
        </w:rPr>
        <w:t>See</w:t>
      </w:r>
      <w:r w:rsidRPr="00A638C1">
        <w:rPr>
          <w:rFonts w:eastAsia="Times New Roman"/>
          <w:sz w:val="24"/>
          <w:szCs w:val="24"/>
        </w:rPr>
        <w:t xml:space="preserve"> Instructions 19:7 and 19:11.</w:t>
      </w:r>
    </w:p>
    <w:p w14:paraId="26A9E577" w14:textId="77777777" w:rsidR="00A638C1" w:rsidRDefault="00A638C1">
      <w:pPr>
        <w:rPr>
          <w:rFonts w:eastAsia="Times New Roman"/>
          <w:sz w:val="24"/>
          <w:szCs w:val="24"/>
        </w:rPr>
      </w:pPr>
      <w:r>
        <w:rPr>
          <w:rFonts w:eastAsia="Times New Roman"/>
          <w:sz w:val="24"/>
          <w:szCs w:val="24"/>
        </w:rPr>
        <w:br w:type="page"/>
      </w:r>
    </w:p>
    <w:p w14:paraId="5ED4C88A" w14:textId="77777777" w:rsidR="00A638C1" w:rsidRPr="009E3DA4" w:rsidRDefault="007E567C" w:rsidP="00A638C1">
      <w:pPr>
        <w:spacing w:after="240"/>
        <w:ind w:left="720" w:hanging="720"/>
        <w:rPr>
          <w:rFonts w:eastAsia="Times New Roman"/>
          <w:b/>
          <w:sz w:val="24"/>
          <w:szCs w:val="24"/>
        </w:rPr>
      </w:pPr>
      <w:bookmarkStart w:id="16" w:name="a19_17"/>
      <w:bookmarkEnd w:id="16"/>
      <w:r w:rsidRPr="007E567C">
        <w:rPr>
          <w:rFonts w:eastAsia="Times New Roman"/>
          <w:b/>
          <w:sz w:val="24"/>
          <w:szCs w:val="24"/>
        </w:rPr>
        <w:lastRenderedPageBreak/>
        <w:t xml:space="preserve">19:17 </w:t>
      </w:r>
      <w:r w:rsidRPr="007E567C">
        <w:rPr>
          <w:rFonts w:eastAsia="Times New Roman"/>
          <w:b/>
          <w:sz w:val="24"/>
          <w:szCs w:val="24"/>
        </w:rPr>
        <w:tab/>
        <w:t>ACTUAL DAMAGES</w:t>
      </w:r>
    </w:p>
    <w:p w14:paraId="241E4CD2" w14:textId="73216AD1"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Plaintiff, </w:t>
      </w:r>
      <w:r w:rsidRPr="007E567C">
        <w:rPr>
          <w:rFonts w:eastAsia="Times New Roman"/>
          <w:i/>
          <w:sz w:val="24"/>
          <w:szCs w:val="24"/>
        </w:rPr>
        <w:t>(name)</w:t>
      </w:r>
      <w:r w:rsidRPr="007E567C">
        <w:rPr>
          <w:rFonts w:eastAsia="Times New Roman"/>
          <w:b/>
          <w:sz w:val="24"/>
          <w:szCs w:val="24"/>
        </w:rPr>
        <w:t xml:space="preserve">, has the burden of proving the nature and extent of </w:t>
      </w:r>
      <w:r w:rsidR="00EB2FA5">
        <w:rPr>
          <w:rFonts w:eastAsia="Times New Roman"/>
          <w:bCs/>
          <w:i/>
          <w:iCs/>
          <w:sz w:val="24"/>
          <w:szCs w:val="24"/>
        </w:rPr>
        <w:t>(insert applicable pronoun)</w:t>
      </w:r>
      <w:r w:rsidRPr="007E567C">
        <w:rPr>
          <w:rFonts w:eastAsia="Times New Roman"/>
          <w:b/>
          <w:sz w:val="24"/>
          <w:szCs w:val="24"/>
        </w:rPr>
        <w:t xml:space="preserve"> damages by a preponderance of the evidence. If you find in favor of the plaintiff, you must determine the total dollar amount of the plaintiff’s damages, if any, that were caused by the </w:t>
      </w:r>
      <w:r w:rsidRPr="007E567C">
        <w:rPr>
          <w:rFonts w:eastAsia="Times New Roman"/>
          <w:i/>
          <w:sz w:val="24"/>
          <w:szCs w:val="24"/>
        </w:rPr>
        <w:t>(insert appropriate description, e.g., “false representation[s]” or “deceit”)</w:t>
      </w:r>
      <w:r w:rsidRPr="007E567C">
        <w:rPr>
          <w:rFonts w:eastAsia="Times New Roman"/>
          <w:b/>
          <w:sz w:val="24"/>
          <w:szCs w:val="24"/>
        </w:rPr>
        <w:t xml:space="preserve"> of the defendant(s), </w:t>
      </w:r>
      <w:r w:rsidRPr="007E567C">
        <w:rPr>
          <w:rFonts w:eastAsia="Times New Roman"/>
          <w:i/>
          <w:sz w:val="24"/>
          <w:szCs w:val="24"/>
        </w:rPr>
        <w:t>(name[s])</w:t>
      </w:r>
      <w:r w:rsidRPr="007E567C">
        <w:rPr>
          <w:rFonts w:eastAsia="Times New Roman"/>
          <w:b/>
          <w:sz w:val="24"/>
          <w:szCs w:val="24"/>
        </w:rPr>
        <w:t xml:space="preserve">, (and the </w:t>
      </w:r>
      <w:r w:rsidRPr="007E567C">
        <w:rPr>
          <w:rFonts w:eastAsia="Times New Roman"/>
          <w:i/>
          <w:sz w:val="24"/>
          <w:szCs w:val="24"/>
        </w:rPr>
        <w:t>[insert appropriate description, e.g., “negligence”]</w:t>
      </w:r>
      <w:r w:rsidRPr="007E567C">
        <w:rPr>
          <w:rFonts w:eastAsia="Times New Roman"/>
          <w:b/>
          <w:sz w:val="24"/>
          <w:szCs w:val="24"/>
        </w:rPr>
        <w:t>, if any, of any designated nonparties).</w:t>
      </w:r>
    </w:p>
    <w:p w14:paraId="3975E35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In determining these damages, you shall consider the following:</w:t>
      </w:r>
    </w:p>
    <w:p w14:paraId="7A9F4C48"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(1. The difference between the market value of the property and what its value would have been had the representation been true) (and)</w:t>
      </w:r>
    </w:p>
    <w:p w14:paraId="4C3E518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(2. </w:t>
      </w:r>
      <w:r w:rsidRPr="007E567C">
        <w:rPr>
          <w:rFonts w:eastAsia="Times New Roman"/>
          <w:i/>
          <w:sz w:val="24"/>
          <w:szCs w:val="24"/>
        </w:rPr>
        <w:t>[Insert any other consequential damages the jury might reasonably find the plaintiff sustained as a proximate result of the defendant’s false representation, concealment or nondisclosure.]</w:t>
      </w:r>
      <w:r w:rsidRPr="007E567C">
        <w:rPr>
          <w:rFonts w:eastAsia="Times New Roman"/>
          <w:b/>
          <w:sz w:val="24"/>
          <w:szCs w:val="24"/>
        </w:rPr>
        <w:t>).</w:t>
      </w:r>
    </w:p>
    <w:p w14:paraId="0DCA8D20" w14:textId="77777777" w:rsidR="00A638C1" w:rsidRDefault="00A638C1" w:rsidP="00A638C1">
      <w:pPr>
        <w:jc w:val="center"/>
        <w:rPr>
          <w:rFonts w:eastAsia="Times New Roman"/>
          <w:sz w:val="24"/>
          <w:szCs w:val="24"/>
        </w:rPr>
      </w:pPr>
    </w:p>
    <w:p w14:paraId="2E94B960" w14:textId="77777777" w:rsidR="00A638C1" w:rsidRPr="0054263B" w:rsidRDefault="00A638C1" w:rsidP="00A638C1">
      <w:pPr>
        <w:keepNext/>
        <w:spacing w:after="240"/>
        <w:jc w:val="center"/>
        <w:rPr>
          <w:rFonts w:eastAsia="Times New Roman"/>
          <w:b/>
          <w:sz w:val="24"/>
          <w:szCs w:val="24"/>
        </w:rPr>
      </w:pPr>
      <w:r w:rsidRPr="0054263B">
        <w:rPr>
          <w:rFonts w:eastAsia="Times New Roman"/>
          <w:b/>
          <w:sz w:val="24"/>
          <w:szCs w:val="24"/>
        </w:rPr>
        <w:t>Notes on Use</w:t>
      </w:r>
    </w:p>
    <w:p w14:paraId="1A986CE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1. Use whichever parenthesized portions are appropriate.</w:t>
      </w:r>
    </w:p>
    <w:p w14:paraId="6497536D"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2. Paragraph 1 states the proper measure of damages in the typical contract situation where the plaintiff has suffered actual damages in the sense that the plaintiff has given something of value by performing the contract.</w:t>
      </w:r>
    </w:p>
    <w:p w14:paraId="1C68778F"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3. Under Paragraph 2, in a contract situation, the plaintiff may also recover any consequential damages which were the proximate result of his or her reliance. For example, a plaintiff who bought a warehouse falsely represented as being fireproof could recover the difference in value between a fireproof and a nonfireproof warehouse under Paragraph 1, and if, in reliance, the plaintiff also stored goods in the warehouse which subsequently burned, destroying the goods, the plaintiff could also recover their value under Paragraph 2. If the plaintiff has been induced to part with something of value in a non-contract situation, for example, making a gift of money to a third person, recovery would be had under Paragraph 2, and Paragraph 1 should be omitted. In the typical contract case, where plaintiff’s principal recovery will be under Paragraph 1, the plaintiff cannot under Paragraph 2 also recover what the plaintiff may have given as his or her performance under the contract, since by suing in deceit the plaintiff has affirmed the contract.</w:t>
      </w:r>
    </w:p>
    <w:p w14:paraId="6EBF5F32"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When Paragraph 2 is given, the consequential damages the plaintiff may be entitled to recover should be identified with some specificity, and care should be taken that such damages, as described, do not include any damages recoverable under Paragraph 1. </w:t>
      </w:r>
      <w:r w:rsidRPr="007E567C">
        <w:rPr>
          <w:rFonts w:eastAsia="Times New Roman"/>
          <w:i/>
          <w:sz w:val="24"/>
          <w:szCs w:val="24"/>
        </w:rPr>
        <w:t>See</w:t>
      </w:r>
      <w:r w:rsidRPr="007E567C">
        <w:rPr>
          <w:rFonts w:eastAsia="Times New Roman"/>
          <w:sz w:val="24"/>
          <w:szCs w:val="24"/>
        </w:rPr>
        <w:t xml:space="preserve"> </w:t>
      </w:r>
      <w:r w:rsidRPr="007E567C">
        <w:rPr>
          <w:rFonts w:eastAsia="Times New Roman"/>
          <w:b/>
          <w:sz w:val="24"/>
          <w:szCs w:val="24"/>
        </w:rPr>
        <w:t>Forsyth v. Associated Grocers of Colo., Inc.</w:t>
      </w:r>
      <w:r w:rsidRPr="007E567C">
        <w:rPr>
          <w:rFonts w:eastAsia="Times New Roman"/>
          <w:sz w:val="24"/>
          <w:szCs w:val="24"/>
        </w:rPr>
        <w:t>, 724 P.2d 1360 (Colo. App. 1986).</w:t>
      </w:r>
    </w:p>
    <w:p w14:paraId="3EB3EE7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As an alternative to the “out of bargain” rule set out as Paragraph 1, the court, in a deceit case involving deterioration of a house because of a concealed defect, approved the measure of damages as being the cost to the plaintiff of putting “the property in the condition </w:t>
      </w:r>
      <w:r w:rsidRPr="007E567C">
        <w:rPr>
          <w:rFonts w:eastAsia="Times New Roman"/>
          <w:sz w:val="24"/>
          <w:szCs w:val="24"/>
        </w:rPr>
        <w:lastRenderedPageBreak/>
        <w:t xml:space="preserve">that would bring it into conformity with the value of the property as it was represented.” </w:t>
      </w:r>
      <w:r w:rsidRPr="007E567C">
        <w:rPr>
          <w:rFonts w:eastAsia="Times New Roman"/>
          <w:b/>
          <w:sz w:val="24"/>
          <w:szCs w:val="24"/>
        </w:rPr>
        <w:t>Carpenter v. Donohoe</w:t>
      </w:r>
      <w:r w:rsidRPr="007E567C">
        <w:rPr>
          <w:rFonts w:eastAsia="Times New Roman"/>
          <w:sz w:val="24"/>
          <w:szCs w:val="24"/>
        </w:rPr>
        <w:t xml:space="preserve">, 154 Colo. 78, 81, 388 P.2d 399, 401 (1964); </w:t>
      </w:r>
      <w:r w:rsidRPr="007E567C">
        <w:rPr>
          <w:rFonts w:eastAsia="Times New Roman"/>
          <w:i/>
          <w:sz w:val="24"/>
          <w:szCs w:val="24"/>
        </w:rPr>
        <w:t>accord</w:t>
      </w:r>
      <w:r w:rsidRPr="007E567C">
        <w:rPr>
          <w:rFonts w:eastAsia="Times New Roman"/>
          <w:sz w:val="24"/>
          <w:szCs w:val="24"/>
        </w:rPr>
        <w:t xml:space="preserve"> </w:t>
      </w:r>
      <w:r w:rsidRPr="007E567C">
        <w:rPr>
          <w:rFonts w:eastAsia="Times New Roman"/>
          <w:b/>
          <w:sz w:val="24"/>
          <w:szCs w:val="24"/>
        </w:rPr>
        <w:t>Slack v. Sodal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190 Colo. 411, 547 P.2d 923 (1976); </w:t>
      </w:r>
      <w:r w:rsidRPr="007E567C">
        <w:rPr>
          <w:rFonts w:eastAsia="Times New Roman"/>
          <w:i/>
          <w:sz w:val="24"/>
          <w:szCs w:val="24"/>
        </w:rPr>
        <w:t>see also</w:t>
      </w:r>
      <w:r w:rsidRPr="007E567C">
        <w:rPr>
          <w:rFonts w:eastAsia="Times New Roman"/>
          <w:sz w:val="24"/>
          <w:szCs w:val="24"/>
        </w:rPr>
        <w:t xml:space="preserve"> </w:t>
      </w:r>
      <w:r w:rsidRPr="007E567C">
        <w:rPr>
          <w:rFonts w:eastAsia="Times New Roman"/>
          <w:b/>
          <w:sz w:val="24"/>
          <w:szCs w:val="24"/>
        </w:rPr>
        <w:t>McNeill v. Allen</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35 Colo. App. 317, 534 P.2d 813 (1975).</w:t>
      </w:r>
    </w:p>
    <w:p w14:paraId="17D0E57D" w14:textId="77777777" w:rsidR="00A638C1" w:rsidRPr="0054263B" w:rsidRDefault="00A638C1" w:rsidP="00A638C1">
      <w:pPr>
        <w:keepNext/>
        <w:spacing w:after="240"/>
        <w:jc w:val="center"/>
        <w:rPr>
          <w:rFonts w:eastAsia="Times New Roman"/>
          <w:b/>
          <w:sz w:val="24"/>
          <w:szCs w:val="24"/>
        </w:rPr>
      </w:pPr>
      <w:r>
        <w:rPr>
          <w:rFonts w:eastAsia="Times New Roman"/>
          <w:b/>
          <w:sz w:val="24"/>
          <w:szCs w:val="24"/>
        </w:rPr>
        <w:t>Source and Authority</w:t>
      </w:r>
    </w:p>
    <w:p w14:paraId="4400A91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1. The “out of bargain” rule, set out in Paragraph 1, is supported by </w:t>
      </w:r>
      <w:r w:rsidRPr="007E567C">
        <w:rPr>
          <w:rFonts w:eastAsia="Times New Roman"/>
          <w:b/>
          <w:sz w:val="24"/>
          <w:szCs w:val="24"/>
        </w:rPr>
        <w:t>Ballow v. PHICO Insurance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878 P.2d 672 (Colo. 1994) (measure of damages in both breach of contract actions and tort actions for fraud involving contract between the parties is “benefit of bargain” rule); </w:t>
      </w:r>
      <w:r w:rsidRPr="007E567C">
        <w:rPr>
          <w:rFonts w:eastAsia="Times New Roman"/>
          <w:b/>
          <w:sz w:val="24"/>
          <w:szCs w:val="24"/>
        </w:rPr>
        <w:t>Trimble v. City &amp; County of Denver</w:t>
      </w:r>
      <w:r w:rsidRPr="007E567C">
        <w:rPr>
          <w:rFonts w:eastAsia="Times New Roman"/>
          <w:sz w:val="24"/>
          <w:szCs w:val="24"/>
        </w:rPr>
        <w:t xml:space="preserve">, 697 P.2d 716 (Colo. 1985); </w:t>
      </w:r>
      <w:r w:rsidRPr="007E567C">
        <w:rPr>
          <w:rFonts w:eastAsia="Times New Roman"/>
          <w:b/>
          <w:sz w:val="24"/>
          <w:szCs w:val="24"/>
        </w:rPr>
        <w:t>Greathouse v. Jones</w:t>
      </w:r>
      <w:r w:rsidRPr="007E567C">
        <w:rPr>
          <w:rFonts w:eastAsia="Times New Roman"/>
          <w:sz w:val="24"/>
          <w:szCs w:val="24"/>
        </w:rPr>
        <w:t xml:space="preserve">, 158 Colo. 516, 408 P.2d 439 (1965); </w:t>
      </w:r>
      <w:r w:rsidRPr="007E567C">
        <w:rPr>
          <w:rFonts w:eastAsia="Times New Roman"/>
          <w:b/>
          <w:sz w:val="24"/>
          <w:szCs w:val="24"/>
        </w:rPr>
        <w:t>Corder v. Laws</w:t>
      </w:r>
      <w:r w:rsidRPr="007E567C">
        <w:rPr>
          <w:rFonts w:eastAsia="Times New Roman"/>
          <w:sz w:val="24"/>
          <w:szCs w:val="24"/>
        </w:rPr>
        <w:t xml:space="preserve">, 148 Colo. 310, 366 P.2d 369 (1961); </w:t>
      </w:r>
      <w:r w:rsidRPr="007E567C">
        <w:rPr>
          <w:rFonts w:eastAsia="Times New Roman"/>
          <w:b/>
          <w:sz w:val="24"/>
          <w:szCs w:val="24"/>
        </w:rPr>
        <w:t>Shirley v. Merritt</w:t>
      </w:r>
      <w:r w:rsidRPr="007E567C">
        <w:rPr>
          <w:rFonts w:eastAsia="Times New Roman"/>
          <w:sz w:val="24"/>
          <w:szCs w:val="24"/>
        </w:rPr>
        <w:t xml:space="preserve">, 147 Colo. 301, 364 P.2d 192 (1961); </w:t>
      </w:r>
      <w:r w:rsidRPr="007E567C">
        <w:rPr>
          <w:rFonts w:eastAsia="Times New Roman"/>
          <w:b/>
          <w:sz w:val="24"/>
          <w:szCs w:val="24"/>
        </w:rPr>
        <w:t>Otis &amp; Co. v. Grimes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97 Colo. 219, 48 P.2d 788 (1935) (specifically rejecting the “out of pocket” rule approved in two earlier cases); </w:t>
      </w:r>
      <w:r w:rsidRPr="007E567C">
        <w:rPr>
          <w:rFonts w:eastAsia="Times New Roman"/>
          <w:b/>
          <w:sz w:val="24"/>
          <w:szCs w:val="24"/>
        </w:rPr>
        <w:t>Herefort v. Cramer</w:t>
      </w:r>
      <w:r w:rsidRPr="007E567C">
        <w:rPr>
          <w:rFonts w:eastAsia="Times New Roman"/>
          <w:sz w:val="24"/>
          <w:szCs w:val="24"/>
        </w:rPr>
        <w:t>, 7 Colo. 483, 4 P. 896 (1884);</w:t>
      </w:r>
      <w:r w:rsidRPr="007E567C">
        <w:rPr>
          <w:rFonts w:eastAsia="Times New Roman"/>
          <w:b/>
          <w:sz w:val="24"/>
          <w:szCs w:val="24"/>
        </w:rPr>
        <w:t xml:space="preserve"> Club Matrix, LLC v. Nassi</w:t>
      </w:r>
      <w:r w:rsidRPr="007E567C">
        <w:rPr>
          <w:rFonts w:eastAsia="Times New Roman"/>
          <w:sz w:val="24"/>
          <w:szCs w:val="24"/>
        </w:rPr>
        <w:t xml:space="preserve">, 284 P.3d 93 (Colo. App. 2011); </w:t>
      </w:r>
      <w:r w:rsidRPr="007E567C">
        <w:rPr>
          <w:rFonts w:eastAsia="Times New Roman"/>
          <w:b/>
          <w:sz w:val="24"/>
          <w:szCs w:val="24"/>
        </w:rPr>
        <w:t>Black v. First Federal Savings &amp; Loan Ass’n</w:t>
      </w:r>
      <w:r w:rsidRPr="007E567C">
        <w:rPr>
          <w:rFonts w:eastAsia="Times New Roman"/>
          <w:sz w:val="24"/>
          <w:szCs w:val="24"/>
        </w:rPr>
        <w:t xml:space="preserve">, 830 P.2d 1103 (Colo. App. 1992) (recognizing “benefit of bargain” rule, but concluding that proper measure of damages for fraudulently inducing bank to lend money was amount lent plus interest), </w:t>
      </w:r>
      <w:r w:rsidRPr="007E567C">
        <w:rPr>
          <w:rFonts w:eastAsia="Times New Roman"/>
          <w:i/>
          <w:sz w:val="24"/>
          <w:szCs w:val="24"/>
        </w:rPr>
        <w:t>aff’d on other grounds sub nom.</w:t>
      </w:r>
      <w:r w:rsidRPr="007E567C">
        <w:rPr>
          <w:rFonts w:eastAsia="Times New Roman"/>
          <w:sz w:val="24"/>
          <w:szCs w:val="24"/>
        </w:rPr>
        <w:t xml:space="preserve"> </w:t>
      </w:r>
      <w:r w:rsidRPr="007E567C">
        <w:rPr>
          <w:rFonts w:eastAsia="Times New Roman"/>
          <w:b/>
          <w:sz w:val="24"/>
          <w:szCs w:val="24"/>
        </w:rPr>
        <w:t>La Plata Medical Center Associates v. United Bank of Durango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857 P.2d 410 (Colo. 1993); </w:t>
      </w:r>
      <w:r w:rsidRPr="007E567C">
        <w:rPr>
          <w:rFonts w:eastAsia="Times New Roman"/>
          <w:b/>
          <w:sz w:val="24"/>
          <w:szCs w:val="24"/>
        </w:rPr>
        <w:t>Feit v. Donahue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826 P.2d 407 (Colo. App. 1992); </w:t>
      </w:r>
      <w:r w:rsidRPr="007E567C">
        <w:rPr>
          <w:rFonts w:eastAsia="Times New Roman"/>
          <w:b/>
          <w:sz w:val="24"/>
          <w:szCs w:val="24"/>
        </w:rPr>
        <w:t>Harrison v. Smith</w:t>
      </w:r>
      <w:r w:rsidRPr="007E567C">
        <w:rPr>
          <w:rFonts w:eastAsia="Times New Roman"/>
          <w:sz w:val="24"/>
          <w:szCs w:val="24"/>
        </w:rPr>
        <w:t xml:space="preserve">, 821 P.2d 832 (Colo. App. 1991); </w:t>
      </w:r>
      <w:r w:rsidRPr="007E567C">
        <w:rPr>
          <w:rFonts w:eastAsia="Times New Roman"/>
          <w:b/>
          <w:sz w:val="24"/>
          <w:szCs w:val="24"/>
        </w:rPr>
        <w:t>Colorado Performance Corp. v. Mariposa Associates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754 P.2d 401 (Colo. App. 1987) (illustrating application of rule in a nondisclosure case); and </w:t>
      </w:r>
      <w:r w:rsidRPr="007E567C">
        <w:rPr>
          <w:rFonts w:eastAsia="Times New Roman"/>
          <w:b/>
          <w:sz w:val="24"/>
          <w:szCs w:val="24"/>
        </w:rPr>
        <w:t>Elk River Associates v. Huskin</w:t>
      </w:r>
      <w:r w:rsidRPr="007E567C">
        <w:rPr>
          <w:rFonts w:eastAsia="Times New Roman"/>
          <w:sz w:val="24"/>
          <w:szCs w:val="24"/>
        </w:rPr>
        <w:t>, 691 P.2d 1148 (Colo. App. 1984).</w:t>
      </w:r>
    </w:p>
    <w:p w14:paraId="6864293A" w14:textId="1F9D515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2. For illustrations of the kind of consequential damages the plaintiff may or may not be able to recover under Paragraph 2, see </w:t>
      </w:r>
      <w:r w:rsidRPr="007E567C">
        <w:rPr>
          <w:rFonts w:eastAsia="Times New Roman"/>
          <w:b/>
          <w:sz w:val="24"/>
          <w:szCs w:val="24"/>
        </w:rPr>
        <w:t>Teare v. Sussman</w:t>
      </w:r>
      <w:r w:rsidRPr="007E567C">
        <w:rPr>
          <w:rFonts w:eastAsia="Times New Roman"/>
          <w:sz w:val="24"/>
          <w:szCs w:val="24"/>
        </w:rPr>
        <w:t xml:space="preserve">, 120 Colo. 488, 210 P.2d 446 (1949); </w:t>
      </w:r>
      <w:r w:rsidRPr="007E567C">
        <w:rPr>
          <w:rFonts w:eastAsia="Times New Roman"/>
          <w:b/>
          <w:sz w:val="24"/>
          <w:szCs w:val="24"/>
        </w:rPr>
        <w:t>Chandler v. Ziegler</w:t>
      </w:r>
      <w:r w:rsidRPr="007E567C">
        <w:rPr>
          <w:rFonts w:eastAsia="Times New Roman"/>
          <w:sz w:val="24"/>
          <w:szCs w:val="24"/>
        </w:rPr>
        <w:t xml:space="preserve">, 88 Colo. 1, 291 P. 822 (1930); </w:t>
      </w:r>
      <w:r w:rsidRPr="007E567C">
        <w:rPr>
          <w:rFonts w:eastAsia="Times New Roman"/>
          <w:b/>
          <w:sz w:val="24"/>
          <w:szCs w:val="24"/>
        </w:rPr>
        <w:t>Intermountain Lumber Co. v. Radetsky</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 Colo. 570, 227 P. 564 (1924); </w:t>
      </w:r>
      <w:r w:rsidRPr="007E567C">
        <w:rPr>
          <w:rFonts w:eastAsia="Times New Roman"/>
          <w:b/>
          <w:sz w:val="24"/>
          <w:szCs w:val="24"/>
        </w:rPr>
        <w:t>Flora v. Hoeft</w:t>
      </w:r>
      <w:r w:rsidRPr="007E567C">
        <w:rPr>
          <w:rFonts w:eastAsia="Times New Roman"/>
          <w:sz w:val="24"/>
          <w:szCs w:val="24"/>
        </w:rPr>
        <w:t xml:space="preserve">, 71 Colo. 273, 206 P. 381 (1922); </w:t>
      </w:r>
      <w:r w:rsidRPr="007E567C">
        <w:rPr>
          <w:rFonts w:eastAsia="Times New Roman"/>
          <w:b/>
          <w:sz w:val="24"/>
          <w:szCs w:val="24"/>
        </w:rPr>
        <w:t>Peppers v. Metzler</w:t>
      </w:r>
      <w:r w:rsidRPr="007E567C">
        <w:rPr>
          <w:rFonts w:eastAsia="Times New Roman"/>
          <w:sz w:val="24"/>
          <w:szCs w:val="24"/>
        </w:rPr>
        <w:t xml:space="preserve">, 71 Colo. 234, 205 P. 945 (1922); </w:t>
      </w:r>
      <w:r w:rsidRPr="007E567C">
        <w:rPr>
          <w:rFonts w:eastAsia="Times New Roman"/>
          <w:b/>
          <w:sz w:val="24"/>
          <w:szCs w:val="24"/>
        </w:rPr>
        <w:t>American National Bank of Denver v. 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367, 55 P. 1090 (1898); </w:t>
      </w:r>
      <w:r w:rsidRPr="007E567C">
        <w:rPr>
          <w:rFonts w:eastAsia="Times New Roman"/>
          <w:b/>
          <w:sz w:val="24"/>
          <w:szCs w:val="24"/>
        </w:rPr>
        <w:t>Sellar v. Clelland</w:t>
      </w:r>
      <w:r w:rsidRPr="007E567C">
        <w:rPr>
          <w:rFonts w:eastAsia="Times New Roman"/>
          <w:sz w:val="24"/>
          <w:szCs w:val="24"/>
        </w:rPr>
        <w:t xml:space="preserve">, 2 Colo. 532 (1875); </w:t>
      </w:r>
      <w:r w:rsidRPr="007E567C">
        <w:rPr>
          <w:rFonts w:eastAsia="Times New Roman"/>
          <w:b/>
          <w:sz w:val="24"/>
          <w:szCs w:val="24"/>
        </w:rPr>
        <w:t>Club Matrix, LLC</w:t>
      </w:r>
      <w:r w:rsidRPr="007E567C">
        <w:rPr>
          <w:rFonts w:eastAsia="Times New Roman"/>
          <w:sz w:val="24"/>
          <w:szCs w:val="24"/>
        </w:rPr>
        <w:t xml:space="preserve">, 284 P.3d at 96; </w:t>
      </w:r>
      <w:r w:rsidRPr="007E567C">
        <w:rPr>
          <w:rFonts w:eastAsia="Times New Roman"/>
          <w:b/>
          <w:sz w:val="24"/>
          <w:szCs w:val="24"/>
        </w:rPr>
        <w:t>Feit</w:t>
      </w:r>
      <w:r w:rsidRPr="007E567C">
        <w:rPr>
          <w:rFonts w:eastAsia="Times New Roman"/>
          <w:sz w:val="24"/>
          <w:szCs w:val="24"/>
        </w:rPr>
        <w:t xml:space="preserve">, 826 P.2d at 413; </w:t>
      </w:r>
      <w:r w:rsidRPr="007E567C">
        <w:rPr>
          <w:rFonts w:eastAsia="Times New Roman"/>
          <w:b/>
          <w:sz w:val="24"/>
          <w:szCs w:val="24"/>
        </w:rPr>
        <w:t>Russell v. First American Mortgage Co.</w:t>
      </w:r>
      <w:r w:rsidRPr="007E567C">
        <w:rPr>
          <w:rFonts w:eastAsia="Times New Roman"/>
          <w:sz w:val="24"/>
          <w:szCs w:val="24"/>
        </w:rPr>
        <w:t xml:space="preserve">, 39 Colo. App. 360, 565 P.2d 972 (1977); </w:t>
      </w:r>
      <w:r w:rsidRPr="007E567C">
        <w:rPr>
          <w:rFonts w:eastAsia="Times New Roman"/>
          <w:b/>
          <w:sz w:val="24"/>
          <w:szCs w:val="24"/>
        </w:rPr>
        <w:t>McNeill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35 Colo. App. at 326, 534 P.2d at 819-20; </w:t>
      </w:r>
      <w:r w:rsidRPr="007E567C">
        <w:rPr>
          <w:rFonts w:eastAsia="Times New Roman"/>
          <w:b/>
          <w:sz w:val="24"/>
          <w:szCs w:val="24"/>
        </w:rPr>
        <w:t>Wagner v. Dan Unfug Motors, Inc.</w:t>
      </w:r>
      <w:r w:rsidRPr="007E567C">
        <w:rPr>
          <w:rFonts w:eastAsia="Times New Roman"/>
          <w:sz w:val="24"/>
          <w:szCs w:val="24"/>
        </w:rPr>
        <w:t xml:space="preserve">, 35 Colo. App. 102, 529 P.2d 656 (1974); and </w:t>
      </w:r>
      <w:r w:rsidRPr="007E567C">
        <w:rPr>
          <w:rFonts w:eastAsia="Times New Roman"/>
          <w:b/>
          <w:sz w:val="24"/>
          <w:szCs w:val="24"/>
        </w:rPr>
        <w:t>Stamp v. Rippe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29 Colo. App. 185, 483 P.2d 420 (1971).</w:t>
      </w:r>
    </w:p>
    <w:p w14:paraId="658E8DA7"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3. Actual damages are a necessary element of the plaintiff’s cause of action in deceit. </w:t>
      </w:r>
      <w:r w:rsidRPr="007E567C">
        <w:rPr>
          <w:rFonts w:eastAsia="Times New Roman"/>
          <w:b/>
          <w:sz w:val="24"/>
          <w:szCs w:val="24"/>
        </w:rPr>
        <w:t>W. Cities Broad., Inc. v. Schueller</w:t>
      </w:r>
      <w:r w:rsidRPr="007E567C">
        <w:rPr>
          <w:rFonts w:eastAsia="Times New Roman"/>
          <w:sz w:val="24"/>
          <w:szCs w:val="24"/>
        </w:rPr>
        <w:t xml:space="preserve">, 849 P.2d 44 (Colo. 1993); </w:t>
      </w:r>
      <w:r w:rsidRPr="007E567C">
        <w:rPr>
          <w:rFonts w:eastAsia="Times New Roman"/>
          <w:b/>
          <w:sz w:val="24"/>
          <w:szCs w:val="24"/>
        </w:rPr>
        <w:t>Sposato v. Heggs</w:t>
      </w:r>
      <w:r w:rsidRPr="007E567C">
        <w:rPr>
          <w:rFonts w:eastAsia="Times New Roman"/>
          <w:sz w:val="24"/>
          <w:szCs w:val="24"/>
        </w:rPr>
        <w:t xml:space="preserve">, 123 Colo. 553, 233 P.2d 385 (1951); </w:t>
      </w:r>
      <w:r w:rsidRPr="007E567C">
        <w:rPr>
          <w:rFonts w:eastAsia="Times New Roman"/>
          <w:b/>
          <w:sz w:val="24"/>
          <w:szCs w:val="24"/>
        </w:rPr>
        <w:t>Slide Mines, Inc. v. Denver Equip. Co.</w:t>
      </w:r>
      <w:r w:rsidRPr="007E567C">
        <w:rPr>
          <w:rFonts w:eastAsia="Times New Roman"/>
          <w:sz w:val="24"/>
          <w:szCs w:val="24"/>
        </w:rPr>
        <w:t xml:space="preserve">, 112 Colo. 285, 148 P.2d 1009 (1944); </w:t>
      </w:r>
      <w:r w:rsidRPr="007E567C">
        <w:rPr>
          <w:rFonts w:eastAsia="Times New Roman"/>
          <w:b/>
          <w:sz w:val="24"/>
          <w:szCs w:val="24"/>
        </w:rPr>
        <w:t>N. Am. Sav. &amp; Loan Ass’n v. Phillips</w:t>
      </w:r>
      <w:r w:rsidRPr="007E567C">
        <w:rPr>
          <w:rFonts w:eastAsia="Times New Roman"/>
          <w:sz w:val="24"/>
          <w:szCs w:val="24"/>
        </w:rPr>
        <w:t xml:space="preserve">, 94 Colo. 554, 31 P.2d 492 (1934); </w:t>
      </w:r>
      <w:r w:rsidRPr="007E567C">
        <w:rPr>
          <w:rFonts w:eastAsia="Times New Roman"/>
          <w:b/>
          <w:sz w:val="24"/>
          <w:szCs w:val="24"/>
        </w:rPr>
        <w:t>Hart v. Zaitz</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72 Colo. 315, 211 P. 391 (1922); </w:t>
      </w:r>
      <w:r w:rsidRPr="007E567C">
        <w:rPr>
          <w:rFonts w:eastAsia="Times New Roman"/>
          <w:b/>
          <w:sz w:val="24"/>
          <w:szCs w:val="24"/>
        </w:rPr>
        <w:t>Dann v. Perrotti &amp; Hauptman Dev.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670 P.2d 448 (Colo. App. 1983) (When not only the amount of damages is uncertain, but the fact of damages is uncertain as well, there can be no recovery for deceit.).</w:t>
      </w:r>
    </w:p>
    <w:p w14:paraId="28DD3BF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Damages, to be recoverable, must have been a proximate result of the plaintiff’s reliance on the false representation. </w:t>
      </w:r>
      <w:r w:rsidRPr="007E567C">
        <w:rPr>
          <w:rFonts w:eastAsia="Times New Roman"/>
          <w:b/>
          <w:sz w:val="24"/>
          <w:szCs w:val="24"/>
        </w:rPr>
        <w:t>Intermountain Lumber Co.</w:t>
      </w:r>
      <w:r w:rsidRPr="007E567C">
        <w:rPr>
          <w:rFonts w:eastAsia="Times New Roman"/>
          <w:sz w:val="24"/>
          <w:szCs w:val="24"/>
        </w:rPr>
        <w:t xml:space="preserve">, 75 Colo. at 573, 227 P. at 565 (“natural and obvious”); </w:t>
      </w:r>
      <w:r w:rsidRPr="007E567C">
        <w:rPr>
          <w:rFonts w:eastAsia="Times New Roman"/>
          <w:b/>
          <w:sz w:val="24"/>
          <w:szCs w:val="24"/>
        </w:rPr>
        <w:t>Flora</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71 Colo. at 274, 206 P. at 381 (“directly and proximately”); </w:t>
      </w:r>
      <w:r w:rsidRPr="007E567C">
        <w:rPr>
          <w:rFonts w:eastAsia="Times New Roman"/>
          <w:b/>
          <w:sz w:val="24"/>
          <w:szCs w:val="24"/>
        </w:rPr>
        <w:lastRenderedPageBreak/>
        <w:t>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at 374, 55 P. at 1092 (“natural and proximate consequences”); </w:t>
      </w:r>
      <w:r w:rsidRPr="007E567C">
        <w:rPr>
          <w:rFonts w:eastAsia="Times New Roman"/>
          <w:b/>
          <w:sz w:val="24"/>
          <w:szCs w:val="24"/>
        </w:rPr>
        <w:t>Sellar</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 Colo. at 551 (“fairly and directly the result”).</w:t>
      </w:r>
    </w:p>
    <w:p w14:paraId="4A52A668"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Noneconomic damages for mental suffering and emotional distress may be awarded on a claim for fraudulent concealment even though recovery of such damages is generally not available in connection with an injury to property. </w:t>
      </w:r>
      <w:r w:rsidRPr="007E567C">
        <w:rPr>
          <w:rFonts w:eastAsia="Times New Roman"/>
          <w:b/>
          <w:sz w:val="24"/>
          <w:szCs w:val="24"/>
        </w:rPr>
        <w:t>Anson v. Trujillo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56 P.3d 114 (Colo. App. 2002).</w:t>
      </w:r>
    </w:p>
    <w:p w14:paraId="5FC6D3A6"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6. When the plaintiff rescinds a contract because of fraud and seeks restitution of the consideration paid, rather than affirming the contract and suing for damages in deceit, the plaintiff cannot recover exemplary damages. </w:t>
      </w:r>
      <w:r w:rsidRPr="007E567C">
        <w:rPr>
          <w:rFonts w:eastAsia="Times New Roman"/>
          <w:b/>
          <w:sz w:val="24"/>
          <w:szCs w:val="24"/>
        </w:rPr>
        <w:t>Dodds v. Frontier Chevrolet Sales &amp; Serv., Inc.</w:t>
      </w:r>
      <w:r w:rsidRPr="007E567C">
        <w:rPr>
          <w:rFonts w:eastAsia="Times New Roman"/>
          <w:sz w:val="24"/>
          <w:szCs w:val="24"/>
        </w:rPr>
        <w:t>, 676 P.2d 1237 (Colo. App. 1983).</w:t>
      </w:r>
    </w:p>
    <w:p w14:paraId="69B26869" w14:textId="77777777" w:rsidR="00465DAA" w:rsidRPr="00465DAA" w:rsidRDefault="00465DAA" w:rsidP="00465DAA">
      <w:pPr>
        <w:spacing w:after="240"/>
        <w:ind w:firstLine="720"/>
        <w:rPr>
          <w:rFonts w:eastAsia="Times New Roman"/>
          <w:sz w:val="24"/>
          <w:szCs w:val="24"/>
        </w:rPr>
      </w:pPr>
    </w:p>
    <w:sectPr w:rsidR="00465DAA" w:rsidRPr="00465DAA"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C8EA" w14:textId="77777777" w:rsidR="00E216AC" w:rsidRDefault="00E216AC" w:rsidP="0054263B">
      <w:r>
        <w:separator/>
      </w:r>
    </w:p>
    <w:p w14:paraId="50587819" w14:textId="77777777" w:rsidR="00E216AC" w:rsidRDefault="00E216AC"/>
  </w:endnote>
  <w:endnote w:type="continuationSeparator" w:id="0">
    <w:p w14:paraId="547F6349" w14:textId="77777777" w:rsidR="00E216AC" w:rsidRDefault="00E216AC" w:rsidP="0054263B">
      <w:r>
        <w:continuationSeparator/>
      </w:r>
    </w:p>
    <w:p w14:paraId="3610C974" w14:textId="77777777" w:rsidR="00E216AC" w:rsidRDefault="00E21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5C8D1192" w14:textId="77777777" w:rsidR="008261B3" w:rsidRDefault="008261B3">
        <w:pPr>
          <w:pStyle w:val="Footer"/>
          <w:jc w:val="center"/>
        </w:pPr>
        <w:r>
          <w:fldChar w:fldCharType="begin"/>
        </w:r>
        <w:r>
          <w:instrText xml:space="preserve"> PAGE   \* MERGEFORMAT </w:instrText>
        </w:r>
        <w:r>
          <w:fldChar w:fldCharType="separate"/>
        </w:r>
        <w:r w:rsidR="00B36526">
          <w:rPr>
            <w:noProof/>
          </w:rPr>
          <w:t>31</w:t>
        </w:r>
        <w:r>
          <w:rPr>
            <w:noProof/>
          </w:rPr>
          <w:fldChar w:fldCharType="end"/>
        </w:r>
      </w:p>
    </w:sdtContent>
  </w:sdt>
  <w:p w14:paraId="2AE7F405" w14:textId="77777777" w:rsidR="008261B3" w:rsidRDefault="008261B3">
    <w:pPr>
      <w:pStyle w:val="Footer"/>
    </w:pPr>
  </w:p>
  <w:p w14:paraId="1F891F76" w14:textId="77777777" w:rsidR="008261B3" w:rsidRDefault="008261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5339" w14:textId="77777777" w:rsidR="00E216AC" w:rsidRDefault="00E216AC" w:rsidP="0054263B">
      <w:r>
        <w:separator/>
      </w:r>
    </w:p>
    <w:p w14:paraId="4915AF23" w14:textId="77777777" w:rsidR="00E216AC" w:rsidRDefault="00E216AC"/>
  </w:footnote>
  <w:footnote w:type="continuationSeparator" w:id="0">
    <w:p w14:paraId="15E5B39B" w14:textId="77777777" w:rsidR="00E216AC" w:rsidRDefault="00E216AC" w:rsidP="0054263B">
      <w:r>
        <w:continuationSeparator/>
      </w:r>
    </w:p>
    <w:p w14:paraId="2827F96F" w14:textId="77777777" w:rsidR="00E216AC" w:rsidRDefault="00E216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0524838">
    <w:abstractNumId w:val="0"/>
  </w:num>
  <w:num w:numId="2" w16cid:durableId="68355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0E47"/>
    <w:rsid w:val="00040F1D"/>
    <w:rsid w:val="0006367C"/>
    <w:rsid w:val="000824C8"/>
    <w:rsid w:val="00085495"/>
    <w:rsid w:val="000921F1"/>
    <w:rsid w:val="000962C8"/>
    <w:rsid w:val="000A040F"/>
    <w:rsid w:val="000B1B7A"/>
    <w:rsid w:val="000B2943"/>
    <w:rsid w:val="000C204E"/>
    <w:rsid w:val="000C503A"/>
    <w:rsid w:val="000C6A4E"/>
    <w:rsid w:val="000C6F97"/>
    <w:rsid w:val="000D041C"/>
    <w:rsid w:val="000D4856"/>
    <w:rsid w:val="000F205C"/>
    <w:rsid w:val="001117D9"/>
    <w:rsid w:val="00112C8E"/>
    <w:rsid w:val="00112FF9"/>
    <w:rsid w:val="00120E4B"/>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A4380"/>
    <w:rsid w:val="001B43E9"/>
    <w:rsid w:val="001D0446"/>
    <w:rsid w:val="001E0F3B"/>
    <w:rsid w:val="001F0193"/>
    <w:rsid w:val="00200BA5"/>
    <w:rsid w:val="00202B81"/>
    <w:rsid w:val="002065D8"/>
    <w:rsid w:val="0021368F"/>
    <w:rsid w:val="0021730E"/>
    <w:rsid w:val="00217435"/>
    <w:rsid w:val="00220F53"/>
    <w:rsid w:val="0022134E"/>
    <w:rsid w:val="00223286"/>
    <w:rsid w:val="00227D3A"/>
    <w:rsid w:val="0024062B"/>
    <w:rsid w:val="0024597C"/>
    <w:rsid w:val="002547C3"/>
    <w:rsid w:val="002654B4"/>
    <w:rsid w:val="00267805"/>
    <w:rsid w:val="00273777"/>
    <w:rsid w:val="00293F7E"/>
    <w:rsid w:val="002949BF"/>
    <w:rsid w:val="00297627"/>
    <w:rsid w:val="002A23B0"/>
    <w:rsid w:val="002A6EC7"/>
    <w:rsid w:val="002D163D"/>
    <w:rsid w:val="002D345C"/>
    <w:rsid w:val="002E0970"/>
    <w:rsid w:val="002E7530"/>
    <w:rsid w:val="002F41E8"/>
    <w:rsid w:val="002F43B2"/>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55A98"/>
    <w:rsid w:val="003613FE"/>
    <w:rsid w:val="00372541"/>
    <w:rsid w:val="00382177"/>
    <w:rsid w:val="003837B6"/>
    <w:rsid w:val="003937B8"/>
    <w:rsid w:val="003A2F1C"/>
    <w:rsid w:val="003A5A75"/>
    <w:rsid w:val="003B0AAF"/>
    <w:rsid w:val="003C3E92"/>
    <w:rsid w:val="003D027F"/>
    <w:rsid w:val="003D1B54"/>
    <w:rsid w:val="003D370E"/>
    <w:rsid w:val="003E472A"/>
    <w:rsid w:val="003E5B38"/>
    <w:rsid w:val="003E795A"/>
    <w:rsid w:val="003F108C"/>
    <w:rsid w:val="003F6E89"/>
    <w:rsid w:val="00416F56"/>
    <w:rsid w:val="00434371"/>
    <w:rsid w:val="00437917"/>
    <w:rsid w:val="004425AA"/>
    <w:rsid w:val="00456038"/>
    <w:rsid w:val="00465DAA"/>
    <w:rsid w:val="00467B80"/>
    <w:rsid w:val="0047120C"/>
    <w:rsid w:val="00471618"/>
    <w:rsid w:val="00474B1B"/>
    <w:rsid w:val="0047575F"/>
    <w:rsid w:val="0048541F"/>
    <w:rsid w:val="0049313F"/>
    <w:rsid w:val="0049612F"/>
    <w:rsid w:val="004A1210"/>
    <w:rsid w:val="004A32E6"/>
    <w:rsid w:val="004B3499"/>
    <w:rsid w:val="004B753E"/>
    <w:rsid w:val="004C62F9"/>
    <w:rsid w:val="004C723A"/>
    <w:rsid w:val="004E0408"/>
    <w:rsid w:val="004E7EF1"/>
    <w:rsid w:val="005065E6"/>
    <w:rsid w:val="0051385E"/>
    <w:rsid w:val="00516447"/>
    <w:rsid w:val="0052537F"/>
    <w:rsid w:val="00527A18"/>
    <w:rsid w:val="00531F87"/>
    <w:rsid w:val="0053544D"/>
    <w:rsid w:val="0054263B"/>
    <w:rsid w:val="00547D97"/>
    <w:rsid w:val="00550AFD"/>
    <w:rsid w:val="00550C80"/>
    <w:rsid w:val="00557FCC"/>
    <w:rsid w:val="005648EF"/>
    <w:rsid w:val="0057771F"/>
    <w:rsid w:val="005872C6"/>
    <w:rsid w:val="00595B79"/>
    <w:rsid w:val="005A22A6"/>
    <w:rsid w:val="005B3A78"/>
    <w:rsid w:val="005C56C9"/>
    <w:rsid w:val="005C5CCB"/>
    <w:rsid w:val="005D1AD3"/>
    <w:rsid w:val="005D3156"/>
    <w:rsid w:val="005E712D"/>
    <w:rsid w:val="005F1017"/>
    <w:rsid w:val="005F19FD"/>
    <w:rsid w:val="005F5A94"/>
    <w:rsid w:val="00600DFF"/>
    <w:rsid w:val="006272FE"/>
    <w:rsid w:val="006302A4"/>
    <w:rsid w:val="00631956"/>
    <w:rsid w:val="006434F6"/>
    <w:rsid w:val="00644CC0"/>
    <w:rsid w:val="00647CC5"/>
    <w:rsid w:val="00651A64"/>
    <w:rsid w:val="00661D05"/>
    <w:rsid w:val="00675252"/>
    <w:rsid w:val="00682B93"/>
    <w:rsid w:val="0068336D"/>
    <w:rsid w:val="00683FA1"/>
    <w:rsid w:val="006853BE"/>
    <w:rsid w:val="00685E76"/>
    <w:rsid w:val="00687304"/>
    <w:rsid w:val="00691B04"/>
    <w:rsid w:val="00691D4E"/>
    <w:rsid w:val="00697DF2"/>
    <w:rsid w:val="006A74B6"/>
    <w:rsid w:val="006B2457"/>
    <w:rsid w:val="006B26D7"/>
    <w:rsid w:val="006B6541"/>
    <w:rsid w:val="006E0D06"/>
    <w:rsid w:val="006E1057"/>
    <w:rsid w:val="006E34FA"/>
    <w:rsid w:val="006E3575"/>
    <w:rsid w:val="006E59AA"/>
    <w:rsid w:val="006E62F0"/>
    <w:rsid w:val="006F7581"/>
    <w:rsid w:val="006F7DC0"/>
    <w:rsid w:val="00702B5A"/>
    <w:rsid w:val="0070752A"/>
    <w:rsid w:val="007119D8"/>
    <w:rsid w:val="0071225B"/>
    <w:rsid w:val="00713866"/>
    <w:rsid w:val="007216DA"/>
    <w:rsid w:val="00721E85"/>
    <w:rsid w:val="00724230"/>
    <w:rsid w:val="007340B5"/>
    <w:rsid w:val="007532AB"/>
    <w:rsid w:val="00766F81"/>
    <w:rsid w:val="00770FFC"/>
    <w:rsid w:val="00786706"/>
    <w:rsid w:val="00787065"/>
    <w:rsid w:val="00792028"/>
    <w:rsid w:val="007A3A0E"/>
    <w:rsid w:val="007A612E"/>
    <w:rsid w:val="007B1633"/>
    <w:rsid w:val="007B7B98"/>
    <w:rsid w:val="007C724C"/>
    <w:rsid w:val="007D168F"/>
    <w:rsid w:val="007D198E"/>
    <w:rsid w:val="007D2BCE"/>
    <w:rsid w:val="007D39CC"/>
    <w:rsid w:val="007E1675"/>
    <w:rsid w:val="007E567C"/>
    <w:rsid w:val="007F59AC"/>
    <w:rsid w:val="007F7129"/>
    <w:rsid w:val="00801691"/>
    <w:rsid w:val="00806282"/>
    <w:rsid w:val="00813A6B"/>
    <w:rsid w:val="00815158"/>
    <w:rsid w:val="0082168C"/>
    <w:rsid w:val="008261B3"/>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C1739"/>
    <w:rsid w:val="008D2D56"/>
    <w:rsid w:val="008D4A28"/>
    <w:rsid w:val="008D609F"/>
    <w:rsid w:val="008D7ECC"/>
    <w:rsid w:val="008E41F1"/>
    <w:rsid w:val="008E51AF"/>
    <w:rsid w:val="008E6AD2"/>
    <w:rsid w:val="008F35ED"/>
    <w:rsid w:val="008F4C42"/>
    <w:rsid w:val="008F746C"/>
    <w:rsid w:val="009007E8"/>
    <w:rsid w:val="009022AA"/>
    <w:rsid w:val="0090292A"/>
    <w:rsid w:val="00902A25"/>
    <w:rsid w:val="00914128"/>
    <w:rsid w:val="009164C3"/>
    <w:rsid w:val="00932723"/>
    <w:rsid w:val="00935DA8"/>
    <w:rsid w:val="00936D0A"/>
    <w:rsid w:val="009474BF"/>
    <w:rsid w:val="00950692"/>
    <w:rsid w:val="00952BBB"/>
    <w:rsid w:val="0095709A"/>
    <w:rsid w:val="009725D8"/>
    <w:rsid w:val="00973884"/>
    <w:rsid w:val="009902F2"/>
    <w:rsid w:val="009931B9"/>
    <w:rsid w:val="00993CC0"/>
    <w:rsid w:val="009A5AA6"/>
    <w:rsid w:val="009B6746"/>
    <w:rsid w:val="009C0C3F"/>
    <w:rsid w:val="009D5BB2"/>
    <w:rsid w:val="009E20C7"/>
    <w:rsid w:val="009E3DA4"/>
    <w:rsid w:val="009F0635"/>
    <w:rsid w:val="009F56A5"/>
    <w:rsid w:val="009F581C"/>
    <w:rsid w:val="00A005E6"/>
    <w:rsid w:val="00A109BC"/>
    <w:rsid w:val="00A10F3D"/>
    <w:rsid w:val="00A110C7"/>
    <w:rsid w:val="00A36457"/>
    <w:rsid w:val="00A45A39"/>
    <w:rsid w:val="00A50F20"/>
    <w:rsid w:val="00A536FF"/>
    <w:rsid w:val="00A62427"/>
    <w:rsid w:val="00A632A0"/>
    <w:rsid w:val="00A638C1"/>
    <w:rsid w:val="00A73AE6"/>
    <w:rsid w:val="00A76341"/>
    <w:rsid w:val="00A80C10"/>
    <w:rsid w:val="00A80D47"/>
    <w:rsid w:val="00A82D0A"/>
    <w:rsid w:val="00A85AAA"/>
    <w:rsid w:val="00A92C18"/>
    <w:rsid w:val="00A930E4"/>
    <w:rsid w:val="00AB0C10"/>
    <w:rsid w:val="00AB2019"/>
    <w:rsid w:val="00AB71A7"/>
    <w:rsid w:val="00AC78F7"/>
    <w:rsid w:val="00AD06C2"/>
    <w:rsid w:val="00AD4B56"/>
    <w:rsid w:val="00AF24E9"/>
    <w:rsid w:val="00AF6614"/>
    <w:rsid w:val="00AF6D7A"/>
    <w:rsid w:val="00AF7D47"/>
    <w:rsid w:val="00B0264D"/>
    <w:rsid w:val="00B043FF"/>
    <w:rsid w:val="00B05845"/>
    <w:rsid w:val="00B11A9D"/>
    <w:rsid w:val="00B15A7A"/>
    <w:rsid w:val="00B31DBE"/>
    <w:rsid w:val="00B338E2"/>
    <w:rsid w:val="00B35185"/>
    <w:rsid w:val="00B35917"/>
    <w:rsid w:val="00B36526"/>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5C95"/>
    <w:rsid w:val="00BE654D"/>
    <w:rsid w:val="00BE6634"/>
    <w:rsid w:val="00BE7725"/>
    <w:rsid w:val="00BF5DF3"/>
    <w:rsid w:val="00C02E9F"/>
    <w:rsid w:val="00C21D93"/>
    <w:rsid w:val="00C225C9"/>
    <w:rsid w:val="00C26751"/>
    <w:rsid w:val="00C40968"/>
    <w:rsid w:val="00C473A2"/>
    <w:rsid w:val="00C60E95"/>
    <w:rsid w:val="00C610EC"/>
    <w:rsid w:val="00C64DA5"/>
    <w:rsid w:val="00C6641B"/>
    <w:rsid w:val="00C724B6"/>
    <w:rsid w:val="00C84E71"/>
    <w:rsid w:val="00C87463"/>
    <w:rsid w:val="00C8797B"/>
    <w:rsid w:val="00C93B0B"/>
    <w:rsid w:val="00C94C5E"/>
    <w:rsid w:val="00C969F2"/>
    <w:rsid w:val="00CA41CC"/>
    <w:rsid w:val="00CA7EF2"/>
    <w:rsid w:val="00CB008B"/>
    <w:rsid w:val="00CB1686"/>
    <w:rsid w:val="00CC0502"/>
    <w:rsid w:val="00CC1AC8"/>
    <w:rsid w:val="00CC6A95"/>
    <w:rsid w:val="00CC7E17"/>
    <w:rsid w:val="00CD4A7D"/>
    <w:rsid w:val="00CE593D"/>
    <w:rsid w:val="00CF07F1"/>
    <w:rsid w:val="00D00330"/>
    <w:rsid w:val="00D0050C"/>
    <w:rsid w:val="00D014AE"/>
    <w:rsid w:val="00D03766"/>
    <w:rsid w:val="00D05926"/>
    <w:rsid w:val="00D06D8D"/>
    <w:rsid w:val="00D07BF3"/>
    <w:rsid w:val="00D16901"/>
    <w:rsid w:val="00D23BD0"/>
    <w:rsid w:val="00D333AA"/>
    <w:rsid w:val="00D347CA"/>
    <w:rsid w:val="00D51E80"/>
    <w:rsid w:val="00D53848"/>
    <w:rsid w:val="00D53AC5"/>
    <w:rsid w:val="00D5484F"/>
    <w:rsid w:val="00D8125F"/>
    <w:rsid w:val="00D90E67"/>
    <w:rsid w:val="00D91360"/>
    <w:rsid w:val="00DA1796"/>
    <w:rsid w:val="00DA2814"/>
    <w:rsid w:val="00DB2C90"/>
    <w:rsid w:val="00DC63A9"/>
    <w:rsid w:val="00DC66A6"/>
    <w:rsid w:val="00DC7533"/>
    <w:rsid w:val="00DC7959"/>
    <w:rsid w:val="00DE2930"/>
    <w:rsid w:val="00DE77E7"/>
    <w:rsid w:val="00DF2CB7"/>
    <w:rsid w:val="00DF3BF1"/>
    <w:rsid w:val="00E007F8"/>
    <w:rsid w:val="00E058BA"/>
    <w:rsid w:val="00E111AA"/>
    <w:rsid w:val="00E172C8"/>
    <w:rsid w:val="00E21120"/>
    <w:rsid w:val="00E216AC"/>
    <w:rsid w:val="00E24E10"/>
    <w:rsid w:val="00E50187"/>
    <w:rsid w:val="00E55147"/>
    <w:rsid w:val="00E551EB"/>
    <w:rsid w:val="00E64EA9"/>
    <w:rsid w:val="00E67638"/>
    <w:rsid w:val="00E70C9B"/>
    <w:rsid w:val="00E72FF1"/>
    <w:rsid w:val="00E741BA"/>
    <w:rsid w:val="00E7526A"/>
    <w:rsid w:val="00E87248"/>
    <w:rsid w:val="00E87C31"/>
    <w:rsid w:val="00E87FFB"/>
    <w:rsid w:val="00E93068"/>
    <w:rsid w:val="00E9638F"/>
    <w:rsid w:val="00E970B9"/>
    <w:rsid w:val="00EB113C"/>
    <w:rsid w:val="00EB2FA5"/>
    <w:rsid w:val="00EB5133"/>
    <w:rsid w:val="00EC16F4"/>
    <w:rsid w:val="00EC17E3"/>
    <w:rsid w:val="00EC3919"/>
    <w:rsid w:val="00EC7C98"/>
    <w:rsid w:val="00ED5E52"/>
    <w:rsid w:val="00ED7176"/>
    <w:rsid w:val="00ED75EA"/>
    <w:rsid w:val="00EF4043"/>
    <w:rsid w:val="00EF6281"/>
    <w:rsid w:val="00F022D4"/>
    <w:rsid w:val="00F062A4"/>
    <w:rsid w:val="00F0797B"/>
    <w:rsid w:val="00F32AA4"/>
    <w:rsid w:val="00F35EE9"/>
    <w:rsid w:val="00F51743"/>
    <w:rsid w:val="00F573CF"/>
    <w:rsid w:val="00F57A2B"/>
    <w:rsid w:val="00F658E5"/>
    <w:rsid w:val="00F764F4"/>
    <w:rsid w:val="00F86F49"/>
    <w:rsid w:val="00F86F6C"/>
    <w:rsid w:val="00F94F08"/>
    <w:rsid w:val="00FA333E"/>
    <w:rsid w:val="00FA7B76"/>
    <w:rsid w:val="00FB6C40"/>
    <w:rsid w:val="00FD2DF4"/>
    <w:rsid w:val="00FD7D4E"/>
    <w:rsid w:val="00FE00D7"/>
    <w:rsid w:val="00FE156B"/>
    <w:rsid w:val="00FF171F"/>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33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64DA5"/>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10524</Words>
  <Characters>59987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2024-01-10T18:02:00Z</dcterms:created>
  <dcterms:modified xsi:type="dcterms:W3CDTF">2024-01-10T18:03:00Z</dcterms:modified>
</cp:coreProperties>
</file>