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D8CA" w14:textId="09801722" w:rsidR="00CA41CC" w:rsidRPr="00914128" w:rsidRDefault="0068336D" w:rsidP="00914128">
      <w:pPr>
        <w:pStyle w:val="Heading1"/>
      </w:pPr>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19556E"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19556E" w:rsidP="00914128">
      <w:pPr>
        <w:pStyle w:val="ToC"/>
      </w:pPr>
      <w:hyperlink w:anchor="a7_2" w:history="1">
        <w:r w:rsidR="00107D25" w:rsidRPr="00144917">
          <w:rPr>
            <w:rStyle w:val="Hyperlink"/>
          </w:rPr>
          <w:t>7:2</w:t>
        </w:r>
      </w:hyperlink>
      <w:r w:rsidR="00107D25" w:rsidRPr="00144917">
        <w:t xml:space="preserve"> </w:t>
      </w:r>
      <w:r w:rsidR="00107D25"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19556E" w:rsidP="0068336D">
      <w:pPr>
        <w:pStyle w:val="ToC"/>
      </w:pPr>
      <w:hyperlink w:anchor="a7_3" w:history="1">
        <w:r w:rsidR="00107D25" w:rsidRPr="00144917">
          <w:rPr>
            <w:rStyle w:val="Hyperlink"/>
          </w:rPr>
          <w:t>7:3</w:t>
        </w:r>
      </w:hyperlink>
      <w:r w:rsidR="00107D25" w:rsidRPr="00144917">
        <w:t xml:space="preserve"> </w:t>
      </w:r>
      <w:r w:rsidR="00107D25" w:rsidRPr="00144917">
        <w:tab/>
        <w:t>General Partnership — Defined</w:t>
      </w:r>
    </w:p>
    <w:p w14:paraId="56A8A251" w14:textId="77777777" w:rsidR="00144917" w:rsidRDefault="0019556E" w:rsidP="0068336D">
      <w:pPr>
        <w:pStyle w:val="ToC"/>
      </w:pPr>
      <w:hyperlink w:anchor="a7_4" w:history="1">
        <w:r w:rsidR="00107D25" w:rsidRPr="00144917">
          <w:rPr>
            <w:rStyle w:val="Hyperlink"/>
          </w:rPr>
          <w:t>7:4</w:t>
        </w:r>
      </w:hyperlink>
      <w:r w:rsidR="00107D25" w:rsidRPr="00144917">
        <w:t xml:space="preserve"> </w:t>
      </w:r>
      <w:r w:rsidR="00107D25" w:rsidRPr="00144917">
        <w:tab/>
        <w:t>Joint Venture — Defined</w:t>
      </w:r>
    </w:p>
    <w:p w14:paraId="1E67E4FB" w14:textId="77777777" w:rsidR="00144917" w:rsidRDefault="0019556E"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Venture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19556E" w:rsidP="0068336D">
      <w:pPr>
        <w:pStyle w:val="ToC"/>
      </w:pPr>
      <w:hyperlink w:anchor="a7_6" w:history="1">
        <w:r w:rsidR="00107D25" w:rsidRPr="00144917">
          <w:rPr>
            <w:rStyle w:val="Hyperlink"/>
          </w:rPr>
          <w:t>7:6</w:t>
        </w:r>
      </w:hyperlink>
      <w:r w:rsidR="00107D25" w:rsidRPr="00144917">
        <w:t xml:space="preserve"> </w:t>
      </w:r>
      <w:r w:rsidR="00107D25"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19556E" w:rsidP="00B3392C">
      <w:pPr>
        <w:rPr>
          <w:sz w:val="24"/>
          <w:szCs w:val="24"/>
        </w:rPr>
      </w:pPr>
      <w:hyperlink w:anchor="a7_7" w:history="1">
        <w:r w:rsidR="00B3392C" w:rsidRPr="00185D68">
          <w:rPr>
            <w:rStyle w:val="Hyperlink"/>
            <w:sz w:val="24"/>
            <w:szCs w:val="24"/>
          </w:rPr>
          <w:t>7:7</w:t>
        </w:r>
      </w:hyperlink>
      <w:r w:rsidR="00B3392C" w:rsidRPr="00FE65DE">
        <w:rPr>
          <w:sz w:val="24"/>
          <w:szCs w:val="24"/>
        </w:rPr>
        <w:tab/>
      </w:r>
      <w:r w:rsidR="00B3392C"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0" w:name="a7_1"/>
      <w:bookmarkEnd w:id="0"/>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11F4C7AC"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657D3859" w14:textId="49114032" w:rsidR="007D5794"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00F04BE2">
        <w:rPr>
          <w:rFonts w:eastAsia="Times New Roman"/>
          <w:i/>
          <w:iCs/>
          <w:sz w:val="24"/>
          <w:szCs w:val="24"/>
        </w:rPr>
        <w:t>See</w:t>
      </w:r>
      <w:r w:rsidR="00F04BE2">
        <w:rPr>
          <w:rFonts w:eastAsia="Times New Roman"/>
          <w:sz w:val="24"/>
          <w:szCs w:val="24"/>
        </w:rPr>
        <w:t xml:space="preserve"> § 13-22-101(1)(c), C.R.S. </w:t>
      </w:r>
      <w:r w:rsidRPr="000C503A">
        <w:rPr>
          <w:rFonts w:eastAsia="Times New Roman"/>
          <w:sz w:val="24"/>
          <w:szCs w:val="24"/>
        </w:rPr>
        <w:t xml:space="preserve">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w:t>
      </w:r>
      <w:r w:rsidR="00831E03">
        <w:rPr>
          <w:rFonts w:eastAsia="Times New Roman"/>
          <w:sz w:val="24"/>
          <w:szCs w:val="24"/>
        </w:rPr>
        <w:t>.</w:t>
      </w:r>
    </w:p>
    <w:p w14:paraId="76760D37" w14:textId="5E5EA55D" w:rsidR="000C503A" w:rsidRDefault="007D5794" w:rsidP="000C503A">
      <w:pPr>
        <w:spacing w:after="240"/>
        <w:ind w:firstLine="720"/>
        <w:rPr>
          <w:rFonts w:eastAsia="Times New Roman"/>
          <w:sz w:val="24"/>
          <w:szCs w:val="24"/>
        </w:rPr>
      </w:pPr>
      <w:r>
        <w:rPr>
          <w:rFonts w:eastAsia="Times New Roman"/>
          <w:sz w:val="24"/>
          <w:szCs w:val="24"/>
        </w:rPr>
        <w:t xml:space="preserve">3. In </w:t>
      </w:r>
      <w:r>
        <w:rPr>
          <w:rFonts w:eastAsia="Times New Roman"/>
          <w:b/>
          <w:bCs/>
          <w:sz w:val="24"/>
          <w:szCs w:val="24"/>
        </w:rPr>
        <w:t>Rudnicki v. Bianco,</w:t>
      </w:r>
      <w:r>
        <w:rPr>
          <w:rFonts w:eastAsia="Times New Roman"/>
          <w:sz w:val="24"/>
          <w:szCs w:val="24"/>
        </w:rPr>
        <w:t xml:space="preserve"> 2021 CO 80, ¶ 2, 501 P.3d 776, the supreme court held that in tort cases involving an injured unemancipated minor child, either the child or the parents may recover the child’s pre-majority medical expenses, but double recovery is not permitted.</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1" w:name="a7_2"/>
      <w:bookmarkEnd w:id="1"/>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69CCE8C"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0AF21E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2" w:name="a7_3"/>
      <w:bookmarkEnd w:id="2"/>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Black v. First Fed. Sav.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r w:rsidRPr="001E0F3B">
        <w:rPr>
          <w:rFonts w:eastAsia="Times New Roman"/>
          <w:b/>
          <w:sz w:val="24"/>
          <w:szCs w:val="24"/>
        </w:rPr>
        <w:t>Kayser v. Mongham</w:t>
      </w:r>
      <w:r w:rsidRPr="001E0F3B">
        <w:rPr>
          <w:rFonts w:eastAsia="Times New Roman"/>
          <w:sz w:val="24"/>
          <w:szCs w:val="24"/>
        </w:rPr>
        <w:t>, 8 Colo. 232, 6 P. 803 (1885).</w:t>
      </w:r>
    </w:p>
    <w:p w14:paraId="7EB29EE8" w14:textId="7F4F925B" w:rsidR="001C42C7" w:rsidRDefault="00644568" w:rsidP="00052963">
      <w:pPr>
        <w:spacing w:after="240"/>
        <w:ind w:firstLine="720"/>
        <w:rPr>
          <w:bCs/>
          <w:iCs/>
          <w:sz w:val="24"/>
          <w:szCs w:val="24"/>
        </w:rPr>
      </w:pPr>
      <w:r>
        <w:rPr>
          <w:rFonts w:eastAsia="Times New Roman"/>
          <w:sz w:val="24"/>
          <w:szCs w:val="24"/>
        </w:rPr>
        <w:lastRenderedPageBreak/>
        <w:t>4.</w:t>
      </w:r>
      <w:r w:rsidRPr="00644568">
        <w:rPr>
          <w:sz w:val="24"/>
          <w:szCs w:val="24"/>
        </w:rPr>
        <w:t xml:space="preserve"> </w:t>
      </w:r>
      <w:r w:rsidR="00F04BE2">
        <w:rPr>
          <w:sz w:val="24"/>
          <w:szCs w:val="24"/>
        </w:rPr>
        <w:t xml:space="preserve">An interest in a </w:t>
      </w:r>
      <w:r w:rsidRPr="009434CF">
        <w:rPr>
          <w:sz w:val="24"/>
          <w:szCs w:val="24"/>
        </w:rPr>
        <w:t>general partner</w:t>
      </w:r>
      <w:r w:rsidR="00F04BE2">
        <w:rPr>
          <w:sz w:val="24"/>
          <w:szCs w:val="24"/>
        </w:rPr>
        <w:t>ship</w:t>
      </w:r>
      <w:r w:rsidR="001C42C7">
        <w:rPr>
          <w:sz w:val="24"/>
          <w:szCs w:val="24"/>
        </w:rPr>
        <w:t xml:space="preserve"> may be a security</w:t>
      </w:r>
      <w:r w:rsidR="00F04BE2" w:rsidRPr="00F04BE2">
        <w:rPr>
          <w:sz w:val="24"/>
          <w:szCs w:val="24"/>
        </w:rPr>
        <w:t xml:space="preserve"> </w:t>
      </w:r>
      <w:r w:rsidR="00F04BE2">
        <w:rPr>
          <w:sz w:val="24"/>
          <w:szCs w:val="24"/>
        </w:rPr>
        <w:t xml:space="preserve">if </w:t>
      </w:r>
      <w:r w:rsidR="001C42C7">
        <w:rPr>
          <w:sz w:val="24"/>
          <w:szCs w:val="24"/>
        </w:rPr>
        <w:t xml:space="preserve">a </w:t>
      </w:r>
      <w:r w:rsidR="00F04BE2">
        <w:rPr>
          <w:sz w:val="24"/>
          <w:szCs w:val="24"/>
        </w:rPr>
        <w:t>partner is led to expect profits substantially derived from the entrepreneurial or managerial efforts of others</w:t>
      </w:r>
      <w:r w:rsidRPr="009434CF">
        <w:rPr>
          <w:sz w:val="24"/>
          <w:szCs w:val="24"/>
        </w:rPr>
        <w:t xml:space="preserve">. </w:t>
      </w:r>
      <w:r w:rsidR="00F04BE2">
        <w:rPr>
          <w:sz w:val="24"/>
          <w:szCs w:val="24"/>
        </w:rPr>
        <w:t>Existence of an investment contract must be proved by a preponderance of the evidence.</w:t>
      </w:r>
      <w:r w:rsidR="00F04BE2" w:rsidRPr="009434CF">
        <w:rPr>
          <w:sz w:val="24"/>
          <w:szCs w:val="24"/>
        </w:rPr>
        <w:t xml:space="preserve"> </w:t>
      </w:r>
      <w:r w:rsidR="005B05D0" w:rsidRPr="005B05D0">
        <w:rPr>
          <w:b/>
          <w:iCs/>
          <w:sz w:val="24"/>
          <w:szCs w:val="24"/>
        </w:rPr>
        <w:t>Chan v. HEI Res., Inc.</w:t>
      </w:r>
      <w:r w:rsidR="005B05D0" w:rsidRPr="006B0A60">
        <w:rPr>
          <w:bCs/>
          <w:iCs/>
          <w:sz w:val="24"/>
          <w:szCs w:val="24"/>
        </w:rPr>
        <w:t xml:space="preserve">, </w:t>
      </w:r>
      <w:r w:rsidR="00F04BE2">
        <w:rPr>
          <w:bCs/>
          <w:iCs/>
          <w:sz w:val="24"/>
          <w:szCs w:val="24"/>
        </w:rPr>
        <w:t>2022 CO 36, ¶ 30, 512 P.3d 120</w:t>
      </w:r>
      <w:r w:rsidR="005B05D0" w:rsidRPr="006B0A60">
        <w:rPr>
          <w:bCs/>
          <w:iCs/>
          <w:sz w:val="24"/>
          <w:szCs w:val="24"/>
        </w:rPr>
        <w:t>.</w:t>
      </w:r>
    </w:p>
    <w:p w14:paraId="64119935" w14:textId="743A6146" w:rsidR="001E0F3B" w:rsidRDefault="001E0F3B" w:rsidP="00052963">
      <w:pPr>
        <w:spacing w:after="240"/>
        <w:ind w:firstLine="720"/>
        <w:rPr>
          <w:rFonts w:eastAsia="Times New Roman"/>
          <w:sz w:val="24"/>
          <w:szCs w:val="24"/>
        </w:rPr>
      </w:pP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3" w:name="a7_4"/>
      <w:bookmarkEnd w:id="3"/>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6A79187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2017 COA 85, ¶ 45</w:t>
      </w:r>
      <w:r w:rsidR="0077580A">
        <w:rPr>
          <w:rFonts w:eastAsia="Times New Roman"/>
          <w:sz w:val="24"/>
          <w:szCs w:val="24"/>
        </w:rPr>
        <w:t>, 488 P.3d 202</w:t>
      </w:r>
      <w:r w:rsidRPr="001E0F3B">
        <w:rPr>
          <w:rFonts w:eastAsia="Times New Roman"/>
          <w:sz w:val="24"/>
          <w:szCs w:val="24"/>
        </w:rPr>
        <w:t xml:space="preserve">;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2AAE974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 45-47</w:t>
      </w:r>
      <w:r w:rsidR="00FF6426">
        <w:rPr>
          <w:rFonts w:eastAsia="Times New Roman"/>
          <w:sz w:val="24"/>
          <w:szCs w:val="24"/>
        </w:rPr>
        <w:t>, 488 P.3d at 211-12</w:t>
      </w:r>
      <w:r w:rsidR="000F4D14">
        <w:rPr>
          <w:rFonts w:eastAsia="Times New Roman"/>
          <w:sz w:val="24"/>
          <w:szCs w:val="24"/>
        </w:rPr>
        <w:t>.</w:t>
      </w:r>
      <w:r w:rsidRPr="001E0F3B">
        <w:rPr>
          <w:rFonts w:eastAsia="Times New Roman"/>
          <w:sz w:val="24"/>
          <w:szCs w:val="24"/>
        </w:rPr>
        <w:t xml:space="preserve"> </w:t>
      </w:r>
    </w:p>
    <w:p w14:paraId="73725693" w14:textId="2DA99D81" w:rsidR="001E0F3B" w:rsidRDefault="001E0F3B" w:rsidP="001E0F3B">
      <w:pPr>
        <w:spacing w:after="240"/>
        <w:ind w:firstLine="720"/>
        <w:rPr>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 of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 45</w:t>
      </w:r>
      <w:r w:rsidR="00FF6426">
        <w:rPr>
          <w:rFonts w:eastAsia="Times New Roman"/>
          <w:sz w:val="24"/>
          <w:szCs w:val="24"/>
        </w:rPr>
        <w:t>, 488 P.3d at 211</w:t>
      </w:r>
      <w:r w:rsidRPr="001E0F3B">
        <w:rPr>
          <w:rFonts w:eastAsia="Times New Roman"/>
          <w:sz w:val="24"/>
          <w:szCs w:val="24"/>
        </w:rPr>
        <w:t xml:space="preserve"> (holding “substantive law of partnership must be applied in determining whether a joint venture exists”).</w:t>
      </w:r>
      <w:r w:rsidR="00644568">
        <w:rPr>
          <w:rFonts w:eastAsia="Times New Roman"/>
          <w:sz w:val="24"/>
          <w:szCs w:val="24"/>
        </w:rPr>
        <w:t xml:space="preserve"> </w:t>
      </w:r>
      <w:r w:rsidR="00F04BE2">
        <w:rPr>
          <w:rFonts w:eastAsia="Times New Roman"/>
          <w:sz w:val="24"/>
          <w:szCs w:val="24"/>
        </w:rPr>
        <w:t>Whether a joint venture i</w:t>
      </w:r>
      <w:r w:rsidR="001C42C7">
        <w:rPr>
          <w:rFonts w:eastAsia="Times New Roman"/>
          <w:sz w:val="24"/>
          <w:szCs w:val="24"/>
        </w:rPr>
        <w:t>s</w:t>
      </w:r>
      <w:r w:rsidR="00F04BE2">
        <w:rPr>
          <w:rFonts w:eastAsia="Times New Roman"/>
          <w:sz w:val="24"/>
          <w:szCs w:val="24"/>
        </w:rPr>
        <w:t xml:space="preserve"> an investment contract is a fact issue to be established by a preponderance of the evidence. </w:t>
      </w:r>
      <w:r w:rsidR="005B05D0" w:rsidRPr="006B0A60">
        <w:rPr>
          <w:b/>
          <w:bCs/>
          <w:sz w:val="24"/>
          <w:szCs w:val="24"/>
        </w:rPr>
        <w:t>Chan v. HEI Res., Inc.</w:t>
      </w:r>
      <w:r w:rsidR="005B05D0" w:rsidRPr="005B05D0">
        <w:rPr>
          <w:sz w:val="24"/>
          <w:szCs w:val="24"/>
        </w:rPr>
        <w:t xml:space="preserve">, </w:t>
      </w:r>
      <w:r w:rsidR="00F04BE2">
        <w:rPr>
          <w:sz w:val="24"/>
          <w:szCs w:val="24"/>
        </w:rPr>
        <w:t>2022 CO</w:t>
      </w:r>
      <w:r w:rsidR="00831E03">
        <w:rPr>
          <w:sz w:val="24"/>
          <w:szCs w:val="24"/>
        </w:rPr>
        <w:t xml:space="preserve"> 36</w:t>
      </w:r>
      <w:r w:rsidR="00F04BE2">
        <w:rPr>
          <w:sz w:val="24"/>
          <w:szCs w:val="24"/>
        </w:rPr>
        <w:t>, ¶ 30, 512 P.3d 120</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Rocky Mountain Expl.,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4" w:name="a7_5"/>
      <w:bookmarkEnd w:id="4"/>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2C521BBB"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 13</w:t>
      </w:r>
      <w:r w:rsidR="00FF6426">
        <w:rPr>
          <w:rFonts w:eastAsia="Times New Roman"/>
          <w:sz w:val="24"/>
          <w:szCs w:val="24"/>
        </w:rPr>
        <w:t>, 361 P.3d at 1099</w:t>
      </w:r>
      <w:r w:rsidRPr="00144917">
        <w:rPr>
          <w:rFonts w:eastAsia="Times New Roman"/>
          <w:sz w:val="24"/>
          <w:szCs w:val="24"/>
        </w:rPr>
        <w:t xml:space="preserve">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5" w:name="a7_6"/>
      <w:bookmarkEnd w:id="5"/>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6" w:name="a7_7"/>
      <w:bookmarkEnd w:id="6"/>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D5ADC78"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w:t>
      </w:r>
      <w:r w:rsidR="004840E0" w:rsidRPr="004840E0">
        <w:rPr>
          <w:rFonts w:eastAsia="Times New Roman"/>
          <w:bCs/>
          <w:i/>
          <w:iCs/>
          <w:sz w:val="24"/>
          <w:szCs w:val="24"/>
        </w:rPr>
        <w:t>(insert applicable pronoun)</w:t>
      </w:r>
      <w:r w:rsidRPr="00D2171E">
        <w:rPr>
          <w:rFonts w:eastAsia="Times New Roman"/>
          <w:b/>
          <w:sz w:val="24"/>
          <w:szCs w:val="24"/>
        </w:rPr>
        <w:t xml:space="preserve">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Colorado Coffee Bean, LLC v. Peaberry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58DF" w14:textId="77777777" w:rsidR="00BF370C" w:rsidRDefault="00BF370C" w:rsidP="0054263B">
      <w:r>
        <w:separator/>
      </w:r>
    </w:p>
    <w:p w14:paraId="0C0A441F" w14:textId="77777777" w:rsidR="00BF370C" w:rsidRDefault="00BF370C"/>
  </w:endnote>
  <w:endnote w:type="continuationSeparator" w:id="0">
    <w:p w14:paraId="4A1F656F" w14:textId="77777777" w:rsidR="00BF370C" w:rsidRDefault="00BF370C" w:rsidP="0054263B">
      <w:r>
        <w:continuationSeparator/>
      </w:r>
    </w:p>
    <w:p w14:paraId="31831F87" w14:textId="77777777" w:rsidR="00BF370C" w:rsidRDefault="00BF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5E140E">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679E" w14:textId="77777777" w:rsidR="00BF370C" w:rsidRDefault="00BF370C" w:rsidP="0054263B">
      <w:r>
        <w:separator/>
      </w:r>
    </w:p>
    <w:p w14:paraId="4DEDD517" w14:textId="77777777" w:rsidR="00BF370C" w:rsidRDefault="00BF370C"/>
  </w:footnote>
  <w:footnote w:type="continuationSeparator" w:id="0">
    <w:p w14:paraId="0D02E04E" w14:textId="77777777" w:rsidR="00BF370C" w:rsidRDefault="00BF370C" w:rsidP="0054263B">
      <w:r>
        <w:continuationSeparator/>
      </w:r>
    </w:p>
    <w:p w14:paraId="4263BFEA" w14:textId="77777777" w:rsidR="00BF370C" w:rsidRDefault="00BF3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81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53F8"/>
    <w:rsid w:val="00037111"/>
    <w:rsid w:val="00043F79"/>
    <w:rsid w:val="00051475"/>
    <w:rsid w:val="00052963"/>
    <w:rsid w:val="00085495"/>
    <w:rsid w:val="00091D5F"/>
    <w:rsid w:val="000921F1"/>
    <w:rsid w:val="000962C8"/>
    <w:rsid w:val="000C503A"/>
    <w:rsid w:val="000C6F97"/>
    <w:rsid w:val="000F4D14"/>
    <w:rsid w:val="00107D25"/>
    <w:rsid w:val="001117D9"/>
    <w:rsid w:val="00117F7D"/>
    <w:rsid w:val="00144917"/>
    <w:rsid w:val="0015697F"/>
    <w:rsid w:val="001715BD"/>
    <w:rsid w:val="00172674"/>
    <w:rsid w:val="00180924"/>
    <w:rsid w:val="00185D68"/>
    <w:rsid w:val="001903CB"/>
    <w:rsid w:val="001913B1"/>
    <w:rsid w:val="00191498"/>
    <w:rsid w:val="0019556E"/>
    <w:rsid w:val="001A2648"/>
    <w:rsid w:val="001B485E"/>
    <w:rsid w:val="001C42C7"/>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1B2A"/>
    <w:rsid w:val="002E3AB8"/>
    <w:rsid w:val="002F48D6"/>
    <w:rsid w:val="00320613"/>
    <w:rsid w:val="003247EA"/>
    <w:rsid w:val="00336CE4"/>
    <w:rsid w:val="00352111"/>
    <w:rsid w:val="003613FE"/>
    <w:rsid w:val="0038139A"/>
    <w:rsid w:val="003937B8"/>
    <w:rsid w:val="003A19E1"/>
    <w:rsid w:val="003A55EC"/>
    <w:rsid w:val="003C266A"/>
    <w:rsid w:val="003C78E1"/>
    <w:rsid w:val="003D370E"/>
    <w:rsid w:val="003E2169"/>
    <w:rsid w:val="003E28B5"/>
    <w:rsid w:val="003E5B38"/>
    <w:rsid w:val="003F108C"/>
    <w:rsid w:val="003F6E89"/>
    <w:rsid w:val="00434371"/>
    <w:rsid w:val="004425AA"/>
    <w:rsid w:val="00456038"/>
    <w:rsid w:val="00461B78"/>
    <w:rsid w:val="00467B80"/>
    <w:rsid w:val="00471618"/>
    <w:rsid w:val="004840E0"/>
    <w:rsid w:val="00496805"/>
    <w:rsid w:val="004B1873"/>
    <w:rsid w:val="004C27E8"/>
    <w:rsid w:val="004C62F9"/>
    <w:rsid w:val="004C723A"/>
    <w:rsid w:val="004E7EF1"/>
    <w:rsid w:val="00531F87"/>
    <w:rsid w:val="00541D32"/>
    <w:rsid w:val="0054263B"/>
    <w:rsid w:val="00557FCC"/>
    <w:rsid w:val="0059208F"/>
    <w:rsid w:val="005B05D0"/>
    <w:rsid w:val="005B3A78"/>
    <w:rsid w:val="005B4CC9"/>
    <w:rsid w:val="005D012F"/>
    <w:rsid w:val="005D3156"/>
    <w:rsid w:val="005E140E"/>
    <w:rsid w:val="005E712D"/>
    <w:rsid w:val="006075D3"/>
    <w:rsid w:val="00611AC9"/>
    <w:rsid w:val="006272FE"/>
    <w:rsid w:val="00644568"/>
    <w:rsid w:val="00661D05"/>
    <w:rsid w:val="00675252"/>
    <w:rsid w:val="0068053A"/>
    <w:rsid w:val="00682B93"/>
    <w:rsid w:val="0068336D"/>
    <w:rsid w:val="00683FA1"/>
    <w:rsid w:val="006A74B6"/>
    <w:rsid w:val="006B0A60"/>
    <w:rsid w:val="006C4B40"/>
    <w:rsid w:val="006E0D06"/>
    <w:rsid w:val="006E3575"/>
    <w:rsid w:val="006E62F0"/>
    <w:rsid w:val="00702B5A"/>
    <w:rsid w:val="00704DEC"/>
    <w:rsid w:val="0070752A"/>
    <w:rsid w:val="007117A1"/>
    <w:rsid w:val="007119D8"/>
    <w:rsid w:val="00744188"/>
    <w:rsid w:val="007532AB"/>
    <w:rsid w:val="007722A9"/>
    <w:rsid w:val="0077580A"/>
    <w:rsid w:val="00776151"/>
    <w:rsid w:val="00791698"/>
    <w:rsid w:val="007A3A0E"/>
    <w:rsid w:val="007A612E"/>
    <w:rsid w:val="007C00FE"/>
    <w:rsid w:val="007C4A0E"/>
    <w:rsid w:val="007D28E0"/>
    <w:rsid w:val="007D2BCE"/>
    <w:rsid w:val="007D5794"/>
    <w:rsid w:val="007E1675"/>
    <w:rsid w:val="007F7129"/>
    <w:rsid w:val="00801691"/>
    <w:rsid w:val="0082168C"/>
    <w:rsid w:val="00831E03"/>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7AF0"/>
    <w:rsid w:val="009324BD"/>
    <w:rsid w:val="00935DA8"/>
    <w:rsid w:val="009377BE"/>
    <w:rsid w:val="0095709A"/>
    <w:rsid w:val="00973884"/>
    <w:rsid w:val="009902F2"/>
    <w:rsid w:val="00993AFC"/>
    <w:rsid w:val="009B6746"/>
    <w:rsid w:val="009C2EAC"/>
    <w:rsid w:val="009E20C7"/>
    <w:rsid w:val="009E3DA4"/>
    <w:rsid w:val="00A36457"/>
    <w:rsid w:val="00A52208"/>
    <w:rsid w:val="00A65CC9"/>
    <w:rsid w:val="00A70CDA"/>
    <w:rsid w:val="00A73AE6"/>
    <w:rsid w:val="00A80C10"/>
    <w:rsid w:val="00A82002"/>
    <w:rsid w:val="00A85AAA"/>
    <w:rsid w:val="00A95395"/>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D0A54"/>
    <w:rsid w:val="00BD442A"/>
    <w:rsid w:val="00BE2B09"/>
    <w:rsid w:val="00BE654D"/>
    <w:rsid w:val="00BF370C"/>
    <w:rsid w:val="00C168CF"/>
    <w:rsid w:val="00C40968"/>
    <w:rsid w:val="00C421DE"/>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4744B"/>
    <w:rsid w:val="00D81D95"/>
    <w:rsid w:val="00D96EF9"/>
    <w:rsid w:val="00DA2202"/>
    <w:rsid w:val="00DB2C90"/>
    <w:rsid w:val="00DC63A9"/>
    <w:rsid w:val="00DC66A6"/>
    <w:rsid w:val="00DD37C8"/>
    <w:rsid w:val="00DE2930"/>
    <w:rsid w:val="00DF2CB7"/>
    <w:rsid w:val="00DF3BF1"/>
    <w:rsid w:val="00DF58E0"/>
    <w:rsid w:val="00E02822"/>
    <w:rsid w:val="00E058BA"/>
    <w:rsid w:val="00E0776A"/>
    <w:rsid w:val="00E1518B"/>
    <w:rsid w:val="00E172C8"/>
    <w:rsid w:val="00E551EB"/>
    <w:rsid w:val="00E87C31"/>
    <w:rsid w:val="00E970B9"/>
    <w:rsid w:val="00EA539A"/>
    <w:rsid w:val="00EC17E3"/>
    <w:rsid w:val="00EC3919"/>
    <w:rsid w:val="00EC7C98"/>
    <w:rsid w:val="00ED5E52"/>
    <w:rsid w:val="00ED7176"/>
    <w:rsid w:val="00EE4895"/>
    <w:rsid w:val="00EE54DA"/>
    <w:rsid w:val="00EF4043"/>
    <w:rsid w:val="00F04BE2"/>
    <w:rsid w:val="00F31E69"/>
    <w:rsid w:val="00F32AA4"/>
    <w:rsid w:val="00F63133"/>
    <w:rsid w:val="00F67C60"/>
    <w:rsid w:val="00F764F4"/>
    <w:rsid w:val="00FA676A"/>
    <w:rsid w:val="00FA7B76"/>
    <w:rsid w:val="00FC2CE3"/>
    <w:rsid w:val="00FC3783"/>
    <w:rsid w:val="00FE00D7"/>
    <w:rsid w:val="00FE67EE"/>
    <w:rsid w:val="00FF04AD"/>
    <w:rsid w:val="00FF171F"/>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 w:type="paragraph" w:styleId="Revision">
    <w:name w:val="Revision"/>
    <w:hidden/>
    <w:uiPriority w:val="99"/>
    <w:semiHidden/>
    <w:rsid w:val="00F04BE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B291-9489-41B9-B945-8412CF3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2024-01-09T19:55:00Z</dcterms:created>
  <dcterms:modified xsi:type="dcterms:W3CDTF">2024-01-09T19:55:00Z</dcterms:modified>
</cp:coreProperties>
</file>