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78" w:type="dxa"/>
        <w:tblInd w:w="-108" w:type="dxa"/>
        <w:tblCellMar>
          <w:top w:w="56" w:type="dxa"/>
          <w:left w:w="10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869"/>
        <w:gridCol w:w="3709"/>
      </w:tblGrid>
      <w:tr w:rsidR="00212F67" w:rsidRPr="00212F67" w14:paraId="143F4F64" w14:textId="77777777" w:rsidTr="00DA46DD">
        <w:trPr>
          <w:trHeight w:val="1202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5A0E" w14:textId="77777777" w:rsidR="00212F67" w:rsidRPr="00212F67" w:rsidRDefault="00212F67" w:rsidP="00212F67">
            <w:pPr>
              <w:rPr>
                <w:rFonts w:ascii="Book Antiqua" w:eastAsia="Book Antiqua" w:hAnsi="Book Antiqua" w:cs="Book Antiqua"/>
                <w:color w:val="000000"/>
                <w:sz w:val="24"/>
              </w:rPr>
            </w:pPr>
            <w:bookmarkStart w:id="0" w:name="_GoBack"/>
            <w:bookmarkEnd w:id="0"/>
            <w:r w:rsidRPr="00212F67">
              <w:rPr>
                <w:rFonts w:ascii="Book Antiqua" w:eastAsia="Book Antiqua" w:hAnsi="Book Antiqua" w:cs="Book Antiqua"/>
                <w:color w:val="000000"/>
                <w:sz w:val="24"/>
              </w:rPr>
              <w:t>COMBINED COURTS, Kit Carson, Logan, Morgan, Phillips, Sedgwick, Washington, and Yuma Counties, State of Colorado.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5B435" w14:textId="77777777" w:rsidR="00212F67" w:rsidRPr="00212F67" w:rsidRDefault="00212F67" w:rsidP="00212F67">
            <w:pPr>
              <w:ind w:left="6"/>
              <w:jc w:val="center"/>
              <w:rPr>
                <w:rFonts w:ascii="Book Antiqua" w:eastAsia="Book Antiqua" w:hAnsi="Book Antiqua" w:cs="Book Antiqua"/>
                <w:color w:val="000000"/>
                <w:sz w:val="24"/>
              </w:rPr>
            </w:pPr>
            <w:r w:rsidRPr="00212F67">
              <w:rPr>
                <w:rFonts w:ascii="Book Antiqua" w:eastAsia="Book Antiqua" w:hAnsi="Book Antiqua" w:cs="Book Antiqua"/>
                <w:b/>
                <w:color w:val="000000"/>
                <w:sz w:val="24"/>
              </w:rPr>
              <w:t xml:space="preserve">▲COURT USE ONLY▲ </w:t>
            </w:r>
          </w:p>
        </w:tc>
      </w:tr>
      <w:tr w:rsidR="00212F67" w:rsidRPr="00212F67" w14:paraId="7303C23D" w14:textId="77777777" w:rsidTr="00DA46DD">
        <w:trPr>
          <w:trHeight w:val="1171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65CD" w14:textId="3D16FCF4" w:rsidR="00212F67" w:rsidRPr="00212F67" w:rsidRDefault="00212F67" w:rsidP="00212F67">
            <w:pPr>
              <w:ind w:left="2"/>
              <w:jc w:val="center"/>
              <w:rPr>
                <w:rFonts w:ascii="Book Antiqua" w:eastAsia="Book Antiqua" w:hAnsi="Book Antiqua" w:cs="Book Antiqua"/>
                <w:i/>
                <w:iCs/>
                <w:color w:val="000000"/>
                <w:sz w:val="24"/>
              </w:rPr>
            </w:pPr>
            <w:r w:rsidRPr="00212F67">
              <w:rPr>
                <w:rFonts w:ascii="Book Antiqua" w:eastAsia="Book Antiqua" w:hAnsi="Book Antiqua" w:cs="Book Antiqua"/>
                <w:b/>
                <w:color w:val="000000"/>
                <w:sz w:val="24"/>
              </w:rPr>
              <w:t>ADMINISTRATIVE ORDER NO.  202</w:t>
            </w:r>
            <w:r w:rsidR="001C6210">
              <w:rPr>
                <w:rFonts w:ascii="Book Antiqua" w:eastAsia="Book Antiqua" w:hAnsi="Book Antiqua" w:cs="Book Antiqua"/>
                <w:b/>
                <w:color w:val="000000"/>
                <w:sz w:val="24"/>
              </w:rPr>
              <w:t>1</w:t>
            </w:r>
            <w:r w:rsidRPr="00212F67">
              <w:rPr>
                <w:rFonts w:ascii="Book Antiqua" w:eastAsia="Book Antiqua" w:hAnsi="Book Antiqua" w:cs="Book Antiqua"/>
                <w:b/>
                <w:color w:val="000000"/>
                <w:sz w:val="24"/>
              </w:rPr>
              <w:t>-</w:t>
            </w:r>
            <w:r w:rsidR="00BB11D6">
              <w:rPr>
                <w:rFonts w:ascii="Book Antiqua" w:eastAsia="Book Antiqua" w:hAnsi="Book Antiqua" w:cs="Book Antiqua"/>
                <w:b/>
                <w:color w:val="000000"/>
                <w:sz w:val="24"/>
              </w:rPr>
              <w:t>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4556" w14:textId="77777777" w:rsidR="00212F67" w:rsidRPr="00212F67" w:rsidRDefault="00212F67" w:rsidP="00212F67">
            <w:pPr>
              <w:rPr>
                <w:rFonts w:ascii="Book Antiqua" w:eastAsia="Book Antiqua" w:hAnsi="Book Antiqua" w:cs="Book Antiqua"/>
                <w:color w:val="000000"/>
                <w:sz w:val="24"/>
              </w:rPr>
            </w:pPr>
          </w:p>
        </w:tc>
      </w:tr>
      <w:tr w:rsidR="00212F67" w:rsidRPr="00212F67" w14:paraId="5C762A0C" w14:textId="77777777" w:rsidTr="00DA46DD">
        <w:trPr>
          <w:trHeight w:val="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A1BB" w14:textId="77777777" w:rsidR="00212F67" w:rsidRPr="00212F67" w:rsidRDefault="00212F67" w:rsidP="00212F67">
            <w:pPr>
              <w:rPr>
                <w:rFonts w:ascii="Book Antiqua" w:eastAsia="Book Antiqua" w:hAnsi="Book Antiqua" w:cs="Book Antiqua"/>
                <w:color w:val="000000"/>
                <w:sz w:val="24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81A4" w14:textId="77777777" w:rsidR="00212F67" w:rsidRPr="00212F67" w:rsidRDefault="00212F67" w:rsidP="00212F67">
            <w:pPr>
              <w:rPr>
                <w:rFonts w:ascii="Book Antiqua" w:eastAsia="Book Antiqua" w:hAnsi="Book Antiqua" w:cs="Book Antiqua"/>
                <w:color w:val="000000"/>
                <w:sz w:val="24"/>
              </w:rPr>
            </w:pPr>
            <w:r w:rsidRPr="00212F67">
              <w:rPr>
                <w:rFonts w:ascii="Book Antiqua" w:eastAsia="Book Antiqua" w:hAnsi="Book Antiqua" w:cs="Book Antiqua"/>
                <w:color w:val="000000"/>
                <w:sz w:val="24"/>
              </w:rPr>
              <w:t xml:space="preserve"> </w:t>
            </w:r>
          </w:p>
        </w:tc>
      </w:tr>
      <w:tr w:rsidR="00212F67" w:rsidRPr="00212F67" w14:paraId="5809F018" w14:textId="77777777" w:rsidTr="00DA46DD">
        <w:trPr>
          <w:trHeight w:val="1176"/>
        </w:trPr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F46A" w14:textId="77777777" w:rsidR="00212F67" w:rsidRPr="00212F67" w:rsidRDefault="00212F67" w:rsidP="00212F67">
            <w:pPr>
              <w:ind w:left="67"/>
              <w:jc w:val="center"/>
              <w:rPr>
                <w:rFonts w:ascii="Book Antiqua" w:eastAsia="Book Antiqua" w:hAnsi="Book Antiqua" w:cs="Book Antiqua"/>
                <w:b/>
                <w:color w:val="000000"/>
                <w:sz w:val="24"/>
              </w:rPr>
            </w:pPr>
            <w:r w:rsidRPr="00212F67">
              <w:rPr>
                <w:rFonts w:ascii="Book Antiqua" w:eastAsia="Book Antiqua" w:hAnsi="Book Antiqua" w:cs="Book Antiqua"/>
                <w:b/>
                <w:color w:val="000000"/>
                <w:sz w:val="24"/>
              </w:rPr>
              <w:t xml:space="preserve"> </w:t>
            </w:r>
          </w:p>
          <w:p w14:paraId="1D85D2DD" w14:textId="77777777" w:rsidR="00212F67" w:rsidRPr="006A6DC3" w:rsidRDefault="00212F67" w:rsidP="00212F67">
            <w:pPr>
              <w:jc w:val="center"/>
              <w:rPr>
                <w:rFonts w:ascii="Garamond" w:eastAsia="Times New Roman" w:hAnsi="Garamond" w:cs="Arial"/>
                <w:b/>
                <w:smallCap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smallCaps/>
                <w:sz w:val="28"/>
                <w:szCs w:val="28"/>
              </w:rPr>
              <w:t>13</w:t>
            </w:r>
            <w:r w:rsidRPr="006A6DC3">
              <w:rPr>
                <w:rFonts w:ascii="Garamond" w:eastAsia="Times New Roman" w:hAnsi="Garamond" w:cs="Arial"/>
                <w:b/>
                <w:smallCaps/>
                <w:sz w:val="28"/>
                <w:szCs w:val="28"/>
                <w:vertAlign w:val="superscript"/>
              </w:rPr>
              <w:t>th</w:t>
            </w:r>
            <w:r w:rsidRPr="006A6DC3">
              <w:rPr>
                <w:rFonts w:ascii="Garamond" w:eastAsia="Times New Roman" w:hAnsi="Garamond" w:cs="Arial"/>
                <w:b/>
                <w:smallCaps/>
                <w:sz w:val="28"/>
                <w:szCs w:val="28"/>
              </w:rPr>
              <w:t xml:space="preserve"> Judicial District Combined Court</w:t>
            </w:r>
          </w:p>
          <w:p w14:paraId="49A8491E" w14:textId="6653E214" w:rsidR="00212F67" w:rsidRPr="00212F67" w:rsidRDefault="00387041" w:rsidP="00387041">
            <w:pPr>
              <w:jc w:val="center"/>
              <w:rPr>
                <w:rFonts w:ascii="Book Antiqua" w:eastAsia="Book Antiqua" w:hAnsi="Book Antiqua" w:cs="Book Antiqua"/>
                <w:color w:val="000000"/>
                <w:sz w:val="24"/>
              </w:rPr>
            </w:pPr>
            <w:r>
              <w:rPr>
                <w:rFonts w:ascii="Garamond" w:eastAsia="Times New Roman" w:hAnsi="Garamond" w:cs="Arial"/>
                <w:b/>
                <w:smallCaps/>
                <w:sz w:val="28"/>
                <w:szCs w:val="28"/>
              </w:rPr>
              <w:t xml:space="preserve"> Order</w:t>
            </w:r>
            <w:r w:rsidR="003D0CBB">
              <w:rPr>
                <w:rFonts w:ascii="Garamond" w:eastAsia="Times New Roman" w:hAnsi="Garamond" w:cs="Arial"/>
                <w:b/>
                <w:smallCaps/>
                <w:sz w:val="28"/>
                <w:szCs w:val="28"/>
              </w:rPr>
              <w:t xml:space="preserve"> for Court Reporting Services</w:t>
            </w:r>
            <w:r>
              <w:rPr>
                <w:rFonts w:ascii="Garamond" w:eastAsia="Times New Roman" w:hAnsi="Garamond" w:cs="Arial"/>
                <w:b/>
                <w:smallCaps/>
                <w:sz w:val="28"/>
                <w:szCs w:val="28"/>
              </w:rPr>
              <w:t xml:space="preserve">, </w:t>
            </w:r>
            <w:r w:rsidR="00CF3A56">
              <w:rPr>
                <w:rFonts w:ascii="Garamond" w:eastAsia="Times New Roman" w:hAnsi="Garamond" w:cs="Arial"/>
                <w:b/>
                <w:smallCaps/>
                <w:sz w:val="28"/>
                <w:szCs w:val="28"/>
              </w:rPr>
              <w:t xml:space="preserve">June </w:t>
            </w:r>
            <w:r w:rsidR="00CC675D">
              <w:rPr>
                <w:rFonts w:ascii="Garamond" w:eastAsia="Times New Roman" w:hAnsi="Garamond" w:cs="Arial"/>
                <w:b/>
                <w:smallCaps/>
                <w:sz w:val="28"/>
                <w:szCs w:val="28"/>
              </w:rPr>
              <w:t>22</w:t>
            </w:r>
            <w:r w:rsidR="00CF3A56">
              <w:rPr>
                <w:rFonts w:ascii="Garamond" w:eastAsia="Times New Roman" w:hAnsi="Garamond" w:cs="Arial"/>
                <w:b/>
                <w:smallCaps/>
                <w:sz w:val="28"/>
                <w:szCs w:val="28"/>
              </w:rPr>
              <w:t>, 2021</w:t>
            </w:r>
          </w:p>
        </w:tc>
      </w:tr>
    </w:tbl>
    <w:p w14:paraId="2E8302E8" w14:textId="77777777" w:rsidR="002B7B6B" w:rsidRDefault="002B7B6B" w:rsidP="006A6DC3">
      <w:pPr>
        <w:spacing w:after="0" w:line="240" w:lineRule="auto"/>
        <w:jc w:val="center"/>
        <w:rPr>
          <w:rFonts w:ascii="Garamond" w:eastAsia="Times New Roman" w:hAnsi="Garamond" w:cs="Arial"/>
          <w:b/>
          <w:smallCaps/>
          <w:sz w:val="28"/>
          <w:szCs w:val="28"/>
        </w:rPr>
      </w:pPr>
    </w:p>
    <w:p w14:paraId="124806BB" w14:textId="77777777" w:rsidR="006A6DC3" w:rsidRPr="006A6DC3" w:rsidRDefault="006A6DC3" w:rsidP="006A6DC3">
      <w:pPr>
        <w:spacing w:after="0" w:line="240" w:lineRule="auto"/>
        <w:ind w:left="720"/>
        <w:contextualSpacing/>
        <w:rPr>
          <w:rFonts w:ascii="Garamond" w:eastAsia="Times New Roman" w:hAnsi="Garamond" w:cs="Arial"/>
          <w:smallCaps/>
          <w:sz w:val="28"/>
          <w:szCs w:val="28"/>
        </w:rPr>
      </w:pPr>
    </w:p>
    <w:p w14:paraId="383C4570" w14:textId="3759856F" w:rsidR="00A52C1F" w:rsidRDefault="00D20ACC" w:rsidP="006A6DC3">
      <w:pPr>
        <w:ind w:firstLine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</w:t>
      </w:r>
      <w:r w:rsidR="003D0CBB">
        <w:rPr>
          <w:rFonts w:ascii="Book Antiqua" w:hAnsi="Book Antiqua"/>
          <w:sz w:val="24"/>
          <w:szCs w:val="24"/>
        </w:rPr>
        <w:t xml:space="preserve">e Chief Justice of Colorado recently revised </w:t>
      </w:r>
      <w:r w:rsidR="0082162E">
        <w:rPr>
          <w:rFonts w:ascii="Book Antiqua" w:hAnsi="Book Antiqua"/>
          <w:sz w:val="24"/>
          <w:szCs w:val="24"/>
        </w:rPr>
        <w:t>CJD 05-03, Management Plan for C</w:t>
      </w:r>
      <w:r>
        <w:rPr>
          <w:rFonts w:ascii="Book Antiqua" w:hAnsi="Book Antiqua"/>
          <w:sz w:val="24"/>
          <w:szCs w:val="24"/>
        </w:rPr>
        <w:t>ourt</w:t>
      </w:r>
      <w:r w:rsidR="0082162E">
        <w:rPr>
          <w:rFonts w:ascii="Book Antiqua" w:hAnsi="Book Antiqua"/>
          <w:sz w:val="24"/>
          <w:szCs w:val="24"/>
        </w:rPr>
        <w:t xml:space="preserve"> Reporting and Recording Services</w:t>
      </w:r>
      <w:r w:rsidR="00D364A6">
        <w:rPr>
          <w:rFonts w:ascii="Book Antiqua" w:hAnsi="Book Antiqua"/>
          <w:sz w:val="24"/>
          <w:szCs w:val="24"/>
        </w:rPr>
        <w:t xml:space="preserve">, effective June 9, 2021.  </w:t>
      </w:r>
      <w:proofErr w:type="gramStart"/>
      <w:r w:rsidR="00D364A6">
        <w:rPr>
          <w:rFonts w:ascii="Book Antiqua" w:hAnsi="Book Antiqua"/>
          <w:sz w:val="24"/>
          <w:szCs w:val="24"/>
        </w:rPr>
        <w:t>In light of</w:t>
      </w:r>
      <w:proofErr w:type="gramEnd"/>
      <w:r w:rsidR="00D364A6">
        <w:rPr>
          <w:rFonts w:ascii="Book Antiqua" w:hAnsi="Book Antiqua"/>
          <w:sz w:val="24"/>
          <w:szCs w:val="24"/>
        </w:rPr>
        <w:t xml:space="preserve"> certain revisions to existing policy as reflected in the revised CJD, I find it necessary to </w:t>
      </w:r>
      <w:r w:rsidR="0066151E">
        <w:rPr>
          <w:rFonts w:ascii="Book Antiqua" w:hAnsi="Book Antiqua"/>
          <w:sz w:val="24"/>
          <w:szCs w:val="24"/>
        </w:rPr>
        <w:t xml:space="preserve">modify </w:t>
      </w:r>
      <w:r w:rsidR="00E85642">
        <w:rPr>
          <w:rFonts w:ascii="Book Antiqua" w:hAnsi="Book Antiqua"/>
          <w:sz w:val="24"/>
          <w:szCs w:val="24"/>
        </w:rPr>
        <w:t xml:space="preserve">portions of </w:t>
      </w:r>
      <w:r w:rsidR="0066151E">
        <w:rPr>
          <w:rFonts w:ascii="Book Antiqua" w:hAnsi="Book Antiqua"/>
          <w:sz w:val="24"/>
          <w:szCs w:val="24"/>
        </w:rPr>
        <w:t xml:space="preserve">our own District’s plan for Court Reporting and Recording </w:t>
      </w:r>
      <w:r w:rsidR="0095598B">
        <w:rPr>
          <w:rFonts w:ascii="Book Antiqua" w:hAnsi="Book Antiqua"/>
          <w:sz w:val="24"/>
          <w:szCs w:val="24"/>
        </w:rPr>
        <w:t>in concert with th</w:t>
      </w:r>
      <w:r w:rsidR="000924DE">
        <w:rPr>
          <w:rFonts w:ascii="Book Antiqua" w:hAnsi="Book Antiqua"/>
          <w:sz w:val="24"/>
          <w:szCs w:val="24"/>
        </w:rPr>
        <w:t>os</w:t>
      </w:r>
      <w:r w:rsidR="0095598B">
        <w:rPr>
          <w:rFonts w:ascii="Book Antiqua" w:hAnsi="Book Antiqua"/>
          <w:sz w:val="24"/>
          <w:szCs w:val="24"/>
        </w:rPr>
        <w:t>e revisions</w:t>
      </w:r>
      <w:r w:rsidR="0066151E">
        <w:rPr>
          <w:rFonts w:ascii="Book Antiqua" w:hAnsi="Book Antiqua"/>
          <w:sz w:val="24"/>
          <w:szCs w:val="24"/>
        </w:rPr>
        <w:t xml:space="preserve">.  </w:t>
      </w:r>
      <w:r>
        <w:rPr>
          <w:rFonts w:ascii="Book Antiqua" w:hAnsi="Book Antiqua"/>
          <w:sz w:val="24"/>
          <w:szCs w:val="24"/>
        </w:rPr>
        <w:t xml:space="preserve"> </w:t>
      </w:r>
      <w:r w:rsidR="007D0E07">
        <w:rPr>
          <w:rFonts w:ascii="Book Antiqua" w:hAnsi="Book Antiqua"/>
          <w:sz w:val="24"/>
          <w:szCs w:val="24"/>
        </w:rPr>
        <w:t xml:space="preserve">  </w:t>
      </w:r>
      <w:r w:rsidR="008404B2">
        <w:rPr>
          <w:rFonts w:ascii="Book Antiqua" w:hAnsi="Book Antiqua"/>
          <w:sz w:val="24"/>
          <w:szCs w:val="24"/>
        </w:rPr>
        <w:t xml:space="preserve">  </w:t>
      </w:r>
    </w:p>
    <w:p w14:paraId="196CC7ED" w14:textId="0704D9BA" w:rsidR="00A52C1F" w:rsidRDefault="00D56558" w:rsidP="006A6DC3">
      <w:pPr>
        <w:ind w:firstLine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Accordingly, in</w:t>
      </w:r>
      <w:r w:rsidR="00A52C1F">
        <w:rPr>
          <w:rFonts w:ascii="Book Antiqua" w:hAnsi="Book Antiqua"/>
          <w:sz w:val="24"/>
          <w:szCs w:val="24"/>
        </w:rPr>
        <w:t xml:space="preserve"> </w:t>
      </w:r>
      <w:r w:rsidR="00CB312D">
        <w:rPr>
          <w:rFonts w:ascii="Book Antiqua" w:hAnsi="Book Antiqua"/>
          <w:sz w:val="24"/>
          <w:szCs w:val="24"/>
        </w:rPr>
        <w:t xml:space="preserve">order to provide the most efficient court reporting services to the public and the District, </w:t>
      </w:r>
      <w:r w:rsidR="00A52C1F">
        <w:rPr>
          <w:rFonts w:ascii="Book Antiqua" w:hAnsi="Book Antiqua"/>
          <w:sz w:val="24"/>
          <w:szCs w:val="24"/>
        </w:rPr>
        <w:t xml:space="preserve">I hereby Find, Order and Direct as follows:  </w:t>
      </w:r>
      <w:r w:rsidR="00A1412F">
        <w:rPr>
          <w:rFonts w:ascii="Book Antiqua" w:hAnsi="Book Antiqua"/>
          <w:sz w:val="24"/>
          <w:szCs w:val="24"/>
        </w:rPr>
        <w:t xml:space="preserve"> </w:t>
      </w:r>
    </w:p>
    <w:p w14:paraId="168A91CE" w14:textId="77777777" w:rsidR="00F91908" w:rsidRDefault="00573A05" w:rsidP="00F91908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F91908">
        <w:rPr>
          <w:rFonts w:ascii="Book Antiqua" w:hAnsi="Book Antiqua"/>
          <w:sz w:val="24"/>
          <w:szCs w:val="24"/>
        </w:rPr>
        <w:t xml:space="preserve">Paragraph </w:t>
      </w:r>
      <w:r w:rsidR="003D7A75" w:rsidRPr="00F91908">
        <w:rPr>
          <w:rFonts w:ascii="Book Antiqua" w:hAnsi="Book Antiqua"/>
          <w:sz w:val="24"/>
          <w:szCs w:val="24"/>
        </w:rPr>
        <w:t>V</w:t>
      </w:r>
      <w:r w:rsidR="006521D5" w:rsidRPr="00F91908">
        <w:rPr>
          <w:rFonts w:ascii="Book Antiqua" w:hAnsi="Book Antiqua"/>
          <w:sz w:val="24"/>
          <w:szCs w:val="24"/>
        </w:rPr>
        <w:t>.</w:t>
      </w:r>
      <w:r w:rsidRPr="00F91908">
        <w:rPr>
          <w:rFonts w:ascii="Book Antiqua" w:hAnsi="Book Antiqua"/>
          <w:sz w:val="24"/>
          <w:szCs w:val="24"/>
        </w:rPr>
        <w:t xml:space="preserve">F.4 of CJD 05-03 </w:t>
      </w:r>
      <w:r w:rsidR="00C173D5" w:rsidRPr="00F91908">
        <w:rPr>
          <w:rFonts w:ascii="Book Antiqua" w:hAnsi="Book Antiqua"/>
          <w:sz w:val="24"/>
          <w:szCs w:val="24"/>
        </w:rPr>
        <w:t xml:space="preserve">governs </w:t>
      </w:r>
      <w:r w:rsidR="00E70F65" w:rsidRPr="00F91908">
        <w:rPr>
          <w:rFonts w:ascii="Book Antiqua" w:hAnsi="Book Antiqua"/>
          <w:sz w:val="24"/>
          <w:szCs w:val="24"/>
        </w:rPr>
        <w:t xml:space="preserve">notice of </w:t>
      </w:r>
      <w:r w:rsidR="00C173D5" w:rsidRPr="00F91908">
        <w:rPr>
          <w:rFonts w:ascii="Book Antiqua" w:hAnsi="Book Antiqua"/>
          <w:sz w:val="24"/>
          <w:szCs w:val="24"/>
        </w:rPr>
        <w:t xml:space="preserve">requests by </w:t>
      </w:r>
      <w:r w:rsidR="00785D63" w:rsidRPr="00F91908">
        <w:rPr>
          <w:rFonts w:ascii="Book Antiqua" w:hAnsi="Book Antiqua"/>
          <w:sz w:val="24"/>
          <w:szCs w:val="24"/>
        </w:rPr>
        <w:t>R</w:t>
      </w:r>
      <w:r w:rsidR="00C173D5" w:rsidRPr="00F91908">
        <w:rPr>
          <w:rFonts w:ascii="Book Antiqua" w:hAnsi="Book Antiqua"/>
          <w:sz w:val="24"/>
          <w:szCs w:val="24"/>
        </w:rPr>
        <w:t>eporters for extensions of time to prepare transcripts</w:t>
      </w:r>
      <w:r w:rsidR="0069421B" w:rsidRPr="00F91908">
        <w:rPr>
          <w:rFonts w:ascii="Book Antiqua" w:hAnsi="Book Antiqua"/>
          <w:sz w:val="24"/>
          <w:szCs w:val="24"/>
        </w:rPr>
        <w:t xml:space="preserve"> for such circumstances as filing a record on appeal</w:t>
      </w:r>
      <w:r w:rsidR="00785D63" w:rsidRPr="00F91908">
        <w:rPr>
          <w:rFonts w:ascii="Book Antiqua" w:hAnsi="Book Antiqua"/>
          <w:sz w:val="24"/>
          <w:szCs w:val="24"/>
        </w:rPr>
        <w:t>.  It is the policy of the District that, in the event a Reporter</w:t>
      </w:r>
      <w:r w:rsidR="00247BBF" w:rsidRPr="00F91908">
        <w:rPr>
          <w:rFonts w:ascii="Book Antiqua" w:hAnsi="Book Antiqua"/>
          <w:sz w:val="24"/>
          <w:szCs w:val="24"/>
        </w:rPr>
        <w:t xml:space="preserve"> wishes to seek an extension of time for preparation of a transcript, the Reporter </w:t>
      </w:r>
      <w:r w:rsidR="00373D7C" w:rsidRPr="00F91908">
        <w:rPr>
          <w:rFonts w:ascii="Book Antiqua" w:hAnsi="Book Antiqua"/>
          <w:sz w:val="24"/>
          <w:szCs w:val="24"/>
        </w:rPr>
        <w:t>shall obtain permission of the Managing Reporter</w:t>
      </w:r>
      <w:r w:rsidR="001E36D0" w:rsidRPr="00F91908">
        <w:rPr>
          <w:rFonts w:ascii="Book Antiqua" w:hAnsi="Book Antiqua"/>
          <w:sz w:val="24"/>
          <w:szCs w:val="24"/>
        </w:rPr>
        <w:t xml:space="preserve">, who shall consult with the presiding trial judge as to the request.  </w:t>
      </w:r>
      <w:r w:rsidR="00A8593C" w:rsidRPr="00F91908">
        <w:rPr>
          <w:rFonts w:ascii="Book Antiqua" w:hAnsi="Book Antiqua"/>
          <w:sz w:val="24"/>
          <w:szCs w:val="24"/>
        </w:rPr>
        <w:t>It is the intent of this policy that the Managing Reporter be fully informed as to such requests for extensions of time, in order that she/he</w:t>
      </w:r>
      <w:r w:rsidR="00BF1DFA" w:rsidRPr="00F91908">
        <w:rPr>
          <w:rFonts w:ascii="Book Antiqua" w:hAnsi="Book Antiqua"/>
          <w:sz w:val="24"/>
          <w:szCs w:val="24"/>
        </w:rPr>
        <w:t xml:space="preserve"> will be</w:t>
      </w:r>
      <w:r w:rsidR="00A8593C" w:rsidRPr="00F91908">
        <w:rPr>
          <w:rFonts w:ascii="Book Antiqua" w:hAnsi="Book Antiqua"/>
          <w:sz w:val="24"/>
          <w:szCs w:val="24"/>
        </w:rPr>
        <w:t xml:space="preserve"> able to </w:t>
      </w:r>
      <w:r w:rsidR="00DB4B55" w:rsidRPr="00F91908">
        <w:rPr>
          <w:rFonts w:ascii="Book Antiqua" w:hAnsi="Book Antiqua"/>
          <w:sz w:val="24"/>
          <w:szCs w:val="24"/>
        </w:rPr>
        <w:t xml:space="preserve">efficiently </w:t>
      </w:r>
      <w:r w:rsidR="00A8593C" w:rsidRPr="00F91908">
        <w:rPr>
          <w:rFonts w:ascii="Book Antiqua" w:hAnsi="Book Antiqua"/>
          <w:sz w:val="24"/>
          <w:szCs w:val="24"/>
        </w:rPr>
        <w:t xml:space="preserve">allocate the Reporter </w:t>
      </w:r>
      <w:r w:rsidR="00DB4B55" w:rsidRPr="00F91908">
        <w:rPr>
          <w:rFonts w:ascii="Book Antiqua" w:hAnsi="Book Antiqua"/>
          <w:sz w:val="24"/>
          <w:szCs w:val="24"/>
        </w:rPr>
        <w:t xml:space="preserve">assignments and workload in </w:t>
      </w:r>
      <w:r w:rsidR="00BF1DFA" w:rsidRPr="00F91908">
        <w:rPr>
          <w:rFonts w:ascii="Book Antiqua" w:hAnsi="Book Antiqua"/>
          <w:sz w:val="24"/>
          <w:szCs w:val="24"/>
        </w:rPr>
        <w:t xml:space="preserve">such </w:t>
      </w:r>
      <w:r w:rsidR="00DB4B55" w:rsidRPr="00F91908">
        <w:rPr>
          <w:rFonts w:ascii="Book Antiqua" w:hAnsi="Book Antiqua"/>
          <w:sz w:val="24"/>
          <w:szCs w:val="24"/>
        </w:rPr>
        <w:t>a fashion as to expedite the preparation of transcripts, when possible.</w:t>
      </w:r>
      <w:r w:rsidR="000131D4" w:rsidRPr="00F91908">
        <w:rPr>
          <w:rFonts w:ascii="Book Antiqua" w:hAnsi="Book Antiqua"/>
          <w:sz w:val="24"/>
          <w:szCs w:val="24"/>
        </w:rPr>
        <w:t xml:space="preserve">  </w:t>
      </w:r>
      <w:r w:rsidR="000131D4" w:rsidRPr="00F91908">
        <w:rPr>
          <w:rFonts w:ascii="Book Antiqua" w:hAnsi="Book Antiqua"/>
          <w:i/>
          <w:iCs/>
          <w:sz w:val="24"/>
          <w:szCs w:val="24"/>
        </w:rPr>
        <w:t xml:space="preserve">See </w:t>
      </w:r>
      <w:r w:rsidR="000131D4" w:rsidRPr="00F91908">
        <w:rPr>
          <w:rFonts w:ascii="Book Antiqua" w:hAnsi="Book Antiqua"/>
          <w:sz w:val="24"/>
          <w:szCs w:val="24"/>
        </w:rPr>
        <w:t>CJD 05-03</w:t>
      </w:r>
      <w:r w:rsidR="00B110D4" w:rsidRPr="00F91908">
        <w:rPr>
          <w:rFonts w:ascii="Book Antiqua" w:hAnsi="Book Antiqua"/>
          <w:sz w:val="24"/>
          <w:szCs w:val="24"/>
        </w:rPr>
        <w:t xml:space="preserve">, </w:t>
      </w:r>
      <w:r w:rsidR="00742627" w:rsidRPr="00F91908">
        <w:rPr>
          <w:rFonts w:ascii="Book Antiqua" w:hAnsi="Book Antiqua"/>
          <w:sz w:val="24"/>
          <w:szCs w:val="24"/>
        </w:rPr>
        <w:t>I</w:t>
      </w:r>
      <w:r w:rsidR="006521D5" w:rsidRPr="00F91908">
        <w:rPr>
          <w:rFonts w:ascii="Book Antiqua" w:hAnsi="Book Antiqua"/>
          <w:sz w:val="24"/>
          <w:szCs w:val="24"/>
        </w:rPr>
        <w:t>.</w:t>
      </w:r>
      <w:r w:rsidR="00B110D4" w:rsidRPr="00F91908">
        <w:rPr>
          <w:rFonts w:ascii="Book Antiqua" w:hAnsi="Book Antiqua"/>
          <w:sz w:val="24"/>
          <w:szCs w:val="24"/>
        </w:rPr>
        <w:t>E.2.a (assignment of Court Reporters by Managing Reporter)</w:t>
      </w:r>
      <w:r w:rsidR="00322492" w:rsidRPr="00F91908">
        <w:rPr>
          <w:rFonts w:ascii="Book Antiqua" w:hAnsi="Book Antiqua"/>
          <w:sz w:val="24"/>
          <w:szCs w:val="24"/>
        </w:rPr>
        <w:t>;</w:t>
      </w:r>
      <w:r w:rsidR="002125AF" w:rsidRPr="00F91908">
        <w:rPr>
          <w:rFonts w:ascii="Book Antiqua" w:hAnsi="Book Antiqua"/>
          <w:sz w:val="24"/>
          <w:szCs w:val="24"/>
        </w:rPr>
        <w:t xml:space="preserve"> </w:t>
      </w:r>
      <w:r w:rsidR="00DD0675" w:rsidRPr="00F91908">
        <w:rPr>
          <w:rFonts w:ascii="Book Antiqua" w:hAnsi="Book Antiqua"/>
          <w:sz w:val="24"/>
          <w:szCs w:val="24"/>
        </w:rPr>
        <w:t xml:space="preserve">05-03, </w:t>
      </w:r>
      <w:r w:rsidR="00742627" w:rsidRPr="00F91908">
        <w:rPr>
          <w:rFonts w:ascii="Book Antiqua" w:hAnsi="Book Antiqua"/>
          <w:sz w:val="24"/>
          <w:szCs w:val="24"/>
        </w:rPr>
        <w:t>I.</w:t>
      </w:r>
      <w:r w:rsidR="00DD0675" w:rsidRPr="00F91908">
        <w:rPr>
          <w:rFonts w:ascii="Book Antiqua" w:hAnsi="Book Antiqua"/>
          <w:sz w:val="24"/>
          <w:szCs w:val="24"/>
        </w:rPr>
        <w:t>E.2.f (Managing Reporter monitors all transcript requests</w:t>
      </w:r>
      <w:r w:rsidR="003F744F" w:rsidRPr="00F91908">
        <w:rPr>
          <w:rFonts w:ascii="Book Antiqua" w:hAnsi="Book Antiqua"/>
          <w:sz w:val="24"/>
          <w:szCs w:val="24"/>
        </w:rPr>
        <w:t xml:space="preserve"> and provides status reports concerning same)</w:t>
      </w:r>
      <w:r w:rsidR="00322492" w:rsidRPr="00F91908">
        <w:rPr>
          <w:rFonts w:ascii="Book Antiqua" w:hAnsi="Book Antiqua"/>
          <w:sz w:val="24"/>
          <w:szCs w:val="24"/>
        </w:rPr>
        <w:t>; 05-03</w:t>
      </w:r>
      <w:r w:rsidR="00C0707F" w:rsidRPr="00F91908">
        <w:rPr>
          <w:rFonts w:ascii="Book Antiqua" w:hAnsi="Book Antiqua"/>
          <w:sz w:val="24"/>
          <w:szCs w:val="24"/>
        </w:rPr>
        <w:t xml:space="preserve"> VIII.A (management of transcript backlogs</w:t>
      </w:r>
      <w:r w:rsidR="001901C0" w:rsidRPr="00F91908">
        <w:rPr>
          <w:rFonts w:ascii="Book Antiqua" w:hAnsi="Book Antiqua"/>
          <w:sz w:val="24"/>
          <w:szCs w:val="24"/>
        </w:rPr>
        <w:t xml:space="preserve"> by means of workload adjustments</w:t>
      </w:r>
      <w:r w:rsidR="00C0707F" w:rsidRPr="00F91908">
        <w:rPr>
          <w:rFonts w:ascii="Book Antiqua" w:hAnsi="Book Antiqua"/>
          <w:sz w:val="24"/>
          <w:szCs w:val="24"/>
        </w:rPr>
        <w:t>)</w:t>
      </w:r>
      <w:r w:rsidR="00B110D4" w:rsidRPr="00F91908">
        <w:rPr>
          <w:rFonts w:ascii="Book Antiqua" w:hAnsi="Book Antiqua"/>
          <w:sz w:val="24"/>
          <w:szCs w:val="24"/>
        </w:rPr>
        <w:t xml:space="preserve">. </w:t>
      </w:r>
    </w:p>
    <w:p w14:paraId="7FB7D4C6" w14:textId="0CC17B16" w:rsidR="00BF56D5" w:rsidRDefault="00F91908" w:rsidP="00842C60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0B338D">
        <w:rPr>
          <w:rFonts w:ascii="Book Antiqua" w:hAnsi="Book Antiqua"/>
          <w:sz w:val="24"/>
          <w:szCs w:val="24"/>
        </w:rPr>
        <w:t xml:space="preserve">Paragraph V.G.3 of CJD 05-03 requires that all completed transcripts be submitted to the court.  Such submission would normally be by means of filing </w:t>
      </w:r>
      <w:r w:rsidRPr="000B338D">
        <w:rPr>
          <w:rFonts w:ascii="Book Antiqua" w:hAnsi="Book Antiqua"/>
          <w:sz w:val="24"/>
          <w:szCs w:val="24"/>
        </w:rPr>
        <w:lastRenderedPageBreak/>
        <w:t xml:space="preserve">the transcript in the case file.  That process is now accomplished electronically.  However, in the event transcripts were filed electronically without a restrictive security setting, persons having access to the electronic filing system could obtain access to such transcripts and download them and copy them, without making </w:t>
      </w:r>
      <w:r w:rsidR="005A2FDF">
        <w:rPr>
          <w:rFonts w:ascii="Book Antiqua" w:hAnsi="Book Antiqua"/>
          <w:sz w:val="24"/>
          <w:szCs w:val="24"/>
        </w:rPr>
        <w:t>suitable</w:t>
      </w:r>
      <w:r w:rsidRPr="000B338D">
        <w:rPr>
          <w:rFonts w:ascii="Book Antiqua" w:hAnsi="Book Antiqua"/>
          <w:sz w:val="24"/>
          <w:szCs w:val="24"/>
        </w:rPr>
        <w:t xml:space="preserve"> payment to the Court Reporter or Transcriptionist who prepared them.  This is improper, as such Reporters or Transcribers are entitled to be paid for their efforts in preparing a transcript.  </w:t>
      </w:r>
      <w:r w:rsidRPr="000B338D">
        <w:rPr>
          <w:rFonts w:ascii="Book Antiqua" w:hAnsi="Book Antiqua"/>
          <w:i/>
          <w:iCs/>
          <w:sz w:val="24"/>
          <w:szCs w:val="24"/>
        </w:rPr>
        <w:t xml:space="preserve">See </w:t>
      </w:r>
      <w:r w:rsidRPr="000B338D">
        <w:rPr>
          <w:rFonts w:ascii="Book Antiqua" w:hAnsi="Book Antiqua"/>
          <w:sz w:val="24"/>
          <w:szCs w:val="24"/>
        </w:rPr>
        <w:t>CJD 05-03 V.D.1.b (transcripts shall not be started until satisfactory arrangements are made for payment); 05-03 VI (payment to Reporters or Transcribers for services provided in preparation of transcripts).  Thus, it is the policy of this District that all transcripts filed in a case must be filed under a “sealed” security setting, unless a judicial officer, after consultation with the Managing Reporter, authorizes 1) a less restrictive security setting; or 2) in an individual situation, authorizes the release of the transcript to a particular party or person.</w:t>
      </w:r>
      <w:r>
        <w:rPr>
          <w:rFonts w:ascii="Book Antiqua" w:hAnsi="Book Antiqua"/>
          <w:sz w:val="24"/>
          <w:szCs w:val="24"/>
        </w:rPr>
        <w:t xml:space="preserve">  </w:t>
      </w:r>
    </w:p>
    <w:p w14:paraId="47B66A1C" w14:textId="262F419A" w:rsidR="00573A05" w:rsidRPr="00842C60" w:rsidRDefault="00C05F3A" w:rsidP="00842C60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066BD0">
        <w:rPr>
          <w:rFonts w:ascii="Book Antiqua" w:hAnsi="Book Antiqua"/>
          <w:sz w:val="24"/>
          <w:szCs w:val="24"/>
        </w:rPr>
        <w:t xml:space="preserve">In order to ensure that </w:t>
      </w:r>
      <w:r w:rsidR="00CC675D" w:rsidRPr="00066BD0">
        <w:rPr>
          <w:rFonts w:ascii="Book Antiqua" w:hAnsi="Book Antiqua"/>
          <w:sz w:val="24"/>
          <w:szCs w:val="24"/>
        </w:rPr>
        <w:t xml:space="preserve">filed </w:t>
      </w:r>
      <w:r w:rsidRPr="00066BD0">
        <w:rPr>
          <w:rFonts w:ascii="Book Antiqua" w:hAnsi="Book Antiqua"/>
          <w:sz w:val="24"/>
          <w:szCs w:val="24"/>
        </w:rPr>
        <w:t xml:space="preserve">transcripts are not distributed without </w:t>
      </w:r>
      <w:r w:rsidR="00CC675D" w:rsidRPr="00066BD0">
        <w:rPr>
          <w:rFonts w:ascii="Book Antiqua" w:hAnsi="Book Antiqua"/>
          <w:sz w:val="24"/>
          <w:szCs w:val="24"/>
        </w:rPr>
        <w:t>proper payment to Reporters or Transcribers, the d</w:t>
      </w:r>
      <w:r w:rsidR="001D4898" w:rsidRPr="00066BD0">
        <w:rPr>
          <w:rFonts w:ascii="Book Antiqua" w:hAnsi="Book Antiqua"/>
          <w:sz w:val="24"/>
          <w:szCs w:val="24"/>
        </w:rPr>
        <w:t>istribution</w:t>
      </w:r>
      <w:r w:rsidR="00F91908" w:rsidRPr="00066BD0">
        <w:rPr>
          <w:rFonts w:ascii="Book Antiqua" w:hAnsi="Book Antiqua"/>
          <w:sz w:val="24"/>
          <w:szCs w:val="24"/>
        </w:rPr>
        <w:t xml:space="preserve"> of </w:t>
      </w:r>
      <w:r w:rsidRPr="00066BD0">
        <w:rPr>
          <w:rFonts w:ascii="Book Antiqua" w:hAnsi="Book Antiqua"/>
          <w:sz w:val="24"/>
          <w:szCs w:val="24"/>
        </w:rPr>
        <w:t xml:space="preserve">filed </w:t>
      </w:r>
      <w:r w:rsidR="00F91908" w:rsidRPr="00066BD0">
        <w:rPr>
          <w:rFonts w:ascii="Book Antiqua" w:hAnsi="Book Antiqua"/>
          <w:sz w:val="24"/>
          <w:szCs w:val="24"/>
        </w:rPr>
        <w:t>transcript</w:t>
      </w:r>
      <w:r w:rsidR="001D4898" w:rsidRPr="00066BD0">
        <w:rPr>
          <w:rFonts w:ascii="Book Antiqua" w:hAnsi="Book Antiqua"/>
          <w:sz w:val="24"/>
          <w:szCs w:val="24"/>
        </w:rPr>
        <w:t>s to parties requesting copies of them</w:t>
      </w:r>
      <w:r w:rsidR="00F91908" w:rsidRPr="00066BD0">
        <w:rPr>
          <w:rFonts w:ascii="Book Antiqua" w:hAnsi="Book Antiqua"/>
          <w:sz w:val="24"/>
          <w:szCs w:val="24"/>
        </w:rPr>
        <w:t xml:space="preserve"> will be</w:t>
      </w:r>
      <w:r w:rsidR="006660B4" w:rsidRPr="00066BD0">
        <w:rPr>
          <w:rFonts w:ascii="Book Antiqua" w:hAnsi="Book Antiqua"/>
          <w:sz w:val="24"/>
          <w:szCs w:val="24"/>
        </w:rPr>
        <w:t xml:space="preserve"> accomplished</w:t>
      </w:r>
      <w:r w:rsidR="00F91908" w:rsidRPr="00066BD0">
        <w:rPr>
          <w:rFonts w:ascii="Book Antiqua" w:hAnsi="Book Antiqua"/>
          <w:sz w:val="24"/>
          <w:szCs w:val="24"/>
        </w:rPr>
        <w:t xml:space="preserve"> through the court reporter </w:t>
      </w:r>
      <w:r w:rsidR="0028102D" w:rsidRPr="00066BD0">
        <w:rPr>
          <w:rFonts w:ascii="Book Antiqua" w:hAnsi="Book Antiqua"/>
          <w:sz w:val="24"/>
          <w:szCs w:val="24"/>
        </w:rPr>
        <w:t xml:space="preserve">or transcriber </w:t>
      </w:r>
      <w:r w:rsidR="00F91908" w:rsidRPr="00066BD0">
        <w:rPr>
          <w:rFonts w:ascii="Book Antiqua" w:hAnsi="Book Antiqua"/>
          <w:sz w:val="24"/>
          <w:szCs w:val="24"/>
        </w:rPr>
        <w:t>who prepared t</w:t>
      </w:r>
      <w:r w:rsidR="00CC675D" w:rsidRPr="00066BD0">
        <w:rPr>
          <w:rFonts w:ascii="Book Antiqua" w:hAnsi="Book Antiqua"/>
          <w:sz w:val="24"/>
          <w:szCs w:val="24"/>
        </w:rPr>
        <w:t>hem</w:t>
      </w:r>
      <w:r w:rsidR="00F91908" w:rsidRPr="00066BD0">
        <w:rPr>
          <w:rFonts w:ascii="Book Antiqua" w:hAnsi="Book Antiqua"/>
          <w:sz w:val="24"/>
          <w:szCs w:val="24"/>
        </w:rPr>
        <w:t xml:space="preserve"> or under the supervision of the </w:t>
      </w:r>
      <w:r w:rsidR="00123618">
        <w:rPr>
          <w:rFonts w:ascii="Book Antiqua" w:hAnsi="Book Antiqua"/>
          <w:sz w:val="24"/>
          <w:szCs w:val="24"/>
        </w:rPr>
        <w:t>M</w:t>
      </w:r>
      <w:r w:rsidR="00F91908" w:rsidRPr="00066BD0">
        <w:rPr>
          <w:rFonts w:ascii="Book Antiqua" w:hAnsi="Book Antiqua"/>
          <w:sz w:val="24"/>
          <w:szCs w:val="24"/>
        </w:rPr>
        <w:t xml:space="preserve">anaging </w:t>
      </w:r>
      <w:r w:rsidR="00123618">
        <w:rPr>
          <w:rFonts w:ascii="Book Antiqua" w:hAnsi="Book Antiqua"/>
          <w:sz w:val="24"/>
          <w:szCs w:val="24"/>
        </w:rPr>
        <w:t>R</w:t>
      </w:r>
      <w:r w:rsidR="00F91908" w:rsidRPr="00066BD0">
        <w:rPr>
          <w:rFonts w:ascii="Book Antiqua" w:hAnsi="Book Antiqua"/>
          <w:sz w:val="24"/>
          <w:szCs w:val="24"/>
        </w:rPr>
        <w:t>eporter if the preparer is not available.</w:t>
      </w:r>
      <w:r w:rsidR="00B110D4" w:rsidRPr="00842C60">
        <w:rPr>
          <w:rFonts w:ascii="Book Antiqua" w:hAnsi="Book Antiqua"/>
          <w:sz w:val="24"/>
          <w:szCs w:val="24"/>
        </w:rPr>
        <w:t xml:space="preserve"> </w:t>
      </w:r>
      <w:r w:rsidR="00A8593C" w:rsidRPr="00842C60">
        <w:rPr>
          <w:rFonts w:ascii="Book Antiqua" w:hAnsi="Book Antiqua"/>
          <w:sz w:val="24"/>
          <w:szCs w:val="24"/>
        </w:rPr>
        <w:t xml:space="preserve"> </w:t>
      </w:r>
      <w:r w:rsidR="001E36D0" w:rsidRPr="00842C60">
        <w:rPr>
          <w:rFonts w:ascii="Book Antiqua" w:hAnsi="Book Antiqua"/>
          <w:sz w:val="24"/>
          <w:szCs w:val="24"/>
        </w:rPr>
        <w:t xml:space="preserve"> </w:t>
      </w:r>
      <w:r w:rsidR="00785D63" w:rsidRPr="00842C60">
        <w:rPr>
          <w:rFonts w:ascii="Book Antiqua" w:hAnsi="Book Antiqua"/>
          <w:sz w:val="24"/>
          <w:szCs w:val="24"/>
        </w:rPr>
        <w:t xml:space="preserve"> </w:t>
      </w:r>
    </w:p>
    <w:p w14:paraId="2B14AA9B" w14:textId="79C9F7E7" w:rsidR="006A589F" w:rsidRPr="000B338D" w:rsidRDefault="006A589F" w:rsidP="00F91908">
      <w:pPr>
        <w:pStyle w:val="ListParagraph"/>
        <w:ind w:left="360"/>
        <w:rPr>
          <w:rFonts w:ascii="Book Antiqua" w:hAnsi="Book Antiqua"/>
          <w:sz w:val="24"/>
          <w:szCs w:val="24"/>
        </w:rPr>
      </w:pPr>
    </w:p>
    <w:p w14:paraId="35F0A1DA" w14:textId="012E0A88" w:rsidR="006A6DC3" w:rsidRDefault="00B37A2D" w:rsidP="00B37A2D">
      <w:pPr>
        <w:ind w:firstLine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Nothing in this Order modifies prior Chief Judge Orders in terms of operations, except as this Order is inconsistent with those prior Orders; in such case, this Order governs.</w:t>
      </w:r>
    </w:p>
    <w:p w14:paraId="5E56A367" w14:textId="5CA02C69" w:rsidR="00B37A2D" w:rsidRDefault="00B37A2D" w:rsidP="00B37A2D">
      <w:pPr>
        <w:ind w:firstLine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This Order </w:t>
      </w:r>
      <w:r w:rsidR="00653672">
        <w:rPr>
          <w:rFonts w:ascii="Book Antiqua" w:hAnsi="Book Antiqua"/>
          <w:sz w:val="24"/>
          <w:szCs w:val="24"/>
        </w:rPr>
        <w:t xml:space="preserve">remains in effect until </w:t>
      </w:r>
      <w:r w:rsidR="00455F6E">
        <w:rPr>
          <w:rFonts w:ascii="Book Antiqua" w:hAnsi="Book Antiqua"/>
          <w:sz w:val="24"/>
          <w:szCs w:val="24"/>
        </w:rPr>
        <w:t xml:space="preserve">modified or amended </w:t>
      </w:r>
      <w:r>
        <w:rPr>
          <w:rFonts w:ascii="Book Antiqua" w:hAnsi="Book Antiqua"/>
          <w:sz w:val="24"/>
          <w:szCs w:val="24"/>
        </w:rPr>
        <w:t xml:space="preserve">from time-to-time.  </w:t>
      </w:r>
    </w:p>
    <w:p w14:paraId="216DD6FC" w14:textId="0C1DA34C" w:rsidR="00A01188" w:rsidRDefault="00A01188" w:rsidP="00EA43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IT IS SO ORDERED, effective </w:t>
      </w:r>
      <w:r w:rsidR="00B43BCF">
        <w:rPr>
          <w:rFonts w:ascii="Book Antiqua" w:hAnsi="Book Antiqua"/>
          <w:sz w:val="24"/>
          <w:szCs w:val="24"/>
        </w:rPr>
        <w:t>immediately</w:t>
      </w:r>
      <w:r w:rsidR="00EA1FF2">
        <w:rPr>
          <w:rFonts w:ascii="Book Antiqua" w:hAnsi="Book Antiqua"/>
          <w:sz w:val="24"/>
          <w:szCs w:val="24"/>
        </w:rPr>
        <w:t>.</w:t>
      </w:r>
    </w:p>
    <w:p w14:paraId="234A43BA" w14:textId="59EFA202" w:rsidR="00EA1FF2" w:rsidRDefault="006037BC" w:rsidP="00EA43C1">
      <w:pPr>
        <w:rPr>
          <w:rFonts w:ascii="Book Antiqua" w:hAnsi="Book Antiqua"/>
          <w:sz w:val="24"/>
          <w:szCs w:val="24"/>
        </w:rPr>
      </w:pPr>
      <w:bookmarkStart w:id="1" w:name="_Hlk9495186"/>
      <w:r w:rsidRPr="007928E6">
        <w:rPr>
          <w:noProof/>
          <w:color w:val="0070C0"/>
          <w:u w:val="single"/>
        </w:rPr>
        <w:drawing>
          <wp:inline distT="0" distB="0" distL="0" distR="0" wp14:anchorId="456766C5" wp14:editId="2ED0D875">
            <wp:extent cx="1417320" cy="421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421640"/>
                    </a:xfrm>
                    <a:prstGeom prst="rect">
                      <a:avLst/>
                    </a:prstGeom>
                    <a:solidFill>
                      <a:srgbClr val="007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Fonts w:ascii="Book Antiqua" w:hAnsi="Book Antiqua"/>
          <w:sz w:val="24"/>
          <w:szCs w:val="24"/>
        </w:rPr>
        <w:t xml:space="preserve"> </w:t>
      </w:r>
    </w:p>
    <w:p w14:paraId="10E46E33" w14:textId="592704FC" w:rsidR="006037BC" w:rsidRDefault="006037BC" w:rsidP="00EA43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Chief Judge</w:t>
      </w:r>
    </w:p>
    <w:p w14:paraId="48F724B8" w14:textId="5DE34F1A" w:rsidR="008A5F7E" w:rsidRDefault="00455F6E" w:rsidP="00EA43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June</w:t>
      </w:r>
      <w:r w:rsidR="00B43BCF">
        <w:rPr>
          <w:rFonts w:ascii="Book Antiqua" w:hAnsi="Book Antiqua"/>
          <w:sz w:val="24"/>
          <w:szCs w:val="24"/>
        </w:rPr>
        <w:t xml:space="preserve"> </w:t>
      </w:r>
      <w:r w:rsidR="00842C60">
        <w:rPr>
          <w:rFonts w:ascii="Book Antiqua" w:hAnsi="Book Antiqua"/>
          <w:sz w:val="24"/>
          <w:szCs w:val="24"/>
        </w:rPr>
        <w:t>2</w:t>
      </w:r>
      <w:r w:rsidR="00CC675D">
        <w:rPr>
          <w:rFonts w:ascii="Book Antiqua" w:hAnsi="Book Antiqua"/>
          <w:sz w:val="24"/>
          <w:szCs w:val="24"/>
        </w:rPr>
        <w:t>2</w:t>
      </w:r>
      <w:r w:rsidR="00B37A2D">
        <w:rPr>
          <w:rFonts w:ascii="Book Antiqua" w:hAnsi="Book Antiqua"/>
          <w:sz w:val="24"/>
          <w:szCs w:val="24"/>
        </w:rPr>
        <w:t xml:space="preserve">, </w:t>
      </w:r>
      <w:r w:rsidR="001C649A">
        <w:rPr>
          <w:rFonts w:ascii="Book Antiqua" w:hAnsi="Book Antiqua"/>
          <w:sz w:val="24"/>
          <w:szCs w:val="24"/>
        </w:rPr>
        <w:t>202</w:t>
      </w:r>
      <w:r w:rsidR="005F0982">
        <w:rPr>
          <w:rFonts w:ascii="Book Antiqua" w:hAnsi="Book Antiqua"/>
          <w:sz w:val="24"/>
          <w:szCs w:val="24"/>
        </w:rPr>
        <w:t>1</w:t>
      </w:r>
      <w:r w:rsidR="008A5F7E">
        <w:rPr>
          <w:rFonts w:ascii="Book Antiqua" w:hAnsi="Book Antiqua"/>
          <w:sz w:val="24"/>
          <w:szCs w:val="24"/>
        </w:rPr>
        <w:t>, at</w:t>
      </w:r>
      <w:r w:rsidR="005E2D58">
        <w:rPr>
          <w:rFonts w:ascii="Book Antiqua" w:hAnsi="Book Antiqua"/>
          <w:sz w:val="24"/>
          <w:szCs w:val="24"/>
        </w:rPr>
        <w:t xml:space="preserve"> </w:t>
      </w:r>
      <w:r w:rsidR="00066BD0">
        <w:rPr>
          <w:rFonts w:ascii="Book Antiqua" w:hAnsi="Book Antiqua"/>
          <w:sz w:val="24"/>
          <w:szCs w:val="24"/>
        </w:rPr>
        <w:t>1345</w:t>
      </w:r>
      <w:r w:rsidR="008A5F7E">
        <w:rPr>
          <w:rFonts w:ascii="Book Antiqua" w:hAnsi="Book Antiqua"/>
          <w:sz w:val="24"/>
          <w:szCs w:val="24"/>
        </w:rPr>
        <w:t xml:space="preserve"> hours.</w:t>
      </w:r>
    </w:p>
    <w:p w14:paraId="24825182" w14:textId="2868C2F8" w:rsidR="00C9449D" w:rsidRPr="00E243A8" w:rsidRDefault="00C9449D" w:rsidP="00FF2DAC">
      <w:pPr>
        <w:rPr>
          <w:rFonts w:ascii="Book Antiqua" w:hAnsi="Book Antiqua"/>
          <w:sz w:val="24"/>
          <w:szCs w:val="24"/>
        </w:rPr>
      </w:pPr>
      <w:r w:rsidRPr="00E243A8">
        <w:rPr>
          <w:rFonts w:ascii="Book Antiqua" w:hAnsi="Book Antiqua"/>
          <w:sz w:val="24"/>
          <w:szCs w:val="24"/>
        </w:rPr>
        <w:tab/>
      </w:r>
    </w:p>
    <w:p w14:paraId="367D9C74" w14:textId="77777777" w:rsidR="008006A0" w:rsidRPr="00E243A8" w:rsidRDefault="008006A0">
      <w:pPr>
        <w:rPr>
          <w:rFonts w:ascii="Book Antiqua" w:hAnsi="Book Antiqua"/>
          <w:sz w:val="24"/>
          <w:szCs w:val="24"/>
        </w:rPr>
      </w:pPr>
    </w:p>
    <w:sectPr w:rsidR="008006A0" w:rsidRPr="00E243A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5F995" w14:textId="77777777" w:rsidR="000926FE" w:rsidRDefault="000926FE" w:rsidP="006A6DC3">
      <w:pPr>
        <w:spacing w:after="0" w:line="240" w:lineRule="auto"/>
      </w:pPr>
      <w:r>
        <w:separator/>
      </w:r>
    </w:p>
  </w:endnote>
  <w:endnote w:type="continuationSeparator" w:id="0">
    <w:p w14:paraId="450667FC" w14:textId="77777777" w:rsidR="000926FE" w:rsidRDefault="000926FE" w:rsidP="006A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2983280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20"/>
            <w:szCs w:val="20"/>
          </w:rPr>
        </w:sdtEndPr>
        <w:sdtContent>
          <w:p w14:paraId="198883EB" w14:textId="07C91340" w:rsidR="006A6DC3" w:rsidRPr="006A6DC3" w:rsidRDefault="006A6DC3">
            <w:pPr>
              <w:pStyle w:val="Footer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A6DC3">
              <w:rPr>
                <w:rFonts w:ascii="Book Antiqua" w:hAnsi="Book Antiqua"/>
                <w:b/>
                <w:sz w:val="20"/>
                <w:szCs w:val="20"/>
              </w:rPr>
              <w:t xml:space="preserve">Page </w:t>
            </w:r>
            <w:r w:rsidRPr="006A6DC3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Pr="006A6DC3">
              <w:rPr>
                <w:rFonts w:ascii="Book Antiqua" w:hAnsi="Book Antiqua"/>
                <w:b/>
                <w:bCs/>
                <w:sz w:val="20"/>
                <w:szCs w:val="20"/>
              </w:rPr>
              <w:instrText xml:space="preserve"> PAGE </w:instrText>
            </w:r>
            <w:r w:rsidRPr="006A6DC3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Pr="006A6DC3">
              <w:rPr>
                <w:rFonts w:ascii="Book Antiqua" w:hAnsi="Book Antiqua"/>
                <w:b/>
                <w:bCs/>
                <w:noProof/>
                <w:sz w:val="20"/>
                <w:szCs w:val="20"/>
              </w:rPr>
              <w:t>2</w:t>
            </w:r>
            <w:r w:rsidRPr="006A6DC3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  <w:r w:rsidRPr="006A6DC3">
              <w:rPr>
                <w:rFonts w:ascii="Book Antiqua" w:hAnsi="Book Antiqua"/>
                <w:b/>
                <w:sz w:val="20"/>
                <w:szCs w:val="20"/>
              </w:rPr>
              <w:t xml:space="preserve"> of </w:t>
            </w:r>
            <w:r w:rsidRPr="006A6DC3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Pr="006A6DC3">
              <w:rPr>
                <w:rFonts w:ascii="Book Antiqua" w:hAnsi="Book Antiqua"/>
                <w:b/>
                <w:bCs/>
                <w:sz w:val="20"/>
                <w:szCs w:val="20"/>
              </w:rPr>
              <w:instrText xml:space="preserve"> NUMPAGES  </w:instrText>
            </w:r>
            <w:r w:rsidRPr="006A6DC3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Pr="006A6DC3">
              <w:rPr>
                <w:rFonts w:ascii="Book Antiqua" w:hAnsi="Book Antiqua"/>
                <w:b/>
                <w:bCs/>
                <w:noProof/>
                <w:sz w:val="20"/>
                <w:szCs w:val="20"/>
              </w:rPr>
              <w:t>2</w:t>
            </w:r>
            <w:r w:rsidRPr="006A6DC3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  <w:r w:rsidR="003B36C9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June </w:t>
            </w:r>
            <w:r w:rsidR="009C7E20">
              <w:rPr>
                <w:rFonts w:ascii="Book Antiqua" w:hAnsi="Book Antiqua"/>
                <w:b/>
                <w:bCs/>
                <w:sz w:val="20"/>
                <w:szCs w:val="20"/>
              </w:rPr>
              <w:t>2</w:t>
            </w:r>
            <w:r w:rsidR="00CC675D">
              <w:rPr>
                <w:rFonts w:ascii="Book Antiqua" w:hAnsi="Book Antiqua"/>
                <w:b/>
                <w:bCs/>
                <w:sz w:val="20"/>
                <w:szCs w:val="20"/>
              </w:rPr>
              <w:t>2</w:t>
            </w:r>
            <w:r w:rsidR="003B36C9">
              <w:rPr>
                <w:rFonts w:ascii="Book Antiqua" w:hAnsi="Book Antiqua"/>
                <w:b/>
                <w:bCs/>
                <w:sz w:val="20"/>
                <w:szCs w:val="20"/>
              </w:rPr>
              <w:t>, 2021</w:t>
            </w:r>
          </w:p>
        </w:sdtContent>
      </w:sdt>
    </w:sdtContent>
  </w:sdt>
  <w:p w14:paraId="25397EC7" w14:textId="77777777" w:rsidR="006A6DC3" w:rsidRDefault="006A6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6A7C5" w14:textId="77777777" w:rsidR="000926FE" w:rsidRDefault="000926FE" w:rsidP="006A6DC3">
      <w:pPr>
        <w:spacing w:after="0" w:line="240" w:lineRule="auto"/>
      </w:pPr>
      <w:r>
        <w:separator/>
      </w:r>
    </w:p>
  </w:footnote>
  <w:footnote w:type="continuationSeparator" w:id="0">
    <w:p w14:paraId="63C581A3" w14:textId="77777777" w:rsidR="000926FE" w:rsidRDefault="000926FE" w:rsidP="006A6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1777"/>
    <w:multiLevelType w:val="hybridMultilevel"/>
    <w:tmpl w:val="F7DC5AF6"/>
    <w:lvl w:ilvl="0" w:tplc="0E52B720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D0936"/>
    <w:multiLevelType w:val="hybridMultilevel"/>
    <w:tmpl w:val="12E08196"/>
    <w:lvl w:ilvl="0" w:tplc="E2323080">
      <w:start w:val="1"/>
      <w:numFmt w:val="decimal"/>
      <w:lvlText w:val="%1."/>
      <w:lvlJc w:val="left"/>
      <w:pPr>
        <w:ind w:left="800" w:hanging="720"/>
        <w:jc w:val="right"/>
      </w:pPr>
      <w:rPr>
        <w:rFonts w:ascii="Book Antiqua" w:eastAsia="Book Antiqua" w:hAnsi="Book Antiqua" w:cs="Book Antiqua" w:hint="default"/>
        <w:b/>
        <w:bCs/>
        <w:spacing w:val="-1"/>
        <w:w w:val="100"/>
        <w:sz w:val="24"/>
        <w:szCs w:val="24"/>
      </w:rPr>
    </w:lvl>
    <w:lvl w:ilvl="1" w:tplc="F9049B26">
      <w:start w:val="1"/>
      <w:numFmt w:val="lowerLetter"/>
      <w:lvlText w:val="%2."/>
      <w:lvlJc w:val="left"/>
      <w:pPr>
        <w:ind w:left="1960" w:hanging="360"/>
        <w:jc w:val="right"/>
      </w:pPr>
      <w:rPr>
        <w:rFonts w:ascii="Book Antiqua" w:eastAsia="Book Antiqua" w:hAnsi="Book Antiqua" w:cs="Book Antiqua" w:hint="default"/>
        <w:spacing w:val="-3"/>
        <w:w w:val="100"/>
        <w:sz w:val="24"/>
        <w:szCs w:val="24"/>
      </w:rPr>
    </w:lvl>
    <w:lvl w:ilvl="2" w:tplc="9AAEB320">
      <w:start w:val="1"/>
      <w:numFmt w:val="lowerRoman"/>
      <w:lvlText w:val="%3."/>
      <w:lvlJc w:val="left"/>
      <w:pPr>
        <w:ind w:left="2240" w:hanging="310"/>
        <w:jc w:val="right"/>
      </w:pPr>
      <w:rPr>
        <w:rFonts w:ascii="Book Antiqua" w:eastAsia="Book Antiqua" w:hAnsi="Book Antiqua" w:cs="Book Antiqua" w:hint="default"/>
        <w:spacing w:val="-3"/>
        <w:w w:val="100"/>
        <w:sz w:val="24"/>
        <w:szCs w:val="24"/>
      </w:rPr>
    </w:lvl>
    <w:lvl w:ilvl="3" w:tplc="67303256">
      <w:numFmt w:val="bullet"/>
      <w:lvlText w:val="•"/>
      <w:lvlJc w:val="left"/>
      <w:pPr>
        <w:ind w:left="1960" w:hanging="310"/>
      </w:pPr>
      <w:rPr>
        <w:rFonts w:hint="default"/>
      </w:rPr>
    </w:lvl>
    <w:lvl w:ilvl="4" w:tplc="529206CA">
      <w:numFmt w:val="bullet"/>
      <w:lvlText w:val="•"/>
      <w:lvlJc w:val="left"/>
      <w:pPr>
        <w:ind w:left="2240" w:hanging="310"/>
      </w:pPr>
      <w:rPr>
        <w:rFonts w:hint="default"/>
      </w:rPr>
    </w:lvl>
    <w:lvl w:ilvl="5" w:tplc="C092557E">
      <w:numFmt w:val="bullet"/>
      <w:lvlText w:val="•"/>
      <w:lvlJc w:val="left"/>
      <w:pPr>
        <w:ind w:left="3386" w:hanging="310"/>
      </w:pPr>
      <w:rPr>
        <w:rFonts w:hint="default"/>
      </w:rPr>
    </w:lvl>
    <w:lvl w:ilvl="6" w:tplc="2EE8E9EC">
      <w:numFmt w:val="bullet"/>
      <w:lvlText w:val="•"/>
      <w:lvlJc w:val="left"/>
      <w:pPr>
        <w:ind w:left="4533" w:hanging="310"/>
      </w:pPr>
      <w:rPr>
        <w:rFonts w:hint="default"/>
      </w:rPr>
    </w:lvl>
    <w:lvl w:ilvl="7" w:tplc="9F3C41FC">
      <w:numFmt w:val="bullet"/>
      <w:lvlText w:val="•"/>
      <w:lvlJc w:val="left"/>
      <w:pPr>
        <w:ind w:left="5680" w:hanging="310"/>
      </w:pPr>
      <w:rPr>
        <w:rFonts w:hint="default"/>
      </w:rPr>
    </w:lvl>
    <w:lvl w:ilvl="8" w:tplc="E774F69E">
      <w:numFmt w:val="bullet"/>
      <w:lvlText w:val="•"/>
      <w:lvlJc w:val="left"/>
      <w:pPr>
        <w:ind w:left="6826" w:hanging="310"/>
      </w:pPr>
      <w:rPr>
        <w:rFonts w:hint="default"/>
      </w:rPr>
    </w:lvl>
  </w:abstractNum>
  <w:abstractNum w:abstractNumId="2" w15:restartNumberingAfterBreak="0">
    <w:nsid w:val="12D474A8"/>
    <w:multiLevelType w:val="hybridMultilevel"/>
    <w:tmpl w:val="AE2A07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15C67A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71906"/>
    <w:multiLevelType w:val="hybridMultilevel"/>
    <w:tmpl w:val="666A5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A032D"/>
    <w:multiLevelType w:val="multilevel"/>
    <w:tmpl w:val="E8E8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55249"/>
    <w:multiLevelType w:val="hybridMultilevel"/>
    <w:tmpl w:val="6018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25EB6"/>
    <w:multiLevelType w:val="hybridMultilevel"/>
    <w:tmpl w:val="82AC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A0"/>
    <w:rsid w:val="00003835"/>
    <w:rsid w:val="000131D4"/>
    <w:rsid w:val="00030516"/>
    <w:rsid w:val="000327EC"/>
    <w:rsid w:val="000338A7"/>
    <w:rsid w:val="0003541F"/>
    <w:rsid w:val="00044E51"/>
    <w:rsid w:val="00050D3A"/>
    <w:rsid w:val="000608CC"/>
    <w:rsid w:val="00060DB5"/>
    <w:rsid w:val="00066BD0"/>
    <w:rsid w:val="00073837"/>
    <w:rsid w:val="000766B6"/>
    <w:rsid w:val="000807F9"/>
    <w:rsid w:val="000924DE"/>
    <w:rsid w:val="000926FE"/>
    <w:rsid w:val="0009394A"/>
    <w:rsid w:val="000972B3"/>
    <w:rsid w:val="000A3269"/>
    <w:rsid w:val="000A60D7"/>
    <w:rsid w:val="000B338D"/>
    <w:rsid w:val="000B68D9"/>
    <w:rsid w:val="000C2139"/>
    <w:rsid w:val="000C4BA5"/>
    <w:rsid w:val="000D53C8"/>
    <w:rsid w:val="0011178C"/>
    <w:rsid w:val="00123618"/>
    <w:rsid w:val="001271EF"/>
    <w:rsid w:val="00130760"/>
    <w:rsid w:val="001371B6"/>
    <w:rsid w:val="0014059E"/>
    <w:rsid w:val="001470F9"/>
    <w:rsid w:val="00151319"/>
    <w:rsid w:val="00170A9A"/>
    <w:rsid w:val="00172F1C"/>
    <w:rsid w:val="001901C0"/>
    <w:rsid w:val="001C3E1A"/>
    <w:rsid w:val="001C6210"/>
    <w:rsid w:val="001C649A"/>
    <w:rsid w:val="001D242D"/>
    <w:rsid w:val="001D4898"/>
    <w:rsid w:val="001D6207"/>
    <w:rsid w:val="001E36D0"/>
    <w:rsid w:val="001E4BC1"/>
    <w:rsid w:val="001F1483"/>
    <w:rsid w:val="002022E9"/>
    <w:rsid w:val="00206799"/>
    <w:rsid w:val="002125AF"/>
    <w:rsid w:val="002127AE"/>
    <w:rsid w:val="00212F67"/>
    <w:rsid w:val="00231CAB"/>
    <w:rsid w:val="00240D3C"/>
    <w:rsid w:val="002476B0"/>
    <w:rsid w:val="00247BBF"/>
    <w:rsid w:val="002503F3"/>
    <w:rsid w:val="002513FF"/>
    <w:rsid w:val="002647DD"/>
    <w:rsid w:val="0028102D"/>
    <w:rsid w:val="002A23FC"/>
    <w:rsid w:val="002B087C"/>
    <w:rsid w:val="002B2D17"/>
    <w:rsid w:val="002B6DE8"/>
    <w:rsid w:val="002B7B6B"/>
    <w:rsid w:val="002B7F72"/>
    <w:rsid w:val="002C69AB"/>
    <w:rsid w:val="002D424D"/>
    <w:rsid w:val="002E28DB"/>
    <w:rsid w:val="002E3204"/>
    <w:rsid w:val="002E5179"/>
    <w:rsid w:val="002F4F09"/>
    <w:rsid w:val="00302987"/>
    <w:rsid w:val="00303DF7"/>
    <w:rsid w:val="003065B0"/>
    <w:rsid w:val="003116A3"/>
    <w:rsid w:val="00322492"/>
    <w:rsid w:val="00327F17"/>
    <w:rsid w:val="00343BCA"/>
    <w:rsid w:val="00360E79"/>
    <w:rsid w:val="00361F28"/>
    <w:rsid w:val="003622E3"/>
    <w:rsid w:val="00366967"/>
    <w:rsid w:val="00370B64"/>
    <w:rsid w:val="00373D7C"/>
    <w:rsid w:val="003765ED"/>
    <w:rsid w:val="00380C67"/>
    <w:rsid w:val="003868C3"/>
    <w:rsid w:val="00387041"/>
    <w:rsid w:val="00391B5B"/>
    <w:rsid w:val="00396E66"/>
    <w:rsid w:val="003A2E5B"/>
    <w:rsid w:val="003B1388"/>
    <w:rsid w:val="003B36C9"/>
    <w:rsid w:val="003B7E01"/>
    <w:rsid w:val="003B7E7C"/>
    <w:rsid w:val="003D0CBB"/>
    <w:rsid w:val="003D7A75"/>
    <w:rsid w:val="003E285D"/>
    <w:rsid w:val="003E599E"/>
    <w:rsid w:val="003F36D5"/>
    <w:rsid w:val="003F5782"/>
    <w:rsid w:val="003F744F"/>
    <w:rsid w:val="0040249C"/>
    <w:rsid w:val="004032FE"/>
    <w:rsid w:val="004038D0"/>
    <w:rsid w:val="004079F6"/>
    <w:rsid w:val="00412A3E"/>
    <w:rsid w:val="0041408E"/>
    <w:rsid w:val="0042169A"/>
    <w:rsid w:val="00431949"/>
    <w:rsid w:val="0043361C"/>
    <w:rsid w:val="0043432F"/>
    <w:rsid w:val="0044325C"/>
    <w:rsid w:val="004479CF"/>
    <w:rsid w:val="00450037"/>
    <w:rsid w:val="00455F6E"/>
    <w:rsid w:val="00462292"/>
    <w:rsid w:val="0046232D"/>
    <w:rsid w:val="004668E3"/>
    <w:rsid w:val="0046771D"/>
    <w:rsid w:val="00476F8D"/>
    <w:rsid w:val="004950C1"/>
    <w:rsid w:val="004966CD"/>
    <w:rsid w:val="004B0048"/>
    <w:rsid w:val="004B4372"/>
    <w:rsid w:val="004C6D00"/>
    <w:rsid w:val="004D17A6"/>
    <w:rsid w:val="004D1AEF"/>
    <w:rsid w:val="00502031"/>
    <w:rsid w:val="005132A3"/>
    <w:rsid w:val="00514F1A"/>
    <w:rsid w:val="005170C5"/>
    <w:rsid w:val="005264FA"/>
    <w:rsid w:val="0053626D"/>
    <w:rsid w:val="00543088"/>
    <w:rsid w:val="00544E12"/>
    <w:rsid w:val="00545895"/>
    <w:rsid w:val="0056112F"/>
    <w:rsid w:val="00573A05"/>
    <w:rsid w:val="0058660E"/>
    <w:rsid w:val="005967AD"/>
    <w:rsid w:val="005A2337"/>
    <w:rsid w:val="005A2FDF"/>
    <w:rsid w:val="005A3216"/>
    <w:rsid w:val="005C53EE"/>
    <w:rsid w:val="005C64C7"/>
    <w:rsid w:val="005C6631"/>
    <w:rsid w:val="005C6C57"/>
    <w:rsid w:val="005E2D58"/>
    <w:rsid w:val="005E56CF"/>
    <w:rsid w:val="005F0982"/>
    <w:rsid w:val="006005A3"/>
    <w:rsid w:val="006037BC"/>
    <w:rsid w:val="00621381"/>
    <w:rsid w:val="0062574A"/>
    <w:rsid w:val="006521D5"/>
    <w:rsid w:val="00653672"/>
    <w:rsid w:val="006548D4"/>
    <w:rsid w:val="0066151E"/>
    <w:rsid w:val="0066364C"/>
    <w:rsid w:val="006651A0"/>
    <w:rsid w:val="006660B4"/>
    <w:rsid w:val="00672D87"/>
    <w:rsid w:val="00674813"/>
    <w:rsid w:val="006840A8"/>
    <w:rsid w:val="00685B77"/>
    <w:rsid w:val="0069421B"/>
    <w:rsid w:val="006A470F"/>
    <w:rsid w:val="006A589F"/>
    <w:rsid w:val="006A629A"/>
    <w:rsid w:val="006A6DC3"/>
    <w:rsid w:val="006A6F6C"/>
    <w:rsid w:val="006B1118"/>
    <w:rsid w:val="006B30B2"/>
    <w:rsid w:val="006B69EF"/>
    <w:rsid w:val="006D6063"/>
    <w:rsid w:val="006D7F21"/>
    <w:rsid w:val="006F39E0"/>
    <w:rsid w:val="007054EE"/>
    <w:rsid w:val="00706ACE"/>
    <w:rsid w:val="00720694"/>
    <w:rsid w:val="00720F49"/>
    <w:rsid w:val="007351F9"/>
    <w:rsid w:val="007358BF"/>
    <w:rsid w:val="00735B07"/>
    <w:rsid w:val="00742627"/>
    <w:rsid w:val="007504F7"/>
    <w:rsid w:val="00750E7F"/>
    <w:rsid w:val="007624A3"/>
    <w:rsid w:val="007644A5"/>
    <w:rsid w:val="00773F9E"/>
    <w:rsid w:val="00781860"/>
    <w:rsid w:val="00783CBC"/>
    <w:rsid w:val="00783D61"/>
    <w:rsid w:val="00784EDB"/>
    <w:rsid w:val="00785D63"/>
    <w:rsid w:val="00792380"/>
    <w:rsid w:val="0079472C"/>
    <w:rsid w:val="00796C0A"/>
    <w:rsid w:val="007A6483"/>
    <w:rsid w:val="007A7010"/>
    <w:rsid w:val="007B4CDB"/>
    <w:rsid w:val="007C7220"/>
    <w:rsid w:val="007D0E07"/>
    <w:rsid w:val="007D3A13"/>
    <w:rsid w:val="007E1FC9"/>
    <w:rsid w:val="007E3582"/>
    <w:rsid w:val="007E384F"/>
    <w:rsid w:val="007E798E"/>
    <w:rsid w:val="007F1E78"/>
    <w:rsid w:val="007F3C42"/>
    <w:rsid w:val="008006A0"/>
    <w:rsid w:val="008144EA"/>
    <w:rsid w:val="00815BC5"/>
    <w:rsid w:val="00816AB4"/>
    <w:rsid w:val="0082162E"/>
    <w:rsid w:val="008241A3"/>
    <w:rsid w:val="00825CF6"/>
    <w:rsid w:val="0082766D"/>
    <w:rsid w:val="008404B2"/>
    <w:rsid w:val="00840737"/>
    <w:rsid w:val="0084162B"/>
    <w:rsid w:val="00842C60"/>
    <w:rsid w:val="008533DB"/>
    <w:rsid w:val="0085789B"/>
    <w:rsid w:val="00857D80"/>
    <w:rsid w:val="008816A3"/>
    <w:rsid w:val="0088570C"/>
    <w:rsid w:val="008A04F7"/>
    <w:rsid w:val="008A5F7E"/>
    <w:rsid w:val="008B0285"/>
    <w:rsid w:val="008B03C8"/>
    <w:rsid w:val="008B5B46"/>
    <w:rsid w:val="008C3446"/>
    <w:rsid w:val="00900470"/>
    <w:rsid w:val="009114D1"/>
    <w:rsid w:val="009305B1"/>
    <w:rsid w:val="0093253B"/>
    <w:rsid w:val="0093573E"/>
    <w:rsid w:val="00935D9E"/>
    <w:rsid w:val="00936EC9"/>
    <w:rsid w:val="0095598B"/>
    <w:rsid w:val="00975CA2"/>
    <w:rsid w:val="00976A72"/>
    <w:rsid w:val="009811FA"/>
    <w:rsid w:val="009847A8"/>
    <w:rsid w:val="00994F30"/>
    <w:rsid w:val="009C004E"/>
    <w:rsid w:val="009C06C0"/>
    <w:rsid w:val="009C7ACB"/>
    <w:rsid w:val="009C7E20"/>
    <w:rsid w:val="009D6697"/>
    <w:rsid w:val="009F2500"/>
    <w:rsid w:val="009F2F39"/>
    <w:rsid w:val="009F79CD"/>
    <w:rsid w:val="00A01188"/>
    <w:rsid w:val="00A068A5"/>
    <w:rsid w:val="00A1412F"/>
    <w:rsid w:val="00A20461"/>
    <w:rsid w:val="00A208F6"/>
    <w:rsid w:val="00A4049D"/>
    <w:rsid w:val="00A43743"/>
    <w:rsid w:val="00A514A5"/>
    <w:rsid w:val="00A52C1F"/>
    <w:rsid w:val="00A67A2D"/>
    <w:rsid w:val="00A83045"/>
    <w:rsid w:val="00A83422"/>
    <w:rsid w:val="00A83486"/>
    <w:rsid w:val="00A840D1"/>
    <w:rsid w:val="00A84C70"/>
    <w:rsid w:val="00A8593C"/>
    <w:rsid w:val="00A8709E"/>
    <w:rsid w:val="00A938D1"/>
    <w:rsid w:val="00A942D7"/>
    <w:rsid w:val="00A95646"/>
    <w:rsid w:val="00AC341E"/>
    <w:rsid w:val="00AC534C"/>
    <w:rsid w:val="00AC72D6"/>
    <w:rsid w:val="00AD391A"/>
    <w:rsid w:val="00AD42B7"/>
    <w:rsid w:val="00AE1E5D"/>
    <w:rsid w:val="00AE608E"/>
    <w:rsid w:val="00B05B2A"/>
    <w:rsid w:val="00B110D4"/>
    <w:rsid w:val="00B17260"/>
    <w:rsid w:val="00B304A1"/>
    <w:rsid w:val="00B37184"/>
    <w:rsid w:val="00B37A2D"/>
    <w:rsid w:val="00B43BCF"/>
    <w:rsid w:val="00B63496"/>
    <w:rsid w:val="00B67BD3"/>
    <w:rsid w:val="00B71527"/>
    <w:rsid w:val="00B723EC"/>
    <w:rsid w:val="00B8002A"/>
    <w:rsid w:val="00B86B89"/>
    <w:rsid w:val="00B9057C"/>
    <w:rsid w:val="00BA701E"/>
    <w:rsid w:val="00BB11D6"/>
    <w:rsid w:val="00BC0C98"/>
    <w:rsid w:val="00BC2D2A"/>
    <w:rsid w:val="00BC4D82"/>
    <w:rsid w:val="00BD0DBD"/>
    <w:rsid w:val="00BD1A88"/>
    <w:rsid w:val="00BF1DFA"/>
    <w:rsid w:val="00BF56D5"/>
    <w:rsid w:val="00BF5994"/>
    <w:rsid w:val="00C05F3A"/>
    <w:rsid w:val="00C0707F"/>
    <w:rsid w:val="00C079D9"/>
    <w:rsid w:val="00C173D5"/>
    <w:rsid w:val="00C23334"/>
    <w:rsid w:val="00C23D43"/>
    <w:rsid w:val="00C33512"/>
    <w:rsid w:val="00C36266"/>
    <w:rsid w:val="00C404DE"/>
    <w:rsid w:val="00C61159"/>
    <w:rsid w:val="00C639B1"/>
    <w:rsid w:val="00C66941"/>
    <w:rsid w:val="00C81370"/>
    <w:rsid w:val="00C81EF4"/>
    <w:rsid w:val="00C94303"/>
    <w:rsid w:val="00C9449D"/>
    <w:rsid w:val="00CA5040"/>
    <w:rsid w:val="00CA7065"/>
    <w:rsid w:val="00CA7752"/>
    <w:rsid w:val="00CB0518"/>
    <w:rsid w:val="00CB312D"/>
    <w:rsid w:val="00CC5C69"/>
    <w:rsid w:val="00CC675D"/>
    <w:rsid w:val="00CD4FE1"/>
    <w:rsid w:val="00CD5E55"/>
    <w:rsid w:val="00CE3E52"/>
    <w:rsid w:val="00CF2A86"/>
    <w:rsid w:val="00CF3A56"/>
    <w:rsid w:val="00CF509B"/>
    <w:rsid w:val="00CF5119"/>
    <w:rsid w:val="00D0166E"/>
    <w:rsid w:val="00D1351B"/>
    <w:rsid w:val="00D13751"/>
    <w:rsid w:val="00D20ACC"/>
    <w:rsid w:val="00D364A6"/>
    <w:rsid w:val="00D37A89"/>
    <w:rsid w:val="00D56558"/>
    <w:rsid w:val="00D627EA"/>
    <w:rsid w:val="00D652F4"/>
    <w:rsid w:val="00D71EEB"/>
    <w:rsid w:val="00D74622"/>
    <w:rsid w:val="00D75321"/>
    <w:rsid w:val="00D930B9"/>
    <w:rsid w:val="00DA31D2"/>
    <w:rsid w:val="00DA42B6"/>
    <w:rsid w:val="00DA7F80"/>
    <w:rsid w:val="00DB4B55"/>
    <w:rsid w:val="00DB61C2"/>
    <w:rsid w:val="00DD0675"/>
    <w:rsid w:val="00DD3B88"/>
    <w:rsid w:val="00DE0699"/>
    <w:rsid w:val="00E16A8F"/>
    <w:rsid w:val="00E2204D"/>
    <w:rsid w:val="00E243A8"/>
    <w:rsid w:val="00E2604E"/>
    <w:rsid w:val="00E260A5"/>
    <w:rsid w:val="00E26310"/>
    <w:rsid w:val="00E30E06"/>
    <w:rsid w:val="00E31BE6"/>
    <w:rsid w:val="00E45888"/>
    <w:rsid w:val="00E47899"/>
    <w:rsid w:val="00E54939"/>
    <w:rsid w:val="00E60278"/>
    <w:rsid w:val="00E60DC0"/>
    <w:rsid w:val="00E63E17"/>
    <w:rsid w:val="00E70F65"/>
    <w:rsid w:val="00E81CFE"/>
    <w:rsid w:val="00E85642"/>
    <w:rsid w:val="00E9302D"/>
    <w:rsid w:val="00E94FB8"/>
    <w:rsid w:val="00EA1FF2"/>
    <w:rsid w:val="00EA43C1"/>
    <w:rsid w:val="00EA7173"/>
    <w:rsid w:val="00EB00B8"/>
    <w:rsid w:val="00EB33B1"/>
    <w:rsid w:val="00EB3AF3"/>
    <w:rsid w:val="00EC15F8"/>
    <w:rsid w:val="00ED1EA3"/>
    <w:rsid w:val="00ED2C84"/>
    <w:rsid w:val="00F151EA"/>
    <w:rsid w:val="00F1722C"/>
    <w:rsid w:val="00F30A98"/>
    <w:rsid w:val="00F337E1"/>
    <w:rsid w:val="00F40CB4"/>
    <w:rsid w:val="00F425AA"/>
    <w:rsid w:val="00F44E63"/>
    <w:rsid w:val="00F51279"/>
    <w:rsid w:val="00F51CE6"/>
    <w:rsid w:val="00F56809"/>
    <w:rsid w:val="00F67D2B"/>
    <w:rsid w:val="00F752BC"/>
    <w:rsid w:val="00F91908"/>
    <w:rsid w:val="00F9218F"/>
    <w:rsid w:val="00F94579"/>
    <w:rsid w:val="00FA4C86"/>
    <w:rsid w:val="00FA5342"/>
    <w:rsid w:val="00FA6644"/>
    <w:rsid w:val="00FC0668"/>
    <w:rsid w:val="00FC2ACE"/>
    <w:rsid w:val="00FC2F4A"/>
    <w:rsid w:val="00FD04C6"/>
    <w:rsid w:val="00FD352D"/>
    <w:rsid w:val="00FE2FC9"/>
    <w:rsid w:val="00FE4159"/>
    <w:rsid w:val="00FE71FE"/>
    <w:rsid w:val="00FE7531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6321CF"/>
  <w15:chartTrackingRefBased/>
  <w15:docId w15:val="{1A4E2F55-023A-406E-8E71-BDA8759B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38D1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944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C3"/>
  </w:style>
  <w:style w:type="paragraph" w:styleId="Footer">
    <w:name w:val="footer"/>
    <w:basedOn w:val="Normal"/>
    <w:link w:val="FooterChar"/>
    <w:uiPriority w:val="99"/>
    <w:unhideWhenUsed/>
    <w:rsid w:val="006A6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C3"/>
  </w:style>
  <w:style w:type="table" w:customStyle="1" w:styleId="TableGrid">
    <w:name w:val="TableGrid"/>
    <w:rsid w:val="00212F6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011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1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38D1"/>
    <w:rPr>
      <w:rFonts w:ascii="Book Antiqua" w:eastAsia="Book Antiqua" w:hAnsi="Book Antiqua" w:cs="Book Antiqua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351F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6B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6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6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53F639AC5D145A07EA54416D5E1C3" ma:contentTypeVersion="7" ma:contentTypeDescription="Create a new document." ma:contentTypeScope="" ma:versionID="6dfaa01945e3c2a645a24fa0554c87cd">
  <xsd:schema xmlns:xsd="http://www.w3.org/2001/XMLSchema" xmlns:xs="http://www.w3.org/2001/XMLSchema" xmlns:p="http://schemas.microsoft.com/office/2006/metadata/properties" xmlns:ns3="e9dbf350-d8a5-4bc0-9fa2-dc1c8eb74721" targetNamespace="http://schemas.microsoft.com/office/2006/metadata/properties" ma:root="true" ma:fieldsID="714c3e5f6367f40e73b9b041efa9283d" ns3:_="">
    <xsd:import namespace="e9dbf350-d8a5-4bc0-9fa2-dc1c8eb747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bf350-d8a5-4bc0-9fa2-dc1c8eb7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68984-381F-4004-A6BE-9AF1E4813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bf350-d8a5-4bc0-9fa2-dc1c8eb74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2A4FA-2FF2-4F93-ACC1-27C9D4C3D36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e9dbf350-d8a5-4bc0-9fa2-dc1c8eb7472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0507FE-DF5D-4110-8499-C881E2B5F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40CE7C-1789-4F64-8888-B16985BA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mark</dc:creator>
  <cp:keywords/>
  <dc:description/>
  <cp:lastModifiedBy>amanda lindsey</cp:lastModifiedBy>
  <cp:revision>2</cp:revision>
  <cp:lastPrinted>2020-03-13T21:03:00Z</cp:lastPrinted>
  <dcterms:created xsi:type="dcterms:W3CDTF">2021-06-23T18:08:00Z</dcterms:created>
  <dcterms:modified xsi:type="dcterms:W3CDTF">2021-06-23T18:08:00Z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0x010100FC253F639AC5D145A07EA54416D5E1C3</vt:lpwstr>
  </property>
</Properties>
</file>