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B5B5" w14:textId="53508F60" w:rsidR="00CA41CC" w:rsidRPr="00914128" w:rsidRDefault="0068336D" w:rsidP="00914128">
      <w:pPr>
        <w:pStyle w:val="Heading1"/>
      </w:pPr>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B00D91" w:rsidP="00914128">
      <w:pPr>
        <w:pStyle w:val="ToC"/>
      </w:pPr>
      <w:hyperlink w:anchor="IntroNote" w:history="1">
        <w:r w:rsidRPr="007034AC">
          <w:rPr>
            <w:rStyle w:val="Hyperlink"/>
          </w:rPr>
          <w:t>Introductory Note</w:t>
        </w:r>
      </w:hyperlink>
    </w:p>
    <w:p w14:paraId="34455B2F" w14:textId="77777777" w:rsidR="00533E74" w:rsidRDefault="00B00D91" w:rsidP="00914128">
      <w:pPr>
        <w:pStyle w:val="ToC"/>
      </w:pPr>
      <w:hyperlink w:anchor="a40_01" w:history="1">
        <w:r w:rsidRPr="00B00D91">
          <w:rPr>
            <w:rStyle w:val="Hyperlink"/>
          </w:rPr>
          <w:t>40:1</w:t>
        </w:r>
      </w:hyperlink>
      <w:r w:rsidRPr="00B00D91">
        <w:tab/>
        <w:t xml:space="preserve">Introductory Remarks </w:t>
      </w:r>
      <w:r>
        <w:t>t</w:t>
      </w:r>
      <w:r w:rsidRPr="00B00D91">
        <w:t>o Jury Panel</w:t>
      </w:r>
    </w:p>
    <w:p w14:paraId="63C7EFF1" w14:textId="77777777" w:rsidR="00B00D91" w:rsidRDefault="00B00D91" w:rsidP="00914128">
      <w:pPr>
        <w:pStyle w:val="ToC"/>
      </w:pPr>
      <w:hyperlink w:anchor="a40_02" w:history="1">
        <w:r w:rsidRPr="00B00D91">
          <w:rPr>
            <w:rStyle w:val="Hyperlink"/>
          </w:rPr>
          <w:t>40:2</w:t>
        </w:r>
      </w:hyperlink>
      <w:r w:rsidRPr="00B00D91">
        <w:tab/>
        <w:t xml:space="preserve">General Outline </w:t>
      </w:r>
      <w:r>
        <w:t>o</w:t>
      </w:r>
      <w:r w:rsidRPr="00B00D91">
        <w:t xml:space="preserve">f Trial Procedures </w:t>
      </w:r>
      <w:r>
        <w:t>t</w:t>
      </w:r>
      <w:r w:rsidRPr="00B00D91">
        <w:t>o Jury</w:t>
      </w:r>
    </w:p>
    <w:p w14:paraId="084CD08A" w14:textId="77777777" w:rsidR="00B00D91" w:rsidRDefault="00B00D91" w:rsidP="00914128">
      <w:pPr>
        <w:pStyle w:val="ToC"/>
      </w:pPr>
      <w:hyperlink w:anchor="a40_03" w:history="1">
        <w:r w:rsidRPr="00B00D91">
          <w:rPr>
            <w:rStyle w:val="Hyperlink"/>
          </w:rPr>
          <w:t>40:3</w:t>
        </w:r>
      </w:hyperlink>
      <w:r w:rsidRPr="00B00D91">
        <w:tab/>
        <w:t>Summary Closing Instruction</w:t>
      </w:r>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0" w:name="IntroNote"/>
      <w:bookmarkEnd w:id="0"/>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1" w:name="a40_01"/>
      <w:bookmarkEnd w:id="1"/>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27B65A53"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9524CF">
        <w:rPr>
          <w:rFonts w:eastAsia="Times New Roman"/>
          <w:b/>
          <w:sz w:val="24"/>
          <w:szCs w:val="24"/>
        </w:rPr>
        <w:t>i</w:t>
      </w:r>
      <w:r w:rsidR="00740345">
        <w:rPr>
          <w:rFonts w:eastAsia="Times New Roman"/>
          <w:b/>
          <w:sz w:val="24"/>
          <w:szCs w:val="24"/>
        </w:rPr>
        <w:t>nternet.</w:t>
      </w:r>
    </w:p>
    <w:p w14:paraId="49B27B9B" w14:textId="77777777" w:rsidR="00D22AC2" w:rsidRDefault="00D22AC2" w:rsidP="00002515">
      <w:pPr>
        <w:spacing w:after="240"/>
        <w:ind w:firstLine="720"/>
        <w:rPr>
          <w:rFonts w:eastAsia="Times New Roman"/>
          <w:b/>
          <w:sz w:val="24"/>
          <w:szCs w:val="24"/>
        </w:rPr>
      </w:pPr>
      <w:r w:rsidRPr="00B7716A">
        <w:rPr>
          <w:rFonts w:eastAsia="Times New Roman"/>
          <w:b/>
          <w:sz w:val="24"/>
          <w:szCs w:val="24"/>
        </w:rPr>
        <w:t>Your verdict must be based only on the evidence and the law provided to you in this courtroom, and no</w:t>
      </w:r>
      <w:r>
        <w:rPr>
          <w:rFonts w:eastAsia="Times New Roman"/>
          <w:b/>
          <w:sz w:val="24"/>
          <w:szCs w:val="24"/>
        </w:rPr>
        <w:t>thing</w:t>
      </w:r>
      <w:r w:rsidRPr="00B7716A">
        <w:rPr>
          <w:rFonts w:eastAsia="Times New Roman"/>
          <w:b/>
          <w:sz w:val="24"/>
          <w:szCs w:val="24"/>
        </w:rPr>
        <w:t xml:space="preserve"> else.</w:t>
      </w:r>
      <w:r>
        <w:rPr>
          <w:rFonts w:eastAsia="Times New Roman"/>
          <w:b/>
          <w:sz w:val="24"/>
          <w:szCs w:val="24"/>
        </w:rPr>
        <w:t xml:space="preserve"> </w:t>
      </w:r>
      <w:r w:rsidRPr="00B7716A">
        <w:rPr>
          <w:rFonts w:eastAsia="Times New Roman"/>
          <w:b/>
          <w:sz w:val="24"/>
          <w:szCs w:val="24"/>
        </w:rPr>
        <w:t xml:space="preserve">If it is not presented here in court, you must not seek it out. You must not look up, read, watch, or listen to anything about this case outside of what you hear in this courtroom. That means you may not search the internet using tools like Google or Bing, or any similar service. You may not </w:t>
      </w:r>
      <w:r>
        <w:rPr>
          <w:rFonts w:eastAsia="Times New Roman"/>
          <w:b/>
          <w:sz w:val="24"/>
          <w:szCs w:val="24"/>
        </w:rPr>
        <w:t>search</w:t>
      </w:r>
      <w:r w:rsidRPr="00B7716A">
        <w:rPr>
          <w:rFonts w:eastAsia="Times New Roman"/>
          <w:b/>
          <w:sz w:val="24"/>
          <w:szCs w:val="24"/>
        </w:rPr>
        <w:t xml:space="preserve"> news or commentary from television, streaming platforms, podcasts, online videos, or newspapers. You may not use social media such as Facebook, Instagram, X/Twitter, or Reddit to find or discuss information. You may not consult reference materials such as Wikipedia, blogs, online forums, dictionaries, encyclopedias, or medical, scientific, or legal sources. You may not use any AI tools, including ChatGPT or similar programs, to look up or generate information.</w:t>
      </w:r>
    </w:p>
    <w:p w14:paraId="117C0691" w14:textId="79584095"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5E149C3A" w14:textId="548970C8"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9524CF">
        <w:rPr>
          <w:rFonts w:eastAsia="Times New Roman"/>
          <w:b/>
          <w:sz w:val="24"/>
          <w:szCs w:val="24"/>
        </w:rPr>
        <w:t>i</w:t>
      </w:r>
      <w:r w:rsidRPr="00002515">
        <w:rPr>
          <w:rFonts w:eastAsia="Times New Roman"/>
          <w:b/>
          <w:sz w:val="24"/>
          <w:szCs w:val="24"/>
        </w:rPr>
        <w:t xml:space="preserve">nternet. You are free to use the </w:t>
      </w:r>
      <w:r w:rsidR="009524CF">
        <w:rPr>
          <w:rFonts w:eastAsia="Times New Roman"/>
          <w:b/>
          <w:sz w:val="24"/>
          <w:szCs w:val="24"/>
        </w:rPr>
        <w:t>i</w:t>
      </w:r>
      <w:r w:rsidRPr="00002515">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5C60036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 xml:space="preserve">whether in person, or by telephone, cell </w:t>
      </w:r>
      <w:r w:rsidR="00740345">
        <w:rPr>
          <w:rFonts w:eastAsia="Times New Roman"/>
          <w:b/>
          <w:sz w:val="24"/>
          <w:szCs w:val="24"/>
        </w:rPr>
        <w:lastRenderedPageBreak/>
        <w:t xml:space="preserve">phone, smart phone, computer, </w:t>
      </w:r>
      <w:r w:rsidR="009524CF">
        <w:rPr>
          <w:rFonts w:eastAsia="Times New Roman"/>
          <w:b/>
          <w:sz w:val="24"/>
          <w:szCs w:val="24"/>
        </w:rPr>
        <w:t>i</w:t>
      </w:r>
      <w:r w:rsidR="00740345">
        <w:rPr>
          <w:rFonts w:eastAsia="Times New Roman"/>
          <w:b/>
          <w:sz w:val="24"/>
          <w:szCs w:val="24"/>
        </w:rPr>
        <w:t xml:space="preserve">nternet, or any </w:t>
      </w:r>
      <w:r w:rsidR="009524CF">
        <w:rPr>
          <w:rFonts w:eastAsia="Times New Roman"/>
          <w:b/>
          <w:sz w:val="24"/>
          <w:szCs w:val="24"/>
        </w:rPr>
        <w:t>i</w:t>
      </w:r>
      <w:r w:rsidR="00740345">
        <w:rPr>
          <w:rFonts w:eastAsia="Times New Roman"/>
          <w:b/>
          <w:sz w:val="24"/>
          <w:szCs w:val="24"/>
        </w:rPr>
        <w:t>nternet service</w:t>
      </w:r>
      <w:r w:rsidRPr="00002515">
        <w:rPr>
          <w:rFonts w:eastAsia="Times New Roman"/>
          <w:b/>
          <w:sz w:val="24"/>
          <w:szCs w:val="24"/>
        </w:rPr>
        <w:t xml:space="preserve">. This </w:t>
      </w:r>
      <w:r w:rsidR="00740345">
        <w:rPr>
          <w:rFonts w:eastAsia="Times New Roman"/>
          <w:b/>
          <w:sz w:val="24"/>
          <w:szCs w:val="24"/>
        </w:rPr>
        <w:t xml:space="preserve">means you must not email, text, instant message, </w:t>
      </w:r>
      <w:r w:rsidR="009524CF">
        <w:rPr>
          <w:rFonts w:eastAsia="Times New Roman"/>
          <w:b/>
          <w:sz w:val="24"/>
          <w:szCs w:val="24"/>
        </w:rPr>
        <w:t>t</w:t>
      </w:r>
      <w:r w:rsidR="00740345">
        <w:rPr>
          <w:rFonts w:eastAsia="Times New Roman"/>
          <w:b/>
          <w:sz w:val="24"/>
          <w:szCs w:val="24"/>
        </w:rPr>
        <w:t xml:space="preserve">weet, blog, or post information about this case, or about your experience as a juror on this case, on any social </w:t>
      </w:r>
      <w:r w:rsidR="009524CF">
        <w:rPr>
          <w:rFonts w:eastAsia="Times New Roman"/>
          <w:b/>
          <w:sz w:val="24"/>
          <w:szCs w:val="24"/>
        </w:rPr>
        <w:t>media</w:t>
      </w:r>
      <w:r w:rsidR="00740345">
        <w:rPr>
          <w:rFonts w:eastAsia="Times New Roman"/>
          <w:b/>
          <w:sz w:val="24"/>
          <w:szCs w:val="24"/>
        </w:rPr>
        <w:t>, website, listserv,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55B7A1B6" w:rsidR="0074034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63F89D88" w14:textId="77777777" w:rsidR="007A742E" w:rsidRPr="00D14262" w:rsidRDefault="007A742E" w:rsidP="007A742E">
      <w:pPr>
        <w:keepNext/>
        <w:rPr>
          <w:rFonts w:eastAsia="Times New Roman"/>
          <w:b/>
          <w:sz w:val="24"/>
          <w:szCs w:val="24"/>
          <w:u w:val="single"/>
        </w:rPr>
      </w:pPr>
      <w:r w:rsidRPr="00D14262">
        <w:rPr>
          <w:rFonts w:eastAsia="Times New Roman"/>
          <w:b/>
          <w:sz w:val="24"/>
          <w:szCs w:val="24"/>
          <w:u w:val="single"/>
        </w:rPr>
        <w:t>Related Instructions</w:t>
      </w:r>
    </w:p>
    <w:p w14:paraId="53C06044" w14:textId="1CEC0CBB" w:rsidR="007A742E" w:rsidRPr="00D14262" w:rsidRDefault="00C766B4" w:rsidP="007A742E">
      <w:pPr>
        <w:spacing w:after="240"/>
        <w:ind w:firstLine="720"/>
        <w:rPr>
          <w:rStyle w:val="Hyperlink"/>
          <w:color w:val="auto"/>
          <w:sz w:val="24"/>
          <w:szCs w:val="24"/>
          <w:u w:val="none"/>
        </w:rPr>
      </w:pPr>
      <w:r w:rsidRPr="00D14262">
        <w:rPr>
          <w:rFonts w:eastAsia="Times New Roman"/>
          <w:sz w:val="24"/>
          <w:szCs w:val="24"/>
        </w:rPr>
        <w:t>4</w:t>
      </w:r>
      <w:r w:rsidR="007A742E" w:rsidRPr="00D14262">
        <w:rPr>
          <w:rFonts w:eastAsia="Times New Roman"/>
          <w:sz w:val="24"/>
          <w:szCs w:val="24"/>
        </w:rPr>
        <w:t xml:space="preserve">. Although this instruction replaces Instruction 1:1 and Instruction 2:1, other instructions in Chapter 1 must be included when applicable, including </w:t>
      </w:r>
      <w:hyperlink w:anchor="a1_2" w:history="1">
        <w:r w:rsidR="007A742E" w:rsidRPr="00D14262">
          <w:rPr>
            <w:rStyle w:val="Hyperlink"/>
            <w:color w:val="auto"/>
            <w:sz w:val="24"/>
            <w:szCs w:val="24"/>
            <w:u w:val="none"/>
          </w:rPr>
          <w:t>1:2</w:t>
        </w:r>
      </w:hyperlink>
      <w:r w:rsidR="007A742E" w:rsidRPr="00D14262">
        <w:rPr>
          <w:rStyle w:val="Hyperlink"/>
          <w:color w:val="auto"/>
          <w:sz w:val="24"/>
          <w:szCs w:val="24"/>
          <w:u w:val="none"/>
        </w:rPr>
        <w:t xml:space="preserve"> through 1:23. The Comment to C.R.C.P. 47 explains as follows:</w:t>
      </w:r>
    </w:p>
    <w:p w14:paraId="00C3AB32" w14:textId="163A0632" w:rsidR="0093707B" w:rsidRPr="00D14262" w:rsidRDefault="007A742E" w:rsidP="007A742E">
      <w:pPr>
        <w:spacing w:after="240"/>
        <w:ind w:left="720" w:right="720"/>
        <w:rPr>
          <w:rFonts w:eastAsia="Times New Roman"/>
          <w:sz w:val="24"/>
          <w:szCs w:val="24"/>
        </w:rPr>
      </w:pPr>
      <w:r w:rsidRPr="00D14262">
        <w:rPr>
          <w:rStyle w:val="Hyperlink"/>
          <w:color w:val="auto"/>
          <w:sz w:val="24"/>
          <w:szCs w:val="24"/>
          <w:u w:val="none"/>
        </w:rPr>
        <w:t>As part of the case-specific orientation, certain preliminary instructions should be used to help prospective jurors to understand the claims and defenses of the parties in the civil case. At a minimum, these instructions should address burden of proof, credibility, objections by counsel, bench conferences and whether jurors will be permitted to take notes and ask questions. In complex or technical cases, definitions of terms and other information that would help orient the jury to the case should be given. The trial judge, rather than counsel, should give these instructions as part of the before-examination orientation.</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w:t>
      </w:r>
      <w:r w:rsidRPr="00002515">
        <w:rPr>
          <w:rFonts w:eastAsia="Times New Roman"/>
          <w:sz w:val="24"/>
          <w:szCs w:val="24"/>
        </w:rPr>
        <w:lastRenderedPageBreak/>
        <w:t>prospective jurors about their duties and service.” C.R.C.P. 47(a)(2)(IV)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2" w:name="_DV_M11"/>
      <w:bookmarkEnd w:id="2"/>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3" w:name="a40_02"/>
      <w:bookmarkEnd w:id="3"/>
      <w:r w:rsidRPr="00002515">
        <w:rPr>
          <w:rFonts w:eastAsia="Times New Roman"/>
          <w:b/>
          <w:sz w:val="24"/>
          <w:szCs w:val="24"/>
        </w:rPr>
        <w:lastRenderedPageBreak/>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1E1FE753"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After you have received all the instructions on the law governing this case, each attorney may present a final argument to you. The People will first present </w:t>
      </w:r>
      <w:r w:rsidR="00E07463" w:rsidRPr="00E07463">
        <w:rPr>
          <w:rFonts w:eastAsia="Times New Roman"/>
          <w:b/>
          <w:sz w:val="24"/>
          <w:szCs w:val="24"/>
        </w:rPr>
        <w:t>a</w:t>
      </w:r>
      <w:r w:rsidRPr="00002515">
        <w:rPr>
          <w:rFonts w:eastAsia="Times New Roman"/>
          <w:b/>
          <w:sz w:val="24"/>
          <w:szCs w:val="24"/>
        </w:rPr>
        <w:t xml:space="preserve">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01E6ECAD"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w:t>
      </w:r>
      <w:r w:rsidR="00E07463" w:rsidRPr="00AB7418">
        <w:rPr>
          <w:rFonts w:eastAsia="Times New Roman"/>
          <w:bCs/>
          <w:i/>
          <w:iCs/>
          <w:sz w:val="24"/>
          <w:szCs w:val="24"/>
        </w:rPr>
        <w:t>(insert applicable pronoun)</w:t>
      </w:r>
      <w:r w:rsidRPr="00002515">
        <w:rPr>
          <w:rFonts w:eastAsia="Times New Roman"/>
          <w:b/>
          <w:sz w:val="24"/>
          <w:szCs w:val="24"/>
        </w:rPr>
        <w:t xml:space="preserv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w:t>
      </w:r>
      <w:r w:rsidR="00E07463" w:rsidRPr="00AB7418">
        <w:rPr>
          <w:rFonts w:eastAsia="Times New Roman"/>
          <w:bCs/>
          <w:i/>
          <w:iCs/>
          <w:sz w:val="24"/>
          <w:szCs w:val="24"/>
        </w:rPr>
        <w:t>(insert applicable pronoun)</w:t>
      </w:r>
      <w:r w:rsidRPr="00002515">
        <w:rPr>
          <w:rFonts w:eastAsia="Times New Roman"/>
          <w:b/>
          <w:sz w:val="24"/>
          <w:szCs w:val="24"/>
        </w:rPr>
        <w:t xml:space="preserv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4" w:name="a40_03"/>
      <w:bookmarkEnd w:id="4"/>
      <w:r w:rsidRPr="00995833">
        <w:rPr>
          <w:rFonts w:eastAsia="Times New Roman"/>
          <w:b/>
          <w:sz w:val="24"/>
          <w:szCs w:val="24"/>
        </w:rPr>
        <w:lastRenderedPageBreak/>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6204F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8676" w14:textId="77777777" w:rsidR="00012A8F" w:rsidRDefault="00012A8F" w:rsidP="0054263B">
      <w:r>
        <w:separator/>
      </w:r>
    </w:p>
    <w:p w14:paraId="2EE71477" w14:textId="77777777" w:rsidR="00012A8F" w:rsidRDefault="00012A8F"/>
  </w:endnote>
  <w:endnote w:type="continuationSeparator" w:id="0">
    <w:p w14:paraId="5B1A19F4" w14:textId="77777777" w:rsidR="00012A8F" w:rsidRDefault="00012A8F" w:rsidP="0054263B">
      <w:r>
        <w:continuationSeparator/>
      </w:r>
    </w:p>
    <w:p w14:paraId="13628879" w14:textId="77777777" w:rsidR="00012A8F" w:rsidRDefault="00012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6D8E43C" w14:textId="22F97B00" w:rsidR="00D81D01" w:rsidRDefault="00D81D01">
        <w:pPr>
          <w:pStyle w:val="Footer"/>
          <w:jc w:val="center"/>
        </w:pPr>
        <w:r>
          <w:fldChar w:fldCharType="begin"/>
        </w:r>
        <w:r>
          <w:instrText xml:space="preserve"> PAGE   \* MERGEFORMAT </w:instrText>
        </w:r>
        <w:r>
          <w:fldChar w:fldCharType="separate"/>
        </w:r>
        <w:r w:rsidR="007A742E">
          <w:rPr>
            <w:noProof/>
          </w:rPr>
          <w:t>2</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2823" w14:textId="77777777" w:rsidR="00012A8F" w:rsidRDefault="00012A8F" w:rsidP="0054263B">
      <w:r>
        <w:separator/>
      </w:r>
    </w:p>
    <w:p w14:paraId="26809FE2" w14:textId="77777777" w:rsidR="00012A8F" w:rsidRDefault="00012A8F"/>
  </w:footnote>
  <w:footnote w:type="continuationSeparator" w:id="0">
    <w:p w14:paraId="36D3B95A" w14:textId="77777777" w:rsidR="00012A8F" w:rsidRDefault="00012A8F" w:rsidP="0054263B">
      <w:r>
        <w:continuationSeparator/>
      </w:r>
    </w:p>
    <w:p w14:paraId="737A7C8C" w14:textId="77777777" w:rsidR="00012A8F" w:rsidRDefault="00012A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9376861">
    <w:abstractNumId w:val="0"/>
  </w:num>
  <w:num w:numId="2" w16cid:durableId="1209487180">
    <w:abstractNumId w:val="1"/>
  </w:num>
  <w:num w:numId="3" w16cid:durableId="386536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8"/>
    <w:rsid w:val="00002515"/>
    <w:rsid w:val="0000321C"/>
    <w:rsid w:val="00004B85"/>
    <w:rsid w:val="00012A8F"/>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05168"/>
    <w:rsid w:val="001117D9"/>
    <w:rsid w:val="00112C8E"/>
    <w:rsid w:val="00112FF9"/>
    <w:rsid w:val="00125209"/>
    <w:rsid w:val="00126B7A"/>
    <w:rsid w:val="00144917"/>
    <w:rsid w:val="001608FF"/>
    <w:rsid w:val="0016520C"/>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3C6B"/>
    <w:rsid w:val="0024597C"/>
    <w:rsid w:val="002547C3"/>
    <w:rsid w:val="002654B4"/>
    <w:rsid w:val="002655FC"/>
    <w:rsid w:val="0026610A"/>
    <w:rsid w:val="00267805"/>
    <w:rsid w:val="00270025"/>
    <w:rsid w:val="00273777"/>
    <w:rsid w:val="00290935"/>
    <w:rsid w:val="00293F7E"/>
    <w:rsid w:val="002A23B0"/>
    <w:rsid w:val="002A6EC7"/>
    <w:rsid w:val="002B5FCF"/>
    <w:rsid w:val="002D0987"/>
    <w:rsid w:val="002D163D"/>
    <w:rsid w:val="002D4C88"/>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56296"/>
    <w:rsid w:val="003613FE"/>
    <w:rsid w:val="00382177"/>
    <w:rsid w:val="003837B6"/>
    <w:rsid w:val="003916C4"/>
    <w:rsid w:val="003937B8"/>
    <w:rsid w:val="0039769C"/>
    <w:rsid w:val="003A2F1C"/>
    <w:rsid w:val="003A4B26"/>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4528"/>
    <w:rsid w:val="005065E6"/>
    <w:rsid w:val="0051385E"/>
    <w:rsid w:val="005156F1"/>
    <w:rsid w:val="00516447"/>
    <w:rsid w:val="0052537F"/>
    <w:rsid w:val="00527A18"/>
    <w:rsid w:val="00527AD3"/>
    <w:rsid w:val="00531F87"/>
    <w:rsid w:val="00533E74"/>
    <w:rsid w:val="0053544D"/>
    <w:rsid w:val="00537401"/>
    <w:rsid w:val="0054263B"/>
    <w:rsid w:val="00542891"/>
    <w:rsid w:val="00547D97"/>
    <w:rsid w:val="00550AFD"/>
    <w:rsid w:val="00555B52"/>
    <w:rsid w:val="00557FCC"/>
    <w:rsid w:val="00561ED1"/>
    <w:rsid w:val="005648EF"/>
    <w:rsid w:val="00565B29"/>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04F5"/>
    <w:rsid w:val="00625453"/>
    <w:rsid w:val="006272FE"/>
    <w:rsid w:val="00631BFF"/>
    <w:rsid w:val="006410FE"/>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E6E1F"/>
    <w:rsid w:val="006F590D"/>
    <w:rsid w:val="006F7581"/>
    <w:rsid w:val="006F7B49"/>
    <w:rsid w:val="006F7DC0"/>
    <w:rsid w:val="00700D0C"/>
    <w:rsid w:val="00702B5A"/>
    <w:rsid w:val="007034AC"/>
    <w:rsid w:val="0070752A"/>
    <w:rsid w:val="007119D8"/>
    <w:rsid w:val="0071225B"/>
    <w:rsid w:val="00713866"/>
    <w:rsid w:val="007216DA"/>
    <w:rsid w:val="00724230"/>
    <w:rsid w:val="00726E21"/>
    <w:rsid w:val="00733E12"/>
    <w:rsid w:val="007340B5"/>
    <w:rsid w:val="00740345"/>
    <w:rsid w:val="007532AB"/>
    <w:rsid w:val="00766F81"/>
    <w:rsid w:val="00770AB7"/>
    <w:rsid w:val="00770FFC"/>
    <w:rsid w:val="00772901"/>
    <w:rsid w:val="0077453C"/>
    <w:rsid w:val="00787065"/>
    <w:rsid w:val="00792028"/>
    <w:rsid w:val="007A3A0E"/>
    <w:rsid w:val="007A612E"/>
    <w:rsid w:val="007A7298"/>
    <w:rsid w:val="007A742E"/>
    <w:rsid w:val="007B1633"/>
    <w:rsid w:val="007D168F"/>
    <w:rsid w:val="007D198E"/>
    <w:rsid w:val="007D2BCE"/>
    <w:rsid w:val="007D39CC"/>
    <w:rsid w:val="007E1675"/>
    <w:rsid w:val="007F6E63"/>
    <w:rsid w:val="007F7129"/>
    <w:rsid w:val="00801691"/>
    <w:rsid w:val="00803149"/>
    <w:rsid w:val="00806282"/>
    <w:rsid w:val="00813A6B"/>
    <w:rsid w:val="00820592"/>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C64CF"/>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F2B"/>
    <w:rsid w:val="00907A8A"/>
    <w:rsid w:val="00914128"/>
    <w:rsid w:val="00920AE4"/>
    <w:rsid w:val="00930778"/>
    <w:rsid w:val="00932723"/>
    <w:rsid w:val="00933327"/>
    <w:rsid w:val="009355C5"/>
    <w:rsid w:val="00935DA8"/>
    <w:rsid w:val="00936D0A"/>
    <w:rsid w:val="0093707B"/>
    <w:rsid w:val="00950692"/>
    <w:rsid w:val="009524CF"/>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13258"/>
    <w:rsid w:val="00B20BAA"/>
    <w:rsid w:val="00B338E2"/>
    <w:rsid w:val="00B35185"/>
    <w:rsid w:val="00B37722"/>
    <w:rsid w:val="00B473E5"/>
    <w:rsid w:val="00B538B9"/>
    <w:rsid w:val="00B567C1"/>
    <w:rsid w:val="00B579DF"/>
    <w:rsid w:val="00B6275E"/>
    <w:rsid w:val="00B70416"/>
    <w:rsid w:val="00B70D68"/>
    <w:rsid w:val="00B719C2"/>
    <w:rsid w:val="00B72D6B"/>
    <w:rsid w:val="00B80FD1"/>
    <w:rsid w:val="00B937E4"/>
    <w:rsid w:val="00B96786"/>
    <w:rsid w:val="00B97801"/>
    <w:rsid w:val="00BA2389"/>
    <w:rsid w:val="00BA27A8"/>
    <w:rsid w:val="00BA510E"/>
    <w:rsid w:val="00BB2369"/>
    <w:rsid w:val="00BB344E"/>
    <w:rsid w:val="00BC29F9"/>
    <w:rsid w:val="00BC49BF"/>
    <w:rsid w:val="00BC60AE"/>
    <w:rsid w:val="00BC65EF"/>
    <w:rsid w:val="00BD44D9"/>
    <w:rsid w:val="00BE2B09"/>
    <w:rsid w:val="00BE654D"/>
    <w:rsid w:val="00BE6634"/>
    <w:rsid w:val="00BE6943"/>
    <w:rsid w:val="00BF5DF3"/>
    <w:rsid w:val="00C018F8"/>
    <w:rsid w:val="00C033B4"/>
    <w:rsid w:val="00C21D93"/>
    <w:rsid w:val="00C225C9"/>
    <w:rsid w:val="00C26751"/>
    <w:rsid w:val="00C40968"/>
    <w:rsid w:val="00C473A2"/>
    <w:rsid w:val="00C54805"/>
    <w:rsid w:val="00C60E95"/>
    <w:rsid w:val="00C610EC"/>
    <w:rsid w:val="00C63547"/>
    <w:rsid w:val="00C641B0"/>
    <w:rsid w:val="00C70560"/>
    <w:rsid w:val="00C724B6"/>
    <w:rsid w:val="00C737F3"/>
    <w:rsid w:val="00C766B4"/>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CF44D4"/>
    <w:rsid w:val="00D00330"/>
    <w:rsid w:val="00D0050C"/>
    <w:rsid w:val="00D014AE"/>
    <w:rsid w:val="00D05926"/>
    <w:rsid w:val="00D06D8D"/>
    <w:rsid w:val="00D14262"/>
    <w:rsid w:val="00D16901"/>
    <w:rsid w:val="00D21951"/>
    <w:rsid w:val="00D22AC2"/>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1FFA"/>
    <w:rsid w:val="00D93394"/>
    <w:rsid w:val="00DA1796"/>
    <w:rsid w:val="00DA2814"/>
    <w:rsid w:val="00DB2C90"/>
    <w:rsid w:val="00DC0393"/>
    <w:rsid w:val="00DC63A9"/>
    <w:rsid w:val="00DC66A6"/>
    <w:rsid w:val="00DC7533"/>
    <w:rsid w:val="00DD5492"/>
    <w:rsid w:val="00DE2930"/>
    <w:rsid w:val="00DE3984"/>
    <w:rsid w:val="00DF2CB7"/>
    <w:rsid w:val="00DF3BF1"/>
    <w:rsid w:val="00DF7595"/>
    <w:rsid w:val="00E007F8"/>
    <w:rsid w:val="00E058BA"/>
    <w:rsid w:val="00E07463"/>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E2FBB"/>
    <w:rsid w:val="00EF1E2D"/>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C7D80"/>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00D0C"/>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7BE4-EDB9-480A-AD65-3DF87D0B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2740</Words>
  <Characters>15621</Characters>
  <Application>Microsoft Office Word</Application>
  <DocSecurity>0</DocSecurity>
  <PresentationFormat>15|.DOCX</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40</dc:title>
  <dc:creator>Ellen Buckley</dc:creator>
  <cp:lastModifiedBy>krista schelhaas</cp:lastModifiedBy>
  <cp:revision>2</cp:revision>
  <dcterms:created xsi:type="dcterms:W3CDTF">2026-02-22T18:36:00Z</dcterms:created>
  <dcterms:modified xsi:type="dcterms:W3CDTF">2026-02-22T18:36:00Z</dcterms:modified>
</cp:coreProperties>
</file>