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AE8A" w14:textId="26C7417A" w:rsidR="00CA41CC" w:rsidRPr="00914128" w:rsidRDefault="0068336D" w:rsidP="00914128">
      <w:pPr>
        <w:pStyle w:val="Heading1"/>
      </w:pPr>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8A673E" w:rsidP="00914128">
      <w:pPr>
        <w:pStyle w:val="ToC"/>
      </w:pPr>
      <w:hyperlink w:anchor="a36_01" w:history="1">
        <w:r w:rsidRPr="00C54805">
          <w:rPr>
            <w:rStyle w:val="Hyperlink"/>
          </w:rPr>
          <w:t>36:1</w:t>
        </w:r>
      </w:hyperlink>
      <w:r w:rsidRPr="00C54805">
        <w:tab/>
        <w:t xml:space="preserve">Instruction </w:t>
      </w:r>
      <w:r>
        <w:t xml:space="preserve">to </w:t>
      </w:r>
      <w:r w:rsidRPr="00C54805">
        <w:t xml:space="preserve">Commissioners </w:t>
      </w:r>
      <w:r>
        <w:t xml:space="preserve">as to </w:t>
      </w:r>
      <w:r w:rsidRPr="00C54805">
        <w:t>Duties</w:t>
      </w:r>
    </w:p>
    <w:p w14:paraId="659DD15C" w14:textId="77777777" w:rsidR="00C54805" w:rsidRDefault="008A673E" w:rsidP="00914128">
      <w:pPr>
        <w:pStyle w:val="ToC"/>
      </w:pPr>
      <w:hyperlink w:anchor="a36_02" w:history="1">
        <w:r w:rsidRPr="00C54805">
          <w:rPr>
            <w:rStyle w:val="Hyperlink"/>
          </w:rPr>
          <w:t>36:2</w:t>
        </w:r>
      </w:hyperlink>
      <w:r w:rsidRPr="00C54805">
        <w:t xml:space="preserve"> </w:t>
      </w:r>
      <w:r w:rsidRPr="00C54805">
        <w:tab/>
        <w:t xml:space="preserve">Burden </w:t>
      </w:r>
      <w:r>
        <w:t xml:space="preserve">of </w:t>
      </w:r>
      <w:r w:rsidRPr="00C54805">
        <w:t xml:space="preserve">Proof </w:t>
      </w:r>
      <w:r>
        <w:t xml:space="preserve">as to </w:t>
      </w:r>
      <w:r w:rsidRPr="00C54805">
        <w:t>Issues</w:t>
      </w:r>
    </w:p>
    <w:p w14:paraId="7275A7A3" w14:textId="77777777" w:rsidR="00C54805" w:rsidRDefault="008A673E" w:rsidP="00914128">
      <w:pPr>
        <w:pStyle w:val="ToC"/>
      </w:pPr>
      <w:hyperlink w:anchor="a36_03" w:history="1">
        <w:r w:rsidRPr="00C54805">
          <w:rPr>
            <w:rStyle w:val="Hyperlink"/>
          </w:rPr>
          <w:t>36:3</w:t>
        </w:r>
      </w:hyperlink>
      <w:r w:rsidRPr="00C54805">
        <w:t xml:space="preserve"> </w:t>
      </w:r>
      <w:r w:rsidRPr="00C54805">
        <w:tab/>
        <w:t xml:space="preserve">Ascertainment </w:t>
      </w:r>
      <w:r>
        <w:t xml:space="preserve">of </w:t>
      </w:r>
      <w:r w:rsidRPr="00C54805">
        <w:t xml:space="preserve">Value </w:t>
      </w:r>
      <w:r>
        <w:t xml:space="preserve">of </w:t>
      </w:r>
      <w:r w:rsidRPr="00C54805">
        <w:t>Property Taken</w:t>
      </w:r>
    </w:p>
    <w:p w14:paraId="26AD0F21" w14:textId="77777777" w:rsidR="00C54805" w:rsidRDefault="008A673E" w:rsidP="00914128">
      <w:pPr>
        <w:pStyle w:val="ToC"/>
      </w:pPr>
      <w:hyperlink w:anchor="a36_04" w:history="1">
        <w:r w:rsidRPr="00C54805">
          <w:rPr>
            <w:rStyle w:val="Hyperlink"/>
          </w:rPr>
          <w:t>36:4</w:t>
        </w:r>
      </w:hyperlink>
      <w:r w:rsidRPr="00C54805">
        <w:tab/>
        <w:t xml:space="preserve">Ascertainment </w:t>
      </w:r>
      <w:r>
        <w:t xml:space="preserve">of </w:t>
      </w:r>
      <w:r w:rsidRPr="00C54805">
        <w:t xml:space="preserve">Damages </w:t>
      </w:r>
      <w:r>
        <w:t>a</w:t>
      </w:r>
      <w:r w:rsidRPr="00C54805">
        <w:t xml:space="preserve">nd Specific Benefits </w:t>
      </w:r>
      <w:r>
        <w:t xml:space="preserve">to </w:t>
      </w:r>
      <w:r w:rsidRPr="00C54805">
        <w:t>Residue</w:t>
      </w:r>
    </w:p>
    <w:p w14:paraId="582A22A7" w14:textId="77777777" w:rsidR="00C54805" w:rsidRDefault="008A673E" w:rsidP="00914128">
      <w:pPr>
        <w:pStyle w:val="ToC"/>
      </w:pPr>
      <w:hyperlink w:anchor="a36_05" w:history="1">
        <w:r w:rsidRPr="00C54805">
          <w:rPr>
            <w:rStyle w:val="Hyperlink"/>
          </w:rPr>
          <w:t>36:5</w:t>
        </w:r>
      </w:hyperlink>
      <w:r w:rsidRPr="00C54805">
        <w:t xml:space="preserve"> </w:t>
      </w:r>
      <w:r w:rsidRPr="00C54805">
        <w:tab/>
        <w:t xml:space="preserve">Ascertainment </w:t>
      </w:r>
      <w:r>
        <w:t xml:space="preserve">of </w:t>
      </w:r>
      <w:r w:rsidRPr="00C54805">
        <w:t xml:space="preserve">Damages </w:t>
      </w:r>
      <w:r>
        <w:t xml:space="preserve">to </w:t>
      </w:r>
      <w:r w:rsidRPr="00C54805">
        <w:t>Residue — Limitations</w:t>
      </w:r>
    </w:p>
    <w:p w14:paraId="63804D50" w14:textId="77777777" w:rsidR="00C54805" w:rsidRDefault="008A673E" w:rsidP="00914128">
      <w:pPr>
        <w:pStyle w:val="ToC"/>
      </w:pPr>
      <w:hyperlink w:anchor="a36_06" w:history="1">
        <w:r w:rsidRPr="00C54805">
          <w:rPr>
            <w:rStyle w:val="Hyperlink"/>
          </w:rPr>
          <w:t>36:6</w:t>
        </w:r>
      </w:hyperlink>
      <w:r w:rsidRPr="00C54805">
        <w:t xml:space="preserve"> </w:t>
      </w:r>
      <w:r w:rsidRPr="00C54805">
        <w:tab/>
        <w:t xml:space="preserve">Ascertainment </w:t>
      </w:r>
      <w:r>
        <w:t xml:space="preserve">of </w:t>
      </w:r>
      <w:r w:rsidRPr="00C54805">
        <w:t xml:space="preserve">Market Value, Damages, </w:t>
      </w:r>
      <w:r>
        <w:t>or</w:t>
      </w:r>
      <w:r w:rsidRPr="00C54805">
        <w:t xml:space="preserve"> Specific Benefits — Most Advantageous Uses</w:t>
      </w:r>
    </w:p>
    <w:p w14:paraId="4C22DE70" w14:textId="4A85528E" w:rsidR="00C54805" w:rsidRDefault="008A673E" w:rsidP="00914128">
      <w:pPr>
        <w:pStyle w:val="ToC"/>
      </w:pPr>
      <w:hyperlink w:anchor="a36_07" w:history="1">
        <w:r w:rsidRPr="00C54805">
          <w:rPr>
            <w:rStyle w:val="Hyperlink"/>
          </w:rPr>
          <w:t>36:7</w:t>
        </w:r>
      </w:hyperlink>
      <w:r w:rsidRPr="00C54805">
        <w:t xml:space="preserve"> </w:t>
      </w:r>
      <w:r w:rsidRPr="00C54805">
        <w:tab/>
      </w:r>
      <w:r w:rsidR="00ED4336">
        <w:t>Approaches to Valuation</w:t>
      </w:r>
    </w:p>
    <w:p w14:paraId="45AB4D5E" w14:textId="65B8E089" w:rsidR="00ED4336" w:rsidRDefault="00ED4336" w:rsidP="00914128">
      <w:pPr>
        <w:pStyle w:val="ToC"/>
      </w:pPr>
      <w:hyperlink w:anchor="a36_08" w:history="1">
        <w:r w:rsidRPr="00471AE8">
          <w:rPr>
            <w:rStyle w:val="Hyperlink"/>
          </w:rPr>
          <w:t>36:8</w:t>
        </w:r>
      </w:hyperlink>
      <w:r>
        <w:tab/>
        <w:t>Sales of Comparable Properties</w:t>
      </w:r>
    </w:p>
    <w:p w14:paraId="1176AA0A" w14:textId="3C5EADED" w:rsidR="00ED4336" w:rsidRDefault="00ED4336" w:rsidP="00914128">
      <w:pPr>
        <w:pStyle w:val="ToC"/>
      </w:pPr>
      <w:hyperlink w:anchor="a36_09" w:history="1">
        <w:r w:rsidRPr="00760C02">
          <w:rPr>
            <w:rStyle w:val="Hyperlink"/>
          </w:rPr>
          <w:t>36:9</w:t>
        </w:r>
      </w:hyperlink>
      <w:r>
        <w:tab/>
        <w:t>Cost Approach</w:t>
      </w:r>
    </w:p>
    <w:p w14:paraId="34B407CF" w14:textId="6556D62E" w:rsidR="00ED4336" w:rsidRDefault="00ED4336" w:rsidP="00914128">
      <w:pPr>
        <w:pStyle w:val="ToC"/>
      </w:pPr>
      <w:hyperlink w:anchor="a36_10" w:history="1">
        <w:r w:rsidRPr="00760C02">
          <w:rPr>
            <w:rStyle w:val="Hyperlink"/>
          </w:rPr>
          <w:t>36:10</w:t>
        </w:r>
      </w:hyperlink>
      <w:r>
        <w:tab/>
        <w:t>Income Approach</w:t>
      </w:r>
    </w:p>
    <w:p w14:paraId="70BC497F" w14:textId="44D02DDF" w:rsidR="00C54805" w:rsidRDefault="008A673E" w:rsidP="00914128">
      <w:pPr>
        <w:pStyle w:val="ToC"/>
      </w:pPr>
      <w:hyperlink w:anchor="a36_11" w:history="1">
        <w:r w:rsidRPr="00760C02">
          <w:rPr>
            <w:rStyle w:val="Hyperlink"/>
          </w:rPr>
          <w:t>36:</w:t>
        </w:r>
        <w:r w:rsidR="00ED4336" w:rsidRPr="00760C02">
          <w:rPr>
            <w:rStyle w:val="Hyperlink"/>
          </w:rPr>
          <w:t>11</w:t>
        </w:r>
      </w:hyperlink>
      <w:r w:rsidRPr="00C54805">
        <w:tab/>
        <w:t xml:space="preserve">Report </w:t>
      </w:r>
      <w:r>
        <w:t xml:space="preserve">of </w:t>
      </w:r>
      <w:r w:rsidRPr="00C54805">
        <w:t xml:space="preserve">Commissioners </w:t>
      </w:r>
      <w:r>
        <w:t>or</w:t>
      </w:r>
      <w:r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0" w:name="a36_01"/>
      <w:bookmarkEnd w:id="0"/>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1. Use whichever parenthesized words and phrases are appropriate. All references to damages or benefits to the residue should be omitted, for example, if there is a total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1" w:name="_DV_M14"/>
      <w:bookmarkEnd w:id="1"/>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6A84C81F"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City of Northglenn v. Grynberg</w:t>
      </w:r>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r w:rsidR="009525E4">
        <w:rPr>
          <w:rFonts w:eastAsia="Times New Roman"/>
          <w:b/>
          <w:sz w:val="24"/>
          <w:szCs w:val="24"/>
        </w:rPr>
        <w:t>Sos v. Roaring Fork Transp. Auth.</w:t>
      </w:r>
      <w:r w:rsidR="009525E4">
        <w:rPr>
          <w:rFonts w:eastAsia="Times New Roman"/>
          <w:sz w:val="24"/>
          <w:szCs w:val="24"/>
        </w:rPr>
        <w:t>, 2017 COA 142, ¶ 12 n.2</w:t>
      </w:r>
      <w:r w:rsidR="007727B7">
        <w:rPr>
          <w:rFonts w:eastAsia="Times New Roman"/>
          <w:sz w:val="24"/>
          <w:szCs w:val="24"/>
        </w:rPr>
        <w:t>, 487 P.3d 688</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State Dep’t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in limine</w:t>
      </w:r>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2" w:name="_DV_M15"/>
      <w:bookmarkEnd w:id="2"/>
      <w:r w:rsidRPr="00D57BD9">
        <w:rPr>
          <w:rFonts w:eastAsia="Times New Roman"/>
          <w:sz w:val="24"/>
          <w:szCs w:val="24"/>
        </w:rPr>
        <w:t xml:space="preserve">4. </w:t>
      </w:r>
      <w:bookmarkStart w:id="3" w:name="_DV_M18"/>
      <w:bookmarkStart w:id="4" w:name="_DV_C5"/>
      <w:bookmarkEnd w:id="3"/>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Bd. of Cty. Comm’rs v. McClure Venture</w:t>
      </w:r>
      <w:r w:rsidRPr="00D57BD9">
        <w:rPr>
          <w:rFonts w:eastAsia="Times New Roman"/>
          <w:sz w:val="24"/>
          <w:szCs w:val="24"/>
        </w:rPr>
        <w:t>, 41 Colo. App. 524, 594 P.2d 585 (1978).</w:t>
      </w:r>
      <w:bookmarkEnd w:id="4"/>
    </w:p>
    <w:p w14:paraId="3C4FF570" w14:textId="77777777" w:rsidR="00D57BD9" w:rsidRPr="00D57BD9" w:rsidRDefault="00D57BD9" w:rsidP="00D57BD9">
      <w:pPr>
        <w:spacing w:after="240"/>
        <w:ind w:firstLine="720"/>
        <w:rPr>
          <w:rFonts w:eastAsia="Times New Roman"/>
          <w:sz w:val="24"/>
          <w:szCs w:val="24"/>
        </w:rPr>
      </w:pPr>
      <w:bookmarkStart w:id="5" w:name="_DV_C6"/>
      <w:r w:rsidRPr="00D57BD9">
        <w:rPr>
          <w:rFonts w:eastAsia="Times New Roman"/>
          <w:sz w:val="24"/>
          <w:szCs w:val="24"/>
        </w:rPr>
        <w:t>5. Section 38-1-105(1) requires commissioners to be “disinterested and impartial” and directs the court to conduct a voir dire examination to determine those facts.</w:t>
      </w:r>
      <w:bookmarkEnd w:id="5"/>
    </w:p>
    <w:p w14:paraId="6287AFE3" w14:textId="77777777" w:rsidR="00D57BD9" w:rsidRPr="00D57BD9" w:rsidRDefault="00D57BD9" w:rsidP="00D57BD9">
      <w:pPr>
        <w:spacing w:after="240"/>
        <w:ind w:firstLine="720"/>
        <w:rPr>
          <w:rFonts w:eastAsia="Times New Roman"/>
          <w:sz w:val="24"/>
          <w:szCs w:val="24"/>
        </w:rPr>
      </w:pPr>
      <w:bookmarkStart w:id="6" w:name="_DV_M20"/>
      <w:bookmarkEnd w:id="6"/>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Vivian v. Bd. of Trs.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7" w:name="a36_02"/>
      <w:bookmarkEnd w:id="7"/>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8" w:name="_DV_M7"/>
      <w:bookmarkStart w:id="9" w:name="_DV_C2"/>
      <w:bookmarkEnd w:id="8"/>
      <w:r w:rsidRPr="00D57BD9">
        <w:rPr>
          <w:rFonts w:eastAsia="Times New Roman"/>
          <w:sz w:val="24"/>
          <w:szCs w:val="24"/>
        </w:rPr>
        <w:t xml:space="preserve">specific </w:t>
      </w:r>
      <w:bookmarkEnd w:id="9"/>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0" w:name="_DV_M8"/>
      <w:bookmarkEnd w:id="10"/>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E-470 Pub. Highway Auth. v. Revenig</w:t>
      </w:r>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Jagow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Vivian v. Bd. of Trs.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Bd. of Cty.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1" w:name="_DV_M9"/>
      <w:bookmarkEnd w:id="11"/>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2" w:name="_DV_M10"/>
      <w:bookmarkEnd w:id="12"/>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02FE3F62" w:rsidR="00D66230" w:rsidRPr="00D66230" w:rsidRDefault="00D66230" w:rsidP="00D66230">
      <w:pPr>
        <w:spacing w:after="240"/>
        <w:ind w:firstLine="720"/>
        <w:rPr>
          <w:rFonts w:eastAsia="Times New Roman"/>
          <w:sz w:val="24"/>
          <w:szCs w:val="24"/>
        </w:rPr>
      </w:pPr>
      <w:bookmarkStart w:id="13" w:name="_DV_M11"/>
      <w:bookmarkEnd w:id="13"/>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r w:rsidR="007422B6">
        <w:rPr>
          <w:rFonts w:eastAsia="Times New Roman"/>
          <w:b/>
          <w:sz w:val="24"/>
          <w:szCs w:val="24"/>
        </w:rPr>
        <w:t>Sos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w:t>
      </w:r>
      <w:r w:rsidR="007727B7">
        <w:rPr>
          <w:rFonts w:eastAsia="Times New Roman"/>
          <w:sz w:val="24"/>
          <w:szCs w:val="24"/>
        </w:rPr>
        <w:t>, 487 P.3d 688</w:t>
      </w:r>
      <w:r w:rsidR="007422B6">
        <w:rPr>
          <w:rFonts w:eastAsia="Times New Roman"/>
          <w:sz w:val="24"/>
          <w:szCs w:val="24"/>
        </w:rPr>
        <w:t xml:space="preserve">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4" w:name="a36_03"/>
      <w:bookmarkEnd w:id="14"/>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5" w:name="_DV_M6"/>
      <w:bookmarkEnd w:id="15"/>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Denver Urban Renewal Auth. v. Pogzeba</w:t>
      </w:r>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Williams v. City &amp; Cty.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6" w:name="_DV_C1"/>
      <w:r w:rsidRPr="00D66230">
        <w:rPr>
          <w:rFonts w:eastAsia="Times New Roman"/>
          <w:sz w:val="24"/>
          <w:szCs w:val="24"/>
        </w:rPr>
        <w:t xml:space="preserve">in a valuation case to determine the overall compensation to be paid, </w:t>
      </w:r>
      <w:bookmarkEnd w:id="16"/>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7" w:name="_DV_C3"/>
    </w:p>
    <w:bookmarkEnd w:id="17"/>
    <w:p w14:paraId="2A92C5CE" w14:textId="4FEEB82F"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3244B7">
        <w:rPr>
          <w:rFonts w:eastAsia="Times New Roman"/>
          <w:sz w:val="24"/>
          <w:szCs w:val="24"/>
        </w:rPr>
        <w:t>;</w:t>
      </w:r>
      <w:r w:rsidR="00B928F8">
        <w:rPr>
          <w:rFonts w:eastAsia="Times New Roman"/>
          <w:sz w:val="24"/>
          <w:szCs w:val="24"/>
        </w:rPr>
        <w:t xml:space="preserve"> </w:t>
      </w:r>
      <w:r w:rsidR="00B928F8" w:rsidRPr="00B928F8">
        <w:rPr>
          <w:rFonts w:eastAsia="Times New Roman"/>
          <w:b/>
          <w:bCs/>
          <w:sz w:val="24"/>
          <w:szCs w:val="24"/>
        </w:rPr>
        <w:t>City of Westminster v. R. Dean Hawn Interests</w:t>
      </w:r>
      <w:r w:rsidR="00B928F8" w:rsidRPr="003244B7">
        <w:rPr>
          <w:rFonts w:eastAsia="Times New Roman"/>
          <w:sz w:val="24"/>
          <w:szCs w:val="24"/>
        </w:rPr>
        <w:t>,</w:t>
      </w:r>
      <w:r w:rsidR="00B928F8" w:rsidRPr="00B928F8">
        <w:rPr>
          <w:rFonts w:eastAsia="Times New Roman"/>
          <w:b/>
          <w:bCs/>
          <w:sz w:val="24"/>
          <w:szCs w:val="24"/>
        </w:rPr>
        <w:t xml:space="preserve"> </w:t>
      </w:r>
      <w:r w:rsidR="00B928F8" w:rsidRPr="00B928F8">
        <w:rPr>
          <w:rFonts w:eastAsia="Times New Roman"/>
          <w:sz w:val="24"/>
          <w:szCs w:val="24"/>
        </w:rPr>
        <w:t>2024 COA 80</w:t>
      </w:r>
      <w:r w:rsidR="003244B7">
        <w:rPr>
          <w:rFonts w:eastAsia="Times New Roman"/>
          <w:sz w:val="24"/>
          <w:szCs w:val="24"/>
        </w:rPr>
        <w:t>,</w:t>
      </w:r>
      <w:r w:rsidR="00B928F8" w:rsidRPr="00B928F8">
        <w:rPr>
          <w:rFonts w:eastAsia="Times New Roman"/>
          <w:sz w:val="24"/>
          <w:szCs w:val="24"/>
        </w:rPr>
        <w:t xml:space="preserve"> ¶</w:t>
      </w:r>
      <w:r w:rsidR="0081551D">
        <w:rPr>
          <w:rFonts w:eastAsia="Times New Roman"/>
          <w:sz w:val="24"/>
          <w:szCs w:val="24"/>
        </w:rPr>
        <w:t>¶</w:t>
      </w:r>
      <w:r w:rsidR="00B928F8" w:rsidRPr="00B928F8">
        <w:rPr>
          <w:rFonts w:eastAsia="Times New Roman"/>
          <w:sz w:val="24"/>
          <w:szCs w:val="24"/>
        </w:rPr>
        <w:t xml:space="preserve"> 21,</w:t>
      </w:r>
      <w:r w:rsidR="0081551D">
        <w:rPr>
          <w:rFonts w:eastAsia="Times New Roman"/>
          <w:sz w:val="24"/>
          <w:szCs w:val="24"/>
        </w:rPr>
        <w:t xml:space="preserve"> 47</w:t>
      </w:r>
      <w:r w:rsidR="00B928F8" w:rsidRPr="00B928F8">
        <w:rPr>
          <w:rFonts w:eastAsia="Times New Roman"/>
          <w:sz w:val="24"/>
          <w:szCs w:val="24"/>
        </w:rPr>
        <w:t xml:space="preserve">; </w:t>
      </w:r>
      <w:r w:rsidR="00B928F8" w:rsidRPr="00B928F8">
        <w:rPr>
          <w:rFonts w:eastAsia="Times New Roman"/>
          <w:b/>
          <w:sz w:val="24"/>
          <w:szCs w:val="24"/>
        </w:rPr>
        <w:t>CORE Elec. Coop. v. Freund Invs., LLC</w:t>
      </w:r>
      <w:r w:rsidR="00B928F8" w:rsidRPr="00F81054">
        <w:rPr>
          <w:rFonts w:eastAsia="Times New Roman"/>
          <w:bCs/>
          <w:sz w:val="24"/>
          <w:szCs w:val="24"/>
        </w:rPr>
        <w:t xml:space="preserve">, </w:t>
      </w:r>
      <w:r w:rsidR="00B928F8" w:rsidRPr="00B928F8">
        <w:rPr>
          <w:rFonts w:eastAsia="Times New Roman"/>
          <w:sz w:val="24"/>
          <w:szCs w:val="24"/>
        </w:rPr>
        <w:t xml:space="preserve">2022 COA 63, ¶ 18, 517 P.3d 697. </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8" w:name="a36_04"/>
      <w:bookmarkEnd w:id="18"/>
      <w:r w:rsidRPr="00D66230">
        <w:rPr>
          <w:rFonts w:eastAsia="Times New Roman"/>
          <w:b/>
          <w:sz w:val="24"/>
          <w:szCs w:val="24"/>
        </w:rPr>
        <w:lastRenderedPageBreak/>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damages or specific benefits are to be measured by the effects the acquisition of, and the expected uses of,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19" w:name="_DV_M19"/>
      <w:bookmarkEnd w:id="19"/>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0" w:name="_DV_M21"/>
      <w:bookmarkEnd w:id="20"/>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1" w:name="_DV_M22"/>
      <w:bookmarkEnd w:id="21"/>
      <w:r w:rsidRPr="00537401">
        <w:rPr>
          <w:rFonts w:eastAsia="Times New Roman"/>
          <w:sz w:val="24"/>
          <w:szCs w:val="24"/>
        </w:rPr>
        <w:t>4. Instructions 36:3 and 36:5 must also be given with this instruction.</w:t>
      </w:r>
    </w:p>
    <w:p w14:paraId="61542C57" w14:textId="490342E9" w:rsidR="00537401" w:rsidRPr="00537401" w:rsidRDefault="00537401" w:rsidP="00537401">
      <w:pPr>
        <w:spacing w:after="240"/>
        <w:ind w:firstLine="720"/>
        <w:rPr>
          <w:rFonts w:eastAsia="Times New Roman"/>
          <w:sz w:val="24"/>
          <w:szCs w:val="24"/>
        </w:rPr>
      </w:pPr>
      <w:bookmarkStart w:id="22" w:name="_DV_M23"/>
      <w:bookmarkEnd w:id="22"/>
      <w:r w:rsidRPr="00537401">
        <w:rPr>
          <w:rFonts w:eastAsia="Times New Roman"/>
          <w:sz w:val="24"/>
          <w:szCs w:val="24"/>
        </w:rPr>
        <w:t xml:space="preserve">5. In highway or RTD transportation project acquisitions, when an appraiser is determining damages or special </w:t>
      </w:r>
      <w:bookmarkStart w:id="23" w:name="_DV_M24"/>
      <w:bookmarkEnd w:id="23"/>
      <w:r w:rsidRPr="00537401">
        <w:rPr>
          <w:rFonts w:eastAsia="Times New Roman"/>
          <w:sz w:val="24"/>
          <w:szCs w:val="24"/>
        </w:rPr>
        <w:t xml:space="preserve">benefits to the residue and is forecasting such damages or </w:t>
      </w:r>
      <w:bookmarkStart w:id="24" w:name="_DV_M25"/>
      <w:bookmarkEnd w:id="24"/>
      <w:r w:rsidRPr="00537401">
        <w:rPr>
          <w:rFonts w:eastAsia="Times New Roman"/>
          <w:sz w:val="24"/>
          <w:szCs w:val="24"/>
        </w:rPr>
        <w:t>benefits beyond one year from the date of appraisal, the appraiser “shall take into account a proper discount.” § 38-1-114(2)(c),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5" w:name="_DV_M33"/>
      <w:bookmarkStart w:id="26" w:name="_DV_M34"/>
      <w:bookmarkStart w:id="27" w:name="_DV_M35"/>
      <w:bookmarkStart w:id="28" w:name="_DV_M36"/>
      <w:bookmarkStart w:id="29" w:name="_DV_M37"/>
      <w:bookmarkEnd w:id="25"/>
      <w:bookmarkEnd w:id="26"/>
      <w:bookmarkEnd w:id="27"/>
      <w:bookmarkEnd w:id="28"/>
      <w:bookmarkEnd w:id="29"/>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0" w:name="_DV_M38"/>
      <w:bookmarkEnd w:id="30"/>
      <w:r w:rsidRPr="00537401">
        <w:rPr>
          <w:rFonts w:eastAsia="Times New Roman"/>
          <w:sz w:val="24"/>
          <w:szCs w:val="24"/>
        </w:rPr>
        <w:t xml:space="preserve">2. The rules relating to the measure of damages and </w:t>
      </w:r>
      <w:bookmarkStart w:id="31" w:name="_DV_M39"/>
      <w:bookmarkEnd w:id="31"/>
      <w:r w:rsidRPr="00537401">
        <w:rPr>
          <w:rFonts w:eastAsia="Times New Roman"/>
          <w:sz w:val="24"/>
          <w:szCs w:val="24"/>
        </w:rPr>
        <w:t xml:space="preserve">benefits to the residue are supported by </w:t>
      </w:r>
      <w:r w:rsidRPr="00537401">
        <w:rPr>
          <w:rFonts w:eastAsia="Times New Roman"/>
          <w:b/>
          <w:sz w:val="24"/>
          <w:szCs w:val="24"/>
        </w:rPr>
        <w:t>La Plata Electric Ass’n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Bement v. Empire Electric Ass’n</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Jagow v. E-470 Pub. Highway Auth.</w:t>
      </w:r>
      <w:r w:rsidRPr="00537401">
        <w:rPr>
          <w:rFonts w:eastAsia="Times New Roman"/>
          <w:sz w:val="24"/>
          <w:szCs w:val="24"/>
        </w:rPr>
        <w:t xml:space="preserve">, 49 P.3d 1151 (Colo. 2002); </w:t>
      </w:r>
      <w:r w:rsidRPr="00537401">
        <w:rPr>
          <w:rFonts w:eastAsia="Times New Roman"/>
          <w:b/>
          <w:sz w:val="24"/>
          <w:szCs w:val="24"/>
        </w:rPr>
        <w:t xml:space="preserve">Mack v. Bd. of Cty. </w:t>
      </w:r>
      <w:r w:rsidRPr="00155302">
        <w:rPr>
          <w:rFonts w:eastAsia="Times New Roman"/>
          <w:b/>
          <w:sz w:val="24"/>
          <w:szCs w:val="24"/>
          <w:lang w:val="es-ES"/>
        </w:rPr>
        <w:t>Comm’rs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 xml:space="preserve">152 Colo. 300, 381 P.2d 987 (1963); </w:t>
      </w:r>
      <w:r w:rsidRPr="00155302">
        <w:rPr>
          <w:rFonts w:eastAsia="Times New Roman"/>
          <w:b/>
          <w:sz w:val="24"/>
          <w:szCs w:val="24"/>
          <w:lang w:val="es-ES"/>
        </w:rPr>
        <w:t>Colo. M. Ry. v. Brown</w:t>
      </w:r>
      <w:r w:rsidRPr="00155302">
        <w:rPr>
          <w:rFonts w:eastAsia="Times New Roman"/>
          <w:sz w:val="24"/>
          <w:szCs w:val="24"/>
          <w:lang w:val="es-ES"/>
        </w:rPr>
        <w:t xml:space="preserve">, 15 Colo. 193, 25 P. 87 (1890); </w:t>
      </w:r>
      <w:r w:rsidRPr="00155302">
        <w:rPr>
          <w:rFonts w:eastAsia="Times New Roman"/>
          <w:b/>
          <w:sz w:val="24"/>
          <w:szCs w:val="24"/>
          <w:lang w:val="es-ES"/>
        </w:rPr>
        <w:t xml:space="preserve">Colo. </w:t>
      </w:r>
      <w:r w:rsidRPr="00537401">
        <w:rPr>
          <w:rFonts w:eastAsia="Times New Roman"/>
          <w:b/>
          <w:sz w:val="24"/>
          <w:szCs w:val="24"/>
        </w:rPr>
        <w:t>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108548E1"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w:t>
      </w:r>
      <w:r w:rsidR="007413DC">
        <w:rPr>
          <w:rFonts w:eastAsia="Times New Roman"/>
          <w:b/>
          <w:bCs/>
          <w:sz w:val="24"/>
          <w:szCs w:val="24"/>
        </w:rPr>
        <w:t>La Plata</w:t>
      </w:r>
      <w:r w:rsidR="007413DC" w:rsidRPr="00F81054">
        <w:rPr>
          <w:rFonts w:eastAsia="Times New Roman"/>
          <w:sz w:val="24"/>
          <w:szCs w:val="24"/>
        </w:rPr>
        <w:t xml:space="preserve">, </w:t>
      </w:r>
      <w:r w:rsidR="007413DC" w:rsidRPr="00537401">
        <w:rPr>
          <w:rFonts w:eastAsia="Times New Roman"/>
          <w:sz w:val="24"/>
          <w:szCs w:val="24"/>
        </w:rPr>
        <w:t xml:space="preserve">728 P.2d </w:t>
      </w:r>
      <w:r w:rsidR="007413DC">
        <w:rPr>
          <w:rFonts w:eastAsia="Times New Roman"/>
          <w:sz w:val="24"/>
          <w:szCs w:val="24"/>
        </w:rPr>
        <w:t xml:space="preserve">at 701-03; </w:t>
      </w:r>
      <w:r w:rsidR="007413DC">
        <w:rPr>
          <w:rFonts w:eastAsia="Times New Roman"/>
          <w:b/>
          <w:sz w:val="24"/>
          <w:szCs w:val="24"/>
        </w:rPr>
        <w:t>Sos v. Roaring Fork Transp. Auth.</w:t>
      </w:r>
      <w:r w:rsidR="007413DC">
        <w:rPr>
          <w:rFonts w:eastAsia="Times New Roman"/>
          <w:sz w:val="24"/>
          <w:szCs w:val="24"/>
        </w:rPr>
        <w:t xml:space="preserve">, 2017 COA 142, ¶ 25, 487 P.3d 688. </w:t>
      </w:r>
      <w:r w:rsidRPr="00537401">
        <w:rPr>
          <w:rFonts w:eastAsia="Times New Roman"/>
          <w:sz w:val="24"/>
          <w:szCs w:val="24"/>
        </w:rPr>
        <w:t xml:space="preserve">But a landowner who is damaged by construction of a project on abutting land must prove that the damages to its own property are special and unique, in other words, not shared in common with the public generally. </w:t>
      </w:r>
      <w:r w:rsidR="007413DC" w:rsidRPr="003244B7">
        <w:rPr>
          <w:rFonts w:eastAsia="Times New Roman"/>
          <w:i/>
          <w:iCs/>
          <w:sz w:val="24"/>
          <w:szCs w:val="24"/>
        </w:rPr>
        <w:t>Id.</w:t>
      </w:r>
      <w:r w:rsidR="007413DC">
        <w:rPr>
          <w:rFonts w:eastAsia="Times New Roman"/>
          <w:sz w:val="24"/>
          <w:szCs w:val="24"/>
        </w:rPr>
        <w:t xml:space="preserve"> </w:t>
      </w:r>
      <w:r w:rsidRPr="00537401">
        <w:rPr>
          <w:rFonts w:eastAsia="Times New Roman"/>
          <w:sz w:val="24"/>
          <w:szCs w:val="24"/>
        </w:rPr>
        <w:t xml:space="preserve">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Pub. Serv. Co. of Colo. v. Van Wyk</w:t>
      </w:r>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Dep’t of Transp. v. First Interstate Commercial Mortg.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2" w:name="a36_05"/>
      <w:bookmarkEnd w:id="32"/>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noncompensable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155302" w:rsidRDefault="000A546B" w:rsidP="000A546B">
      <w:pPr>
        <w:spacing w:after="240"/>
        <w:ind w:firstLine="720"/>
        <w:rPr>
          <w:rFonts w:eastAsia="Times New Roman"/>
          <w:sz w:val="24"/>
          <w:szCs w:val="24"/>
          <w:lang w:val="es-ES"/>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155302">
        <w:rPr>
          <w:rFonts w:eastAsia="Times New Roman"/>
          <w:i/>
          <w:sz w:val="24"/>
          <w:szCs w:val="24"/>
          <w:lang w:val="es-ES"/>
        </w:rPr>
        <w:t>See</w:t>
      </w:r>
      <w:r w:rsidRPr="00155302">
        <w:rPr>
          <w:rFonts w:eastAsia="Times New Roman"/>
          <w:sz w:val="24"/>
          <w:szCs w:val="24"/>
          <w:lang w:val="es-ES"/>
        </w:rPr>
        <w:t xml:space="preserve"> </w:t>
      </w:r>
      <w:r w:rsidRPr="00155302">
        <w:rPr>
          <w:rFonts w:eastAsia="Times New Roman"/>
          <w:b/>
          <w:sz w:val="24"/>
          <w:szCs w:val="24"/>
          <w:lang w:val="es-ES"/>
        </w:rPr>
        <w:t>La Plata Elec. Ass’n v. Cummins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La Plata Electric Ass’n</w:t>
      </w:r>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11C376DE"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Bd. of Cty. Comm’rs</w:t>
      </w:r>
      <w:r w:rsidRPr="00537401">
        <w:rPr>
          <w:rFonts w:eastAsia="Times New Roman"/>
          <w:b/>
          <w:sz w:val="24"/>
          <w:szCs w:val="24"/>
        </w:rPr>
        <w:t xml:space="preserve"> v. DPG Farms, LLC, </w:t>
      </w:r>
      <w:r w:rsidRPr="00537401">
        <w:rPr>
          <w:rFonts w:eastAsia="Times New Roman"/>
          <w:sz w:val="24"/>
          <w:szCs w:val="24"/>
        </w:rPr>
        <w:t>2017 COA 83, ¶ 29</w:t>
      </w:r>
      <w:r w:rsidR="007727B7">
        <w:rPr>
          <w:rFonts w:eastAsia="Times New Roman"/>
          <w:sz w:val="24"/>
          <w:szCs w:val="24"/>
        </w:rPr>
        <w:t>, 487 P.3d 291</w:t>
      </w:r>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r>
        <w:rPr>
          <w:rFonts w:eastAsia="Times New Roman"/>
          <w:b/>
          <w:sz w:val="24"/>
          <w:szCs w:val="24"/>
        </w:rPr>
        <w:t>Sos v. Roaring Fork Transp. Auth.</w:t>
      </w:r>
      <w:r>
        <w:rPr>
          <w:rFonts w:eastAsia="Times New Roman"/>
          <w:sz w:val="24"/>
          <w:szCs w:val="24"/>
        </w:rPr>
        <w:t>, 2017 COA 142, ¶¶ 39, 58</w:t>
      </w:r>
      <w:r w:rsidR="007727B7">
        <w:rPr>
          <w:rFonts w:eastAsia="Times New Roman"/>
          <w:sz w:val="24"/>
          <w:szCs w:val="24"/>
        </w:rPr>
        <w:t>, 487 P.3d 688</w:t>
      </w:r>
      <w:r>
        <w:rPr>
          <w:rFonts w:eastAsia="Times New Roman"/>
          <w:sz w:val="24"/>
          <w:szCs w:val="24"/>
        </w:rPr>
        <w:t xml:space="preserve">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3" w:name="a36_06"/>
      <w:bookmarkEnd w:id="33"/>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23C5E61D" w14:textId="77777777" w:rsidR="00F81054" w:rsidRDefault="007413DC" w:rsidP="009E4479">
      <w:pPr>
        <w:spacing w:after="240"/>
        <w:ind w:firstLine="720"/>
        <w:rPr>
          <w:rFonts w:eastAsia="Times New Roman"/>
          <w:sz w:val="24"/>
          <w:szCs w:val="24"/>
        </w:rPr>
      </w:pPr>
      <w:r>
        <w:rPr>
          <w:rFonts w:eastAsia="Times New Roman"/>
          <w:sz w:val="24"/>
          <w:szCs w:val="24"/>
        </w:rPr>
        <w:t xml:space="preserve">2. </w:t>
      </w:r>
      <w:r w:rsidRPr="006A037A">
        <w:rPr>
          <w:rFonts w:eastAsia="Times New Roman"/>
          <w:sz w:val="24"/>
          <w:szCs w:val="24"/>
        </w:rPr>
        <w:t xml:space="preserve">The admissibility of evidence for property valuation is expansive, rather than restrictive. </w:t>
      </w:r>
      <w:r w:rsidRPr="00540C26">
        <w:rPr>
          <w:rFonts w:eastAsia="Times New Roman"/>
          <w:b/>
          <w:bCs/>
          <w:sz w:val="24"/>
          <w:szCs w:val="24"/>
        </w:rPr>
        <w:t>Palizzi v. City of Brighton</w:t>
      </w:r>
      <w:r>
        <w:rPr>
          <w:rFonts w:eastAsia="Times New Roman"/>
          <w:sz w:val="24"/>
          <w:szCs w:val="24"/>
        </w:rPr>
        <w:t>, 228 P.3d 957, 962 (Colo. 2010). The purpose of a valuation proceeding is to replicate the marketplace and determine what a willing buyer would pay a willing seller for the property in a voluntary transaction.</w:t>
      </w:r>
      <w:r w:rsidRPr="00540C26">
        <w:rPr>
          <w:rFonts w:eastAsia="Times New Roman"/>
          <w:b/>
          <w:bCs/>
          <w:sz w:val="24"/>
          <w:szCs w:val="24"/>
        </w:rPr>
        <w:t xml:space="preserve"> </w:t>
      </w:r>
      <w:r w:rsidR="0081551D" w:rsidRPr="003244B7">
        <w:rPr>
          <w:rFonts w:eastAsia="Times New Roman"/>
          <w:i/>
          <w:iCs/>
          <w:sz w:val="24"/>
          <w:szCs w:val="24"/>
        </w:rPr>
        <w:t>Id.</w:t>
      </w:r>
      <w:r>
        <w:rPr>
          <w:rFonts w:eastAsia="Times New Roman"/>
          <w:sz w:val="24"/>
          <w:szCs w:val="24"/>
        </w:rPr>
        <w:t xml:space="preserve">; </w:t>
      </w:r>
      <w:r>
        <w:rPr>
          <w:rFonts w:eastAsia="Times New Roman"/>
          <w:b/>
          <w:bCs/>
          <w:sz w:val="24"/>
          <w:szCs w:val="24"/>
        </w:rPr>
        <w:t>City of Westminster v. R. Dean Hawn Interests</w:t>
      </w:r>
      <w:r w:rsidRPr="00F81054">
        <w:rPr>
          <w:rFonts w:eastAsia="Times New Roman"/>
          <w:sz w:val="24"/>
          <w:szCs w:val="24"/>
        </w:rPr>
        <w:t xml:space="preserve">, </w:t>
      </w:r>
      <w:r>
        <w:rPr>
          <w:rFonts w:eastAsia="Times New Roman"/>
          <w:sz w:val="24"/>
          <w:szCs w:val="24"/>
        </w:rPr>
        <w:t>2024 COA 80</w:t>
      </w:r>
      <w:r w:rsidR="003244B7">
        <w:rPr>
          <w:rFonts w:eastAsia="Times New Roman"/>
          <w:sz w:val="24"/>
          <w:szCs w:val="24"/>
        </w:rPr>
        <w:t>,</w:t>
      </w:r>
      <w:r>
        <w:rPr>
          <w:rFonts w:eastAsia="Times New Roman"/>
          <w:sz w:val="24"/>
          <w:szCs w:val="24"/>
        </w:rPr>
        <w:t xml:space="preserve"> ¶</w:t>
      </w:r>
      <w:r w:rsidR="003244B7">
        <w:rPr>
          <w:rFonts w:eastAsia="Times New Roman"/>
          <w:sz w:val="24"/>
          <w:szCs w:val="24"/>
        </w:rPr>
        <w:t>¶</w:t>
      </w:r>
      <w:r>
        <w:rPr>
          <w:rFonts w:eastAsia="Times New Roman"/>
          <w:sz w:val="24"/>
          <w:szCs w:val="24"/>
        </w:rPr>
        <w:t xml:space="preserve"> 21, 47; </w:t>
      </w:r>
      <w:r>
        <w:rPr>
          <w:rFonts w:eastAsia="Times New Roman"/>
          <w:b/>
          <w:sz w:val="24"/>
          <w:szCs w:val="24"/>
        </w:rPr>
        <w:t>CORE Elec. Coop. v. Freund Invs., LLC</w:t>
      </w:r>
      <w:r w:rsidRPr="00F81054">
        <w:rPr>
          <w:rFonts w:eastAsia="Times New Roman"/>
          <w:bCs/>
          <w:sz w:val="24"/>
          <w:szCs w:val="24"/>
        </w:rPr>
        <w:t xml:space="preserve">, </w:t>
      </w:r>
      <w:r w:rsidRPr="009E4479">
        <w:rPr>
          <w:rFonts w:eastAsia="Times New Roman"/>
          <w:sz w:val="24"/>
          <w:szCs w:val="24"/>
        </w:rPr>
        <w:t>20</w:t>
      </w:r>
      <w:r>
        <w:rPr>
          <w:rFonts w:eastAsia="Times New Roman"/>
          <w:sz w:val="24"/>
          <w:szCs w:val="24"/>
        </w:rPr>
        <w:t>22</w:t>
      </w:r>
      <w:r w:rsidRPr="009E4479">
        <w:rPr>
          <w:rFonts w:eastAsia="Times New Roman"/>
          <w:sz w:val="24"/>
          <w:szCs w:val="24"/>
        </w:rPr>
        <w:t xml:space="preserve"> COA </w:t>
      </w:r>
      <w:r>
        <w:rPr>
          <w:rFonts w:eastAsia="Times New Roman"/>
          <w:sz w:val="24"/>
          <w:szCs w:val="24"/>
        </w:rPr>
        <w:t>6</w:t>
      </w:r>
      <w:r w:rsidRPr="009E4479">
        <w:rPr>
          <w:rFonts w:eastAsia="Times New Roman"/>
          <w:sz w:val="24"/>
          <w:szCs w:val="24"/>
        </w:rPr>
        <w:t xml:space="preserve">3, ¶ </w:t>
      </w:r>
      <w:r>
        <w:rPr>
          <w:rFonts w:eastAsia="Times New Roman"/>
          <w:sz w:val="24"/>
          <w:szCs w:val="24"/>
        </w:rPr>
        <w:t xml:space="preserve">18, 517 P.3d 697. </w:t>
      </w:r>
      <w:r w:rsidR="0081551D" w:rsidRPr="00B928F8">
        <w:rPr>
          <w:rFonts w:eastAsia="Times New Roman"/>
          <w:sz w:val="24"/>
          <w:szCs w:val="24"/>
        </w:rPr>
        <w:t xml:space="preserve">It is the factfinder’s task to determine just compensation based on any competent evidence that affects the market value of the land. </w:t>
      </w:r>
      <w:r w:rsidR="0081551D" w:rsidRPr="00B928F8">
        <w:rPr>
          <w:rFonts w:eastAsia="Times New Roman"/>
          <w:b/>
          <w:bCs/>
          <w:sz w:val="24"/>
          <w:szCs w:val="24"/>
        </w:rPr>
        <w:t xml:space="preserve">R. Dean Hawn Interests, </w:t>
      </w:r>
      <w:r w:rsidR="0081551D" w:rsidRPr="00B928F8">
        <w:rPr>
          <w:rFonts w:eastAsia="Times New Roman"/>
          <w:sz w:val="24"/>
          <w:szCs w:val="24"/>
        </w:rPr>
        <w:t xml:space="preserve">¶ 46 (citing </w:t>
      </w:r>
      <w:r w:rsidR="0081551D" w:rsidRPr="00B928F8">
        <w:rPr>
          <w:rFonts w:eastAsia="Times New Roman"/>
          <w:b/>
          <w:bCs/>
          <w:sz w:val="24"/>
          <w:szCs w:val="24"/>
        </w:rPr>
        <w:t>Palizzi,</w:t>
      </w:r>
      <w:r w:rsidR="0081551D" w:rsidRPr="00B928F8">
        <w:rPr>
          <w:rFonts w:eastAsia="Times New Roman"/>
          <w:sz w:val="24"/>
          <w:szCs w:val="24"/>
        </w:rPr>
        <w:t xml:space="preserve"> 228 P.3d at 962).</w:t>
      </w:r>
    </w:p>
    <w:p w14:paraId="09897DD9" w14:textId="04F72B5D" w:rsidR="009E4479" w:rsidRPr="009E4479" w:rsidRDefault="007413DC" w:rsidP="009E4479">
      <w:pPr>
        <w:spacing w:after="240"/>
        <w:ind w:firstLine="720"/>
        <w:rPr>
          <w:rFonts w:eastAsia="Times New Roman"/>
          <w:sz w:val="24"/>
          <w:szCs w:val="24"/>
        </w:rPr>
      </w:pPr>
      <w:r>
        <w:rPr>
          <w:rFonts w:eastAsia="Times New Roman"/>
          <w:sz w:val="24"/>
          <w:szCs w:val="24"/>
        </w:rPr>
        <w:t>3</w:t>
      </w:r>
      <w:r w:rsidR="009E4479" w:rsidRPr="009E4479">
        <w:rPr>
          <w:rFonts w:eastAsia="Times New Roman"/>
          <w:sz w:val="24"/>
          <w:szCs w:val="24"/>
        </w:rPr>
        <w:t xml:space="preserve">. The present reasonable market value of a property is considered in light of its most advantageous use at the time of the condemnation and is determined under expansive evidentiary rules. </w:t>
      </w:r>
      <w:r w:rsidR="009E4479" w:rsidRPr="009E4479">
        <w:rPr>
          <w:rFonts w:eastAsia="Times New Roman"/>
          <w:b/>
          <w:sz w:val="24"/>
          <w:szCs w:val="24"/>
        </w:rPr>
        <w:t>Palizzi</w:t>
      </w:r>
      <w:r w:rsidR="009E4479" w:rsidRPr="009E4479">
        <w:rPr>
          <w:rFonts w:eastAsia="Times New Roman"/>
          <w:sz w:val="24"/>
          <w:szCs w:val="24"/>
        </w:rPr>
        <w:t xml:space="preserve">, 228 P.3d </w:t>
      </w:r>
      <w:r w:rsidR="003244B7">
        <w:rPr>
          <w:rFonts w:eastAsia="Times New Roman"/>
          <w:sz w:val="24"/>
          <w:szCs w:val="24"/>
        </w:rPr>
        <w:t xml:space="preserve">at </w:t>
      </w:r>
      <w:r w:rsidR="009E4479" w:rsidRPr="009E4479">
        <w:rPr>
          <w:rFonts w:eastAsia="Times New Roman"/>
          <w:sz w:val="24"/>
          <w:szCs w:val="24"/>
        </w:rPr>
        <w:t>9</w:t>
      </w:r>
      <w:r w:rsidR="003244B7">
        <w:rPr>
          <w:rFonts w:eastAsia="Times New Roman"/>
          <w:sz w:val="24"/>
          <w:szCs w:val="24"/>
        </w:rPr>
        <w:t>61</w:t>
      </w:r>
      <w:r w:rsidR="009E4479" w:rsidRPr="009E4479">
        <w:rPr>
          <w:rFonts w:eastAsia="Times New Roman"/>
          <w:sz w:val="24"/>
          <w:szCs w:val="24"/>
        </w:rPr>
        <w:t xml:space="preserve"> (jury should be allowed to consider reasonable probability of a future use, including development and the cost of achieving such use, as they relate to the present market value); </w:t>
      </w:r>
      <w:r w:rsidR="009E4479" w:rsidRPr="009E4479">
        <w:rPr>
          <w:rFonts w:eastAsia="Times New Roman"/>
          <w:i/>
          <w:sz w:val="24"/>
          <w:szCs w:val="24"/>
        </w:rPr>
        <w:t>see also</w:t>
      </w:r>
      <w:r w:rsidR="009E4479" w:rsidRPr="009E4479">
        <w:rPr>
          <w:rFonts w:eastAsia="Times New Roman"/>
          <w:sz w:val="24"/>
          <w:szCs w:val="24"/>
        </w:rPr>
        <w:t xml:space="preserve"> </w:t>
      </w:r>
      <w:r>
        <w:rPr>
          <w:rFonts w:eastAsia="Times New Roman"/>
          <w:b/>
          <w:bCs/>
          <w:sz w:val="24"/>
          <w:szCs w:val="24"/>
        </w:rPr>
        <w:t xml:space="preserve">R. Dean Hawn Interests, </w:t>
      </w:r>
      <w:r>
        <w:rPr>
          <w:rFonts w:eastAsia="Times New Roman"/>
          <w:sz w:val="24"/>
          <w:szCs w:val="24"/>
        </w:rPr>
        <w:t xml:space="preserve">¶ 20 (in considering highest and best use of property “the scope of admissible evidence of a property’s value is expansive”); </w:t>
      </w:r>
      <w:r w:rsidR="009E4479" w:rsidRPr="009E4479">
        <w:rPr>
          <w:rFonts w:eastAsia="Times New Roman"/>
          <w:b/>
          <w:sz w:val="24"/>
          <w:szCs w:val="24"/>
        </w:rPr>
        <w:t>State Dep’t of Highways v. Mahaffey</w:t>
      </w:r>
      <w:r w:rsidR="009E4479" w:rsidRPr="009E4479">
        <w:rPr>
          <w:rFonts w:eastAsia="Times New Roman"/>
          <w:sz w:val="24"/>
          <w:szCs w:val="24"/>
        </w:rPr>
        <w:t>,</w:t>
      </w:r>
      <w:r w:rsidR="009E4479" w:rsidRPr="009E4479">
        <w:rPr>
          <w:rFonts w:eastAsia="Times New Roman"/>
          <w:b/>
          <w:sz w:val="24"/>
          <w:szCs w:val="24"/>
        </w:rPr>
        <w:t xml:space="preserve"> </w:t>
      </w:r>
      <w:r w:rsidR="009E4479"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Bd. of Cty. Comm’rs</w:t>
      </w:r>
      <w:r w:rsidR="009E4479" w:rsidRPr="009E4479">
        <w:rPr>
          <w:rFonts w:eastAsia="Times New Roman"/>
          <w:b/>
          <w:sz w:val="24"/>
          <w:szCs w:val="24"/>
        </w:rPr>
        <w:t xml:space="preserve"> v. DPG Farms, LLC, </w:t>
      </w:r>
      <w:r w:rsidR="009E4479" w:rsidRPr="009E4479">
        <w:rPr>
          <w:rFonts w:eastAsia="Times New Roman"/>
          <w:sz w:val="24"/>
          <w:szCs w:val="24"/>
        </w:rPr>
        <w:t>2017 COA 83, ¶ 13</w:t>
      </w:r>
      <w:r w:rsidR="007727B7">
        <w:rPr>
          <w:rFonts w:eastAsia="Times New Roman"/>
          <w:sz w:val="24"/>
          <w:szCs w:val="24"/>
        </w:rPr>
        <w:t>, 487 P.3d 291</w:t>
      </w:r>
      <w:r w:rsidR="009E4479" w:rsidRPr="009E4479">
        <w:rPr>
          <w:rFonts w:eastAsia="Times New Roman"/>
          <w:sz w:val="24"/>
          <w:szCs w:val="24"/>
        </w:rPr>
        <w:t xml:space="preserve"> (discussing these terms interchangeably and delineating the four factors to be used in determining highest and best use). The determination of a property’s highest </w:t>
      </w:r>
      <w:r w:rsidR="009E4479" w:rsidRPr="009E4479">
        <w:rPr>
          <w:rFonts w:eastAsia="Times New Roman"/>
          <w:sz w:val="24"/>
          <w:szCs w:val="24"/>
        </w:rPr>
        <w:lastRenderedPageBreak/>
        <w:t xml:space="preserve">and best use is generally a factual question for the jury unless the evidence of highest and best use is so improbable or speculative that it should be excluded from the jury as a matter of law. </w:t>
      </w:r>
      <w:r w:rsidR="009E4479" w:rsidRPr="009E4479">
        <w:rPr>
          <w:rFonts w:eastAsia="Times New Roman"/>
          <w:i/>
          <w:sz w:val="24"/>
          <w:szCs w:val="24"/>
        </w:rPr>
        <w:t>Id.</w:t>
      </w:r>
      <w:r w:rsidR="009E4479" w:rsidRPr="009E4479">
        <w:rPr>
          <w:rFonts w:eastAsia="Times New Roman"/>
          <w:sz w:val="24"/>
          <w:szCs w:val="24"/>
        </w:rPr>
        <w:t xml:space="preserve"> at ¶ 16.</w:t>
      </w:r>
    </w:p>
    <w:p w14:paraId="7AAD9AA3" w14:textId="4A4663F1" w:rsidR="009E4479" w:rsidRPr="009E4479" w:rsidRDefault="007413DC" w:rsidP="009E4479">
      <w:pPr>
        <w:spacing w:after="240"/>
        <w:ind w:firstLine="720"/>
        <w:rPr>
          <w:rFonts w:eastAsia="Times New Roman"/>
          <w:sz w:val="24"/>
          <w:szCs w:val="24"/>
        </w:rPr>
      </w:pPr>
      <w:r>
        <w:rPr>
          <w:rFonts w:eastAsia="Times New Roman"/>
          <w:sz w:val="24"/>
          <w:szCs w:val="24"/>
        </w:rPr>
        <w:t>4</w:t>
      </w:r>
      <w:r w:rsidR="009E4479" w:rsidRPr="009E4479">
        <w:rPr>
          <w:rFonts w:eastAsia="Times New Roman"/>
          <w:sz w:val="24"/>
          <w:szCs w:val="24"/>
        </w:rPr>
        <w:t>. Regarding the probability of the property being rezoned,</w:t>
      </w:r>
      <w:r w:rsidR="009E4479" w:rsidRPr="009E4479">
        <w:rPr>
          <w:rFonts w:eastAsia="Times New Roman"/>
          <w:i/>
          <w:sz w:val="24"/>
          <w:szCs w:val="24"/>
        </w:rPr>
        <w:t xml:space="preserve"> </w:t>
      </w:r>
      <w:r w:rsidR="009E4479" w:rsidRPr="009E4479">
        <w:rPr>
          <w:rFonts w:eastAsia="Times New Roman"/>
          <w:sz w:val="24"/>
          <w:szCs w:val="24"/>
        </w:rPr>
        <w:t xml:space="preserve">see </w:t>
      </w:r>
      <w:r w:rsidR="009E4479" w:rsidRPr="009E4479">
        <w:rPr>
          <w:rFonts w:eastAsia="Times New Roman"/>
          <w:b/>
          <w:sz w:val="24"/>
          <w:szCs w:val="24"/>
        </w:rPr>
        <w:t>Stark v. Poudre School District R-1</w:t>
      </w:r>
      <w:r w:rsidR="009E4479" w:rsidRPr="009E4479">
        <w:rPr>
          <w:rFonts w:eastAsia="Times New Roman"/>
          <w:sz w:val="24"/>
          <w:szCs w:val="24"/>
        </w:rPr>
        <w:t xml:space="preserve">, 192 Colo. 396, 560 P.2d 77 (1977) (evidence of the probability, but not of only a possibility, of a rezoning may be considered); and </w:t>
      </w:r>
      <w:r w:rsidR="009E4479" w:rsidRPr="009E4479">
        <w:rPr>
          <w:rFonts w:eastAsia="Times New Roman"/>
          <w:b/>
          <w:sz w:val="24"/>
          <w:szCs w:val="24"/>
        </w:rPr>
        <w:t>State Department of Highways v. Ogden</w:t>
      </w:r>
      <w:r w:rsidR="009E4479"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4AE00367" w:rsidR="009E4479" w:rsidRDefault="007413DC" w:rsidP="009E4479">
      <w:pPr>
        <w:spacing w:after="240"/>
        <w:ind w:firstLine="720"/>
        <w:rPr>
          <w:rFonts w:eastAsia="Times New Roman"/>
          <w:sz w:val="24"/>
          <w:szCs w:val="24"/>
        </w:rPr>
      </w:pPr>
      <w:r>
        <w:rPr>
          <w:rFonts w:eastAsia="Times New Roman"/>
          <w:sz w:val="24"/>
          <w:szCs w:val="24"/>
        </w:rPr>
        <w:t>5</w:t>
      </w:r>
      <w:r w:rsidR="009E4479" w:rsidRPr="009E4479">
        <w:rPr>
          <w:rFonts w:eastAsia="Times New Roman"/>
          <w:sz w:val="24"/>
          <w:szCs w:val="24"/>
        </w:rPr>
        <w:t xml:space="preserve">. With respect to the valuation of unsubdivided land, see </w:t>
      </w:r>
      <w:r w:rsidR="009E4479" w:rsidRPr="009E4479">
        <w:rPr>
          <w:rFonts w:eastAsia="Times New Roman"/>
          <w:b/>
          <w:sz w:val="24"/>
          <w:szCs w:val="24"/>
        </w:rPr>
        <w:t>Board of County Commissioners v. Vail Associates., Ltd.</w:t>
      </w:r>
      <w:r w:rsidR="009E4479"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009E4479" w:rsidRPr="009E4479">
        <w:rPr>
          <w:rFonts w:eastAsia="Times New Roman"/>
          <w:b/>
          <w:sz w:val="24"/>
          <w:szCs w:val="24"/>
        </w:rPr>
        <w:t>Department of Highways v. Schulhoff</w:t>
      </w:r>
      <w:r w:rsidR="009E4479" w:rsidRPr="009E4479">
        <w:rPr>
          <w:rFonts w:eastAsia="Times New Roman"/>
          <w:sz w:val="24"/>
          <w:szCs w:val="24"/>
        </w:rPr>
        <w:t>,</w:t>
      </w:r>
      <w:r w:rsidR="009E4479" w:rsidRPr="009E4479">
        <w:rPr>
          <w:rFonts w:eastAsia="Times New Roman"/>
          <w:b/>
          <w:sz w:val="24"/>
          <w:szCs w:val="24"/>
        </w:rPr>
        <w:t xml:space="preserve"> </w:t>
      </w:r>
      <w:r w:rsidR="009E4479" w:rsidRPr="009E4479">
        <w:rPr>
          <w:rFonts w:eastAsia="Times New Roman"/>
          <w:sz w:val="24"/>
          <w:szCs w:val="24"/>
        </w:rPr>
        <w:t>167 Colo. 72, 445 P.2d 402 (1968).</w:t>
      </w:r>
      <w:r w:rsidR="003262C8">
        <w:rPr>
          <w:rFonts w:eastAsia="Times New Roman"/>
          <w:sz w:val="24"/>
          <w:szCs w:val="24"/>
        </w:rPr>
        <w:t xml:space="preserve"> </w:t>
      </w:r>
      <w:r w:rsidR="003262C8">
        <w:rPr>
          <w:rFonts w:eastAsia="Times New Roman"/>
          <w:i/>
          <w:iCs/>
          <w:sz w:val="24"/>
          <w:szCs w:val="24"/>
        </w:rPr>
        <w:t xml:space="preserve">See also </w:t>
      </w:r>
      <w:r w:rsidR="003262C8">
        <w:rPr>
          <w:rFonts w:eastAsia="Times New Roman"/>
          <w:b/>
          <w:sz w:val="24"/>
          <w:szCs w:val="24"/>
        </w:rPr>
        <w:t xml:space="preserve">CORE Elec. Coop. v. Freund Invs., LLC,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23</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affirming trial court exclusion of an appraiser’s opinion based upon a subdivision development approach where property was undeveloped land and no measures had been taken to prepare for subdivided lots).</w:t>
      </w:r>
      <w:r>
        <w:rPr>
          <w:rFonts w:eastAsia="Times New Roman"/>
          <w:sz w:val="24"/>
          <w:szCs w:val="24"/>
        </w:rPr>
        <w:t xml:space="preserve"> </w:t>
      </w:r>
      <w:r w:rsidRPr="00347725">
        <w:rPr>
          <w:rFonts w:eastAsia="Times New Roman"/>
          <w:i/>
          <w:iCs/>
          <w:sz w:val="24"/>
          <w:szCs w:val="24"/>
        </w:rPr>
        <w:t>But see</w:t>
      </w:r>
      <w:r>
        <w:rPr>
          <w:rFonts w:eastAsia="Times New Roman"/>
          <w:sz w:val="24"/>
          <w:szCs w:val="24"/>
        </w:rPr>
        <w:t xml:space="preserve"> </w:t>
      </w:r>
      <w:r>
        <w:rPr>
          <w:rFonts w:eastAsia="Times New Roman"/>
          <w:b/>
          <w:bCs/>
          <w:sz w:val="24"/>
          <w:szCs w:val="24"/>
        </w:rPr>
        <w:t>R. Dean Hawn Interests</w:t>
      </w:r>
      <w:r w:rsidRPr="00B54FCC">
        <w:rPr>
          <w:rFonts w:eastAsia="Times New Roman"/>
          <w:sz w:val="24"/>
          <w:szCs w:val="24"/>
        </w:rPr>
        <w:t>,</w:t>
      </w:r>
      <w:r>
        <w:rPr>
          <w:rFonts w:eastAsia="Times New Roman"/>
          <w:b/>
          <w:bCs/>
          <w:sz w:val="24"/>
          <w:szCs w:val="24"/>
        </w:rPr>
        <w:t xml:space="preserve"> </w:t>
      </w:r>
      <w:r>
        <w:rPr>
          <w:rFonts w:eastAsia="Times New Roman"/>
          <w:sz w:val="24"/>
          <w:szCs w:val="24"/>
        </w:rPr>
        <w:t xml:space="preserve">¶¶ 25-30 (distinguishing valuation technique used in </w:t>
      </w:r>
      <w:r w:rsidRPr="00347725">
        <w:rPr>
          <w:rFonts w:eastAsia="Times New Roman"/>
          <w:b/>
          <w:bCs/>
          <w:sz w:val="24"/>
          <w:szCs w:val="24"/>
        </w:rPr>
        <w:t>Vail Associates</w:t>
      </w:r>
      <w:r>
        <w:rPr>
          <w:rFonts w:eastAsia="Times New Roman"/>
          <w:sz w:val="24"/>
          <w:szCs w:val="24"/>
        </w:rPr>
        <w:t xml:space="preserve"> and </w:t>
      </w:r>
      <w:r w:rsidRPr="00347725">
        <w:rPr>
          <w:rFonts w:eastAsia="Times New Roman"/>
          <w:b/>
          <w:bCs/>
          <w:sz w:val="24"/>
          <w:szCs w:val="24"/>
        </w:rPr>
        <w:t>Schulhoff</w:t>
      </w:r>
      <w:r w:rsidRPr="00F81054">
        <w:rPr>
          <w:rFonts w:eastAsia="Times New Roman"/>
          <w:sz w:val="24"/>
          <w:szCs w:val="24"/>
        </w:rPr>
        <w:t xml:space="preserve"> </w:t>
      </w:r>
      <w:r>
        <w:rPr>
          <w:rFonts w:eastAsia="Times New Roman"/>
          <w:sz w:val="24"/>
          <w:szCs w:val="24"/>
        </w:rPr>
        <w:t xml:space="preserve">and finding trial court did not abuse its discretion </w:t>
      </w:r>
      <w:r w:rsidR="00EE0E9B">
        <w:rPr>
          <w:rFonts w:eastAsia="Times New Roman"/>
          <w:sz w:val="24"/>
          <w:szCs w:val="24"/>
        </w:rPr>
        <w:t>by</w:t>
      </w:r>
      <w:r>
        <w:rPr>
          <w:rFonts w:eastAsia="Times New Roman"/>
          <w:sz w:val="24"/>
          <w:szCs w:val="24"/>
        </w:rPr>
        <w:t xml:space="preserve"> admitting three subdivided sales where there was a scarcity of comparable sales, the subject property was platted in 1893, the</w:t>
      </w:r>
      <w:r w:rsidR="00EE0E9B">
        <w:rPr>
          <w:rFonts w:eastAsia="Times New Roman"/>
          <w:sz w:val="24"/>
          <w:szCs w:val="24"/>
        </w:rPr>
        <w:t xml:space="preserve"> </w:t>
      </w:r>
      <w:r>
        <w:rPr>
          <w:rFonts w:eastAsia="Times New Roman"/>
          <w:sz w:val="24"/>
          <w:szCs w:val="24"/>
        </w:rPr>
        <w:t>sales were sufficiently similar, and the appraiser adjusted for entitlement differences).</w:t>
      </w:r>
    </w:p>
    <w:p w14:paraId="6F3EF4AF" w14:textId="1C4DA45B" w:rsidR="007413DC" w:rsidRDefault="00347725" w:rsidP="005D624F">
      <w:pPr>
        <w:spacing w:after="240"/>
        <w:ind w:firstLine="720"/>
        <w:rPr>
          <w:rFonts w:eastAsia="Times New Roman"/>
          <w:sz w:val="24"/>
          <w:szCs w:val="24"/>
        </w:rPr>
      </w:pPr>
      <w:r>
        <w:rPr>
          <w:rFonts w:eastAsia="Times New Roman"/>
          <w:sz w:val="24"/>
          <w:szCs w:val="24"/>
        </w:rPr>
        <w:t>6</w:t>
      </w:r>
      <w:r w:rsidR="005D624F">
        <w:rPr>
          <w:rFonts w:eastAsia="Times New Roman"/>
          <w:sz w:val="24"/>
          <w:szCs w:val="24"/>
        </w:rPr>
        <w:t xml:space="preserve">. </w:t>
      </w:r>
      <w:r w:rsidR="007413DC">
        <w:rPr>
          <w:rFonts w:eastAsia="Times New Roman"/>
          <w:sz w:val="24"/>
          <w:szCs w:val="24"/>
        </w:rPr>
        <w:t xml:space="preserve">An offer to purchase land that does not result in an actual sale is inadmissible to prove the value of the subject land in condemnation proceedings. </w:t>
      </w:r>
      <w:r w:rsidR="007413DC">
        <w:rPr>
          <w:rFonts w:eastAsia="Times New Roman"/>
          <w:b/>
          <w:bCs/>
          <w:sz w:val="24"/>
          <w:szCs w:val="24"/>
        </w:rPr>
        <w:t>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 38</w:t>
      </w:r>
      <w:r w:rsidR="00B54FCC">
        <w:rPr>
          <w:rFonts w:eastAsia="Times New Roman"/>
          <w:sz w:val="24"/>
          <w:szCs w:val="24"/>
        </w:rPr>
        <w:t>;</w:t>
      </w:r>
      <w:r w:rsidR="007413DC">
        <w:rPr>
          <w:rFonts w:eastAsia="Times New Roman"/>
          <w:sz w:val="24"/>
          <w:szCs w:val="24"/>
        </w:rPr>
        <w:t xml:space="preserve"> </w:t>
      </w:r>
      <w:r w:rsidR="00B54FCC" w:rsidRPr="00B54FCC">
        <w:rPr>
          <w:rFonts w:eastAsia="Times New Roman"/>
          <w:i/>
          <w:iCs/>
          <w:sz w:val="24"/>
          <w:szCs w:val="24"/>
        </w:rPr>
        <w:t>s</w:t>
      </w:r>
      <w:r w:rsidR="007413DC" w:rsidRPr="00B54FCC">
        <w:rPr>
          <w:rFonts w:eastAsia="Times New Roman"/>
          <w:i/>
          <w:iCs/>
          <w:sz w:val="24"/>
          <w:szCs w:val="24"/>
        </w:rPr>
        <w:t>ee also</w:t>
      </w:r>
      <w:r w:rsidR="007413DC">
        <w:rPr>
          <w:rFonts w:eastAsia="Times New Roman"/>
          <w:sz w:val="24"/>
          <w:szCs w:val="24"/>
        </w:rPr>
        <w:t xml:space="preserve"> </w:t>
      </w:r>
      <w:r w:rsidR="007413DC" w:rsidRPr="001A3AE1">
        <w:rPr>
          <w:rFonts w:eastAsia="Times New Roman"/>
          <w:b/>
          <w:bCs/>
          <w:sz w:val="24"/>
          <w:szCs w:val="24"/>
        </w:rPr>
        <w:t>Ruth v. Dep</w:t>
      </w:r>
      <w:r w:rsidR="00B54FCC">
        <w:rPr>
          <w:rFonts w:eastAsia="Times New Roman"/>
          <w:b/>
          <w:bCs/>
          <w:sz w:val="24"/>
          <w:szCs w:val="24"/>
        </w:rPr>
        <w:t>’</w:t>
      </w:r>
      <w:r w:rsidR="007413DC" w:rsidRPr="001A3AE1">
        <w:rPr>
          <w:rFonts w:eastAsia="Times New Roman"/>
          <w:b/>
          <w:bCs/>
          <w:sz w:val="24"/>
          <w:szCs w:val="24"/>
        </w:rPr>
        <w:t>t of Highways</w:t>
      </w:r>
      <w:r w:rsidR="007413DC">
        <w:rPr>
          <w:rFonts w:eastAsia="Times New Roman"/>
          <w:sz w:val="24"/>
          <w:szCs w:val="24"/>
        </w:rPr>
        <w:t>, 145 Colo. 546, 359 P.2d 10</w:t>
      </w:r>
      <w:r w:rsidR="00B54FCC">
        <w:rPr>
          <w:rFonts w:eastAsia="Times New Roman"/>
          <w:sz w:val="24"/>
          <w:szCs w:val="24"/>
        </w:rPr>
        <w:t>33</w:t>
      </w:r>
      <w:r w:rsidR="007413DC">
        <w:rPr>
          <w:rFonts w:eastAsia="Times New Roman"/>
          <w:sz w:val="24"/>
          <w:szCs w:val="24"/>
        </w:rPr>
        <w:t xml:space="preserve"> (1961) (evidence of mere negotiations to acquire property had no probative value); </w:t>
      </w:r>
      <w:r w:rsidR="007413DC" w:rsidRPr="001A3AE1">
        <w:rPr>
          <w:rFonts w:eastAsia="Times New Roman"/>
          <w:b/>
          <w:bCs/>
          <w:sz w:val="24"/>
          <w:szCs w:val="24"/>
        </w:rPr>
        <w:t>Loloff v. Sterling</w:t>
      </w:r>
      <w:r w:rsidR="007413DC" w:rsidRPr="00B54FCC">
        <w:rPr>
          <w:rFonts w:eastAsia="Times New Roman"/>
          <w:sz w:val="24"/>
          <w:szCs w:val="24"/>
        </w:rPr>
        <w:t>,</w:t>
      </w:r>
      <w:r w:rsidR="007413DC">
        <w:rPr>
          <w:rFonts w:eastAsia="Times New Roman"/>
          <w:sz w:val="24"/>
          <w:szCs w:val="24"/>
        </w:rPr>
        <w:t xml:space="preserve"> 31 Colo. 102, 71 P. 1113 (1903) (offers to purchase inadmissible in condemnation proceeding). But executory contracts for the purchase and sale of land are admissible to prove value. </w:t>
      </w:r>
      <w:r w:rsidR="007413DC">
        <w:rPr>
          <w:rFonts w:eastAsia="Times New Roman"/>
          <w:b/>
          <w:bCs/>
          <w:sz w:val="24"/>
          <w:szCs w:val="24"/>
        </w:rPr>
        <w:t>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 43.</w:t>
      </w:r>
    </w:p>
    <w:p w14:paraId="03DA7B1C" w14:textId="1A4D0A66" w:rsidR="005D624F" w:rsidRPr="009E4479" w:rsidRDefault="00347725" w:rsidP="005D624F">
      <w:pPr>
        <w:spacing w:after="240"/>
        <w:ind w:firstLine="720"/>
        <w:rPr>
          <w:rFonts w:eastAsia="Times New Roman"/>
          <w:sz w:val="24"/>
          <w:szCs w:val="24"/>
        </w:rPr>
      </w:pPr>
      <w:r>
        <w:rPr>
          <w:rFonts w:eastAsia="Times New Roman"/>
          <w:sz w:val="24"/>
          <w:szCs w:val="24"/>
        </w:rPr>
        <w:t>7</w:t>
      </w:r>
      <w:r w:rsidR="007413DC">
        <w:rPr>
          <w:rFonts w:eastAsia="Times New Roman"/>
          <w:sz w:val="24"/>
          <w:szCs w:val="24"/>
        </w:rPr>
        <w:t xml:space="preserve">. </w:t>
      </w:r>
      <w:r w:rsidR="005D624F">
        <w:rPr>
          <w:rFonts w:eastAsia="Times New Roman"/>
          <w:sz w:val="24"/>
          <w:szCs w:val="24"/>
        </w:rPr>
        <w:t xml:space="preserve">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005D624F" w:rsidRPr="002B1E59">
        <w:rPr>
          <w:rFonts w:eastAsia="Times New Roman"/>
          <w:b/>
          <w:sz w:val="24"/>
          <w:szCs w:val="24"/>
        </w:rPr>
        <w:t>Forest View Co. v. Town of Monument</w:t>
      </w:r>
      <w:r w:rsidR="005D624F">
        <w:rPr>
          <w:rFonts w:eastAsia="Times New Roman"/>
          <w:sz w:val="24"/>
          <w:szCs w:val="24"/>
        </w:rPr>
        <w:t xml:space="preserve">, 2020 CO 52, ¶¶ 3, 30, 464 P.3d 774; </w:t>
      </w:r>
      <w:r w:rsidR="005D624F" w:rsidRPr="00527074">
        <w:rPr>
          <w:rFonts w:eastAsia="Times New Roman"/>
          <w:i/>
          <w:sz w:val="24"/>
          <w:szCs w:val="24"/>
        </w:rPr>
        <w:t>see also</w:t>
      </w:r>
      <w:r w:rsidR="005D624F">
        <w:rPr>
          <w:rFonts w:eastAsia="Times New Roman"/>
          <w:sz w:val="24"/>
          <w:szCs w:val="24"/>
        </w:rPr>
        <w:t xml:space="preserve"> </w:t>
      </w:r>
      <w:r w:rsidR="005D624F" w:rsidRPr="002B1E59">
        <w:rPr>
          <w:rFonts w:eastAsia="Times New Roman"/>
          <w:b/>
          <w:sz w:val="24"/>
          <w:szCs w:val="24"/>
        </w:rPr>
        <w:t>Smith v. Clifton San</w:t>
      </w:r>
      <w:r w:rsidR="005D624F">
        <w:rPr>
          <w:rFonts w:eastAsia="Times New Roman"/>
          <w:b/>
          <w:sz w:val="24"/>
          <w:szCs w:val="24"/>
        </w:rPr>
        <w:t>itation</w:t>
      </w:r>
      <w:r w:rsidR="005D624F" w:rsidRPr="002B1E59">
        <w:rPr>
          <w:rFonts w:eastAsia="Times New Roman"/>
          <w:b/>
          <w:sz w:val="24"/>
          <w:szCs w:val="24"/>
        </w:rPr>
        <w:t xml:space="preserve"> Dist.</w:t>
      </w:r>
      <w:r w:rsidR="005D624F">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4" w:name="a36_07"/>
      <w:bookmarkEnd w:id="34"/>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1AD0BCC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007727B7">
        <w:rPr>
          <w:rFonts w:eastAsia="Times New Roman"/>
          <w:sz w:val="24"/>
          <w:szCs w:val="24"/>
        </w:rPr>
        <w:t>, 487 P.3d 291</w:t>
      </w:r>
      <w:r w:rsidRPr="00ED4336">
        <w:rPr>
          <w:rFonts w:eastAsia="Times New Roman"/>
          <w:sz w:val="24"/>
          <w:szCs w:val="24"/>
        </w:rPr>
        <w:t>;</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Berglund-Cherne</w:t>
      </w:r>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5" w:name="a36_08"/>
      <w:bookmarkEnd w:id="35"/>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3C7E777D" w14:textId="77777777" w:rsidR="00E66E0C" w:rsidRDefault="00ED4336" w:rsidP="00ED4336">
      <w:pPr>
        <w:pStyle w:val="ListParagraph"/>
        <w:spacing w:after="240"/>
        <w:ind w:left="0" w:firstLine="720"/>
        <w:contextualSpacing w:val="0"/>
        <w:rPr>
          <w:rFonts w:eastAsia="Times New Roman"/>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r w:rsidRPr="00ED4336">
        <w:rPr>
          <w:b/>
          <w:sz w:val="24"/>
          <w:szCs w:val="24"/>
        </w:rPr>
        <w:t>Wassenich v. City &amp; County of Denver</w:t>
      </w:r>
      <w:r w:rsidRPr="00ED4336">
        <w:rPr>
          <w:sz w:val="24"/>
          <w:szCs w:val="24"/>
        </w:rPr>
        <w:t xml:space="preserve">, 67 Colo. 456, 186 P. 533 (1919); and </w:t>
      </w:r>
      <w:r w:rsidRPr="00ED4336">
        <w:rPr>
          <w:b/>
          <w:sz w:val="24"/>
          <w:szCs w:val="24"/>
        </w:rPr>
        <w:t>Loloff v. Sterling</w:t>
      </w:r>
      <w:r w:rsidRPr="00ED4336">
        <w:rPr>
          <w:sz w:val="24"/>
          <w:szCs w:val="24"/>
        </w:rPr>
        <w:t>, 31 Colo. 102, 71 P. 1113 (1903).</w:t>
      </w:r>
      <w:r w:rsidR="007413DC">
        <w:rPr>
          <w:sz w:val="24"/>
          <w:szCs w:val="24"/>
        </w:rPr>
        <w:t xml:space="preserve"> </w:t>
      </w:r>
      <w:r w:rsidR="007413DC" w:rsidRPr="00B54FCC">
        <w:rPr>
          <w:i/>
          <w:iCs/>
          <w:sz w:val="24"/>
          <w:szCs w:val="24"/>
        </w:rPr>
        <w:t>See also</w:t>
      </w:r>
      <w:r w:rsidR="007413DC">
        <w:rPr>
          <w:sz w:val="24"/>
          <w:szCs w:val="24"/>
        </w:rPr>
        <w:t xml:space="preserve"> </w:t>
      </w:r>
      <w:r w:rsidR="007413DC">
        <w:rPr>
          <w:rFonts w:eastAsia="Times New Roman"/>
          <w:b/>
          <w:bCs/>
          <w:sz w:val="24"/>
          <w:szCs w:val="24"/>
        </w:rPr>
        <w:t>City of Westminster v. 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2024 COA 80</w:t>
      </w:r>
      <w:r w:rsidR="00B54FCC">
        <w:rPr>
          <w:rFonts w:eastAsia="Times New Roman"/>
          <w:sz w:val="24"/>
          <w:szCs w:val="24"/>
        </w:rPr>
        <w:t>,</w:t>
      </w:r>
      <w:r w:rsidR="007413DC">
        <w:rPr>
          <w:rFonts w:eastAsia="Times New Roman"/>
          <w:sz w:val="24"/>
          <w:szCs w:val="24"/>
        </w:rPr>
        <w:t xml:space="preserve"> ¶¶ 21-23</w:t>
      </w:r>
      <w:r w:rsidR="00B54FCC">
        <w:rPr>
          <w:rFonts w:eastAsia="Times New Roman"/>
          <w:sz w:val="24"/>
          <w:szCs w:val="24"/>
        </w:rPr>
        <w:t xml:space="preserve"> </w:t>
      </w:r>
      <w:r w:rsidR="007413DC">
        <w:rPr>
          <w:rFonts w:eastAsia="Times New Roman"/>
          <w:sz w:val="24"/>
          <w:szCs w:val="24"/>
        </w:rPr>
        <w:t>(discussing use of comparable sales approach).</w:t>
      </w:r>
    </w:p>
    <w:p w14:paraId="0E3492B9" w14:textId="39CE5ACF" w:rsidR="00ED4336" w:rsidRPr="00ED4336" w:rsidRDefault="00ED4336" w:rsidP="00ED4336">
      <w:pPr>
        <w:pStyle w:val="ListParagraph"/>
        <w:spacing w:after="240"/>
        <w:ind w:left="0" w:firstLine="720"/>
        <w:contextualSpacing w:val="0"/>
        <w:rPr>
          <w:i/>
          <w:sz w:val="24"/>
          <w:szCs w:val="24"/>
        </w:rPr>
      </w:pPr>
      <w:r w:rsidRPr="00ED4336">
        <w:rPr>
          <w:sz w:val="24"/>
          <w:szCs w:val="24"/>
        </w:rPr>
        <w:t xml:space="preserve">2. Testimony regarding the consideration involved in a recorded transfer of property is admissible </w:t>
      </w:r>
      <w:r w:rsidR="003262C8">
        <w:rPr>
          <w:sz w:val="24"/>
          <w:szCs w:val="24"/>
        </w:rPr>
        <w:t xml:space="preserve">pursuant to section 38-1-118, C.R.S. </w:t>
      </w:r>
      <w:r w:rsidRPr="00ED4336">
        <w:rPr>
          <w:sz w:val="24"/>
          <w:szCs w:val="24"/>
        </w:rPr>
        <w:t xml:space="preserve">only if the witness has personally verified the sale. </w:t>
      </w:r>
      <w:r w:rsidR="003262C8">
        <w:rPr>
          <w:i/>
          <w:iCs/>
          <w:sz w:val="24"/>
          <w:szCs w:val="24"/>
        </w:rPr>
        <w:t xml:space="preserve">See </w:t>
      </w:r>
      <w:r w:rsidR="003262C8">
        <w:rPr>
          <w:b/>
          <w:bCs/>
          <w:sz w:val="24"/>
          <w:szCs w:val="24"/>
        </w:rPr>
        <w:t xml:space="preserve">Denver Urb. Renewal Auth. v. Hayutin, </w:t>
      </w:r>
      <w:r w:rsidR="003262C8">
        <w:rPr>
          <w:sz w:val="24"/>
          <w:szCs w:val="24"/>
        </w:rPr>
        <w:t xml:space="preserve">40 Colo. App. 559, 583 P.3d 296 (1978) (reversible error to admit evidence of comparable sales not personally verified by appraiser as required by the statute). </w:t>
      </w:r>
      <w:r w:rsidR="003262C8">
        <w:rPr>
          <w:iCs/>
          <w:sz w:val="24"/>
          <w:szCs w:val="24"/>
        </w:rPr>
        <w:t xml:space="preserve">However, evidence of such sales transactions may be independently admissible under the hearsay exception for public records, CRE 803(8). </w:t>
      </w:r>
      <w:r w:rsidR="003262C8">
        <w:rPr>
          <w:rFonts w:eastAsia="Times New Roman"/>
          <w:b/>
          <w:sz w:val="24"/>
          <w:szCs w:val="24"/>
        </w:rPr>
        <w:t>CORE Elec. Coop. v. Freund Invs., LLC</w:t>
      </w:r>
      <w:r w:rsidR="003262C8" w:rsidRPr="00C371DA">
        <w:rPr>
          <w:rFonts w:eastAsia="Times New Roman"/>
          <w:sz w:val="24"/>
          <w:szCs w:val="24"/>
        </w:rPr>
        <w:t xml:space="preserve">,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28-40</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trial court erred by excluding comparable sales not directly verified with the buyer or seller as required by the statute because appraiser’s testimony was independently admissible based upon his review of public records satisfying the hearsay exception under CRE 803(8), but error was harmless). </w:t>
      </w:r>
      <w:r w:rsidR="003262C8" w:rsidRPr="00ED4336">
        <w:rPr>
          <w:sz w:val="24"/>
          <w:szCs w:val="24"/>
        </w:rPr>
        <w:t xml:space="preserve">Any such testimony is subject to rebuttal and objections as to relevance and materiality. </w:t>
      </w:r>
      <w:r w:rsidR="003262C8">
        <w:rPr>
          <w:sz w:val="24"/>
          <w:szCs w:val="24"/>
        </w:rPr>
        <w:t xml:space="preserve">§ 38-1-118; </w:t>
      </w:r>
      <w:r w:rsidR="003262C8">
        <w:rPr>
          <w:i/>
          <w:iCs/>
          <w:sz w:val="24"/>
          <w:szCs w:val="24"/>
        </w:rPr>
        <w:t xml:space="preserve">see </w:t>
      </w:r>
      <w:r w:rsidR="003262C8">
        <w:rPr>
          <w:b/>
          <w:bCs/>
          <w:sz w:val="24"/>
          <w:szCs w:val="24"/>
        </w:rPr>
        <w:t>Hayutin</w:t>
      </w:r>
      <w:r w:rsidR="003262C8" w:rsidRPr="00C371DA">
        <w:rPr>
          <w:bCs/>
          <w:sz w:val="24"/>
          <w:szCs w:val="24"/>
        </w:rPr>
        <w:t xml:space="preserve">, </w:t>
      </w:r>
      <w:r w:rsidR="003262C8">
        <w:rPr>
          <w:sz w:val="24"/>
          <w:szCs w:val="24"/>
        </w:rPr>
        <w:t>40 Colo. App. at 562, 583 P.3d at 300 (quoting statute).</w:t>
      </w:r>
    </w:p>
    <w:p w14:paraId="5E45255D" w14:textId="77777777" w:rsidR="00ED4336" w:rsidRPr="00ED4336" w:rsidRDefault="00ED4336" w:rsidP="00ED4336">
      <w:pPr>
        <w:pStyle w:val="ListParagraph"/>
        <w:spacing w:after="240"/>
        <w:ind w:left="0" w:firstLine="720"/>
        <w:contextualSpacing w:val="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AB1B" w14:textId="7CE2B4D0" w:rsidR="00ED4336" w:rsidRPr="00ED4336" w:rsidRDefault="00ED4336" w:rsidP="00ED4336">
      <w:pPr>
        <w:pStyle w:val="ListParagraph"/>
        <w:spacing w:after="240"/>
        <w:ind w:left="0" w:firstLine="720"/>
        <w:contextualSpacing w:val="0"/>
        <w:rPr>
          <w:i/>
          <w:sz w:val="24"/>
          <w:szCs w:val="24"/>
        </w:rPr>
      </w:pPr>
      <w:r w:rsidRPr="00ED4336">
        <w:rPr>
          <w:sz w:val="24"/>
          <w:szCs w:val="24"/>
        </w:rPr>
        <w:lastRenderedPageBreak/>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192 Colo. at 425-27, 560 P.2d at 83-84</w:t>
      </w:r>
      <w:r w:rsidR="0081551D">
        <w:rPr>
          <w:sz w:val="24"/>
          <w:szCs w:val="24"/>
        </w:rPr>
        <w:t xml:space="preserve">; </w:t>
      </w:r>
      <w:r w:rsidR="0081551D">
        <w:rPr>
          <w:rFonts w:eastAsia="Times New Roman"/>
          <w:b/>
          <w:bCs/>
          <w:sz w:val="24"/>
          <w:szCs w:val="24"/>
        </w:rPr>
        <w:t xml:space="preserve">R. Dean Hawn Interests, </w:t>
      </w:r>
      <w:r w:rsidR="0081551D">
        <w:rPr>
          <w:rFonts w:eastAsia="Times New Roman"/>
          <w:sz w:val="24"/>
          <w:szCs w:val="24"/>
        </w:rPr>
        <w:t>¶ 28</w:t>
      </w:r>
      <w:r w:rsidRPr="00ED4336">
        <w:rPr>
          <w:sz w:val="24"/>
          <w:szCs w:val="24"/>
        </w:rPr>
        <w:t xml:space="preserve">. The weight to be given such evidence lies within the discretion of the factfinder. </w:t>
      </w:r>
      <w:r w:rsidRPr="00ED4336">
        <w:rPr>
          <w:i/>
          <w:sz w:val="24"/>
          <w:szCs w:val="24"/>
        </w:rPr>
        <w:t>See id.</w:t>
      </w:r>
    </w:p>
    <w:p w14:paraId="12EE2A1D" w14:textId="7C355657" w:rsidR="0081551D" w:rsidRDefault="0081551D" w:rsidP="00ED4336">
      <w:pPr>
        <w:pStyle w:val="ListParagraph"/>
        <w:spacing w:after="240"/>
        <w:ind w:left="0" w:firstLine="720"/>
        <w:contextualSpacing w:val="0"/>
        <w:rPr>
          <w:b/>
          <w:bCs/>
          <w:sz w:val="24"/>
          <w:szCs w:val="24"/>
        </w:rPr>
      </w:pPr>
      <w:r w:rsidRPr="0081551D">
        <w:rPr>
          <w:sz w:val="24"/>
          <w:szCs w:val="24"/>
        </w:rPr>
        <w:t xml:space="preserve">5. Generally, </w:t>
      </w:r>
      <w:r w:rsidR="007B6AD9">
        <w:rPr>
          <w:sz w:val="24"/>
          <w:szCs w:val="24"/>
        </w:rPr>
        <w:t xml:space="preserve">the factfinder has discretion to determine </w:t>
      </w:r>
      <w:r w:rsidRPr="0081551D">
        <w:rPr>
          <w:sz w:val="24"/>
          <w:szCs w:val="24"/>
        </w:rPr>
        <w:t xml:space="preserve">whether a comparable sale is sufficiently similar to be probative </w:t>
      </w:r>
      <w:r w:rsidR="007B6AD9">
        <w:rPr>
          <w:sz w:val="24"/>
          <w:szCs w:val="24"/>
        </w:rPr>
        <w:t xml:space="preserve">of the taken property’s </w:t>
      </w:r>
      <w:r w:rsidRPr="0081551D">
        <w:rPr>
          <w:sz w:val="24"/>
          <w:szCs w:val="24"/>
        </w:rPr>
        <w:t xml:space="preserve">value </w:t>
      </w:r>
      <w:r w:rsidR="007B6AD9">
        <w:rPr>
          <w:sz w:val="24"/>
          <w:szCs w:val="24"/>
        </w:rPr>
        <w:t>and the weight to be given to the sale</w:t>
      </w:r>
      <w:r w:rsidRPr="0081551D">
        <w:rPr>
          <w:sz w:val="24"/>
          <w:szCs w:val="24"/>
        </w:rPr>
        <w:t xml:space="preserve">. </w:t>
      </w:r>
      <w:r w:rsidRPr="0081551D">
        <w:rPr>
          <w:b/>
          <w:bCs/>
          <w:sz w:val="24"/>
          <w:szCs w:val="24"/>
        </w:rPr>
        <w:t>R. Dean Hawn Interests</w:t>
      </w:r>
      <w:r w:rsidRPr="00B54FCC">
        <w:rPr>
          <w:sz w:val="24"/>
          <w:szCs w:val="24"/>
        </w:rPr>
        <w:t>,</w:t>
      </w:r>
      <w:r w:rsidRPr="0081551D">
        <w:rPr>
          <w:b/>
          <w:bCs/>
          <w:sz w:val="24"/>
          <w:szCs w:val="24"/>
        </w:rPr>
        <w:t xml:space="preserve"> </w:t>
      </w:r>
      <w:r w:rsidRPr="0081551D">
        <w:rPr>
          <w:sz w:val="24"/>
          <w:szCs w:val="24"/>
        </w:rPr>
        <w:t xml:space="preserve">¶ 22; </w:t>
      </w:r>
      <w:r w:rsidRPr="0081551D">
        <w:rPr>
          <w:b/>
          <w:bCs/>
          <w:sz w:val="24"/>
          <w:szCs w:val="24"/>
        </w:rPr>
        <w:t>City of Englewood v. Denver Waste Transfer, LLC</w:t>
      </w:r>
      <w:r w:rsidRPr="00B54FCC">
        <w:rPr>
          <w:sz w:val="24"/>
          <w:szCs w:val="24"/>
        </w:rPr>
        <w:t>,</w:t>
      </w:r>
      <w:r w:rsidRPr="0081551D">
        <w:rPr>
          <w:b/>
          <w:bCs/>
          <w:sz w:val="24"/>
          <w:szCs w:val="24"/>
        </w:rPr>
        <w:t xml:space="preserve"> </w:t>
      </w:r>
      <w:r w:rsidRPr="0081551D">
        <w:rPr>
          <w:sz w:val="24"/>
          <w:szCs w:val="24"/>
        </w:rPr>
        <w:t>55 P.3d 191 (Colo. App. 2002)</w:t>
      </w:r>
      <w:r w:rsidRPr="0081551D">
        <w:rPr>
          <w:b/>
          <w:bCs/>
          <w:sz w:val="24"/>
          <w:szCs w:val="24"/>
        </w:rPr>
        <w:t>.</w:t>
      </w:r>
    </w:p>
    <w:p w14:paraId="6F493035" w14:textId="7C1BB457" w:rsidR="00ED4336" w:rsidRPr="00ED4336" w:rsidRDefault="0081551D" w:rsidP="00ED4336">
      <w:pPr>
        <w:pStyle w:val="ListParagraph"/>
        <w:spacing w:after="240"/>
        <w:ind w:left="0" w:firstLine="720"/>
        <w:contextualSpacing w:val="0"/>
        <w:rPr>
          <w:sz w:val="24"/>
          <w:szCs w:val="24"/>
        </w:rPr>
      </w:pPr>
      <w:r w:rsidRPr="00B54FCC">
        <w:rPr>
          <w:sz w:val="24"/>
          <w:szCs w:val="24"/>
        </w:rPr>
        <w:t>6.</w:t>
      </w:r>
      <w:r w:rsidR="00ED4336" w:rsidRPr="00ED4336">
        <w:rPr>
          <w:sz w:val="24"/>
          <w:szCs w:val="24"/>
        </w:rPr>
        <w:t xml:space="preserve"> </w:t>
      </w:r>
      <w:r>
        <w:rPr>
          <w:sz w:val="24"/>
          <w:szCs w:val="24"/>
        </w:rPr>
        <w:t>But w</w:t>
      </w:r>
      <w:r w:rsidR="00ED4336" w:rsidRPr="00ED4336">
        <w:rPr>
          <w:sz w:val="24"/>
          <w:szCs w:val="24"/>
        </w:rPr>
        <w:t xml:space="preserve">hen sales are so dissimilar in respect to either locality, character of the lands involved, or remoteness in time, such evidence may be inadmissible. </w:t>
      </w:r>
      <w:r w:rsidR="00ED4336" w:rsidRPr="00ED4336">
        <w:rPr>
          <w:b/>
          <w:sz w:val="24"/>
          <w:szCs w:val="24"/>
        </w:rPr>
        <w:t>Bd. of Cty. Comm’rs v. Vail Assocs., Ltd.</w:t>
      </w:r>
      <w:r w:rsidR="00ED4336" w:rsidRPr="00ED4336">
        <w:rPr>
          <w:sz w:val="24"/>
          <w:szCs w:val="24"/>
        </w:rPr>
        <w:t xml:space="preserve">, 171 Colo. 381, 468 P.2d 842 (1970); </w:t>
      </w:r>
      <w:r w:rsidR="00ED4336" w:rsidRPr="00ED4336">
        <w:rPr>
          <w:i/>
          <w:sz w:val="24"/>
          <w:szCs w:val="24"/>
        </w:rPr>
        <w:t xml:space="preserve">see also </w:t>
      </w:r>
      <w:r w:rsidR="00ED4336" w:rsidRPr="00ED4336">
        <w:rPr>
          <w:b/>
          <w:sz w:val="24"/>
          <w:szCs w:val="24"/>
        </w:rPr>
        <w:t>Dep’t of Highways v. Schulhoff</w:t>
      </w:r>
      <w:r w:rsidR="00ED4336" w:rsidRPr="00ED4336">
        <w:rPr>
          <w:sz w:val="24"/>
          <w:szCs w:val="24"/>
        </w:rPr>
        <w:t xml:space="preserve">, 167 Colo. 72, 445 P.2d 402 (1968) (trial court properly ruled sales of individual sites within platted subdivision not comparable for purposes of determining value of unsubdivided tract); </w:t>
      </w:r>
      <w:r w:rsidR="003262C8">
        <w:rPr>
          <w:rFonts w:eastAsia="Times New Roman"/>
          <w:b/>
          <w:sz w:val="24"/>
          <w:szCs w:val="24"/>
        </w:rPr>
        <w:t>CORE Elec.</w:t>
      </w:r>
      <w:r w:rsidR="003262C8" w:rsidRPr="0024360E">
        <w:rPr>
          <w:rFonts w:eastAsia="Times New Roman"/>
          <w:bCs/>
          <w:sz w:val="24"/>
          <w:szCs w:val="24"/>
        </w:rPr>
        <w:t>,</w:t>
      </w:r>
      <w:r w:rsidR="003262C8">
        <w:rPr>
          <w:rFonts w:eastAsia="Times New Roman"/>
          <w:b/>
          <w:sz w:val="24"/>
          <w:szCs w:val="24"/>
        </w:rPr>
        <w:t xml:space="preserve"> </w:t>
      </w:r>
      <w:r w:rsidR="003262C8" w:rsidRPr="009E4479">
        <w:rPr>
          <w:rFonts w:eastAsia="Times New Roman"/>
          <w:sz w:val="24"/>
          <w:szCs w:val="24"/>
        </w:rPr>
        <w:t xml:space="preserve">¶ </w:t>
      </w:r>
      <w:r w:rsidR="003262C8">
        <w:rPr>
          <w:rFonts w:eastAsia="Times New Roman"/>
          <w:sz w:val="24"/>
          <w:szCs w:val="24"/>
        </w:rPr>
        <w:t>23</w:t>
      </w:r>
      <w:r w:rsidR="00F71DC5">
        <w:rPr>
          <w:rFonts w:eastAsia="Times New Roman"/>
          <w:sz w:val="24"/>
          <w:szCs w:val="24"/>
        </w:rPr>
        <w:t>, 517 P.3d at 702</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affirming trial court exclusion of an appraiser’s opinion based upon a subdivision development approach where property was undeveloped land and no measures had been taken to prepare for subdivided lots); </w:t>
      </w:r>
      <w:r w:rsidR="00ED4336" w:rsidRPr="00ED4336">
        <w:rPr>
          <w:b/>
          <w:sz w:val="24"/>
          <w:szCs w:val="24"/>
        </w:rPr>
        <w:t>Sinclair Transp. Co. v. Sandberg</w:t>
      </w:r>
      <w:r w:rsidR="00ED4336" w:rsidRPr="00ED4336">
        <w:rPr>
          <w:sz w:val="24"/>
          <w:szCs w:val="24"/>
        </w:rPr>
        <w:t xml:space="preserve">, 228 P.3d 198 (Colo. App. 2009) (upholding exclusion of sale because sale property not comparable in size, location, or future use), </w:t>
      </w:r>
      <w:r w:rsidR="00ED4336" w:rsidRPr="00ED4336">
        <w:rPr>
          <w:i/>
          <w:sz w:val="24"/>
          <w:szCs w:val="24"/>
        </w:rPr>
        <w:t>rev’d on other grounds sub nom.</w:t>
      </w:r>
      <w:r w:rsidR="00ED4336" w:rsidRPr="002A6287">
        <w:rPr>
          <w:b/>
          <w:sz w:val="24"/>
          <w:szCs w:val="24"/>
        </w:rPr>
        <w:t xml:space="preserve"> </w:t>
      </w:r>
      <w:r w:rsidR="00ED4336" w:rsidRPr="00ED4336">
        <w:rPr>
          <w:b/>
          <w:sz w:val="24"/>
          <w:szCs w:val="24"/>
        </w:rPr>
        <w:t>Larson v. Sinclair Transp. Co.</w:t>
      </w:r>
      <w:r w:rsidR="00ED4336" w:rsidRPr="00ED4336">
        <w:rPr>
          <w:sz w:val="24"/>
          <w:szCs w:val="24"/>
        </w:rPr>
        <w:t xml:space="preserve">, 2012 CO 36, 284 P.3d 42; </w:t>
      </w:r>
      <w:r w:rsidR="00ED4336" w:rsidRPr="00ED4336">
        <w:rPr>
          <w:b/>
          <w:sz w:val="24"/>
          <w:szCs w:val="24"/>
        </w:rPr>
        <w:t>City of Westminster v. Jefferson Ctr. Assocs.</w:t>
      </w:r>
      <w:r w:rsidR="00ED4336" w:rsidRPr="00ED4336">
        <w:rPr>
          <w:sz w:val="24"/>
          <w:szCs w:val="24"/>
        </w:rPr>
        <w:t xml:space="preserve">, 958 P.2d 495 (Colo. App. 1997) (distinguishing </w:t>
      </w:r>
      <w:r w:rsidR="00ED4336" w:rsidRPr="00ED4336">
        <w:rPr>
          <w:b/>
          <w:sz w:val="24"/>
          <w:szCs w:val="24"/>
        </w:rPr>
        <w:t>Schulhoff</w:t>
      </w:r>
      <w:r w:rsidR="00ED4336"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00ED4336" w:rsidRPr="00ED4336">
        <w:rPr>
          <w:b/>
          <w:sz w:val="24"/>
          <w:szCs w:val="24"/>
        </w:rPr>
        <w:t>Bd. of Cty. Comm’rs v. Evergreen, Inc</w:t>
      </w:r>
      <w:r w:rsidR="00ED4336" w:rsidRPr="00650453">
        <w:rPr>
          <w:b/>
          <w:sz w:val="24"/>
          <w:szCs w:val="24"/>
        </w:rPr>
        <w:t>.</w:t>
      </w:r>
      <w:r w:rsidR="00ED4336" w:rsidRPr="00ED4336">
        <w:rPr>
          <w:sz w:val="24"/>
          <w:szCs w:val="24"/>
        </w:rPr>
        <w:t>, 35 Colo. App. 171, 532 P.2d 777 (1974) (for platted and developed land, it was proper to admit sales of sites that were in a similar state of development).</w:t>
      </w:r>
    </w:p>
    <w:p w14:paraId="4AB72B3E" w14:textId="4ECBFBA8" w:rsidR="0081551D" w:rsidRDefault="0081551D" w:rsidP="0081551D">
      <w:pPr>
        <w:pStyle w:val="ListParagraph"/>
        <w:spacing w:after="240"/>
        <w:ind w:left="0" w:firstLine="720"/>
        <w:contextualSpacing w:val="0"/>
        <w:rPr>
          <w:sz w:val="24"/>
          <w:szCs w:val="24"/>
        </w:rPr>
      </w:pPr>
      <w:r>
        <w:rPr>
          <w:sz w:val="24"/>
          <w:szCs w:val="24"/>
        </w:rPr>
        <w:t>7</w:t>
      </w:r>
      <w:r w:rsidR="00ED4336" w:rsidRPr="00ED4336">
        <w:rPr>
          <w:sz w:val="24"/>
          <w:szCs w:val="24"/>
        </w:rPr>
        <w:t xml:space="preserve">. </w:t>
      </w:r>
      <w:r>
        <w:rPr>
          <w:sz w:val="24"/>
          <w:szCs w:val="24"/>
        </w:rPr>
        <w:t xml:space="preserve">Where there is a scarcity of sales of comparable properties, greater leniency is afforded to the selection of sales. </w:t>
      </w:r>
      <w:r w:rsidRPr="001A3AE1">
        <w:rPr>
          <w:b/>
          <w:bCs/>
          <w:sz w:val="24"/>
          <w:szCs w:val="24"/>
        </w:rPr>
        <w:t>Vail Assocs</w:t>
      </w:r>
      <w:r w:rsidR="007B3E65">
        <w:rPr>
          <w:b/>
          <w:bCs/>
          <w:sz w:val="24"/>
          <w:szCs w:val="24"/>
        </w:rPr>
        <w:t>.</w:t>
      </w:r>
      <w:r w:rsidRPr="00E66E0C">
        <w:rPr>
          <w:sz w:val="24"/>
          <w:szCs w:val="24"/>
        </w:rPr>
        <w:t>,</w:t>
      </w:r>
      <w:r>
        <w:rPr>
          <w:sz w:val="24"/>
          <w:szCs w:val="24"/>
        </w:rPr>
        <w:t xml:space="preserve"> 171 Colo. at 390, 468 P.2d at 847; </w:t>
      </w:r>
      <w:r>
        <w:rPr>
          <w:rFonts w:eastAsia="Times New Roman"/>
          <w:b/>
          <w:bCs/>
          <w:sz w:val="24"/>
          <w:szCs w:val="24"/>
        </w:rPr>
        <w:t>R. Dean Hawn Interests</w:t>
      </w:r>
      <w:r w:rsidRPr="007B3E65">
        <w:rPr>
          <w:rFonts w:eastAsia="Times New Roman"/>
          <w:sz w:val="24"/>
          <w:szCs w:val="24"/>
        </w:rPr>
        <w:t>,</w:t>
      </w:r>
      <w:r>
        <w:rPr>
          <w:rFonts w:eastAsia="Times New Roman"/>
          <w:b/>
          <w:bCs/>
          <w:sz w:val="24"/>
          <w:szCs w:val="24"/>
        </w:rPr>
        <w:t xml:space="preserve"> </w:t>
      </w:r>
      <w:r>
        <w:rPr>
          <w:rFonts w:eastAsia="Times New Roman"/>
          <w:sz w:val="24"/>
          <w:szCs w:val="24"/>
        </w:rPr>
        <w:t xml:space="preserve">¶ 23; </w:t>
      </w:r>
      <w:r w:rsidRPr="001A3AE1">
        <w:rPr>
          <w:rFonts w:eastAsia="Times New Roman"/>
          <w:b/>
          <w:bCs/>
          <w:sz w:val="24"/>
          <w:szCs w:val="24"/>
        </w:rPr>
        <w:t>Jefferson Ctr. Assocs</w:t>
      </w:r>
      <w:r w:rsidRPr="007B3E65">
        <w:rPr>
          <w:rFonts w:eastAsia="Times New Roman"/>
          <w:b/>
          <w:bCs/>
          <w:sz w:val="24"/>
          <w:szCs w:val="24"/>
        </w:rPr>
        <w:t>.</w:t>
      </w:r>
      <w:r>
        <w:rPr>
          <w:rFonts w:eastAsia="Times New Roman"/>
          <w:sz w:val="24"/>
          <w:szCs w:val="24"/>
        </w:rPr>
        <w:t xml:space="preserve">, 958 P.2d at 498. </w:t>
      </w:r>
    </w:p>
    <w:p w14:paraId="44612E88" w14:textId="75F23499" w:rsidR="00ED4336" w:rsidRPr="00ED4336" w:rsidRDefault="007B6AD9" w:rsidP="00ED4336">
      <w:pPr>
        <w:pStyle w:val="ListParagraph"/>
        <w:spacing w:after="240"/>
        <w:ind w:left="0" w:firstLine="720"/>
        <w:contextualSpacing w:val="0"/>
        <w:rPr>
          <w:sz w:val="24"/>
          <w:szCs w:val="24"/>
        </w:rPr>
      </w:pPr>
      <w:r>
        <w:rPr>
          <w:sz w:val="24"/>
          <w:szCs w:val="24"/>
        </w:rPr>
        <w:t>8</w:t>
      </w:r>
      <w:r w:rsidR="0081551D">
        <w:rPr>
          <w:sz w:val="24"/>
          <w:szCs w:val="24"/>
        </w:rPr>
        <w:t xml:space="preserve">. </w:t>
      </w:r>
      <w:r w:rsidR="00ED4336" w:rsidRPr="00ED4336">
        <w:rPr>
          <w:sz w:val="24"/>
          <w:szCs w:val="24"/>
        </w:rPr>
        <w:t xml:space="preserve">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00ED4336" w:rsidRPr="00ED4336">
        <w:rPr>
          <w:b/>
          <w:sz w:val="24"/>
          <w:szCs w:val="24"/>
        </w:rPr>
        <w:t>State Dep’t of Highways v. Town of Silverthorne</w:t>
      </w:r>
      <w:r w:rsidR="00ED4336" w:rsidRPr="00ED4336">
        <w:rPr>
          <w:sz w:val="24"/>
          <w:szCs w:val="24"/>
        </w:rPr>
        <w:t>, 707 P.2d 1017 (Colo. App. 1985).</w:t>
      </w:r>
    </w:p>
    <w:p w14:paraId="23569048" w14:textId="06F44831" w:rsidR="00ED4336" w:rsidRPr="00ED4336" w:rsidRDefault="007B6AD9" w:rsidP="00ED4336">
      <w:pPr>
        <w:pStyle w:val="ListParagraph"/>
        <w:spacing w:after="240"/>
        <w:ind w:left="0" w:firstLine="720"/>
        <w:contextualSpacing w:val="0"/>
        <w:rPr>
          <w:sz w:val="24"/>
          <w:szCs w:val="24"/>
        </w:rPr>
      </w:pPr>
      <w:r>
        <w:rPr>
          <w:sz w:val="24"/>
          <w:szCs w:val="24"/>
        </w:rPr>
        <w:t>9</w:t>
      </w:r>
      <w:r w:rsidR="00ED4336" w:rsidRPr="00ED4336">
        <w:rPr>
          <w:sz w:val="24"/>
          <w:szCs w:val="24"/>
        </w:rPr>
        <w:t xml:space="preserve">.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00ED4336" w:rsidRPr="00ED4336">
        <w:rPr>
          <w:b/>
          <w:sz w:val="24"/>
          <w:szCs w:val="24"/>
        </w:rPr>
        <w:t>Vail Assocs.</w:t>
      </w:r>
      <w:r w:rsidR="00ED4336" w:rsidRPr="00ED4336">
        <w:rPr>
          <w:sz w:val="24"/>
          <w:szCs w:val="24"/>
        </w:rPr>
        <w:t xml:space="preserve">, 171 Colo. at 391, 468 P.2d at 847; </w:t>
      </w:r>
      <w:r w:rsidR="00ED4336" w:rsidRPr="00ED4336">
        <w:rPr>
          <w:i/>
          <w:sz w:val="24"/>
          <w:szCs w:val="24"/>
        </w:rPr>
        <w:t xml:space="preserve">see also </w:t>
      </w:r>
      <w:r w:rsidR="00ED4336" w:rsidRPr="00ED4336">
        <w:rPr>
          <w:b/>
          <w:sz w:val="24"/>
          <w:szCs w:val="24"/>
        </w:rPr>
        <w:t>Bd. of Cty. Comm’rs v. Highland Mobile Home Park, Inc.</w:t>
      </w:r>
      <w:r w:rsidR="00ED4336" w:rsidRPr="00ED4336">
        <w:rPr>
          <w:sz w:val="24"/>
          <w:szCs w:val="24"/>
        </w:rPr>
        <w:t xml:space="preserve">, 543 P.2d 103 (Colo. App. 1975) (presuming that the commission followed a stipulated instruction advising that the condemnor had not submitted any competent evidence of enhancement due to the project and instructing the commissioners to disregard any claim of enhancement in determining value); </w:t>
      </w:r>
      <w:r w:rsidR="00ED4336" w:rsidRPr="00ED4336">
        <w:rPr>
          <w:b/>
          <w:sz w:val="24"/>
          <w:szCs w:val="24"/>
        </w:rPr>
        <w:t>Bd. of Cty. Comm’rs v. Tenbrook</w:t>
      </w:r>
      <w:r w:rsidR="00ED4336" w:rsidRPr="00ED4336">
        <w:rPr>
          <w:sz w:val="24"/>
          <w:szCs w:val="24"/>
        </w:rPr>
        <w:t xml:space="preserve">, 491 P.2d 597 (Colo. App. 1971) (upholding the admission into evidence of recent sales near the interstate project where cross-examination revealed that the new </w:t>
      </w:r>
      <w:r w:rsidR="00ED4336" w:rsidRPr="00ED4336">
        <w:rPr>
          <w:sz w:val="24"/>
          <w:szCs w:val="24"/>
        </w:rPr>
        <w:lastRenderedPageBreak/>
        <w:t>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6" w:name="a36_09"/>
      <w:bookmarkEnd w:id="36"/>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7" w:name="a36_10"/>
      <w:bookmarkEnd w:id="37"/>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54E6EA32"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2017 COA 83, ¶¶ 25, 27</w:t>
      </w:r>
      <w:r w:rsidR="007727B7">
        <w:rPr>
          <w:sz w:val="24"/>
          <w:szCs w:val="24"/>
        </w:rPr>
        <w:t>, 487 P.3d 291</w:t>
      </w:r>
      <w:r w:rsidRPr="00ED4336">
        <w:rPr>
          <w:sz w:val="24"/>
          <w:szCs w:val="24"/>
        </w:rPr>
        <w:t xml:space="preserve">;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49828240"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Berglund-Cherne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City &amp; Cty. of Denver v. Hinsey</w:t>
      </w:r>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Berglund-Cherne</w:t>
      </w:r>
      <w:r w:rsidRPr="00ED4336">
        <w:rPr>
          <w:sz w:val="24"/>
          <w:szCs w:val="24"/>
        </w:rPr>
        <w:t xml:space="preserve">, 193 Colo. at 567, 568 P.2d at 482; </w:t>
      </w:r>
      <w:r w:rsidRPr="00ED4336">
        <w:rPr>
          <w:b/>
          <w:sz w:val="24"/>
          <w:szCs w:val="24"/>
        </w:rPr>
        <w:t>Hinsey</w:t>
      </w:r>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City &amp; Cty.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 xml:space="preserve">inadmissible under the rule. For example, evidence of agricultural and rental income is admissible as “profit[] derived from the land itself.” </w:t>
      </w:r>
      <w:r w:rsidRPr="00ED4336">
        <w:rPr>
          <w:b/>
          <w:sz w:val="24"/>
          <w:szCs w:val="24"/>
        </w:rPr>
        <w:t>Bd. of Cty. Comm’rs v. Delaney</w:t>
      </w:r>
      <w:r w:rsidRPr="00ED4336">
        <w:rPr>
          <w:sz w:val="24"/>
          <w:szCs w:val="24"/>
        </w:rPr>
        <w:t xml:space="preserve">, 41 Colo. App. 548, 592 P.2d 1338 (1978); </w:t>
      </w:r>
      <w:r w:rsidRPr="00ED4336">
        <w:rPr>
          <w:b/>
          <w:sz w:val="24"/>
          <w:szCs w:val="24"/>
        </w:rPr>
        <w:t>Berglund-Cherne</w:t>
      </w:r>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with the income approach. </w:t>
      </w:r>
      <w:r w:rsidRPr="00ED4336">
        <w:rPr>
          <w:b/>
          <w:sz w:val="24"/>
          <w:szCs w:val="24"/>
        </w:rPr>
        <w:t>Berglund-Cherne</w:t>
      </w:r>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Default="004D4840" w:rsidP="004D4840">
      <w:pPr>
        <w:spacing w:after="240"/>
        <w:ind w:left="720" w:hanging="720"/>
        <w:rPr>
          <w:rFonts w:ascii="Times New Roman Bold" w:eastAsia="Times New Roman" w:hAnsi="Times New Roman Bold"/>
          <w:b/>
          <w:caps/>
          <w:sz w:val="24"/>
          <w:szCs w:val="24"/>
        </w:rPr>
      </w:pPr>
      <w:bookmarkStart w:id="38" w:name="a36_11"/>
      <w:bookmarkEnd w:id="38"/>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6D421A" w:rsidRPr="00B97C9F" w14:paraId="77EFC0FE" w14:textId="77777777" w:rsidTr="00D8019D">
        <w:trPr>
          <w:trHeight w:val="4580"/>
        </w:trPr>
        <w:tc>
          <w:tcPr>
            <w:tcW w:w="6460" w:type="dxa"/>
          </w:tcPr>
          <w:p w14:paraId="7716027B" w14:textId="77777777" w:rsidR="006D421A" w:rsidRPr="00B97C9F" w:rsidRDefault="006D421A"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C7DCF23" wp14:editId="1180457D">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57" style="position:absolute;margin-left:338.4pt;margin-top:129.6pt;width:136.8pt;height:7.2pt;z-index:251659264" coordsize="2736,288" coordorigin="8712,3456"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w14:anchorId="0FF6BDEB">
                      <v:line id="Line 7" style="position:absolute;flip:y;visibility:visible;mso-wrap-style:square" o:spid="_x0000_s1027" strokeweight="1.2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from="8712,3456" to="8712,3744">
                        <v:stroke endarrow="block"/>
                      </v:line>
                      <v:line id="Line 8" style="position:absolute;flip:y;visibility:visible;mso-wrap-style:square" o:spid="_x0000_s1028" strokeweight="1.2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from="11448,3456" to="11448,3744">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0F682BD" wp14:editId="0C02343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6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from="324pt,2in" to="7in,2in" w14:anchorId="12C191AB"/>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6A19E7" w14:textId="77777777" w:rsidR="006D421A" w:rsidRPr="00B97C9F" w:rsidRDefault="006D421A" w:rsidP="00D8019D">
            <w:pPr>
              <w:jc w:val="both"/>
              <w:rPr>
                <w:sz w:val="24"/>
                <w:szCs w:val="24"/>
              </w:rPr>
            </w:pPr>
          </w:p>
          <w:p w14:paraId="5B707813" w14:textId="77777777" w:rsidR="006D421A" w:rsidRPr="00B97C9F" w:rsidRDefault="006D421A"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BB63D9" w14:textId="77777777" w:rsidR="006D421A" w:rsidRPr="00B97C9F" w:rsidRDefault="006D421A"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F22160"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F7136E"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1153E" w14:textId="77777777" w:rsidR="006D421A" w:rsidRPr="00B97C9F" w:rsidRDefault="006D421A"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B889A6F" w14:textId="77777777" w:rsidR="006D421A" w:rsidRPr="00B97C9F" w:rsidRDefault="006D421A" w:rsidP="00D8019D">
            <w:pPr>
              <w:jc w:val="both"/>
              <w:rPr>
                <w:b/>
                <w:sz w:val="24"/>
                <w:szCs w:val="24"/>
              </w:rPr>
            </w:pPr>
          </w:p>
          <w:p w14:paraId="12993C90" w14:textId="77777777" w:rsidR="006D421A" w:rsidRPr="00B97C9F" w:rsidRDefault="006D421A" w:rsidP="00D8019D">
            <w:pPr>
              <w:jc w:val="both"/>
              <w:rPr>
                <w:b/>
                <w:sz w:val="24"/>
                <w:szCs w:val="24"/>
              </w:rPr>
            </w:pPr>
          </w:p>
          <w:p w14:paraId="1BB5288C" w14:textId="77777777" w:rsidR="006D421A" w:rsidRPr="00B97C9F" w:rsidRDefault="006D421A" w:rsidP="00D8019D">
            <w:pPr>
              <w:jc w:val="both"/>
              <w:rPr>
                <w:b/>
                <w:sz w:val="24"/>
                <w:szCs w:val="24"/>
              </w:rPr>
            </w:pPr>
          </w:p>
          <w:p w14:paraId="0FE13A3C" w14:textId="77777777" w:rsidR="006D421A" w:rsidRPr="00B97C9F" w:rsidRDefault="006D421A" w:rsidP="00D8019D">
            <w:pPr>
              <w:jc w:val="both"/>
              <w:rPr>
                <w:b/>
                <w:sz w:val="24"/>
                <w:szCs w:val="24"/>
              </w:rPr>
            </w:pPr>
          </w:p>
          <w:p w14:paraId="4E83CC30" w14:textId="77777777" w:rsidR="006D421A" w:rsidRPr="00B97C9F" w:rsidRDefault="006D421A" w:rsidP="00D8019D">
            <w:pPr>
              <w:jc w:val="both"/>
              <w:rPr>
                <w:b/>
                <w:sz w:val="24"/>
                <w:szCs w:val="24"/>
              </w:rPr>
            </w:pPr>
          </w:p>
          <w:p w14:paraId="313D36B7" w14:textId="77777777" w:rsidR="006D421A" w:rsidRPr="00B97C9F" w:rsidRDefault="006D421A" w:rsidP="00D8019D">
            <w:pPr>
              <w:jc w:val="both"/>
              <w:rPr>
                <w:b/>
                <w:sz w:val="24"/>
                <w:szCs w:val="24"/>
              </w:rPr>
            </w:pPr>
          </w:p>
        </w:tc>
        <w:tc>
          <w:tcPr>
            <w:tcW w:w="3757" w:type="dxa"/>
            <w:tcBorders>
              <w:top w:val="single" w:sz="4" w:space="0" w:color="auto"/>
            </w:tcBorders>
          </w:tcPr>
          <w:p w14:paraId="1468C5D4" w14:textId="77777777" w:rsidR="006D421A" w:rsidRPr="00B97C9F" w:rsidRDefault="006D421A" w:rsidP="00D8019D">
            <w:pPr>
              <w:jc w:val="center"/>
              <w:rPr>
                <w:sz w:val="24"/>
                <w:szCs w:val="24"/>
              </w:rPr>
            </w:pPr>
          </w:p>
          <w:p w14:paraId="127A041A" w14:textId="77777777" w:rsidR="006D421A" w:rsidRPr="00B97C9F" w:rsidRDefault="006D421A" w:rsidP="00D8019D">
            <w:pPr>
              <w:jc w:val="center"/>
              <w:rPr>
                <w:sz w:val="24"/>
                <w:szCs w:val="24"/>
              </w:rPr>
            </w:pPr>
          </w:p>
          <w:p w14:paraId="6DFC01C1" w14:textId="77777777" w:rsidR="006D421A" w:rsidRPr="00B97C9F" w:rsidRDefault="006D421A" w:rsidP="00D8019D">
            <w:pPr>
              <w:jc w:val="center"/>
              <w:rPr>
                <w:sz w:val="24"/>
                <w:szCs w:val="24"/>
              </w:rPr>
            </w:pPr>
          </w:p>
          <w:p w14:paraId="77DC3EAC" w14:textId="77777777" w:rsidR="006D421A" w:rsidRPr="00B97C9F" w:rsidRDefault="006D421A" w:rsidP="00D8019D">
            <w:pPr>
              <w:jc w:val="center"/>
              <w:rPr>
                <w:sz w:val="24"/>
                <w:szCs w:val="24"/>
              </w:rPr>
            </w:pPr>
          </w:p>
          <w:p w14:paraId="575D4C89" w14:textId="77777777" w:rsidR="006D421A" w:rsidRPr="00B97C9F" w:rsidRDefault="006D421A" w:rsidP="00D8019D">
            <w:pPr>
              <w:jc w:val="center"/>
              <w:rPr>
                <w:sz w:val="24"/>
                <w:szCs w:val="24"/>
              </w:rPr>
            </w:pPr>
          </w:p>
          <w:p w14:paraId="314E0DF2" w14:textId="77777777" w:rsidR="006D421A" w:rsidRPr="00B97C9F" w:rsidRDefault="006D421A" w:rsidP="00D8019D">
            <w:pPr>
              <w:jc w:val="center"/>
              <w:rPr>
                <w:sz w:val="24"/>
                <w:szCs w:val="24"/>
              </w:rPr>
            </w:pPr>
          </w:p>
          <w:p w14:paraId="1A79BF27" w14:textId="77777777" w:rsidR="006D421A" w:rsidRPr="00B97C9F" w:rsidRDefault="006D421A"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BA70486" w14:textId="77777777" w:rsidR="006D421A" w:rsidRPr="00B97C9F" w:rsidRDefault="006D421A" w:rsidP="00D8019D">
            <w:pPr>
              <w:pStyle w:val="Heading2"/>
              <w:rPr>
                <w:rFonts w:ascii="Times New Roman" w:hAnsi="Times New Roman" w:cs="Times New Roman"/>
                <w:sz w:val="24"/>
                <w:szCs w:val="24"/>
              </w:rPr>
            </w:pPr>
          </w:p>
          <w:p w14:paraId="61655BD9" w14:textId="77777777" w:rsidR="006D421A" w:rsidRPr="00B97C9F" w:rsidRDefault="006D421A" w:rsidP="00D8019D">
            <w:pPr>
              <w:pStyle w:val="Heading2"/>
              <w:rPr>
                <w:rFonts w:ascii="Times New Roman" w:hAnsi="Times New Roman" w:cs="Times New Roman"/>
                <w:sz w:val="24"/>
                <w:szCs w:val="24"/>
              </w:rPr>
            </w:pPr>
          </w:p>
          <w:p w14:paraId="08818581" w14:textId="77777777" w:rsidR="006D421A" w:rsidRPr="00886487" w:rsidRDefault="006D421A"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EB4807" w14:textId="77777777" w:rsidR="006D421A" w:rsidRPr="00886487" w:rsidRDefault="006D421A" w:rsidP="00D8019D">
            <w:pPr>
              <w:pStyle w:val="Heading2"/>
              <w:rPr>
                <w:rFonts w:ascii="Times New Roman" w:hAnsi="Times New Roman" w:cs="Times New Roman"/>
                <w:color w:val="000000" w:themeColor="text1"/>
                <w:sz w:val="24"/>
                <w:szCs w:val="24"/>
              </w:rPr>
            </w:pPr>
          </w:p>
          <w:p w14:paraId="3C372E27" w14:textId="77777777" w:rsidR="006D421A" w:rsidRPr="00B97C9F" w:rsidRDefault="006D421A" w:rsidP="00D8019D">
            <w:pPr>
              <w:pStyle w:val="Heading2"/>
              <w:rPr>
                <w:rFonts w:ascii="Times New Roman" w:hAnsi="Times New Roman" w:cs="Times New Roman"/>
                <w:sz w:val="24"/>
                <w:szCs w:val="24"/>
              </w:rPr>
            </w:pPr>
          </w:p>
          <w:p w14:paraId="2BF26084" w14:textId="77777777" w:rsidR="006D421A" w:rsidRPr="00B97C9F" w:rsidRDefault="006D421A" w:rsidP="00D8019D">
            <w:pPr>
              <w:rPr>
                <w:sz w:val="24"/>
                <w:szCs w:val="24"/>
              </w:rPr>
            </w:pPr>
          </w:p>
          <w:p w14:paraId="0C6D7356" w14:textId="77777777" w:rsidR="006D421A" w:rsidRPr="00B97C9F" w:rsidRDefault="006D421A" w:rsidP="00D8019D">
            <w:pPr>
              <w:rPr>
                <w:sz w:val="24"/>
                <w:szCs w:val="24"/>
              </w:rPr>
            </w:pPr>
            <w:r w:rsidRPr="00B97C9F">
              <w:rPr>
                <w:sz w:val="24"/>
                <w:szCs w:val="24"/>
              </w:rPr>
              <w:t>Case Number:</w:t>
            </w:r>
          </w:p>
          <w:p w14:paraId="5DEE5360" w14:textId="77777777" w:rsidR="006D421A" w:rsidRPr="00B97C9F" w:rsidRDefault="006D421A"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B017F5D" w14:textId="77777777" w:rsidR="006D421A" w:rsidRPr="00B97C9F" w:rsidRDefault="006D421A" w:rsidP="00D8019D">
            <w:pPr>
              <w:rPr>
                <w:sz w:val="24"/>
                <w:szCs w:val="24"/>
              </w:rPr>
            </w:pPr>
          </w:p>
          <w:p w14:paraId="237FE56F" w14:textId="77777777" w:rsidR="006D421A" w:rsidRPr="00B97C9F" w:rsidRDefault="006D421A" w:rsidP="00D8019D">
            <w:pPr>
              <w:rPr>
                <w:sz w:val="24"/>
                <w:szCs w:val="24"/>
              </w:rPr>
            </w:pPr>
          </w:p>
          <w:p w14:paraId="7C919435" w14:textId="77777777" w:rsidR="006D421A" w:rsidRPr="00B97C9F" w:rsidRDefault="006D421A"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6D421A" w:rsidRPr="00B97C9F" w14:paraId="693FB7DF" w14:textId="77777777" w:rsidTr="00D8019D">
        <w:trPr>
          <w:trHeight w:val="287"/>
        </w:trPr>
        <w:tc>
          <w:tcPr>
            <w:tcW w:w="10217" w:type="dxa"/>
            <w:gridSpan w:val="2"/>
            <w:vAlign w:val="center"/>
          </w:tcPr>
          <w:p w14:paraId="43CBC756" w14:textId="77777777" w:rsidR="006D421A" w:rsidRDefault="006D421A" w:rsidP="00D8019D">
            <w:pPr>
              <w:pStyle w:val="Heading1"/>
              <w:spacing w:after="0"/>
            </w:pPr>
          </w:p>
          <w:p w14:paraId="7BAAF9D7" w14:textId="0AE0D3ED" w:rsidR="006D421A" w:rsidRPr="00B97C9F" w:rsidRDefault="006D421A" w:rsidP="00D8019D">
            <w:pPr>
              <w:pStyle w:val="Heading1"/>
            </w:pPr>
            <w:r>
              <w:t>(VERDICT) (CERTIFICATE OF ASCERTAINMENT AND ASSESSMENT AND REPORT OF COMMISSIONERS)</w:t>
            </w:r>
            <w:r w:rsidRPr="00B97C9F">
              <w:t xml:space="preserve"> </w:t>
            </w:r>
          </w:p>
        </w:tc>
      </w:tr>
    </w:tbl>
    <w:p w14:paraId="34ED8F51" w14:textId="77777777" w:rsidR="006D421A" w:rsidRPr="009E3DA4" w:rsidRDefault="006D421A" w:rsidP="004D4840">
      <w:pPr>
        <w:spacing w:after="240"/>
        <w:ind w:left="720" w:hanging="720"/>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Count(y)(ies)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lastRenderedPageBreak/>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3153CA3B"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FA5B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07E2" w14:textId="77777777" w:rsidR="003430B5" w:rsidRDefault="003430B5" w:rsidP="0054263B">
      <w:r>
        <w:separator/>
      </w:r>
    </w:p>
    <w:p w14:paraId="05413CF3" w14:textId="77777777" w:rsidR="003430B5" w:rsidRDefault="003430B5"/>
  </w:endnote>
  <w:endnote w:type="continuationSeparator" w:id="0">
    <w:p w14:paraId="554BF1D8" w14:textId="77777777" w:rsidR="003430B5" w:rsidRDefault="003430B5" w:rsidP="0054263B">
      <w:r>
        <w:continuationSeparator/>
      </w:r>
    </w:p>
    <w:p w14:paraId="5D89C216" w14:textId="77777777" w:rsidR="003430B5" w:rsidRDefault="0034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7527" w14:textId="77777777" w:rsidR="008C6ED4" w:rsidRDefault="008C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5D20" w14:textId="77777777" w:rsidR="00D81D01" w:rsidRDefault="00D81D01">
    <w:pPr>
      <w:pStyle w:val="Footer"/>
      <w:jc w:val="center"/>
    </w:pPr>
    <w:r>
      <w:fldChar w:fldCharType="begin"/>
    </w:r>
    <w:r>
      <w:instrText xml:space="preserve"> PAGE   \* MERGEFORMAT </w:instrText>
    </w:r>
    <w:r>
      <w:fldChar w:fldCharType="separate"/>
    </w:r>
    <w:r w:rsidR="00484C09">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3B23" w14:textId="77777777" w:rsidR="008C6ED4" w:rsidRDefault="008C6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C177" w14:textId="77777777" w:rsidR="003430B5" w:rsidRDefault="003430B5" w:rsidP="0054263B">
      <w:r>
        <w:separator/>
      </w:r>
    </w:p>
    <w:p w14:paraId="0116DD88" w14:textId="77777777" w:rsidR="003430B5" w:rsidRDefault="003430B5"/>
  </w:footnote>
  <w:footnote w:type="continuationSeparator" w:id="0">
    <w:p w14:paraId="7EE87187" w14:textId="77777777" w:rsidR="003430B5" w:rsidRDefault="003430B5" w:rsidP="0054263B">
      <w:r>
        <w:continuationSeparator/>
      </w:r>
    </w:p>
    <w:p w14:paraId="365852A9" w14:textId="77777777" w:rsidR="003430B5" w:rsidRDefault="00343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53FB" w14:textId="77777777" w:rsidR="008C6ED4" w:rsidRDefault="008C6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9F9C" w14:textId="77777777" w:rsidR="008C6ED4" w:rsidRDefault="008C6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C250" w14:textId="77777777" w:rsidR="008C6ED4" w:rsidRDefault="008C6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2762393">
    <w:abstractNumId w:val="0"/>
  </w:num>
  <w:num w:numId="2" w16cid:durableId="275329732">
    <w:abstractNumId w:val="1"/>
  </w:num>
  <w:num w:numId="3" w16cid:durableId="71704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doNotValidateAgainstSchema/>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BC2"/>
    <w:rsid w:val="00020CF1"/>
    <w:rsid w:val="00037111"/>
    <w:rsid w:val="000529A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09FF"/>
    <w:rsid w:val="000B1B7A"/>
    <w:rsid w:val="000B2546"/>
    <w:rsid w:val="000B4D2A"/>
    <w:rsid w:val="000B77B8"/>
    <w:rsid w:val="000C204E"/>
    <w:rsid w:val="000C503A"/>
    <w:rsid w:val="000C6F97"/>
    <w:rsid w:val="000C7030"/>
    <w:rsid w:val="000D4856"/>
    <w:rsid w:val="000E07EE"/>
    <w:rsid w:val="000E72CD"/>
    <w:rsid w:val="000F205C"/>
    <w:rsid w:val="001117D9"/>
    <w:rsid w:val="00112C8E"/>
    <w:rsid w:val="00112FF9"/>
    <w:rsid w:val="00125209"/>
    <w:rsid w:val="00126B7A"/>
    <w:rsid w:val="00130D7F"/>
    <w:rsid w:val="00130F15"/>
    <w:rsid w:val="00144917"/>
    <w:rsid w:val="00151664"/>
    <w:rsid w:val="00155302"/>
    <w:rsid w:val="00155564"/>
    <w:rsid w:val="001608FF"/>
    <w:rsid w:val="0016520C"/>
    <w:rsid w:val="001671A9"/>
    <w:rsid w:val="00172259"/>
    <w:rsid w:val="00172674"/>
    <w:rsid w:val="00172700"/>
    <w:rsid w:val="00174BB5"/>
    <w:rsid w:val="0017521F"/>
    <w:rsid w:val="00180579"/>
    <w:rsid w:val="0018388B"/>
    <w:rsid w:val="00184ADB"/>
    <w:rsid w:val="00186930"/>
    <w:rsid w:val="001903CB"/>
    <w:rsid w:val="00190BD9"/>
    <w:rsid w:val="001913B1"/>
    <w:rsid w:val="00191498"/>
    <w:rsid w:val="00191C86"/>
    <w:rsid w:val="00195BC6"/>
    <w:rsid w:val="00195DF8"/>
    <w:rsid w:val="001A2648"/>
    <w:rsid w:val="001C5646"/>
    <w:rsid w:val="001C56E8"/>
    <w:rsid w:val="001D4D84"/>
    <w:rsid w:val="001D7D95"/>
    <w:rsid w:val="001E0F3B"/>
    <w:rsid w:val="001E57A3"/>
    <w:rsid w:val="001F0193"/>
    <w:rsid w:val="001F793D"/>
    <w:rsid w:val="00200BA5"/>
    <w:rsid w:val="00200CB0"/>
    <w:rsid w:val="00202B81"/>
    <w:rsid w:val="00205E29"/>
    <w:rsid w:val="002065D8"/>
    <w:rsid w:val="0021368F"/>
    <w:rsid w:val="0021730E"/>
    <w:rsid w:val="00217435"/>
    <w:rsid w:val="0022134E"/>
    <w:rsid w:val="00223286"/>
    <w:rsid w:val="00224A5A"/>
    <w:rsid w:val="00227D3A"/>
    <w:rsid w:val="00236EFE"/>
    <w:rsid w:val="0024062B"/>
    <w:rsid w:val="0024597C"/>
    <w:rsid w:val="00250426"/>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4B7"/>
    <w:rsid w:val="003247EA"/>
    <w:rsid w:val="003255AD"/>
    <w:rsid w:val="003259EE"/>
    <w:rsid w:val="003262C8"/>
    <w:rsid w:val="00333886"/>
    <w:rsid w:val="00333907"/>
    <w:rsid w:val="00335934"/>
    <w:rsid w:val="00336CE4"/>
    <w:rsid w:val="00340DCB"/>
    <w:rsid w:val="003430B5"/>
    <w:rsid w:val="00345533"/>
    <w:rsid w:val="00347725"/>
    <w:rsid w:val="00352111"/>
    <w:rsid w:val="00352433"/>
    <w:rsid w:val="00352696"/>
    <w:rsid w:val="00353044"/>
    <w:rsid w:val="0035308F"/>
    <w:rsid w:val="0035661A"/>
    <w:rsid w:val="003613FE"/>
    <w:rsid w:val="00373492"/>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4C09"/>
    <w:rsid w:val="0048541F"/>
    <w:rsid w:val="0049313F"/>
    <w:rsid w:val="004A1210"/>
    <w:rsid w:val="004A32E6"/>
    <w:rsid w:val="004A63C6"/>
    <w:rsid w:val="004B6463"/>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4F03"/>
    <w:rsid w:val="005D624F"/>
    <w:rsid w:val="005E712D"/>
    <w:rsid w:val="005F0680"/>
    <w:rsid w:val="005F1017"/>
    <w:rsid w:val="005F19FD"/>
    <w:rsid w:val="005F1A83"/>
    <w:rsid w:val="005F5A94"/>
    <w:rsid w:val="00604F03"/>
    <w:rsid w:val="006053F6"/>
    <w:rsid w:val="00607879"/>
    <w:rsid w:val="006153FA"/>
    <w:rsid w:val="00617007"/>
    <w:rsid w:val="00625453"/>
    <w:rsid w:val="006272FE"/>
    <w:rsid w:val="00631BFF"/>
    <w:rsid w:val="00636CDF"/>
    <w:rsid w:val="00642323"/>
    <w:rsid w:val="00642649"/>
    <w:rsid w:val="00645D6D"/>
    <w:rsid w:val="00647CC5"/>
    <w:rsid w:val="00650453"/>
    <w:rsid w:val="00650BEC"/>
    <w:rsid w:val="00651A64"/>
    <w:rsid w:val="00656CE8"/>
    <w:rsid w:val="00661D05"/>
    <w:rsid w:val="00664C06"/>
    <w:rsid w:val="0067408D"/>
    <w:rsid w:val="00675252"/>
    <w:rsid w:val="00682B93"/>
    <w:rsid w:val="0068336D"/>
    <w:rsid w:val="00683FA1"/>
    <w:rsid w:val="00685E76"/>
    <w:rsid w:val="00687304"/>
    <w:rsid w:val="00690844"/>
    <w:rsid w:val="00697DF2"/>
    <w:rsid w:val="006A7441"/>
    <w:rsid w:val="006A74B6"/>
    <w:rsid w:val="006B1375"/>
    <w:rsid w:val="006B2457"/>
    <w:rsid w:val="006B26D7"/>
    <w:rsid w:val="006D1D0A"/>
    <w:rsid w:val="006D1D57"/>
    <w:rsid w:val="006D2C77"/>
    <w:rsid w:val="006D2E09"/>
    <w:rsid w:val="006D32AC"/>
    <w:rsid w:val="006D421A"/>
    <w:rsid w:val="006E0D06"/>
    <w:rsid w:val="006E3575"/>
    <w:rsid w:val="006E3DFA"/>
    <w:rsid w:val="006E62F0"/>
    <w:rsid w:val="006F590D"/>
    <w:rsid w:val="006F7581"/>
    <w:rsid w:val="006F7B49"/>
    <w:rsid w:val="006F7DC0"/>
    <w:rsid w:val="00702B5A"/>
    <w:rsid w:val="0070752A"/>
    <w:rsid w:val="007119D8"/>
    <w:rsid w:val="0071225B"/>
    <w:rsid w:val="00713866"/>
    <w:rsid w:val="007157ED"/>
    <w:rsid w:val="00715DA8"/>
    <w:rsid w:val="00716B1E"/>
    <w:rsid w:val="007216DA"/>
    <w:rsid w:val="00724230"/>
    <w:rsid w:val="00726E21"/>
    <w:rsid w:val="007340B5"/>
    <w:rsid w:val="007413DC"/>
    <w:rsid w:val="007422B6"/>
    <w:rsid w:val="007462F9"/>
    <w:rsid w:val="007532AB"/>
    <w:rsid w:val="00760C02"/>
    <w:rsid w:val="00766F81"/>
    <w:rsid w:val="00770AB7"/>
    <w:rsid w:val="00770FFC"/>
    <w:rsid w:val="007727B7"/>
    <w:rsid w:val="00772BE1"/>
    <w:rsid w:val="00787065"/>
    <w:rsid w:val="00792028"/>
    <w:rsid w:val="007A3A0E"/>
    <w:rsid w:val="007A612E"/>
    <w:rsid w:val="007B1633"/>
    <w:rsid w:val="007B3E65"/>
    <w:rsid w:val="007B6AD9"/>
    <w:rsid w:val="007C2A10"/>
    <w:rsid w:val="007C6D81"/>
    <w:rsid w:val="007D168F"/>
    <w:rsid w:val="007D198E"/>
    <w:rsid w:val="007D2BCE"/>
    <w:rsid w:val="007D39CC"/>
    <w:rsid w:val="007D3D92"/>
    <w:rsid w:val="007D76D9"/>
    <w:rsid w:val="007E1675"/>
    <w:rsid w:val="007F7129"/>
    <w:rsid w:val="007F7AB3"/>
    <w:rsid w:val="00801691"/>
    <w:rsid w:val="008051B8"/>
    <w:rsid w:val="00806282"/>
    <w:rsid w:val="00811CC4"/>
    <w:rsid w:val="00813A6B"/>
    <w:rsid w:val="0081551D"/>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3B5A"/>
    <w:rsid w:val="00875064"/>
    <w:rsid w:val="008763DA"/>
    <w:rsid w:val="008812A8"/>
    <w:rsid w:val="00881431"/>
    <w:rsid w:val="008845B5"/>
    <w:rsid w:val="008857D3"/>
    <w:rsid w:val="0088591E"/>
    <w:rsid w:val="008859AF"/>
    <w:rsid w:val="00892105"/>
    <w:rsid w:val="00893F40"/>
    <w:rsid w:val="00895065"/>
    <w:rsid w:val="00896032"/>
    <w:rsid w:val="008A1099"/>
    <w:rsid w:val="008A475A"/>
    <w:rsid w:val="008A6339"/>
    <w:rsid w:val="008A637B"/>
    <w:rsid w:val="008A673E"/>
    <w:rsid w:val="008B0D29"/>
    <w:rsid w:val="008B1617"/>
    <w:rsid w:val="008B2EBA"/>
    <w:rsid w:val="008B39B8"/>
    <w:rsid w:val="008B6BD6"/>
    <w:rsid w:val="008C1739"/>
    <w:rsid w:val="008C6ED4"/>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3266"/>
    <w:rsid w:val="00914128"/>
    <w:rsid w:val="009223E6"/>
    <w:rsid w:val="00930778"/>
    <w:rsid w:val="00932723"/>
    <w:rsid w:val="009355C5"/>
    <w:rsid w:val="00935DA8"/>
    <w:rsid w:val="00936D0A"/>
    <w:rsid w:val="00942FD7"/>
    <w:rsid w:val="00950692"/>
    <w:rsid w:val="009525E4"/>
    <w:rsid w:val="00952BBB"/>
    <w:rsid w:val="00954877"/>
    <w:rsid w:val="009564F6"/>
    <w:rsid w:val="0095709A"/>
    <w:rsid w:val="009725D8"/>
    <w:rsid w:val="00973884"/>
    <w:rsid w:val="0097685D"/>
    <w:rsid w:val="009902F2"/>
    <w:rsid w:val="009931B9"/>
    <w:rsid w:val="009A10F1"/>
    <w:rsid w:val="009A5AA6"/>
    <w:rsid w:val="009B0D5B"/>
    <w:rsid w:val="009B57F8"/>
    <w:rsid w:val="009B6746"/>
    <w:rsid w:val="009C0C3F"/>
    <w:rsid w:val="009D1232"/>
    <w:rsid w:val="009E20C7"/>
    <w:rsid w:val="009E3DA4"/>
    <w:rsid w:val="009E4479"/>
    <w:rsid w:val="009E5BDF"/>
    <w:rsid w:val="009F581C"/>
    <w:rsid w:val="00A005E6"/>
    <w:rsid w:val="00A06ED6"/>
    <w:rsid w:val="00A10F3D"/>
    <w:rsid w:val="00A110C7"/>
    <w:rsid w:val="00A15FFF"/>
    <w:rsid w:val="00A20521"/>
    <w:rsid w:val="00A22F5A"/>
    <w:rsid w:val="00A36457"/>
    <w:rsid w:val="00A37250"/>
    <w:rsid w:val="00A50F20"/>
    <w:rsid w:val="00A57F9C"/>
    <w:rsid w:val="00A632A0"/>
    <w:rsid w:val="00A63D35"/>
    <w:rsid w:val="00A677E8"/>
    <w:rsid w:val="00A707DB"/>
    <w:rsid w:val="00A725B4"/>
    <w:rsid w:val="00A73AE6"/>
    <w:rsid w:val="00A73FC9"/>
    <w:rsid w:val="00A76271"/>
    <w:rsid w:val="00A76341"/>
    <w:rsid w:val="00A80748"/>
    <w:rsid w:val="00A80A12"/>
    <w:rsid w:val="00A80C10"/>
    <w:rsid w:val="00A82D0A"/>
    <w:rsid w:val="00A85AAA"/>
    <w:rsid w:val="00A8680F"/>
    <w:rsid w:val="00A92C18"/>
    <w:rsid w:val="00AB2019"/>
    <w:rsid w:val="00AB477F"/>
    <w:rsid w:val="00AB71A7"/>
    <w:rsid w:val="00AC3515"/>
    <w:rsid w:val="00AC646C"/>
    <w:rsid w:val="00AC78F7"/>
    <w:rsid w:val="00AD4B56"/>
    <w:rsid w:val="00AE1C04"/>
    <w:rsid w:val="00AF40E1"/>
    <w:rsid w:val="00AF7D47"/>
    <w:rsid w:val="00B0264D"/>
    <w:rsid w:val="00B12C04"/>
    <w:rsid w:val="00B223CE"/>
    <w:rsid w:val="00B32E46"/>
    <w:rsid w:val="00B338E2"/>
    <w:rsid w:val="00B35185"/>
    <w:rsid w:val="00B37722"/>
    <w:rsid w:val="00B473E5"/>
    <w:rsid w:val="00B538B9"/>
    <w:rsid w:val="00B54FCC"/>
    <w:rsid w:val="00B567C1"/>
    <w:rsid w:val="00B579DF"/>
    <w:rsid w:val="00B57F07"/>
    <w:rsid w:val="00B60551"/>
    <w:rsid w:val="00B6275E"/>
    <w:rsid w:val="00B706D8"/>
    <w:rsid w:val="00B70D68"/>
    <w:rsid w:val="00B719C2"/>
    <w:rsid w:val="00B72D6B"/>
    <w:rsid w:val="00B80FD1"/>
    <w:rsid w:val="00B82648"/>
    <w:rsid w:val="00B928F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371DA"/>
    <w:rsid w:val="00C40968"/>
    <w:rsid w:val="00C473A2"/>
    <w:rsid w:val="00C54805"/>
    <w:rsid w:val="00C60E95"/>
    <w:rsid w:val="00C610EC"/>
    <w:rsid w:val="00C63547"/>
    <w:rsid w:val="00C641B0"/>
    <w:rsid w:val="00C642A2"/>
    <w:rsid w:val="00C70560"/>
    <w:rsid w:val="00C724B6"/>
    <w:rsid w:val="00C737F3"/>
    <w:rsid w:val="00C81D9A"/>
    <w:rsid w:val="00C84E71"/>
    <w:rsid w:val="00C87463"/>
    <w:rsid w:val="00C8797B"/>
    <w:rsid w:val="00C91B1F"/>
    <w:rsid w:val="00C93B0B"/>
    <w:rsid w:val="00C94C5E"/>
    <w:rsid w:val="00CA41CC"/>
    <w:rsid w:val="00CA7EF2"/>
    <w:rsid w:val="00CB008B"/>
    <w:rsid w:val="00CB3564"/>
    <w:rsid w:val="00CC0502"/>
    <w:rsid w:val="00CC1AC8"/>
    <w:rsid w:val="00CC6A95"/>
    <w:rsid w:val="00CC7E17"/>
    <w:rsid w:val="00CD4A7D"/>
    <w:rsid w:val="00CD4B03"/>
    <w:rsid w:val="00CE2DF4"/>
    <w:rsid w:val="00CE48C8"/>
    <w:rsid w:val="00CE5276"/>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35011"/>
    <w:rsid w:val="00D50C3D"/>
    <w:rsid w:val="00D51E80"/>
    <w:rsid w:val="00D53848"/>
    <w:rsid w:val="00D53AC5"/>
    <w:rsid w:val="00D5484F"/>
    <w:rsid w:val="00D57BD9"/>
    <w:rsid w:val="00D66230"/>
    <w:rsid w:val="00D8125F"/>
    <w:rsid w:val="00D81D01"/>
    <w:rsid w:val="00D90E67"/>
    <w:rsid w:val="00D93394"/>
    <w:rsid w:val="00D966DC"/>
    <w:rsid w:val="00DA1796"/>
    <w:rsid w:val="00DA2814"/>
    <w:rsid w:val="00DB2C90"/>
    <w:rsid w:val="00DC0393"/>
    <w:rsid w:val="00DC070F"/>
    <w:rsid w:val="00DC63A9"/>
    <w:rsid w:val="00DC66A6"/>
    <w:rsid w:val="00DC7533"/>
    <w:rsid w:val="00DD29CB"/>
    <w:rsid w:val="00DD3B60"/>
    <w:rsid w:val="00DD45C5"/>
    <w:rsid w:val="00DD5492"/>
    <w:rsid w:val="00DE2930"/>
    <w:rsid w:val="00DE44ED"/>
    <w:rsid w:val="00DF2CB7"/>
    <w:rsid w:val="00DF3BF1"/>
    <w:rsid w:val="00DF7595"/>
    <w:rsid w:val="00E007F8"/>
    <w:rsid w:val="00E058BA"/>
    <w:rsid w:val="00E111AA"/>
    <w:rsid w:val="00E14F99"/>
    <w:rsid w:val="00E172C8"/>
    <w:rsid w:val="00E21120"/>
    <w:rsid w:val="00E2145F"/>
    <w:rsid w:val="00E2325D"/>
    <w:rsid w:val="00E24723"/>
    <w:rsid w:val="00E24E10"/>
    <w:rsid w:val="00E2724A"/>
    <w:rsid w:val="00E30D4B"/>
    <w:rsid w:val="00E32C6D"/>
    <w:rsid w:val="00E371E2"/>
    <w:rsid w:val="00E372EA"/>
    <w:rsid w:val="00E43BF9"/>
    <w:rsid w:val="00E46426"/>
    <w:rsid w:val="00E50187"/>
    <w:rsid w:val="00E55147"/>
    <w:rsid w:val="00E551EB"/>
    <w:rsid w:val="00E568F0"/>
    <w:rsid w:val="00E66760"/>
    <w:rsid w:val="00E66E0C"/>
    <w:rsid w:val="00E67638"/>
    <w:rsid w:val="00E677CB"/>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0E9B"/>
    <w:rsid w:val="00EE11EE"/>
    <w:rsid w:val="00EE2F1E"/>
    <w:rsid w:val="00EE4165"/>
    <w:rsid w:val="00EF1E2D"/>
    <w:rsid w:val="00EF4043"/>
    <w:rsid w:val="00EF5096"/>
    <w:rsid w:val="00F022D4"/>
    <w:rsid w:val="00F062A4"/>
    <w:rsid w:val="00F25E27"/>
    <w:rsid w:val="00F32AA4"/>
    <w:rsid w:val="00F32CBF"/>
    <w:rsid w:val="00F573CF"/>
    <w:rsid w:val="00F57A28"/>
    <w:rsid w:val="00F57A2B"/>
    <w:rsid w:val="00F658E5"/>
    <w:rsid w:val="00F71DC5"/>
    <w:rsid w:val="00F755B7"/>
    <w:rsid w:val="00F764F4"/>
    <w:rsid w:val="00F81054"/>
    <w:rsid w:val="00F86F49"/>
    <w:rsid w:val="00F94E0B"/>
    <w:rsid w:val="00FA333E"/>
    <w:rsid w:val="00FA337C"/>
    <w:rsid w:val="00FA5B91"/>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1428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6D421A"/>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 w:type="paragraph" w:styleId="Revision">
    <w:name w:val="Revision"/>
    <w:hidden/>
    <w:uiPriority w:val="99"/>
    <w:semiHidden/>
    <w:rsid w:val="003262C8"/>
    <w:rPr>
      <w:sz w:val="22"/>
      <w:szCs w:val="26"/>
    </w:rPr>
  </w:style>
  <w:style w:type="character" w:customStyle="1" w:styleId="Heading2Char">
    <w:name w:val="Heading 2 Char"/>
    <w:basedOn w:val="DefaultParagraphFont"/>
    <w:link w:val="Heading2"/>
    <w:uiPriority w:val="9"/>
    <w:semiHidden/>
    <w:rsid w:val="006D421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7654</Words>
  <Characters>43634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36</dc:title>
  <dc:creator>Krista Schelhaas</dc:creator>
  <cp:lastModifiedBy>krista schelhaas</cp:lastModifiedBy>
  <cp:revision>2</cp:revision>
  <dcterms:created xsi:type="dcterms:W3CDTF">2026-02-22T18:35:00Z</dcterms:created>
  <dcterms:modified xsi:type="dcterms:W3CDTF">2026-02-22T18:35:00Z</dcterms:modified>
</cp:coreProperties>
</file>