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0C11" w14:textId="73EBC65E" w:rsidR="00057E62" w:rsidRDefault="00057E62" w:rsidP="00583762">
      <w:pPr>
        <w:ind w:left="720" w:hanging="720"/>
        <w:jc w:val="center"/>
        <w:rPr>
          <w:rFonts w:eastAsia="Times New Roman"/>
          <w:b/>
          <w:sz w:val="24"/>
          <w:szCs w:val="24"/>
        </w:rPr>
      </w:pPr>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E318F2" w:rsidP="00BC4E1D">
      <w:pPr>
        <w:spacing w:after="80"/>
        <w:ind w:left="720" w:hanging="720"/>
        <w:rPr>
          <w:rFonts w:eastAsia="Times New Roman"/>
          <w:sz w:val="24"/>
          <w:szCs w:val="24"/>
        </w:rPr>
      </w:pPr>
      <w:hyperlink w:anchor="a32_01" w:history="1">
        <w:r w:rsidRPr="00E713D3">
          <w:rPr>
            <w:rStyle w:val="Hyperlink"/>
            <w:rFonts w:eastAsia="Times New Roman"/>
            <w:sz w:val="24"/>
            <w:szCs w:val="24"/>
          </w:rPr>
          <w:t>32:1</w:t>
        </w:r>
      </w:hyperlink>
      <w:r w:rsidRPr="00C94893">
        <w:rPr>
          <w:rFonts w:eastAsia="Times New Roman"/>
          <w:sz w:val="24"/>
          <w:szCs w:val="24"/>
        </w:rPr>
        <w:tab/>
        <w:t xml:space="preserve">Elements </w:t>
      </w:r>
      <w:r>
        <w:rPr>
          <w:rFonts w:eastAsia="Times New Roman"/>
          <w:sz w:val="24"/>
          <w:szCs w:val="24"/>
        </w:rPr>
        <w:t>o</w:t>
      </w:r>
      <w:r w:rsidRPr="00C94893">
        <w:rPr>
          <w:rFonts w:eastAsia="Times New Roman"/>
          <w:sz w:val="24"/>
          <w:szCs w:val="24"/>
        </w:rPr>
        <w:t>f Liability</w:t>
      </w:r>
    </w:p>
    <w:p w14:paraId="2D634F36" w14:textId="4502DAD1" w:rsidR="00C94893" w:rsidRPr="00C94893" w:rsidRDefault="00E318F2" w:rsidP="00BC4E1D">
      <w:pPr>
        <w:spacing w:after="80"/>
        <w:ind w:left="720" w:hanging="720"/>
        <w:rPr>
          <w:rFonts w:eastAsia="Times New Roman"/>
          <w:bCs/>
          <w:sz w:val="24"/>
          <w:szCs w:val="24"/>
        </w:rPr>
      </w:pPr>
      <w:hyperlink w:anchor="a32_02" w:history="1">
        <w:r w:rsidRPr="00E713D3">
          <w:rPr>
            <w:rStyle w:val="Hyperlink"/>
            <w:rFonts w:eastAsia="Times New Roman"/>
            <w:bCs/>
            <w:sz w:val="24"/>
            <w:szCs w:val="24"/>
          </w:rPr>
          <w:t>32:2</w:t>
        </w:r>
      </w:hyperlink>
      <w:r w:rsidRPr="00C94893">
        <w:rPr>
          <w:rFonts w:eastAsia="Times New Roman"/>
          <w:bCs/>
          <w:sz w:val="24"/>
          <w:szCs w:val="24"/>
        </w:rPr>
        <w:tab/>
        <w:t xml:space="preserve">Intentional </w:t>
      </w:r>
      <w:r>
        <w:rPr>
          <w:rFonts w:eastAsia="Times New Roman"/>
          <w:bCs/>
          <w:sz w:val="24"/>
          <w:szCs w:val="24"/>
        </w:rPr>
        <w:t xml:space="preserve">and Substantial </w:t>
      </w:r>
      <w:r w:rsidRPr="00C94893">
        <w:rPr>
          <w:rFonts w:eastAsia="Times New Roman"/>
          <w:bCs/>
          <w:sz w:val="24"/>
          <w:szCs w:val="24"/>
        </w:rPr>
        <w:t>Interference — Defined</w:t>
      </w:r>
    </w:p>
    <w:p w14:paraId="55E28848" w14:textId="2BA53B67" w:rsidR="00C94893" w:rsidRDefault="00E318F2" w:rsidP="00BC4E1D">
      <w:pPr>
        <w:spacing w:after="80"/>
        <w:ind w:left="720" w:hanging="720"/>
        <w:rPr>
          <w:rFonts w:eastAsia="Times New Roman"/>
          <w:bCs/>
          <w:sz w:val="24"/>
          <w:szCs w:val="24"/>
        </w:rPr>
      </w:pPr>
      <w:hyperlink w:anchor="a32_03" w:history="1">
        <w:r w:rsidRPr="00E713D3">
          <w:rPr>
            <w:rStyle w:val="Hyperlink"/>
            <w:rFonts w:eastAsia="Times New Roman"/>
            <w:bCs/>
            <w:sz w:val="24"/>
            <w:szCs w:val="24"/>
          </w:rPr>
          <w:t>32:3</w:t>
        </w:r>
      </w:hyperlink>
      <w:r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E318F2" w:rsidP="00BC4E1D">
      <w:pPr>
        <w:spacing w:after="80"/>
        <w:rPr>
          <w:rFonts w:eastAsia="Times New Roman"/>
          <w:sz w:val="24"/>
          <w:szCs w:val="24"/>
        </w:rPr>
      </w:pPr>
      <w:hyperlink w:anchor="a32_04" w:history="1">
        <w:r w:rsidRPr="00E713D3">
          <w:rPr>
            <w:rStyle w:val="Hyperlink"/>
            <w:rFonts w:eastAsia="Times New Roman"/>
            <w:sz w:val="24"/>
            <w:szCs w:val="24"/>
          </w:rPr>
          <w:t>3</w:t>
        </w:r>
        <w:r w:rsidR="00E713D3" w:rsidRPr="00E713D3">
          <w:rPr>
            <w:rStyle w:val="Hyperlink"/>
            <w:rFonts w:eastAsia="Times New Roman"/>
            <w:sz w:val="24"/>
            <w:szCs w:val="24"/>
          </w:rPr>
          <w:t>2:4</w:t>
        </w:r>
      </w:hyperlink>
      <w:r w:rsidRPr="00C94893">
        <w:rPr>
          <w:rFonts w:eastAsia="Times New Roman"/>
          <w:sz w:val="24"/>
          <w:szCs w:val="24"/>
        </w:rPr>
        <w:tab/>
        <w:t xml:space="preserve">Elements </w:t>
      </w:r>
      <w:r>
        <w:rPr>
          <w:rFonts w:eastAsia="Times New Roman"/>
          <w:sz w:val="24"/>
          <w:szCs w:val="24"/>
        </w:rPr>
        <w:t>o</w:t>
      </w:r>
      <w:r w:rsidRPr="00C94893">
        <w:rPr>
          <w:rFonts w:eastAsia="Times New Roman"/>
          <w:sz w:val="24"/>
          <w:szCs w:val="24"/>
        </w:rPr>
        <w:t>f Liability</w:t>
      </w:r>
    </w:p>
    <w:p w14:paraId="736E3258" w14:textId="263D5A95" w:rsidR="00C94893" w:rsidRPr="00C94893" w:rsidRDefault="00E713D3" w:rsidP="00BC4E1D">
      <w:pPr>
        <w:spacing w:after="80"/>
        <w:ind w:left="720" w:hanging="720"/>
        <w:rPr>
          <w:rFonts w:eastAsia="Times New Roman"/>
          <w:sz w:val="24"/>
          <w:szCs w:val="24"/>
        </w:rPr>
      </w:pPr>
      <w:hyperlink w:anchor="a32_05" w:history="1">
        <w:r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E318F2" w:rsidP="00BC4E1D">
      <w:pPr>
        <w:spacing w:after="80"/>
        <w:rPr>
          <w:sz w:val="24"/>
          <w:szCs w:val="24"/>
        </w:rPr>
      </w:pPr>
      <w:hyperlink w:anchor="a32_06" w:history="1">
        <w:r w:rsidRPr="00E713D3">
          <w:rPr>
            <w:rStyle w:val="Hyperlink"/>
            <w:sz w:val="24"/>
            <w:szCs w:val="24"/>
          </w:rPr>
          <w:t>32:6</w:t>
        </w:r>
      </w:hyperlink>
      <w:r w:rsidRPr="00C94893">
        <w:rPr>
          <w:sz w:val="24"/>
          <w:szCs w:val="24"/>
        </w:rPr>
        <w:tab/>
        <w:t xml:space="preserve">Damages </w:t>
      </w:r>
      <w:r w:rsidRPr="00C94893">
        <w:rPr>
          <w:rFonts w:eastAsia="Times New Roman"/>
          <w:sz w:val="24"/>
          <w:szCs w:val="24"/>
        </w:rPr>
        <w:t>—</w:t>
      </w:r>
      <w:r w:rsidRPr="00C94893">
        <w:rPr>
          <w:sz w:val="24"/>
          <w:szCs w:val="24"/>
        </w:rPr>
        <w:t xml:space="preserve"> Actual</w:t>
      </w:r>
    </w:p>
    <w:p w14:paraId="1E2F3DE0" w14:textId="01FC75DE" w:rsidR="00C94893" w:rsidRDefault="00E318F2" w:rsidP="00BC4E1D">
      <w:pPr>
        <w:spacing w:after="80"/>
        <w:rPr>
          <w:sz w:val="24"/>
          <w:szCs w:val="24"/>
        </w:rPr>
      </w:pPr>
      <w:hyperlink w:anchor="a32_07" w:history="1">
        <w:r w:rsidRPr="00E713D3">
          <w:rPr>
            <w:rStyle w:val="Hyperlink"/>
            <w:sz w:val="24"/>
            <w:szCs w:val="24"/>
          </w:rPr>
          <w:t>32:7</w:t>
        </w:r>
      </w:hyperlink>
      <w:r w:rsidRPr="00C94893">
        <w:rPr>
          <w:sz w:val="24"/>
          <w:szCs w:val="24"/>
        </w:rPr>
        <w:tab/>
        <w:t xml:space="preserve">Damages </w:t>
      </w:r>
      <w:r w:rsidRPr="00C94893">
        <w:rPr>
          <w:rFonts w:eastAsia="Times New Roman"/>
          <w:sz w:val="24"/>
          <w:szCs w:val="24"/>
        </w:rPr>
        <w:t>—</w:t>
      </w:r>
      <w:r w:rsidRPr="00C94893">
        <w:rPr>
          <w:sz w:val="24"/>
          <w:szCs w:val="24"/>
        </w:rPr>
        <w:t xml:space="preserve"> Statutory</w:t>
      </w:r>
    </w:p>
    <w:p w14:paraId="47C7E6B7" w14:textId="77777777" w:rsidR="00E47918" w:rsidRDefault="00E47918" w:rsidP="00BC4E1D">
      <w:pPr>
        <w:spacing w:after="80"/>
        <w:rPr>
          <w:sz w:val="24"/>
          <w:szCs w:val="24"/>
        </w:rPr>
      </w:pPr>
    </w:p>
    <w:p w14:paraId="6680F200" w14:textId="642C26CF" w:rsidR="00E47918" w:rsidRPr="00C94893" w:rsidRDefault="00E47918" w:rsidP="00E47918">
      <w:pPr>
        <w:spacing w:after="240"/>
        <w:ind w:left="720" w:hanging="720"/>
        <w:rPr>
          <w:rFonts w:eastAsia="Times New Roman"/>
          <w:sz w:val="24"/>
          <w:szCs w:val="24"/>
        </w:rPr>
      </w:pPr>
      <w:r>
        <w:rPr>
          <w:rFonts w:eastAsia="Times New Roman"/>
          <w:sz w:val="24"/>
          <w:szCs w:val="24"/>
        </w:rPr>
        <w:t>C</w:t>
      </w:r>
      <w:r w:rsidRPr="00C94893">
        <w:rPr>
          <w:rFonts w:eastAsia="Times New Roman"/>
          <w:sz w:val="24"/>
          <w:szCs w:val="24"/>
        </w:rPr>
        <w:t xml:space="preserve">. </w:t>
      </w:r>
      <w:r>
        <w:rPr>
          <w:rFonts w:eastAsia="Times New Roman"/>
          <w:sz w:val="24"/>
          <w:szCs w:val="24"/>
        </w:rPr>
        <w:t>REPLEVIN</w:t>
      </w:r>
    </w:p>
    <w:p w14:paraId="7BD0DA8A" w14:textId="19B8CD83" w:rsidR="00E47918" w:rsidRPr="00C94893" w:rsidRDefault="00E47918" w:rsidP="00E47918">
      <w:pPr>
        <w:spacing w:after="80"/>
        <w:rPr>
          <w:rFonts w:eastAsia="Times New Roman"/>
          <w:sz w:val="24"/>
          <w:szCs w:val="24"/>
        </w:rPr>
      </w:pPr>
      <w:hyperlink w:anchor="a32_08" w:history="1">
        <w:r w:rsidRPr="00864DD2">
          <w:rPr>
            <w:rStyle w:val="Hyperlink"/>
            <w:rFonts w:eastAsia="Times New Roman"/>
            <w:sz w:val="24"/>
            <w:szCs w:val="24"/>
          </w:rPr>
          <w:t>32:8</w:t>
        </w:r>
      </w:hyperlink>
      <w:r w:rsidRPr="00C94893">
        <w:rPr>
          <w:rFonts w:eastAsia="Times New Roman"/>
          <w:sz w:val="24"/>
          <w:szCs w:val="24"/>
        </w:rPr>
        <w:tab/>
        <w:t xml:space="preserve">Elements </w:t>
      </w:r>
      <w:r>
        <w:rPr>
          <w:rFonts w:eastAsia="Times New Roman"/>
          <w:sz w:val="24"/>
          <w:szCs w:val="24"/>
        </w:rPr>
        <w:t>o</w:t>
      </w:r>
      <w:r w:rsidRPr="00C94893">
        <w:rPr>
          <w:rFonts w:eastAsia="Times New Roman"/>
          <w:sz w:val="24"/>
          <w:szCs w:val="24"/>
        </w:rPr>
        <w:t>f Liability</w:t>
      </w:r>
    </w:p>
    <w:p w14:paraId="165CD998" w14:textId="7CAEAEEE" w:rsidR="00E47918" w:rsidRPr="00C94893" w:rsidRDefault="00E47918" w:rsidP="00E47918">
      <w:pPr>
        <w:spacing w:after="80"/>
        <w:ind w:left="720" w:hanging="720"/>
        <w:rPr>
          <w:rFonts w:eastAsia="Times New Roman"/>
          <w:sz w:val="24"/>
          <w:szCs w:val="24"/>
        </w:rPr>
      </w:pPr>
      <w:hyperlink w:anchor="a32_09" w:history="1">
        <w:r w:rsidRPr="00864DD2">
          <w:rPr>
            <w:rStyle w:val="Hyperlink"/>
            <w:rFonts w:eastAsia="Times New Roman"/>
            <w:sz w:val="24"/>
            <w:szCs w:val="24"/>
          </w:rPr>
          <w:t>32:9</w:t>
        </w:r>
      </w:hyperlink>
      <w:r w:rsidRPr="00C94893">
        <w:rPr>
          <w:rFonts w:eastAsia="Times New Roman"/>
          <w:sz w:val="24"/>
          <w:szCs w:val="24"/>
        </w:rPr>
        <w:tab/>
      </w:r>
      <w:r>
        <w:rPr>
          <w:rFonts w:eastAsia="Times New Roman"/>
          <w:sz w:val="24"/>
          <w:szCs w:val="24"/>
        </w:rPr>
        <w:t>Possession and Damages</w:t>
      </w:r>
      <w:r w:rsidRPr="00C94893">
        <w:rPr>
          <w:rFonts w:eastAsia="Times New Roman"/>
          <w:sz w:val="24"/>
          <w:szCs w:val="24"/>
        </w:rPr>
        <w:t xml:space="preserve"> — </w:t>
      </w:r>
      <w:r>
        <w:rPr>
          <w:rFonts w:eastAsia="Times New Roman"/>
          <w:sz w:val="24"/>
          <w:szCs w:val="24"/>
        </w:rPr>
        <w:t>If the Property can be Returned in the Same Condition</w:t>
      </w:r>
    </w:p>
    <w:p w14:paraId="031460A2" w14:textId="5D1F98F7" w:rsidR="00E47918" w:rsidRPr="00C94893" w:rsidRDefault="00E47918" w:rsidP="00E47918">
      <w:pPr>
        <w:spacing w:after="80"/>
        <w:rPr>
          <w:sz w:val="24"/>
          <w:szCs w:val="24"/>
        </w:rPr>
      </w:pPr>
      <w:hyperlink w:anchor="a32_10" w:history="1">
        <w:r w:rsidRPr="00864DD2">
          <w:rPr>
            <w:rStyle w:val="Hyperlink"/>
            <w:sz w:val="24"/>
            <w:szCs w:val="24"/>
          </w:rPr>
          <w:t>32:10</w:t>
        </w:r>
      </w:hyperlink>
      <w:r w:rsidRPr="00C94893">
        <w:rPr>
          <w:sz w:val="24"/>
          <w:szCs w:val="24"/>
        </w:rPr>
        <w:tab/>
        <w:t xml:space="preserve">Damages </w:t>
      </w:r>
      <w:r w:rsidRPr="00C94893">
        <w:rPr>
          <w:rFonts w:eastAsia="Times New Roman"/>
          <w:sz w:val="24"/>
          <w:szCs w:val="24"/>
        </w:rPr>
        <w:t>—</w:t>
      </w:r>
      <w:r w:rsidRPr="00C94893">
        <w:rPr>
          <w:sz w:val="24"/>
          <w:szCs w:val="24"/>
        </w:rPr>
        <w:t xml:space="preserve"> </w:t>
      </w:r>
      <w:r>
        <w:rPr>
          <w:sz w:val="24"/>
          <w:szCs w:val="24"/>
        </w:rPr>
        <w:t>Where the Property Cannot be Returned to the Plaintiff</w:t>
      </w:r>
    </w:p>
    <w:p w14:paraId="3FCBD41C" w14:textId="119DA930" w:rsidR="00E47918" w:rsidRPr="00C94893" w:rsidRDefault="00E47918" w:rsidP="00E47918">
      <w:pPr>
        <w:spacing w:after="80"/>
        <w:rPr>
          <w:sz w:val="24"/>
          <w:szCs w:val="24"/>
        </w:rPr>
      </w:pPr>
      <w:hyperlink w:anchor="a32_11" w:history="1">
        <w:r w:rsidRPr="00864DD2">
          <w:rPr>
            <w:rStyle w:val="Hyperlink"/>
            <w:sz w:val="24"/>
            <w:szCs w:val="24"/>
          </w:rPr>
          <w:t>32:11</w:t>
        </w:r>
      </w:hyperlink>
      <w:r w:rsidRPr="00C94893">
        <w:rPr>
          <w:sz w:val="24"/>
          <w:szCs w:val="24"/>
        </w:rPr>
        <w:tab/>
        <w:t xml:space="preserve">Damages </w:t>
      </w:r>
      <w:r w:rsidRPr="00C94893">
        <w:rPr>
          <w:rFonts w:eastAsia="Times New Roman"/>
          <w:sz w:val="24"/>
          <w:szCs w:val="24"/>
        </w:rPr>
        <w:t>—</w:t>
      </w:r>
      <w:r w:rsidRPr="00C94893">
        <w:rPr>
          <w:sz w:val="24"/>
          <w:szCs w:val="24"/>
        </w:rPr>
        <w:t xml:space="preserve"> </w:t>
      </w:r>
      <w:r>
        <w:rPr>
          <w:sz w:val="24"/>
          <w:szCs w:val="24"/>
        </w:rPr>
        <w:t>Where the Property can be Returned but not in the Same Condition</w:t>
      </w:r>
    </w:p>
    <w:p w14:paraId="7C0DD132" w14:textId="77777777" w:rsidR="00E47918" w:rsidRPr="00C94893" w:rsidRDefault="00E47918" w:rsidP="00BC4E1D">
      <w:pPr>
        <w:spacing w:after="80"/>
        <w:rPr>
          <w:sz w:val="24"/>
          <w:szCs w:val="24"/>
        </w:rPr>
      </w:pP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0" w:name="a32_01"/>
      <w:bookmarkEnd w:id="0"/>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0C6DB150"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xml:space="preserve">, on </w:t>
      </w:r>
      <w:r w:rsidR="00A31786" w:rsidRPr="00421C1A">
        <w:rPr>
          <w:bCs/>
          <w:i/>
          <w:iCs/>
          <w:sz w:val="24"/>
          <w:szCs w:val="24"/>
        </w:rPr>
        <w:t>(insert applicable pronoun)</w:t>
      </w:r>
      <w:r>
        <w:rPr>
          <w:b/>
          <w:sz w:val="24"/>
          <w:szCs w:val="24"/>
        </w:rPr>
        <w:t xml:space="preserve">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(not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1" w:name="a32_02"/>
      <w:bookmarkEnd w:id="1"/>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 xml:space="preserve">INTERFERENCE —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F76275"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w:t>
      </w:r>
      <w:r w:rsidR="00A31786" w:rsidRPr="007263C7">
        <w:rPr>
          <w:bCs/>
          <w:i/>
          <w:iCs/>
          <w:sz w:val="24"/>
          <w:szCs w:val="24"/>
        </w:rPr>
        <w:t>(insert applicable pronoun)</w:t>
      </w:r>
      <w:r>
        <w:rPr>
          <w:rFonts w:eastAsia="Times New Roman"/>
          <w:b/>
          <w:bCs/>
          <w:sz w:val="24"/>
          <w:szCs w:val="24"/>
        </w:rPr>
        <w:t xml:space="preserve">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Rifle Prod. 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2" w:name="a32_03"/>
      <w:bookmarkEnd w:id="2"/>
      <w:r>
        <w:rPr>
          <w:rFonts w:eastAsia="Times New Roman"/>
          <w:b/>
          <w:bCs/>
          <w:sz w:val="24"/>
          <w:szCs w:val="24"/>
        </w:rPr>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675E6A12" w:rsidR="003B4FFC" w:rsidRDefault="003B4FFC" w:rsidP="00C078A8">
      <w:pPr>
        <w:spacing w:after="240"/>
        <w:ind w:firstLine="720"/>
        <w:rPr>
          <w:rFonts w:eastAsia="Times New Roman"/>
          <w:b/>
          <w:bCs/>
          <w:sz w:val="24"/>
          <w:szCs w:val="24"/>
        </w:rPr>
      </w:pPr>
      <w:r>
        <w:rPr>
          <w:rFonts w:eastAsia="Times New Roman"/>
          <w:b/>
          <w:bCs/>
          <w:sz w:val="24"/>
          <w:szCs w:val="24"/>
        </w:rPr>
        <w:t xml:space="preserve">If you find in favor of the plaintiff, you shall award as </w:t>
      </w:r>
      <w:r w:rsidR="00A31786" w:rsidRPr="007263C7">
        <w:rPr>
          <w:bCs/>
          <w:i/>
          <w:iCs/>
          <w:sz w:val="24"/>
          <w:szCs w:val="24"/>
        </w:rPr>
        <w:t>(insert applicable pronoun)</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interference,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r>
        <w:rPr>
          <w:b/>
          <w:sz w:val="24"/>
          <w:szCs w:val="24"/>
        </w:rPr>
        <w:t>Montgomery v. Tufford</w:t>
      </w:r>
      <w:r>
        <w:rPr>
          <w:sz w:val="24"/>
          <w:szCs w:val="24"/>
        </w:rPr>
        <w:t>, 165 Colo. 18, 437 P.2d 36 (1968).</w:t>
      </w:r>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of the trial, is the proper measure of damages in trover and conversion actions”);</w:t>
      </w:r>
      <w:r>
        <w:rPr>
          <w:rFonts w:eastAsia="Times New Roman"/>
          <w:b/>
          <w:bCs/>
          <w:sz w:val="24"/>
          <w:szCs w:val="24"/>
        </w:rPr>
        <w:t xml:space="preserve"> Colorado 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3" w:name="a32_04"/>
      <w:bookmarkEnd w:id="3"/>
      <w:r>
        <w:rPr>
          <w:rFonts w:eastAsia="Times New Roman"/>
          <w:b/>
          <w:sz w:val="24"/>
          <w:szCs w:val="24"/>
        </w:rPr>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37A6687F"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xml:space="preserve">, on </w:t>
      </w:r>
      <w:r w:rsidR="00A31786" w:rsidRPr="007263C7">
        <w:rPr>
          <w:bCs/>
          <w:i/>
          <w:iCs/>
          <w:sz w:val="24"/>
          <w:szCs w:val="24"/>
        </w:rPr>
        <w:t>(insert applicable pronoun)</w:t>
      </w:r>
      <w:r w:rsidRPr="00BB3D68">
        <w:rPr>
          <w:b/>
          <w:sz w:val="24"/>
          <w:szCs w:val="24"/>
        </w:rPr>
        <w:t xml:space="preserve">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707BEBF5"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00BF569D" w:rsidRPr="00EA0B32">
        <w:rPr>
          <w:rFonts w:eastAsia="Times New Roman"/>
          <w:b/>
          <w:sz w:val="24"/>
          <w:szCs w:val="24"/>
        </w:rPr>
        <w:t>Million v. Grasse</w:t>
      </w:r>
      <w:r w:rsidR="00BF569D">
        <w:rPr>
          <w:rFonts w:eastAsia="Times New Roman"/>
          <w:bCs/>
          <w:sz w:val="24"/>
          <w:szCs w:val="24"/>
        </w:rPr>
        <w:t xml:space="preserve">, 2024 COA 22, ¶ 52, 549 P.3d 1043, 1052 (“Because the net proceeds were not either specifically identifiable funds or funds from a specifically identifiable account, Million did not have a sufficient propriety interest in the money, precluding a civil theft claim.”); </w:t>
      </w:r>
      <w:r w:rsidRPr="00912FD6">
        <w:rPr>
          <w:rFonts w:eastAsia="Times New Roman"/>
          <w:b/>
          <w:bCs/>
          <w:sz w:val="24"/>
          <w:szCs w:val="24"/>
        </w:rPr>
        <w:t>Tisch</w:t>
      </w:r>
      <w:r>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w:t>
      </w:r>
      <w:r w:rsidR="008607BE">
        <w:rPr>
          <w:rFonts w:eastAsia="Times New Roman"/>
          <w:bCs/>
          <w:sz w:val="24"/>
          <w:szCs w:val="24"/>
        </w:rPr>
        <w:t>, 463 P.3d 883, 887</w:t>
      </w:r>
      <w:r>
        <w:rPr>
          <w:rFonts w:eastAsia="Times New Roman"/>
          <w:bCs/>
          <w:sz w:val="24"/>
          <w:szCs w:val="24"/>
        </w:rPr>
        <w:t xml:space="preserve">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under the policy; we do not 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1A976F84" w14:textId="4AC5423B" w:rsidR="00527A9A" w:rsidRDefault="00E75B12" w:rsidP="003A393E">
      <w:pPr>
        <w:spacing w:after="240"/>
        <w:ind w:firstLine="720"/>
        <w:rPr>
          <w:rFonts w:eastAsia="Times New Roman"/>
          <w:color w:val="000000"/>
          <w:sz w:val="24"/>
          <w:szCs w:val="24"/>
        </w:rPr>
      </w:pPr>
      <w:r>
        <w:rPr>
          <w:rFonts w:eastAsia="Times New Roman"/>
          <w:bCs/>
          <w:sz w:val="24"/>
          <w:szCs w:val="24"/>
        </w:rPr>
        <w:t xml:space="preserve">2. </w:t>
      </w:r>
      <w:r w:rsidR="00527A9A" w:rsidRPr="00AE4F75">
        <w:rPr>
          <w:rFonts w:eastAsia="Times New Roman"/>
          <w:color w:val="000000"/>
          <w:sz w:val="24"/>
          <w:szCs w:val="24"/>
        </w:rPr>
        <w:t>The civil theft statute (section 18-4-405</w:t>
      </w:r>
      <w:r w:rsidR="00527A9A">
        <w:rPr>
          <w:rFonts w:eastAsia="Times New Roman"/>
          <w:color w:val="000000"/>
          <w:sz w:val="24"/>
          <w:szCs w:val="24"/>
        </w:rPr>
        <w:t>, C.R.S.</w:t>
      </w:r>
      <w:r w:rsidR="00527A9A" w:rsidRPr="00817247">
        <w:rPr>
          <w:rFonts w:eastAsia="Times New Roman"/>
          <w:color w:val="000000"/>
          <w:sz w:val="24"/>
          <w:szCs w:val="24"/>
        </w:rPr>
        <w:t xml:space="preserve">) creates a private cause of action </w:t>
      </w:r>
      <w:r w:rsidR="00FF3E5C">
        <w:rPr>
          <w:rFonts w:eastAsia="Times New Roman"/>
          <w:color w:val="000000"/>
          <w:sz w:val="24"/>
          <w:szCs w:val="24"/>
        </w:rPr>
        <w:t xml:space="preserve">only </w:t>
      </w:r>
      <w:r w:rsidR="00527A9A" w:rsidRPr="00817247">
        <w:rPr>
          <w:rFonts w:eastAsia="Times New Roman"/>
          <w:color w:val="000000"/>
          <w:sz w:val="24"/>
          <w:szCs w:val="24"/>
        </w:rPr>
        <w:t xml:space="preserve">for thefts </w:t>
      </w:r>
      <w:r w:rsidR="00527A9A" w:rsidRPr="00A54523">
        <w:rPr>
          <w:rFonts w:eastAsia="Times New Roman"/>
          <w:color w:val="000000"/>
          <w:sz w:val="24"/>
          <w:szCs w:val="24"/>
        </w:rPr>
        <w:t>encompassed by the criminal th</w:t>
      </w:r>
      <w:r w:rsidR="00527A9A">
        <w:rPr>
          <w:rFonts w:eastAsia="Times New Roman"/>
          <w:color w:val="000000"/>
          <w:sz w:val="24"/>
          <w:szCs w:val="24"/>
        </w:rPr>
        <w:t xml:space="preserve">eft statute, section 18-4-401. </w:t>
      </w:r>
      <w:r w:rsidR="00527A9A" w:rsidRPr="00A54523">
        <w:rPr>
          <w:rFonts w:eastAsia="Times New Roman"/>
          <w:color w:val="000000"/>
          <w:sz w:val="24"/>
          <w:szCs w:val="24"/>
        </w:rPr>
        <w:t xml:space="preserve">Other statutorily </w:t>
      </w:r>
      <w:r w:rsidR="00527A9A">
        <w:rPr>
          <w:rFonts w:eastAsia="Times New Roman"/>
          <w:color w:val="000000"/>
          <w:sz w:val="24"/>
          <w:szCs w:val="24"/>
        </w:rPr>
        <w:t>define</w:t>
      </w:r>
      <w:r w:rsidR="00527A9A" w:rsidRPr="00AE4F75">
        <w:rPr>
          <w:rFonts w:eastAsia="Times New Roman"/>
          <w:color w:val="000000"/>
          <w:sz w:val="24"/>
          <w:szCs w:val="24"/>
        </w:rPr>
        <w:t xml:space="preserve">d </w:t>
      </w:r>
      <w:r w:rsidR="00527A9A">
        <w:rPr>
          <w:rFonts w:eastAsia="Times New Roman"/>
          <w:color w:val="000000"/>
          <w:sz w:val="24"/>
          <w:szCs w:val="24"/>
        </w:rPr>
        <w:t>forms</w:t>
      </w:r>
      <w:r w:rsidR="00527A9A" w:rsidRPr="00AE4F75">
        <w:rPr>
          <w:rFonts w:eastAsia="Times New Roman"/>
          <w:color w:val="000000"/>
          <w:sz w:val="24"/>
          <w:szCs w:val="24"/>
        </w:rPr>
        <w:t xml:space="preserve"> of theft, such as theft of medical records</w:t>
      </w:r>
      <w:r w:rsidR="00527A9A">
        <w:rPr>
          <w:rFonts w:eastAsia="Times New Roman"/>
          <w:color w:val="000000"/>
          <w:sz w:val="24"/>
          <w:szCs w:val="24"/>
        </w:rPr>
        <w:t xml:space="preserve">, </w:t>
      </w:r>
      <w:r w:rsidR="00527A9A">
        <w:rPr>
          <w:sz w:val="24"/>
          <w:szCs w:val="24"/>
        </w:rPr>
        <w:t>cable services, and trade secrets</w:t>
      </w:r>
      <w:r w:rsidR="008246D3">
        <w:rPr>
          <w:sz w:val="24"/>
          <w:szCs w:val="24"/>
        </w:rPr>
        <w:t>,</w:t>
      </w:r>
      <w:r w:rsidR="00527A9A">
        <w:rPr>
          <w:rFonts w:eastAsia="Times New Roman"/>
          <w:color w:val="000000"/>
          <w:sz w:val="24"/>
          <w:szCs w:val="24"/>
        </w:rPr>
        <w:t xml:space="preserve"> are not actionable</w:t>
      </w:r>
      <w:r w:rsidR="00FF3E5C">
        <w:rPr>
          <w:rFonts w:eastAsia="Times New Roman"/>
          <w:color w:val="000000"/>
          <w:sz w:val="24"/>
          <w:szCs w:val="24"/>
        </w:rPr>
        <w:t xml:space="preserve"> under section 18-4-405</w:t>
      </w:r>
      <w:r w:rsidR="00527A9A">
        <w:rPr>
          <w:rFonts w:eastAsia="Times New Roman"/>
          <w:color w:val="000000"/>
          <w:sz w:val="24"/>
          <w:szCs w:val="24"/>
        </w:rPr>
        <w:t xml:space="preserve">. </w:t>
      </w:r>
      <w:r w:rsidR="00527A9A" w:rsidRPr="00817247">
        <w:rPr>
          <w:rFonts w:eastAsia="Times New Roman"/>
          <w:b/>
          <w:bCs/>
          <w:color w:val="000000"/>
          <w:sz w:val="24"/>
          <w:szCs w:val="24"/>
        </w:rPr>
        <w:t>Winninger</w:t>
      </w:r>
      <w:r w:rsidR="00527A9A" w:rsidRPr="00A54523">
        <w:rPr>
          <w:rFonts w:eastAsia="Times New Roman"/>
          <w:b/>
          <w:bCs/>
          <w:color w:val="000000"/>
          <w:sz w:val="24"/>
          <w:szCs w:val="24"/>
        </w:rPr>
        <w:t xml:space="preserve"> v. Kirchner</w:t>
      </w:r>
      <w:r w:rsidR="00527A9A" w:rsidRPr="00A54523">
        <w:rPr>
          <w:rFonts w:eastAsia="Times New Roman"/>
          <w:color w:val="000000"/>
          <w:sz w:val="24"/>
          <w:szCs w:val="24"/>
        </w:rPr>
        <w:t>, 2021 CO 47, ¶¶</w:t>
      </w:r>
      <w:r w:rsidR="00527A9A" w:rsidRPr="007629B8">
        <w:rPr>
          <w:sz w:val="24"/>
          <w:szCs w:val="24"/>
        </w:rPr>
        <w:t> 35-41, 488 P.3d 1091</w:t>
      </w:r>
      <w:r w:rsidR="00527A9A" w:rsidRPr="00AE4F75">
        <w:rPr>
          <w:rFonts w:eastAsia="Times New Roman"/>
          <w:color w:val="000000"/>
          <w:sz w:val="24"/>
          <w:szCs w:val="24"/>
        </w:rPr>
        <w:t>.</w:t>
      </w:r>
    </w:p>
    <w:p w14:paraId="03EDD71A" w14:textId="77777777" w:rsidR="001B1468" w:rsidRDefault="00527A9A" w:rsidP="003A393E">
      <w:pPr>
        <w:spacing w:after="240"/>
        <w:ind w:firstLine="720"/>
        <w:rPr>
          <w:rFonts w:eastAsia="Times New Roman"/>
          <w:bCs/>
          <w:sz w:val="24"/>
          <w:szCs w:val="24"/>
        </w:rPr>
      </w:pPr>
      <w:r>
        <w:rPr>
          <w:rFonts w:eastAsia="Times New Roman"/>
          <w:color w:val="000000"/>
          <w:sz w:val="24"/>
          <w:szCs w:val="24"/>
        </w:rPr>
        <w:t xml:space="preserve">3. </w:t>
      </w:r>
      <w:r w:rsidR="00247EA8">
        <w:rPr>
          <w:rFonts w:eastAsia="Times New Roman"/>
          <w:bCs/>
          <w:sz w:val="24"/>
          <w:szCs w:val="24"/>
        </w:rPr>
        <w:t xml:space="preserve">The owner of stolen property </w:t>
      </w:r>
      <w:r w:rsidR="00B2034B">
        <w:rPr>
          <w:rFonts w:eastAsia="Times New Roman"/>
          <w:bCs/>
          <w:sz w:val="24"/>
          <w:szCs w:val="24"/>
        </w:rPr>
        <w:t xml:space="preserve">who brings </w:t>
      </w:r>
      <w:r w:rsidR="00247EA8">
        <w:rPr>
          <w:rFonts w:eastAsia="Times New Roman"/>
          <w:bCs/>
          <w:sz w:val="24"/>
          <w:szCs w:val="24"/>
        </w:rPr>
        <w:t xml:space="preserve">a civil action for theft must prove all elements of criminal theft by a preponderance of the evidence. </w:t>
      </w:r>
      <w:r w:rsidR="00247EA8" w:rsidRPr="00247EA8">
        <w:rPr>
          <w:rFonts w:eastAsia="Times New Roman"/>
          <w:b/>
          <w:bCs/>
          <w:sz w:val="24"/>
          <w:szCs w:val="24"/>
        </w:rPr>
        <w:t>Dep’t of Nat. Res</w:t>
      </w:r>
      <w:r w:rsidR="00C54097">
        <w:rPr>
          <w:rFonts w:eastAsia="Times New Roman"/>
          <w:b/>
          <w:bCs/>
          <w:sz w:val="24"/>
          <w:szCs w:val="24"/>
        </w:rPr>
        <w:t>.</w:t>
      </w:r>
      <w:r w:rsidR="00247EA8" w:rsidRPr="00247EA8">
        <w:rPr>
          <w:rFonts w:eastAsia="Times New Roman"/>
          <w:b/>
          <w:bCs/>
          <w:sz w:val="24"/>
          <w:szCs w:val="24"/>
        </w:rPr>
        <w:t xml:space="preserve"> v. 5 Star Feedlot, Inc.</w:t>
      </w:r>
      <w:r w:rsidR="00247EA8">
        <w:rPr>
          <w:rFonts w:eastAsia="Times New Roman"/>
          <w:bCs/>
          <w:sz w:val="24"/>
          <w:szCs w:val="24"/>
        </w:rPr>
        <w:t xml:space="preserve">, 2019 COA 162M, ¶ </w:t>
      </w:r>
      <w:r w:rsidR="00C54097">
        <w:rPr>
          <w:rFonts w:eastAsia="Times New Roman"/>
          <w:bCs/>
          <w:sz w:val="24"/>
          <w:szCs w:val="24"/>
        </w:rPr>
        <w:t>14</w:t>
      </w:r>
      <w:r>
        <w:rPr>
          <w:rFonts w:eastAsia="Times New Roman"/>
          <w:bCs/>
          <w:sz w:val="24"/>
          <w:szCs w:val="24"/>
        </w:rPr>
        <w:t xml:space="preserve">, 487 P.3d 1183, </w:t>
      </w:r>
      <w:r w:rsidRPr="00E97B32">
        <w:rPr>
          <w:rFonts w:eastAsia="Times New Roman"/>
          <w:bCs/>
          <w:i/>
          <w:sz w:val="24"/>
          <w:szCs w:val="24"/>
        </w:rPr>
        <w:t>aff’d</w:t>
      </w:r>
      <w:r>
        <w:rPr>
          <w:rFonts w:eastAsia="Times New Roman"/>
          <w:bCs/>
          <w:sz w:val="24"/>
          <w:szCs w:val="24"/>
        </w:rPr>
        <w:t>, 2021 CO 27, 486 P.3d 250</w:t>
      </w:r>
      <w:r w:rsidR="00C54097">
        <w:rPr>
          <w:rFonts w:eastAsia="Times New Roman"/>
          <w:bCs/>
          <w:sz w:val="24"/>
          <w:szCs w:val="24"/>
        </w:rPr>
        <w:t>.</w:t>
      </w:r>
      <w:r w:rsidR="001B1468">
        <w:rPr>
          <w:rFonts w:eastAsia="Times New Roman"/>
          <w:bCs/>
          <w:sz w:val="24"/>
          <w:szCs w:val="24"/>
        </w:rPr>
        <w:t xml:space="preserve"> </w:t>
      </w:r>
    </w:p>
    <w:p w14:paraId="6E2D7B3C" w14:textId="330DEB38" w:rsidR="00247EA8" w:rsidRDefault="001B1468" w:rsidP="003A393E">
      <w:pPr>
        <w:spacing w:after="240"/>
        <w:ind w:firstLine="720"/>
        <w:rPr>
          <w:rFonts w:eastAsia="Times New Roman"/>
          <w:bCs/>
          <w:sz w:val="24"/>
          <w:szCs w:val="24"/>
        </w:rPr>
      </w:pPr>
      <w:r>
        <w:rPr>
          <w:rFonts w:eastAsia="Times New Roman"/>
          <w:bCs/>
          <w:sz w:val="24"/>
          <w:szCs w:val="24"/>
        </w:rPr>
        <w:t xml:space="preserve">4. That stolen property was returned to </w:t>
      </w:r>
      <w:r w:rsidR="00795FC6">
        <w:rPr>
          <w:rFonts w:eastAsia="Times New Roman"/>
          <w:bCs/>
          <w:sz w:val="24"/>
          <w:szCs w:val="24"/>
        </w:rPr>
        <w:t>the</w:t>
      </w:r>
      <w:r>
        <w:rPr>
          <w:rFonts w:eastAsia="Times New Roman"/>
          <w:bCs/>
          <w:sz w:val="24"/>
          <w:szCs w:val="24"/>
        </w:rPr>
        <w:t xml:space="preserve"> plaintiff is not a defense to a civil theft charge.  </w:t>
      </w:r>
      <w:r w:rsidRPr="00581B0D">
        <w:rPr>
          <w:rFonts w:eastAsia="Times New Roman"/>
          <w:b/>
          <w:sz w:val="24"/>
          <w:szCs w:val="24"/>
        </w:rPr>
        <w:t>In re Estate of Chavez</w:t>
      </w:r>
      <w:r>
        <w:rPr>
          <w:rFonts w:eastAsia="Times New Roman"/>
          <w:bCs/>
          <w:sz w:val="24"/>
          <w:szCs w:val="24"/>
        </w:rPr>
        <w:t>, 2022 COA 89M, ¶ 48</w:t>
      </w:r>
      <w:r w:rsidR="000D5B3F">
        <w:rPr>
          <w:rFonts w:eastAsia="Times New Roman"/>
          <w:bCs/>
          <w:sz w:val="24"/>
          <w:szCs w:val="24"/>
        </w:rPr>
        <w:t>,</w:t>
      </w:r>
      <w:r>
        <w:rPr>
          <w:rFonts w:eastAsia="Times New Roman"/>
          <w:bCs/>
          <w:sz w:val="24"/>
          <w:szCs w:val="24"/>
        </w:rPr>
        <w:t xml:space="preserve"> 520 P.3d 194, </w:t>
      </w:r>
      <w:r w:rsidR="000D5B3F">
        <w:rPr>
          <w:rFonts w:eastAsia="Times New Roman"/>
          <w:bCs/>
          <w:sz w:val="24"/>
          <w:szCs w:val="24"/>
        </w:rPr>
        <w:t xml:space="preserve">204 </w:t>
      </w:r>
      <w:r>
        <w:rPr>
          <w:rFonts w:eastAsia="Times New Roman"/>
          <w:bCs/>
          <w:sz w:val="24"/>
          <w:szCs w:val="24"/>
        </w:rPr>
        <w:t>(“returning funds taken from [plaintiff’s] account is not a defense to civil theft”)</w:t>
      </w:r>
      <w:r w:rsidR="000D5B3F">
        <w:rPr>
          <w:rFonts w:eastAsia="Times New Roman"/>
          <w:bCs/>
          <w:sz w:val="24"/>
          <w:szCs w:val="24"/>
        </w:rPr>
        <w:t>.</w:t>
      </w:r>
    </w:p>
    <w:p w14:paraId="023C8114" w14:textId="550CDD29" w:rsidR="00E75B12" w:rsidRDefault="009B5F41" w:rsidP="003A393E">
      <w:pPr>
        <w:spacing w:after="240"/>
        <w:ind w:firstLine="720"/>
        <w:rPr>
          <w:sz w:val="24"/>
          <w:szCs w:val="24"/>
        </w:rPr>
      </w:pPr>
      <w:r>
        <w:rPr>
          <w:rFonts w:eastAsia="Times New Roman"/>
          <w:bCs/>
          <w:sz w:val="24"/>
          <w:szCs w:val="24"/>
        </w:rPr>
        <w:t>5</w:t>
      </w:r>
      <w:r w:rsidR="00247EA8">
        <w:rPr>
          <w:rFonts w:eastAsia="Times New Roman"/>
          <w:bCs/>
          <w:sz w:val="24"/>
          <w:szCs w:val="24"/>
        </w:rPr>
        <w:t xml:space="preserve">. </w:t>
      </w:r>
      <w:r w:rsidR="00E75B12">
        <w:rPr>
          <w:rFonts w:eastAsia="Times New Roman"/>
          <w:bCs/>
          <w:sz w:val="24"/>
          <w:szCs w:val="24"/>
        </w:rPr>
        <w:t xml:space="preserve">A claim for civil theft is not barred by the economic loss rule. </w:t>
      </w:r>
      <w:r w:rsidR="00E75B12" w:rsidRPr="006C748A">
        <w:rPr>
          <w:b/>
          <w:sz w:val="24"/>
          <w:szCs w:val="24"/>
        </w:rPr>
        <w:t>Bermel</w:t>
      </w:r>
      <w:r w:rsidR="00E75B12" w:rsidRPr="00CE0E6F">
        <w:rPr>
          <w:sz w:val="24"/>
          <w:szCs w:val="24"/>
        </w:rPr>
        <w:t>,</w:t>
      </w:r>
      <w:r w:rsidR="00E75B12">
        <w:rPr>
          <w:sz w:val="24"/>
          <w:szCs w:val="24"/>
        </w:rPr>
        <w:t xml:space="preserve"> </w:t>
      </w:r>
      <w:r w:rsidR="00E75B12" w:rsidRPr="00230084">
        <w:rPr>
          <w:sz w:val="24"/>
          <w:szCs w:val="24"/>
        </w:rPr>
        <w:t>¶</w:t>
      </w:r>
      <w:r w:rsidR="00E75B12">
        <w:rPr>
          <w:sz w:val="24"/>
          <w:szCs w:val="24"/>
        </w:rPr>
        <w:t xml:space="preserve"> 43, 440 P.3d at 1159 (“we hold that the judge-made economic loss rule cannot bar BlueRadios’ statutory counterclaim for civil theft”).</w:t>
      </w:r>
    </w:p>
    <w:p w14:paraId="66308806" w14:textId="7071952C" w:rsidR="00E75B12" w:rsidRDefault="009B5F41" w:rsidP="003A393E">
      <w:pPr>
        <w:spacing w:after="240"/>
        <w:ind w:firstLine="720"/>
        <w:rPr>
          <w:sz w:val="24"/>
          <w:szCs w:val="24"/>
        </w:rPr>
      </w:pPr>
      <w:r>
        <w:rPr>
          <w:sz w:val="24"/>
          <w:szCs w:val="24"/>
        </w:rPr>
        <w:t>6</w:t>
      </w:r>
      <w:r w:rsidR="00E75B12">
        <w:rPr>
          <w:sz w:val="24"/>
          <w:szCs w:val="24"/>
        </w:rPr>
        <w:t>. The intent to permanently deprive another of the use and benefit of his property may be inferred from the defendant</w:t>
      </w:r>
      <w:r w:rsidR="00B1427B">
        <w:rPr>
          <w:sz w:val="24"/>
          <w:szCs w:val="24"/>
        </w:rPr>
        <w:t>’</w:t>
      </w:r>
      <w:r w:rsidR="00E75B12">
        <w:rPr>
          <w:sz w:val="24"/>
          <w:szCs w:val="24"/>
        </w:rPr>
        <w:t xml:space="preserve">s conduct and circumstances. </w:t>
      </w:r>
      <w:r w:rsidR="00E75B12" w:rsidRPr="00912FD6">
        <w:rPr>
          <w:b/>
          <w:sz w:val="24"/>
          <w:szCs w:val="24"/>
        </w:rPr>
        <w:t>Huffman</w:t>
      </w:r>
      <w:r w:rsidR="00E75B12">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24E53C77" w:rsidR="00E75B12" w:rsidRDefault="009B5F41" w:rsidP="003A393E">
      <w:pPr>
        <w:spacing w:after="240"/>
        <w:ind w:firstLine="720"/>
        <w:rPr>
          <w:sz w:val="24"/>
          <w:szCs w:val="24"/>
        </w:rPr>
      </w:pPr>
      <w:r>
        <w:rPr>
          <w:sz w:val="24"/>
          <w:szCs w:val="24"/>
        </w:rPr>
        <w:t>7</w:t>
      </w:r>
      <w:r w:rsidR="00E75B12">
        <w:rPr>
          <w:sz w:val="24"/>
          <w:szCs w:val="24"/>
        </w:rPr>
        <w:t xml:space="preserve">. Defendant’s ownership of the thing of value is a defense to the claim. </w:t>
      </w:r>
      <w:r w:rsidR="00E75B12" w:rsidRPr="00912FD6">
        <w:rPr>
          <w:b/>
          <w:sz w:val="24"/>
          <w:szCs w:val="24"/>
        </w:rPr>
        <w:t>Steward Software Co.</w:t>
      </w:r>
      <w:r w:rsidR="00E75B12" w:rsidRPr="00C774D0">
        <w:rPr>
          <w:sz w:val="24"/>
          <w:szCs w:val="24"/>
        </w:rPr>
        <w:t>,</w:t>
      </w:r>
      <w:r w:rsidR="00E75B12">
        <w:rPr>
          <w:sz w:val="24"/>
          <w:szCs w:val="24"/>
        </w:rPr>
        <w:t xml:space="preserve"> 266 P.3d at 1087 (“Because a person must commit theft of the property </w:t>
      </w:r>
      <w:r w:rsidR="00E75B12" w:rsidRPr="00583178">
        <w:rPr>
          <w:i/>
          <w:sz w:val="24"/>
          <w:szCs w:val="24"/>
        </w:rPr>
        <w:t>of another</w:t>
      </w:r>
      <w:r w:rsidR="00E75B12">
        <w:rPr>
          <w:sz w:val="24"/>
          <w:szCs w:val="24"/>
        </w:rPr>
        <w:t xml:space="preserve">, ownership of the property at issue </w:t>
      </w:r>
      <w:r w:rsidR="00FB4BE5">
        <w:rPr>
          <w:sz w:val="24"/>
          <w:szCs w:val="24"/>
        </w:rPr>
        <w:t>is a defense to civil theft.”).</w:t>
      </w:r>
    </w:p>
    <w:p w14:paraId="5C56B397" w14:textId="195C7E41" w:rsidR="003A393E" w:rsidRDefault="009B5F41" w:rsidP="000D5B3F">
      <w:pPr>
        <w:spacing w:after="240"/>
        <w:ind w:firstLine="720"/>
        <w:rPr>
          <w:sz w:val="24"/>
          <w:szCs w:val="24"/>
        </w:rPr>
      </w:pPr>
      <w:r>
        <w:rPr>
          <w:sz w:val="24"/>
          <w:szCs w:val="24"/>
        </w:rPr>
        <w:t>8</w:t>
      </w:r>
      <w:r w:rsidR="00E75B12">
        <w:rPr>
          <w:sz w:val="24"/>
          <w:szCs w:val="24"/>
        </w:rPr>
        <w:t>. A claim for civil theft must be brought within two years after the “date both the injury and its cause are known or should have been known by the exer</w:t>
      </w:r>
      <w:r w:rsidR="00131237">
        <w:rPr>
          <w:sz w:val="24"/>
          <w:szCs w:val="24"/>
        </w:rPr>
        <w:t xml:space="preserve">cise of reasonable diligence.” </w:t>
      </w:r>
      <w:r w:rsidR="00E75B12" w:rsidRPr="00912FD6">
        <w:rPr>
          <w:b/>
          <w:sz w:val="24"/>
          <w:szCs w:val="24"/>
        </w:rPr>
        <w:t>Black</w:t>
      </w:r>
      <w:r w:rsidR="00E75B12">
        <w:rPr>
          <w:sz w:val="24"/>
          <w:szCs w:val="24"/>
        </w:rPr>
        <w:t xml:space="preserve">, </w:t>
      </w:r>
      <w:r w:rsidR="00E75B12" w:rsidRPr="00307579">
        <w:rPr>
          <w:sz w:val="24"/>
          <w:szCs w:val="24"/>
        </w:rPr>
        <w:t>¶</w:t>
      </w:r>
      <w:r w:rsidR="00E75B12">
        <w:rPr>
          <w:sz w:val="24"/>
          <w:szCs w:val="24"/>
        </w:rPr>
        <w:t xml:space="preserve"> 87, 422 P.3d at 607 (q</w:t>
      </w:r>
      <w:r w:rsidR="00FB4BE5">
        <w:rPr>
          <w:sz w:val="24"/>
          <w:szCs w:val="24"/>
        </w:rPr>
        <w:t>uoting § 13-80-108(1), C.R.S.).</w:t>
      </w:r>
    </w:p>
    <w:p w14:paraId="56C4ADCC" w14:textId="09609C1B" w:rsidR="00E75B12" w:rsidRPr="00C84E7A" w:rsidRDefault="00E75B12" w:rsidP="00A31786">
      <w:pPr>
        <w:spacing w:after="240" w:line="276" w:lineRule="auto"/>
        <w:rPr>
          <w:rFonts w:eastAsia="Times New Roman"/>
          <w:b/>
          <w:sz w:val="24"/>
          <w:szCs w:val="24"/>
        </w:rPr>
      </w:pPr>
      <w:r>
        <w:rPr>
          <w:rFonts w:eastAsia="Times New Roman"/>
          <w:bCs/>
          <w:sz w:val="24"/>
          <w:szCs w:val="24"/>
        </w:rPr>
        <w:br w:type="page"/>
      </w:r>
      <w:bookmarkStart w:id="4" w:name="a32_05"/>
      <w:bookmarkEnd w:id="4"/>
      <w:r>
        <w:rPr>
          <w:rFonts w:eastAsia="Times New Roman"/>
          <w:b/>
          <w:sz w:val="24"/>
          <w:szCs w:val="24"/>
        </w:rPr>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6FF5E1A1" w:rsidR="00E75B12" w:rsidRDefault="00E75B12" w:rsidP="006C44F9">
      <w:pPr>
        <w:spacing w:after="240"/>
        <w:ind w:firstLine="720"/>
        <w:rPr>
          <w:b/>
          <w:sz w:val="24"/>
          <w:szCs w:val="24"/>
        </w:rPr>
      </w:pPr>
      <w:r>
        <w:rPr>
          <w:b/>
          <w:sz w:val="24"/>
          <w:szCs w:val="24"/>
        </w:rPr>
        <w:t xml:space="preserve">A person acts with intent when </w:t>
      </w:r>
      <w:r w:rsidR="0059764B">
        <w:rPr>
          <w:bCs/>
          <w:i/>
          <w:iCs/>
          <w:sz w:val="24"/>
          <w:szCs w:val="24"/>
        </w:rPr>
        <w:t>(insert applicable pronoun)</w:t>
      </w:r>
      <w:r>
        <w:rPr>
          <w:b/>
          <w:sz w:val="24"/>
          <w:szCs w:val="24"/>
        </w:rPr>
        <w:t>conscious objective is to cause a specific result.</w:t>
      </w:r>
    </w:p>
    <w:p w14:paraId="69AD16FD" w14:textId="0CCE9704" w:rsidR="00E75B12" w:rsidRDefault="00E75B12" w:rsidP="006C44F9">
      <w:pPr>
        <w:spacing w:after="240"/>
        <w:ind w:firstLine="720"/>
        <w:rPr>
          <w:b/>
          <w:sz w:val="24"/>
          <w:szCs w:val="24"/>
        </w:rPr>
      </w:pPr>
      <w:r>
        <w:rPr>
          <w:b/>
          <w:sz w:val="24"/>
          <w:szCs w:val="24"/>
        </w:rPr>
        <w:t xml:space="preserve">A person acts knowingly with respect to conduct or to a circumstance when </w:t>
      </w:r>
      <w:r w:rsidR="0059764B">
        <w:rPr>
          <w:bCs/>
          <w:i/>
          <w:iCs/>
          <w:sz w:val="24"/>
          <w:szCs w:val="24"/>
        </w:rPr>
        <w:t>(insert applicable pronoun)</w:t>
      </w:r>
      <w:r>
        <w:rPr>
          <w:b/>
          <w:sz w:val="24"/>
          <w:szCs w:val="24"/>
        </w:rPr>
        <w:t xml:space="preserve"> is aware that </w:t>
      </w:r>
      <w:r w:rsidR="0059764B">
        <w:rPr>
          <w:bCs/>
          <w:i/>
          <w:iCs/>
          <w:sz w:val="24"/>
          <w:szCs w:val="24"/>
        </w:rPr>
        <w:t>(insert applicable pronoun)</w:t>
      </w:r>
      <w:r w:rsidR="001B1259" w:rsidRPr="001B1259">
        <w:rPr>
          <w:b/>
          <w:sz w:val="24"/>
          <w:szCs w:val="24"/>
        </w:rPr>
        <w:t xml:space="preserve"> </w:t>
      </w:r>
      <w:r>
        <w:rPr>
          <w:b/>
          <w:sz w:val="24"/>
          <w:szCs w:val="24"/>
        </w:rPr>
        <w:t xml:space="preserve">conduct is of such nature or that such circumstance exists. A person acts knowingly with respect to a result of </w:t>
      </w:r>
      <w:r w:rsidR="0059764B">
        <w:rPr>
          <w:bCs/>
          <w:i/>
          <w:iCs/>
          <w:sz w:val="24"/>
          <w:szCs w:val="24"/>
        </w:rPr>
        <w:t>(insert applicable pronoun)</w:t>
      </w:r>
      <w:r>
        <w:rPr>
          <w:b/>
          <w:sz w:val="24"/>
          <w:szCs w:val="24"/>
        </w:rPr>
        <w:t xml:space="preserve"> conduct when </w:t>
      </w:r>
      <w:r w:rsidR="0059764B">
        <w:rPr>
          <w:bCs/>
          <w:i/>
          <w:iCs/>
          <w:sz w:val="24"/>
          <w:szCs w:val="24"/>
        </w:rPr>
        <w:t>(insert applicable pronoun)</w:t>
      </w:r>
      <w:r w:rsidR="0059764B" w:rsidDel="0059764B">
        <w:rPr>
          <w:b/>
          <w:sz w:val="24"/>
          <w:szCs w:val="24"/>
        </w:rPr>
        <w:t xml:space="preserve"> </w:t>
      </w:r>
      <w:r>
        <w:rPr>
          <w:b/>
          <w:sz w:val="24"/>
          <w:szCs w:val="24"/>
        </w:rPr>
        <w:t xml:space="preserve">is aware that </w:t>
      </w:r>
      <w:r w:rsidR="0059764B">
        <w:rPr>
          <w:bCs/>
          <w:i/>
          <w:iCs/>
          <w:sz w:val="24"/>
          <w:szCs w:val="24"/>
        </w:rPr>
        <w:t>(insert applicable pronoun)</w:t>
      </w:r>
      <w:r>
        <w:rPr>
          <w:b/>
          <w:sz w:val="24"/>
          <w:szCs w:val="24"/>
        </w:rPr>
        <w:t xml:space="preserve">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5" w:name="a32_06"/>
      <w:bookmarkEnd w:id="5"/>
      <w:r>
        <w:rPr>
          <w:b/>
          <w:sz w:val="24"/>
          <w:szCs w:val="24"/>
        </w:rPr>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0B23859E"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w:t>
      </w:r>
      <w:r w:rsidR="0059764B">
        <w:rPr>
          <w:bCs/>
          <w:i/>
          <w:iCs/>
          <w:sz w:val="24"/>
          <w:szCs w:val="24"/>
        </w:rPr>
        <w:t>(insert applicable pronoun)</w:t>
      </w:r>
      <w:r>
        <w:rPr>
          <w:b/>
          <w:sz w:val="24"/>
          <w:szCs w:val="24"/>
        </w:rPr>
        <w:t xml:space="preserve">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EFFDDBC" w:rsidR="00E75B12" w:rsidRDefault="00E75B12" w:rsidP="0037307E">
      <w:pPr>
        <w:spacing w:after="240"/>
        <w:ind w:firstLine="720"/>
        <w:rPr>
          <w:rFonts w:eastAsia="Times New Roman"/>
          <w:bCs/>
          <w:sz w:val="24"/>
          <w:szCs w:val="24"/>
        </w:rPr>
      </w:pPr>
      <w:r>
        <w:rPr>
          <w:rFonts w:eastAsia="Times New Roman"/>
          <w:bCs/>
          <w:sz w:val="24"/>
          <w:szCs w:val="24"/>
        </w:rPr>
        <w:t>1. If the jury awards actual damages, the amount should by trebled by the court</w:t>
      </w:r>
      <w:r w:rsidR="00864369">
        <w:rPr>
          <w:rFonts w:eastAsia="Times New Roman"/>
          <w:bCs/>
          <w:sz w:val="24"/>
          <w:szCs w:val="24"/>
        </w:rPr>
        <w:t xml:space="preserve"> before any offsets are applied.</w:t>
      </w:r>
      <w:r>
        <w:rPr>
          <w:rFonts w:eastAsia="Times New Roman"/>
          <w:bCs/>
          <w:sz w:val="24"/>
          <w:szCs w:val="24"/>
        </w:rPr>
        <w:t xml:space="preserve"> </w:t>
      </w:r>
      <w:r w:rsidR="00864369" w:rsidRPr="00581B0D">
        <w:rPr>
          <w:rFonts w:eastAsia="Times New Roman"/>
          <w:b/>
          <w:sz w:val="24"/>
          <w:szCs w:val="24"/>
        </w:rPr>
        <w:t>In re Estate of Chavez</w:t>
      </w:r>
      <w:r w:rsidR="00864369">
        <w:rPr>
          <w:rFonts w:eastAsia="Times New Roman"/>
          <w:bCs/>
          <w:sz w:val="24"/>
          <w:szCs w:val="24"/>
        </w:rPr>
        <w:t xml:space="preserve">, 2022 COA 89M, ¶ </w:t>
      </w:r>
      <w:r w:rsidR="000D5B3F">
        <w:rPr>
          <w:rFonts w:eastAsia="Times New Roman"/>
          <w:bCs/>
          <w:sz w:val="24"/>
          <w:szCs w:val="24"/>
        </w:rPr>
        <w:t>5</w:t>
      </w:r>
      <w:r w:rsidR="00864369">
        <w:rPr>
          <w:rFonts w:eastAsia="Times New Roman"/>
          <w:bCs/>
          <w:sz w:val="24"/>
          <w:szCs w:val="24"/>
        </w:rPr>
        <w:t>8</w:t>
      </w:r>
      <w:r w:rsidR="000D5B3F">
        <w:rPr>
          <w:rFonts w:eastAsia="Times New Roman"/>
          <w:bCs/>
          <w:sz w:val="24"/>
          <w:szCs w:val="24"/>
        </w:rPr>
        <w:t>,</w:t>
      </w:r>
      <w:r w:rsidR="00864369">
        <w:rPr>
          <w:rFonts w:eastAsia="Times New Roman"/>
          <w:bCs/>
          <w:sz w:val="24"/>
          <w:szCs w:val="24"/>
        </w:rPr>
        <w:t xml:space="preserve"> 520 P.3d 194</w:t>
      </w:r>
      <w:r w:rsidR="000D5B3F">
        <w:rPr>
          <w:rFonts w:eastAsia="Times New Roman"/>
          <w:bCs/>
          <w:sz w:val="24"/>
          <w:szCs w:val="24"/>
        </w:rPr>
        <w:t>, 206</w:t>
      </w:r>
      <w:r w:rsidR="00864369">
        <w:rPr>
          <w:rFonts w:eastAsia="Times New Roman"/>
          <w:bCs/>
          <w:sz w:val="24"/>
          <w:szCs w:val="24"/>
        </w:rPr>
        <w:t xml:space="preserve"> (“recognizing an offset . . . before the actual damages are trebled contravenes the purpose of the statute”)</w:t>
      </w:r>
      <w:r w:rsidR="000D5B3F">
        <w:rPr>
          <w:rFonts w:eastAsia="Times New Roman"/>
          <w:bCs/>
          <w:sz w:val="24"/>
          <w:szCs w:val="24"/>
        </w:rPr>
        <w:t xml:space="preserve">; </w:t>
      </w:r>
      <w:r w:rsidR="000D5B3F" w:rsidRPr="000D5B3F">
        <w:rPr>
          <w:rFonts w:eastAsia="Times New Roman"/>
          <w:bCs/>
          <w:i/>
          <w:iCs/>
          <w:sz w:val="24"/>
          <w:szCs w:val="24"/>
        </w:rPr>
        <w:t>see</w:t>
      </w:r>
      <w:r w:rsidR="000D5B3F">
        <w:rPr>
          <w:rFonts w:eastAsia="Times New Roman"/>
          <w:bCs/>
          <w:sz w:val="24"/>
          <w:szCs w:val="24"/>
        </w:rPr>
        <w:t xml:space="preserve"> </w:t>
      </w:r>
      <w:r>
        <w:rPr>
          <w:rFonts w:eastAsia="Times New Roman"/>
          <w:bCs/>
          <w:sz w:val="24"/>
          <w:szCs w:val="24"/>
        </w:rPr>
        <w:t xml:space="preserve">§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r w:rsidRPr="00912FD6">
        <w:rPr>
          <w:b/>
          <w:sz w:val="24"/>
          <w:szCs w:val="24"/>
        </w:rPr>
        <w:t>Becker &amp; Tenenbaum v. Eagle Rest</w:t>
      </w:r>
      <w:r>
        <w:rPr>
          <w:b/>
          <w:sz w:val="24"/>
          <w:szCs w:val="24"/>
        </w:rPr>
        <w:t>.</w:t>
      </w:r>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565A4B6B" w14:textId="610C1DBD" w:rsidR="00AB4B98" w:rsidRDefault="00247EA8" w:rsidP="00AB4B98">
      <w:pPr>
        <w:shd w:val="clear" w:color="auto" w:fill="FFFFFF"/>
        <w:ind w:firstLine="720"/>
        <w:rPr>
          <w:rFonts w:eastAsia="Times New Roman"/>
          <w:color w:val="000000"/>
          <w:sz w:val="24"/>
          <w:szCs w:val="24"/>
        </w:rPr>
      </w:pPr>
      <w:r w:rsidRPr="00E94CE4">
        <w:rPr>
          <w:sz w:val="24"/>
          <w:szCs w:val="24"/>
        </w:rPr>
        <w:t xml:space="preserve">4. </w:t>
      </w:r>
      <w:r w:rsidR="00E94CE4" w:rsidRPr="00E94CE4">
        <w:rPr>
          <w:sz w:val="24"/>
          <w:szCs w:val="24"/>
        </w:rPr>
        <w:t xml:space="preserve">“[I]f attorney fees and costs are a component of damages for a statutory claim, a judgment for damages on such a claim is not appealable until the amount of the attorney fees and costs has been set.” </w:t>
      </w:r>
      <w:r w:rsidR="00E94CE4" w:rsidRPr="00247EA8">
        <w:rPr>
          <w:b/>
          <w:sz w:val="24"/>
          <w:szCs w:val="24"/>
        </w:rPr>
        <w:t>Chavez v. Chavez</w:t>
      </w:r>
      <w:r w:rsidR="00C6295B">
        <w:rPr>
          <w:sz w:val="24"/>
          <w:szCs w:val="24"/>
        </w:rPr>
        <w:t xml:space="preserve">, 2020 COA 70, </w:t>
      </w:r>
      <w:r w:rsidR="00E94CE4">
        <w:rPr>
          <w:sz w:val="24"/>
          <w:szCs w:val="24"/>
        </w:rPr>
        <w:t xml:space="preserve">¶ 28, 465 P.3d 133 (quoting </w:t>
      </w:r>
      <w:r w:rsidR="00C6295B" w:rsidRPr="00C6295B">
        <w:rPr>
          <w:rFonts w:eastAsia="Times New Roman"/>
          <w:b/>
          <w:color w:val="000000"/>
          <w:sz w:val="24"/>
          <w:szCs w:val="24"/>
        </w:rPr>
        <w:t>Hall v. Am. Standard Ins. Co.</w:t>
      </w:r>
      <w:r w:rsidR="00C6295B" w:rsidRPr="00C6295B">
        <w:rPr>
          <w:rFonts w:eastAsia="Times New Roman"/>
          <w:color w:val="000000"/>
          <w:sz w:val="24"/>
          <w:szCs w:val="24"/>
        </w:rPr>
        <w:t>, 2012 COA 201, ¶ 14, 292 P.3d 1196, 1200</w:t>
      </w:r>
      <w:r w:rsidR="00C6295B">
        <w:rPr>
          <w:rFonts w:eastAsia="Times New Roman"/>
          <w:color w:val="000000"/>
          <w:sz w:val="24"/>
          <w:szCs w:val="24"/>
        </w:rPr>
        <w:t>).</w:t>
      </w:r>
      <w:r w:rsidR="00AB4B98">
        <w:rPr>
          <w:rFonts w:eastAsia="Times New Roman"/>
          <w:color w:val="000000"/>
          <w:sz w:val="24"/>
          <w:szCs w:val="24"/>
        </w:rPr>
        <w:br w:type="page"/>
      </w:r>
    </w:p>
    <w:p w14:paraId="43B46F56" w14:textId="77777777" w:rsidR="00E75B12" w:rsidRDefault="00E75B12" w:rsidP="006061DA">
      <w:pPr>
        <w:spacing w:after="240"/>
        <w:rPr>
          <w:b/>
          <w:sz w:val="24"/>
          <w:szCs w:val="24"/>
        </w:rPr>
      </w:pPr>
      <w:bookmarkStart w:id="6" w:name="a32_07"/>
      <w:bookmarkEnd w:id="6"/>
      <w:r>
        <w:rPr>
          <w:b/>
          <w:sz w:val="24"/>
          <w:szCs w:val="24"/>
        </w:rPr>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r>
        <w:rPr>
          <w:rFonts w:eastAsia="Times New Roman"/>
          <w:bCs/>
          <w:sz w:val="24"/>
          <w:szCs w:val="24"/>
        </w:rPr>
        <w:t>None.</w:t>
      </w:r>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01D827E1"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p w14:paraId="5C7EA293" w14:textId="012FD852" w:rsidR="00680213" w:rsidRDefault="00680213">
      <w:pPr>
        <w:spacing w:after="200" w:line="276" w:lineRule="auto"/>
        <w:rPr>
          <w:sz w:val="24"/>
          <w:szCs w:val="24"/>
        </w:rPr>
      </w:pPr>
      <w:r>
        <w:rPr>
          <w:sz w:val="24"/>
          <w:szCs w:val="24"/>
        </w:rPr>
        <w:br w:type="page"/>
      </w:r>
    </w:p>
    <w:p w14:paraId="7D916A79" w14:textId="77777777" w:rsidR="00680213" w:rsidRPr="00680213" w:rsidRDefault="00680213" w:rsidP="00680213">
      <w:pPr>
        <w:jc w:val="center"/>
        <w:rPr>
          <w:b/>
          <w:bCs/>
          <w:sz w:val="24"/>
          <w:szCs w:val="24"/>
        </w:rPr>
      </w:pPr>
      <w:bookmarkStart w:id="7" w:name="a32_08"/>
      <w:bookmarkEnd w:id="7"/>
      <w:r w:rsidRPr="00680213">
        <w:rPr>
          <w:b/>
          <w:bCs/>
          <w:sz w:val="24"/>
          <w:szCs w:val="24"/>
        </w:rPr>
        <w:t>C. REPLEVIN</w:t>
      </w:r>
    </w:p>
    <w:p w14:paraId="4EAE8F7B" w14:textId="77777777" w:rsidR="00680213" w:rsidRPr="00680213" w:rsidRDefault="00680213" w:rsidP="00680213">
      <w:pPr>
        <w:jc w:val="center"/>
        <w:rPr>
          <w:b/>
          <w:bCs/>
          <w:sz w:val="24"/>
          <w:szCs w:val="24"/>
        </w:rPr>
      </w:pPr>
    </w:p>
    <w:p w14:paraId="19C32E57" w14:textId="77777777" w:rsidR="00680213" w:rsidRPr="00680213" w:rsidRDefault="00680213" w:rsidP="00680213">
      <w:pPr>
        <w:ind w:left="720" w:hanging="720"/>
        <w:rPr>
          <w:b/>
          <w:bCs/>
          <w:sz w:val="24"/>
          <w:szCs w:val="24"/>
        </w:rPr>
      </w:pPr>
      <w:r w:rsidRPr="00680213">
        <w:rPr>
          <w:b/>
          <w:bCs/>
          <w:sz w:val="24"/>
          <w:szCs w:val="24"/>
        </w:rPr>
        <w:t xml:space="preserve">32:8 </w:t>
      </w:r>
      <w:r w:rsidRPr="00680213">
        <w:rPr>
          <w:b/>
          <w:bCs/>
          <w:sz w:val="24"/>
          <w:szCs w:val="24"/>
        </w:rPr>
        <w:tab/>
        <w:t xml:space="preserve">ELEMENTS OF LIABILITY </w:t>
      </w:r>
    </w:p>
    <w:p w14:paraId="6FD56C1C" w14:textId="77777777" w:rsidR="00680213" w:rsidRPr="00680213" w:rsidRDefault="00680213" w:rsidP="00680213">
      <w:pPr>
        <w:rPr>
          <w:sz w:val="24"/>
          <w:szCs w:val="24"/>
        </w:rPr>
      </w:pPr>
    </w:p>
    <w:p w14:paraId="69A16A53" w14:textId="77777777" w:rsidR="00680213" w:rsidRPr="00680213" w:rsidRDefault="00680213" w:rsidP="00BA70D9">
      <w:pPr>
        <w:spacing w:after="240"/>
        <w:rPr>
          <w:b/>
          <w:sz w:val="24"/>
          <w:szCs w:val="24"/>
        </w:rPr>
      </w:pPr>
      <w:r w:rsidRPr="00680213">
        <w:rPr>
          <w:sz w:val="24"/>
          <w:szCs w:val="24"/>
        </w:rPr>
        <w:tab/>
      </w:r>
      <w:r w:rsidRPr="00680213">
        <w:rPr>
          <w:b/>
          <w:sz w:val="24"/>
          <w:szCs w:val="24"/>
        </w:rPr>
        <w:t>For the plaintiff,</w:t>
      </w:r>
      <w:r w:rsidRPr="00680213">
        <w:rPr>
          <w:sz w:val="24"/>
          <w:szCs w:val="24"/>
        </w:rPr>
        <w:t xml:space="preserve"> </w:t>
      </w:r>
      <w:r w:rsidRPr="00680213">
        <w:rPr>
          <w:i/>
          <w:sz w:val="24"/>
          <w:szCs w:val="24"/>
        </w:rPr>
        <w:t>(</w:t>
      </w:r>
      <w:r w:rsidRPr="00680213">
        <w:rPr>
          <w:i/>
          <w:iCs/>
          <w:sz w:val="24"/>
          <w:szCs w:val="24"/>
        </w:rPr>
        <w:t>name</w:t>
      </w:r>
      <w:r w:rsidRPr="00680213">
        <w:rPr>
          <w:i/>
          <w:sz w:val="24"/>
          <w:szCs w:val="24"/>
        </w:rPr>
        <w:t>)</w:t>
      </w:r>
      <w:r w:rsidRPr="00680213">
        <w:rPr>
          <w:sz w:val="24"/>
          <w:szCs w:val="24"/>
        </w:rPr>
        <w:t xml:space="preserve"> </w:t>
      </w:r>
      <w:r w:rsidRPr="00680213">
        <w:rPr>
          <w:b/>
          <w:sz w:val="24"/>
          <w:szCs w:val="24"/>
        </w:rPr>
        <w:t xml:space="preserve">to recover from the defendant, </w:t>
      </w:r>
      <w:r w:rsidRPr="00680213">
        <w:rPr>
          <w:i/>
          <w:sz w:val="24"/>
          <w:szCs w:val="24"/>
        </w:rPr>
        <w:t>(</w:t>
      </w:r>
      <w:r w:rsidRPr="00680213">
        <w:rPr>
          <w:i/>
          <w:iCs/>
          <w:sz w:val="24"/>
          <w:szCs w:val="24"/>
        </w:rPr>
        <w:t>name</w:t>
      </w:r>
      <w:r w:rsidRPr="00680213">
        <w:rPr>
          <w:i/>
          <w:sz w:val="24"/>
          <w:szCs w:val="24"/>
        </w:rPr>
        <w:t>)</w:t>
      </w:r>
      <w:r w:rsidRPr="00680213">
        <w:rPr>
          <w:b/>
          <w:sz w:val="24"/>
          <w:szCs w:val="24"/>
        </w:rPr>
        <w:t xml:space="preserve"> on </w:t>
      </w:r>
      <w:r w:rsidRPr="00680213">
        <w:rPr>
          <w:bCs/>
          <w:i/>
          <w:iCs/>
          <w:sz w:val="24"/>
          <w:szCs w:val="24"/>
        </w:rPr>
        <w:t>(insert applicable pronoun)</w:t>
      </w:r>
      <w:r w:rsidRPr="00680213">
        <w:rPr>
          <w:b/>
          <w:sz w:val="24"/>
          <w:szCs w:val="24"/>
        </w:rPr>
        <w:t xml:space="preserve"> claim for replevin, you must find that all of the following have been proved by a preponderance of the evidence:</w:t>
      </w:r>
    </w:p>
    <w:p w14:paraId="6AD9A005" w14:textId="77777777" w:rsidR="00680213" w:rsidRPr="00680213" w:rsidRDefault="00680213" w:rsidP="00BA70D9">
      <w:pPr>
        <w:pStyle w:val="ListParagraph"/>
        <w:spacing w:after="240"/>
        <w:ind w:left="0" w:firstLine="720"/>
        <w:contextualSpacing w:val="0"/>
        <w:jc w:val="left"/>
        <w:rPr>
          <w:b/>
        </w:rPr>
      </w:pPr>
      <w:r w:rsidRPr="00680213">
        <w:rPr>
          <w:b/>
        </w:rPr>
        <w:t xml:space="preserve">1. The plaintiff, </w:t>
      </w:r>
      <w:r w:rsidRPr="00680213">
        <w:rPr>
          <w:i/>
        </w:rPr>
        <w:t>(</w:t>
      </w:r>
      <w:r w:rsidRPr="00680213">
        <w:rPr>
          <w:i/>
          <w:iCs/>
        </w:rPr>
        <w:t>name</w:t>
      </w:r>
      <w:r w:rsidRPr="00680213">
        <w:rPr>
          <w:i/>
        </w:rPr>
        <w:t>)</w:t>
      </w:r>
      <w:r w:rsidRPr="00680213">
        <w:rPr>
          <w:b/>
        </w:rPr>
        <w:t>, (owned) (possessed) (had a right to possess) (a) (an)</w:t>
      </w:r>
      <w:r w:rsidRPr="00680213">
        <w:t xml:space="preserve"> </w:t>
      </w:r>
      <w:r w:rsidRPr="00680213">
        <w:rPr>
          <w:i/>
        </w:rPr>
        <w:t>(</w:t>
      </w:r>
      <w:r w:rsidRPr="00680213">
        <w:rPr>
          <w:i/>
          <w:iCs/>
        </w:rPr>
        <w:t>insert item of personal property</w:t>
      </w:r>
      <w:r w:rsidRPr="00680213">
        <w:rPr>
          <w:i/>
        </w:rPr>
        <w:t>)</w:t>
      </w:r>
      <w:r w:rsidRPr="00680213">
        <w:rPr>
          <w:b/>
        </w:rPr>
        <w:t>; and</w:t>
      </w:r>
    </w:p>
    <w:p w14:paraId="69E6ED6C" w14:textId="77777777" w:rsidR="00680213" w:rsidRPr="00680213" w:rsidRDefault="00680213" w:rsidP="00BA70D9">
      <w:pPr>
        <w:pStyle w:val="ListParagraph"/>
        <w:spacing w:after="240"/>
        <w:ind w:left="0" w:firstLine="720"/>
        <w:contextualSpacing w:val="0"/>
        <w:jc w:val="left"/>
        <w:rPr>
          <w:b/>
        </w:rPr>
      </w:pPr>
      <w:r w:rsidRPr="00680213">
        <w:rPr>
          <w:b/>
        </w:rPr>
        <w:t xml:space="preserve">2. That </w:t>
      </w:r>
      <w:r w:rsidRPr="00680213">
        <w:rPr>
          <w:i/>
        </w:rPr>
        <w:t>(</w:t>
      </w:r>
      <w:r w:rsidRPr="00680213">
        <w:rPr>
          <w:i/>
          <w:iCs/>
        </w:rPr>
        <w:t>insert item of personal property</w:t>
      </w:r>
      <w:r w:rsidRPr="00680213">
        <w:rPr>
          <w:i/>
        </w:rPr>
        <w:t>)</w:t>
      </w:r>
      <w:r w:rsidRPr="00680213">
        <w:rPr>
          <w:b/>
        </w:rPr>
        <w:t xml:space="preserve"> (is) (was) being kept or detained by the defendant contrary to the plaintiff’s ownership or right to possess it.</w:t>
      </w:r>
    </w:p>
    <w:p w14:paraId="3E70F414" w14:textId="77777777" w:rsidR="00680213" w:rsidRPr="00680213" w:rsidRDefault="00680213" w:rsidP="00BA70D9">
      <w:pPr>
        <w:spacing w:after="240"/>
        <w:ind w:firstLine="720"/>
        <w:rPr>
          <w:b/>
          <w:sz w:val="24"/>
          <w:szCs w:val="24"/>
        </w:rPr>
      </w:pPr>
      <w:r w:rsidRPr="00680213">
        <w:rPr>
          <w:b/>
          <w:sz w:val="24"/>
          <w:szCs w:val="24"/>
        </w:rPr>
        <w:t xml:space="preserve">If you find that one or both of these statements has not been proved, then your verdict must be for the defendant. </w:t>
      </w:r>
    </w:p>
    <w:p w14:paraId="3F2A3A02" w14:textId="77777777" w:rsidR="00680213" w:rsidRPr="00680213" w:rsidRDefault="00680213" w:rsidP="00BA70D9">
      <w:pPr>
        <w:spacing w:after="240"/>
        <w:ind w:firstLine="720"/>
        <w:rPr>
          <w:sz w:val="24"/>
          <w:szCs w:val="24"/>
        </w:rPr>
      </w:pPr>
      <w:r w:rsidRPr="00680213">
        <w:rPr>
          <w:b/>
          <w:sz w:val="24"/>
          <w:szCs w:val="24"/>
        </w:rPr>
        <w:t xml:space="preserve">On the other hand, if you find that both of these statements have been proved, (then your verdict must be for the plaintiff) (then you must consider the defendant’s affirmative defense(s) of </w:t>
      </w:r>
      <w:r w:rsidRPr="00680213">
        <w:rPr>
          <w:i/>
          <w:sz w:val="24"/>
          <w:szCs w:val="24"/>
        </w:rPr>
        <w:t>[</w:t>
      </w:r>
      <w:r w:rsidRPr="00680213">
        <w:rPr>
          <w:i/>
          <w:iCs/>
          <w:sz w:val="24"/>
          <w:szCs w:val="24"/>
        </w:rPr>
        <w:t>insert any affirmative defense that would be a complete defense to plaintiff’s claim</w:t>
      </w:r>
      <w:r w:rsidRPr="00680213">
        <w:rPr>
          <w:i/>
          <w:sz w:val="24"/>
          <w:szCs w:val="24"/>
        </w:rPr>
        <w:t>]</w:t>
      </w:r>
      <w:r w:rsidRPr="00680213">
        <w:rPr>
          <w:sz w:val="24"/>
          <w:szCs w:val="24"/>
        </w:rPr>
        <w:t>.</w:t>
      </w:r>
    </w:p>
    <w:p w14:paraId="6EBA7682" w14:textId="77777777" w:rsidR="00680213" w:rsidRPr="00680213" w:rsidRDefault="00680213" w:rsidP="00BA70D9">
      <w:pPr>
        <w:spacing w:after="240"/>
        <w:ind w:firstLine="720"/>
        <w:rPr>
          <w:b/>
          <w:sz w:val="24"/>
          <w:szCs w:val="24"/>
        </w:rPr>
      </w:pPr>
      <w:r w:rsidRPr="00680213">
        <w:rPr>
          <w:b/>
          <w:sz w:val="24"/>
          <w:szCs w:val="24"/>
        </w:rPr>
        <w:t xml:space="preserve">If you find that (this affirmative defense has) (any one or more of these affirmative defenses have) been proved by a preponderance of the evidence, then your verdict must be for the defendant. </w:t>
      </w:r>
    </w:p>
    <w:p w14:paraId="68C82420" w14:textId="77777777" w:rsidR="00680213" w:rsidRPr="00680213" w:rsidRDefault="00680213" w:rsidP="00BA70D9">
      <w:pPr>
        <w:spacing w:after="240"/>
        <w:ind w:firstLine="720"/>
        <w:rPr>
          <w:b/>
          <w:sz w:val="24"/>
          <w:szCs w:val="24"/>
        </w:rPr>
      </w:pPr>
      <w:r w:rsidRPr="00680213">
        <w:rPr>
          <w:b/>
          <w:sz w:val="24"/>
          <w:szCs w:val="24"/>
        </w:rPr>
        <w:t xml:space="preserve">However, if you find that (this affirmative defense has not) (none of these affirmative defenses have) been proved, then your verdict must be for the plaintiff. </w:t>
      </w:r>
    </w:p>
    <w:p w14:paraId="611ED88F" w14:textId="77777777" w:rsidR="00680213" w:rsidRPr="00680213" w:rsidRDefault="00680213" w:rsidP="00BA70D9">
      <w:pPr>
        <w:ind w:firstLine="720"/>
        <w:rPr>
          <w:b/>
          <w:sz w:val="24"/>
          <w:szCs w:val="24"/>
        </w:rPr>
      </w:pPr>
    </w:p>
    <w:p w14:paraId="7766DD3B" w14:textId="77777777" w:rsidR="00680213" w:rsidRPr="00680213" w:rsidRDefault="00680213" w:rsidP="00BA70D9">
      <w:pPr>
        <w:spacing w:after="240"/>
        <w:jc w:val="center"/>
        <w:rPr>
          <w:b/>
          <w:bCs/>
          <w:sz w:val="24"/>
          <w:szCs w:val="24"/>
        </w:rPr>
      </w:pPr>
      <w:r w:rsidRPr="00680213">
        <w:rPr>
          <w:b/>
          <w:bCs/>
          <w:sz w:val="24"/>
          <w:szCs w:val="24"/>
        </w:rPr>
        <w:t xml:space="preserve">Notes on Use </w:t>
      </w:r>
    </w:p>
    <w:p w14:paraId="44E7D395" w14:textId="77777777" w:rsidR="00680213" w:rsidRPr="00680213" w:rsidRDefault="00680213" w:rsidP="00BA70D9">
      <w:pPr>
        <w:pStyle w:val="ListParagraph"/>
        <w:spacing w:after="240"/>
        <w:ind w:left="0" w:firstLine="720"/>
        <w:contextualSpacing w:val="0"/>
        <w:jc w:val="left"/>
      </w:pPr>
      <w:r w:rsidRPr="00680213">
        <w:t>1. Use whichever parenthesized phrases are most appropriate.</w:t>
      </w:r>
    </w:p>
    <w:p w14:paraId="5BD23284" w14:textId="77777777" w:rsidR="00680213" w:rsidRPr="00680213" w:rsidRDefault="00680213" w:rsidP="00BA70D9">
      <w:pPr>
        <w:pStyle w:val="ListParagraph"/>
        <w:spacing w:after="240"/>
        <w:ind w:left="0" w:firstLine="720"/>
        <w:contextualSpacing w:val="0"/>
        <w:jc w:val="left"/>
      </w:pPr>
      <w:r w:rsidRPr="00680213">
        <w:t xml:space="preserve">2. As is discussed in Note on Use 2 for Instruction 32:1 (conversion elements of liability), the relief awarded includes return of the property, which is equitable in nature. However, the cases are clear that disputed issues of fact regarding the ownership of the property are entirely for the jury to resolve. </w:t>
      </w:r>
    </w:p>
    <w:p w14:paraId="661DB70A" w14:textId="77777777" w:rsidR="00680213" w:rsidRPr="00680213" w:rsidRDefault="00680213" w:rsidP="00BA70D9">
      <w:pPr>
        <w:spacing w:after="240"/>
        <w:jc w:val="center"/>
        <w:rPr>
          <w:b/>
          <w:bCs/>
          <w:sz w:val="24"/>
          <w:szCs w:val="24"/>
        </w:rPr>
      </w:pPr>
      <w:r w:rsidRPr="00680213">
        <w:rPr>
          <w:b/>
          <w:bCs/>
          <w:sz w:val="24"/>
          <w:szCs w:val="24"/>
        </w:rPr>
        <w:t>Source and Authority</w:t>
      </w:r>
    </w:p>
    <w:p w14:paraId="238A7006" w14:textId="7EE216BA" w:rsidR="00680213" w:rsidRDefault="00680213" w:rsidP="00BA70D9">
      <w:pPr>
        <w:spacing w:after="240"/>
        <w:ind w:firstLine="720"/>
        <w:rPr>
          <w:sz w:val="24"/>
          <w:szCs w:val="24"/>
        </w:rPr>
      </w:pPr>
      <w:r w:rsidRPr="00680213">
        <w:rPr>
          <w:sz w:val="24"/>
          <w:szCs w:val="24"/>
        </w:rPr>
        <w:t xml:space="preserve">This instruction is supported by </w:t>
      </w:r>
      <w:r w:rsidRPr="00680213">
        <w:rPr>
          <w:b/>
          <w:bCs/>
          <w:sz w:val="24"/>
          <w:szCs w:val="24"/>
        </w:rPr>
        <w:t>Mason v. Farm Credit of Southern Colorado</w:t>
      </w:r>
      <w:r w:rsidRPr="00680213">
        <w:rPr>
          <w:sz w:val="24"/>
          <w:szCs w:val="24"/>
        </w:rPr>
        <w:t xml:space="preserve">, 2018 CO 46, ¶ 30, 419 P.3d 975, 984 (Replevin is “a possessory action in which a claimant seeks to recover both possession of personal property that has been wrongfully taken or detained and damages for its unlawful detention.” (quoting </w:t>
      </w:r>
      <w:r w:rsidRPr="00680213">
        <w:rPr>
          <w:b/>
          <w:bCs/>
          <w:sz w:val="24"/>
          <w:szCs w:val="24"/>
        </w:rPr>
        <w:t>In re Marriage of Allen</w:t>
      </w:r>
      <w:r w:rsidRPr="00680213">
        <w:rPr>
          <w:sz w:val="24"/>
          <w:szCs w:val="24"/>
        </w:rPr>
        <w:t xml:space="preserve">, 724 P. 2d 651, 656 (Colo. 1986))). </w:t>
      </w:r>
      <w:r w:rsidRPr="00680213">
        <w:rPr>
          <w:i/>
          <w:sz w:val="24"/>
          <w:szCs w:val="24"/>
        </w:rPr>
        <w:t>See also</w:t>
      </w:r>
      <w:r w:rsidRPr="00680213">
        <w:rPr>
          <w:sz w:val="24"/>
          <w:szCs w:val="24"/>
        </w:rPr>
        <w:t xml:space="preserve"> C.R.C.P. 38 (upon the filing of a demand and payment of the requisite fee, a party has the right to trial by jury in Colorado, “including actions for the recovery of specific real or personal property, with or without damages”); C.R.C.P. 104(b); </w:t>
      </w:r>
      <w:r w:rsidRPr="00680213">
        <w:rPr>
          <w:b/>
          <w:bCs/>
          <w:sz w:val="24"/>
          <w:szCs w:val="24"/>
        </w:rPr>
        <w:t>Allen</w:t>
      </w:r>
      <w:r w:rsidRPr="00680213">
        <w:rPr>
          <w:sz w:val="24"/>
          <w:szCs w:val="24"/>
        </w:rPr>
        <w:t>, 724 P. 2d at 656 (after repeal of the statute governing replevin by the General Assembly in 1964, “C.R.C.P. 104 now governs actions for replevin in this state”);</w:t>
      </w:r>
      <w:r w:rsidRPr="00680213">
        <w:rPr>
          <w:b/>
          <w:sz w:val="24"/>
          <w:szCs w:val="24"/>
        </w:rPr>
        <w:t xml:space="preserve"> Citicorp Acceptance Co., Inc v. Sittner,</w:t>
      </w:r>
      <w:r w:rsidRPr="00680213">
        <w:rPr>
          <w:sz w:val="24"/>
          <w:szCs w:val="24"/>
        </w:rPr>
        <w:t xml:space="preserve"> 772 P.2d 655 (1989) (complaint seeking return of specific property is tried to a jury);  </w:t>
      </w:r>
      <w:r w:rsidRPr="00680213">
        <w:rPr>
          <w:b/>
          <w:bCs/>
          <w:sz w:val="24"/>
          <w:szCs w:val="24"/>
        </w:rPr>
        <w:t>Israel v. Day</w:t>
      </w:r>
      <w:r w:rsidRPr="00680213">
        <w:rPr>
          <w:sz w:val="24"/>
          <w:szCs w:val="24"/>
        </w:rPr>
        <w:t xml:space="preserve">, 17 Colo. App. 200, 68 P. 122 (1902) (trial court judge erroneously instructed jury as to elements of title in horses, including purchase, immediate delivery, and continued possession); </w:t>
      </w:r>
      <w:r w:rsidRPr="00680213">
        <w:rPr>
          <w:b/>
          <w:bCs/>
          <w:sz w:val="24"/>
          <w:szCs w:val="24"/>
        </w:rPr>
        <w:t>Denver Onyx &amp; Marble Mfg. Co. v. Reynolds</w:t>
      </w:r>
      <w:r w:rsidRPr="00680213">
        <w:rPr>
          <w:sz w:val="24"/>
          <w:szCs w:val="24"/>
        </w:rPr>
        <w:t>, 72 F. 464 (8th Cir. 1896) (Replevin can be maintained if plaintiff is owner of the property or entitled to possession, whether defendant acquired possession wrongfully or not, if defendant keeps the property after ownership is proven and return demanded).</w:t>
      </w:r>
    </w:p>
    <w:p w14:paraId="428EC8CB" w14:textId="7AB9EAE2" w:rsidR="00BA70D9" w:rsidRDefault="00BA70D9">
      <w:pPr>
        <w:spacing w:after="200" w:line="276" w:lineRule="auto"/>
        <w:rPr>
          <w:sz w:val="24"/>
          <w:szCs w:val="24"/>
        </w:rPr>
      </w:pPr>
      <w:r>
        <w:rPr>
          <w:sz w:val="24"/>
          <w:szCs w:val="24"/>
        </w:rPr>
        <w:br w:type="page"/>
      </w:r>
    </w:p>
    <w:p w14:paraId="70CE5D24" w14:textId="77777777" w:rsidR="00BA70D9" w:rsidRPr="00BA70D9" w:rsidRDefault="00BA70D9" w:rsidP="00BA70D9">
      <w:pPr>
        <w:ind w:left="720" w:hanging="720"/>
        <w:rPr>
          <w:b/>
          <w:bCs/>
          <w:sz w:val="24"/>
          <w:szCs w:val="24"/>
        </w:rPr>
      </w:pPr>
      <w:bookmarkStart w:id="8" w:name="a32_09"/>
      <w:bookmarkEnd w:id="8"/>
      <w:r w:rsidRPr="00BA70D9">
        <w:rPr>
          <w:b/>
          <w:bCs/>
          <w:sz w:val="24"/>
          <w:szCs w:val="24"/>
        </w:rPr>
        <w:t xml:space="preserve">32:9 </w:t>
      </w:r>
      <w:r w:rsidRPr="00BA70D9">
        <w:rPr>
          <w:b/>
          <w:bCs/>
          <w:sz w:val="24"/>
          <w:szCs w:val="24"/>
        </w:rPr>
        <w:tab/>
        <w:t xml:space="preserve">POSSESSION AND DAMAGES — IF THE PROPERTY CAN BE RETURNED IN THE SAME CONDITION   </w:t>
      </w:r>
    </w:p>
    <w:p w14:paraId="37D83207" w14:textId="77777777" w:rsidR="00BA70D9" w:rsidRPr="00BA70D9" w:rsidRDefault="00BA70D9" w:rsidP="00BA70D9">
      <w:pPr>
        <w:rPr>
          <w:sz w:val="24"/>
          <w:szCs w:val="24"/>
        </w:rPr>
      </w:pPr>
    </w:p>
    <w:p w14:paraId="7C040B6F" w14:textId="77777777" w:rsidR="00BA70D9" w:rsidRPr="00BA70D9" w:rsidRDefault="00BA70D9" w:rsidP="00BA70D9">
      <w:pPr>
        <w:spacing w:after="240"/>
        <w:rPr>
          <w:sz w:val="24"/>
          <w:szCs w:val="24"/>
        </w:rPr>
      </w:pPr>
      <w:r w:rsidRPr="00BA70D9">
        <w:rPr>
          <w:sz w:val="24"/>
          <w:szCs w:val="24"/>
        </w:rPr>
        <w:tab/>
      </w:r>
      <w:r w:rsidRPr="00BA70D9">
        <w:rPr>
          <w:b/>
          <w:sz w:val="24"/>
          <w:szCs w:val="24"/>
        </w:rPr>
        <w:t xml:space="preserve">If you find in favor of the plaintiff, you shall award </w:t>
      </w:r>
      <w:r w:rsidRPr="00BA70D9">
        <w:rPr>
          <w:bCs/>
          <w:i/>
          <w:iCs/>
          <w:sz w:val="24"/>
          <w:szCs w:val="24"/>
        </w:rPr>
        <w:t>(insert applicable pronoun)</w:t>
      </w:r>
      <w:r w:rsidRPr="00BA70D9">
        <w:rPr>
          <w:b/>
          <w:sz w:val="24"/>
          <w:szCs w:val="24"/>
        </w:rPr>
        <w:t xml:space="preserve"> possession of the </w:t>
      </w:r>
      <w:r w:rsidRPr="00BA70D9">
        <w:rPr>
          <w:i/>
          <w:sz w:val="24"/>
          <w:szCs w:val="24"/>
        </w:rPr>
        <w:t>(</w:t>
      </w:r>
      <w:r w:rsidRPr="00BA70D9">
        <w:rPr>
          <w:i/>
          <w:iCs/>
          <w:sz w:val="24"/>
          <w:szCs w:val="24"/>
        </w:rPr>
        <w:t>insert item of personal property</w:t>
      </w:r>
      <w:r w:rsidRPr="00BA70D9">
        <w:rPr>
          <w:i/>
          <w:sz w:val="24"/>
          <w:szCs w:val="24"/>
        </w:rPr>
        <w:t>)</w:t>
      </w:r>
      <w:r w:rsidRPr="00BA70D9">
        <w:rPr>
          <w:b/>
          <w:sz w:val="24"/>
          <w:szCs w:val="24"/>
        </w:rPr>
        <w:t>.</w:t>
      </w:r>
      <w:r w:rsidRPr="00BA70D9">
        <w:rPr>
          <w:sz w:val="24"/>
          <w:szCs w:val="24"/>
        </w:rPr>
        <w:t xml:space="preserve"> </w:t>
      </w:r>
    </w:p>
    <w:p w14:paraId="6A147708" w14:textId="77777777" w:rsidR="00BA70D9" w:rsidRPr="00BA70D9" w:rsidRDefault="00BA70D9" w:rsidP="00BA70D9">
      <w:pPr>
        <w:spacing w:after="240"/>
        <w:rPr>
          <w:b/>
          <w:sz w:val="24"/>
          <w:szCs w:val="24"/>
        </w:rPr>
      </w:pPr>
      <w:r w:rsidRPr="00BA70D9">
        <w:rPr>
          <w:sz w:val="24"/>
          <w:szCs w:val="24"/>
        </w:rPr>
        <w:tab/>
      </w:r>
      <w:r w:rsidRPr="00BA70D9">
        <w:rPr>
          <w:b/>
          <w:sz w:val="24"/>
          <w:szCs w:val="24"/>
        </w:rPr>
        <w:t>If you find that the</w:t>
      </w:r>
      <w:r w:rsidRPr="00BA70D9">
        <w:rPr>
          <w:sz w:val="24"/>
          <w:szCs w:val="24"/>
        </w:rPr>
        <w:t xml:space="preserve"> </w:t>
      </w:r>
      <w:r w:rsidRPr="00BA70D9">
        <w:rPr>
          <w:i/>
          <w:sz w:val="24"/>
          <w:szCs w:val="24"/>
        </w:rPr>
        <w:t>(</w:t>
      </w:r>
      <w:r w:rsidRPr="00BA70D9">
        <w:rPr>
          <w:i/>
          <w:iCs/>
          <w:sz w:val="24"/>
          <w:szCs w:val="24"/>
        </w:rPr>
        <w:t>insert item of personal property</w:t>
      </w:r>
      <w:r w:rsidRPr="00BA70D9">
        <w:rPr>
          <w:i/>
          <w:sz w:val="24"/>
          <w:szCs w:val="24"/>
        </w:rPr>
        <w:t>)</w:t>
      </w:r>
      <w:r w:rsidRPr="00BA70D9">
        <w:rPr>
          <w:sz w:val="24"/>
          <w:szCs w:val="24"/>
        </w:rPr>
        <w:t xml:space="preserve"> </w:t>
      </w:r>
      <w:r w:rsidRPr="00BA70D9">
        <w:rPr>
          <w:b/>
          <w:bCs/>
          <w:sz w:val="24"/>
          <w:szCs w:val="24"/>
        </w:rPr>
        <w:t>can</w:t>
      </w:r>
      <w:r w:rsidRPr="00BA70D9">
        <w:rPr>
          <w:b/>
          <w:sz w:val="24"/>
          <w:szCs w:val="24"/>
        </w:rPr>
        <w:t xml:space="preserve"> be returned to the plaintiff in substantially the same condition that it was in when the defendant took possession, you shall also award the plaintiff damages, as follows: </w:t>
      </w:r>
    </w:p>
    <w:p w14:paraId="3A05965A" w14:textId="77777777" w:rsidR="00BA70D9" w:rsidRPr="00BA70D9" w:rsidRDefault="00BA70D9" w:rsidP="00BA70D9">
      <w:pPr>
        <w:spacing w:after="240"/>
        <w:ind w:firstLine="720"/>
        <w:rPr>
          <w:b/>
          <w:sz w:val="24"/>
          <w:szCs w:val="24"/>
        </w:rPr>
      </w:pPr>
      <w:r w:rsidRPr="00BA70D9">
        <w:rPr>
          <w:b/>
          <w:sz w:val="24"/>
          <w:szCs w:val="24"/>
        </w:rPr>
        <w:t xml:space="preserve">1. If the </w:t>
      </w:r>
      <w:r w:rsidRPr="00BA70D9">
        <w:rPr>
          <w:bCs/>
          <w:i/>
          <w:iCs/>
          <w:sz w:val="24"/>
          <w:szCs w:val="24"/>
        </w:rPr>
        <w:t>(insert item of personal property)</w:t>
      </w:r>
      <w:r w:rsidRPr="00BA70D9">
        <w:rPr>
          <w:b/>
          <w:sz w:val="24"/>
          <w:szCs w:val="24"/>
        </w:rPr>
        <w:t xml:space="preserve"> had use value, including rental value, that use value, measured from the date the defendant first took possession of the property until the date of trial; and</w:t>
      </w:r>
    </w:p>
    <w:p w14:paraId="7518B79E" w14:textId="77777777" w:rsidR="00BA70D9" w:rsidRPr="00BA70D9" w:rsidRDefault="00BA70D9" w:rsidP="00BA70D9">
      <w:pPr>
        <w:spacing w:after="240"/>
        <w:ind w:firstLine="720"/>
        <w:rPr>
          <w:b/>
          <w:sz w:val="24"/>
          <w:szCs w:val="24"/>
        </w:rPr>
      </w:pPr>
      <w:r w:rsidRPr="00BA70D9">
        <w:rPr>
          <w:b/>
          <w:sz w:val="24"/>
          <w:szCs w:val="24"/>
        </w:rPr>
        <w:t xml:space="preserve">(2. In the amount of the legal rate of interest of eight percent on the market value of the property on the date that the defendant took possession, compounded annually and computed until the time of trial) (or) (In an amount proven by the evidence at trial which fully recognizes the gain or benefit realized by the defendant who wrongfully took or kept the property, computed and assessed until the time of trial).  </w:t>
      </w:r>
    </w:p>
    <w:p w14:paraId="50492E85" w14:textId="77777777" w:rsidR="00BA70D9" w:rsidRPr="00BA70D9" w:rsidRDefault="00BA70D9" w:rsidP="00BA70D9">
      <w:pPr>
        <w:rPr>
          <w:b/>
          <w:sz w:val="24"/>
          <w:szCs w:val="24"/>
        </w:rPr>
      </w:pPr>
    </w:p>
    <w:p w14:paraId="228A838D" w14:textId="77777777" w:rsidR="00BA70D9" w:rsidRPr="00BA70D9" w:rsidRDefault="00BA70D9" w:rsidP="00BA70D9">
      <w:pPr>
        <w:jc w:val="center"/>
        <w:rPr>
          <w:b/>
          <w:bCs/>
          <w:sz w:val="24"/>
          <w:szCs w:val="24"/>
        </w:rPr>
      </w:pPr>
      <w:r w:rsidRPr="00BA70D9">
        <w:rPr>
          <w:b/>
          <w:bCs/>
          <w:sz w:val="24"/>
          <w:szCs w:val="24"/>
        </w:rPr>
        <w:t>Notes on Use</w:t>
      </w:r>
    </w:p>
    <w:p w14:paraId="36E58CE4" w14:textId="77777777" w:rsidR="00BA70D9" w:rsidRPr="00BA70D9" w:rsidRDefault="00BA70D9" w:rsidP="00BA70D9">
      <w:pPr>
        <w:jc w:val="center"/>
        <w:rPr>
          <w:b/>
          <w:bCs/>
          <w:sz w:val="24"/>
          <w:szCs w:val="24"/>
        </w:rPr>
      </w:pPr>
    </w:p>
    <w:p w14:paraId="1F5AEA69" w14:textId="77777777" w:rsidR="00BA70D9" w:rsidRPr="00BA70D9" w:rsidRDefault="00BA70D9" w:rsidP="00BA70D9">
      <w:pPr>
        <w:pStyle w:val="ListParagraph"/>
        <w:spacing w:after="240"/>
        <w:ind w:left="0" w:firstLine="720"/>
        <w:jc w:val="left"/>
      </w:pPr>
      <w:r w:rsidRPr="00BA70D9">
        <w:t xml:space="preserve">1. This instruction should be used exclusively in cases where the property can be returned to the claimant in substantially the same condition.  </w:t>
      </w:r>
    </w:p>
    <w:p w14:paraId="0263F7ED" w14:textId="77777777" w:rsidR="00BA70D9" w:rsidRPr="00BA70D9" w:rsidRDefault="00BA70D9" w:rsidP="00BA70D9">
      <w:pPr>
        <w:spacing w:after="240"/>
        <w:ind w:firstLine="720"/>
        <w:rPr>
          <w:sz w:val="24"/>
          <w:szCs w:val="24"/>
        </w:rPr>
      </w:pPr>
      <w:r w:rsidRPr="00BA70D9">
        <w:rPr>
          <w:sz w:val="24"/>
          <w:szCs w:val="24"/>
        </w:rPr>
        <w:t xml:space="preserve">2. </w:t>
      </w:r>
      <w:bookmarkStart w:id="9" w:name="_Hlk146200579"/>
      <w:r w:rsidRPr="00BA70D9">
        <w:rPr>
          <w:sz w:val="24"/>
          <w:szCs w:val="24"/>
        </w:rPr>
        <w:t xml:space="preserve">The second paragraph should be modified to reflect plaintiff’s election of either </w:t>
      </w:r>
      <w:bookmarkEnd w:id="9"/>
      <w:r w:rsidRPr="00BA70D9">
        <w:rPr>
          <w:sz w:val="24"/>
          <w:szCs w:val="24"/>
        </w:rPr>
        <w:t xml:space="preserve">the statutory interest amount of eight percent, or a different rate of interest “which fully recognizes the gain or benefit realized by the person withholding” the property as provided in section 5-12-102(1), C.R.S. </w:t>
      </w:r>
    </w:p>
    <w:p w14:paraId="1A7AC526" w14:textId="77777777" w:rsidR="00BA70D9" w:rsidRPr="00BA70D9" w:rsidRDefault="00BA70D9" w:rsidP="00BA70D9">
      <w:pPr>
        <w:spacing w:after="240"/>
        <w:jc w:val="center"/>
        <w:rPr>
          <w:b/>
          <w:bCs/>
          <w:sz w:val="24"/>
          <w:szCs w:val="24"/>
        </w:rPr>
      </w:pPr>
      <w:r w:rsidRPr="00BA70D9">
        <w:rPr>
          <w:b/>
          <w:bCs/>
          <w:sz w:val="24"/>
          <w:szCs w:val="24"/>
        </w:rPr>
        <w:t xml:space="preserve">Source and Authority </w:t>
      </w:r>
    </w:p>
    <w:p w14:paraId="165D4587" w14:textId="77777777" w:rsidR="00BA70D9" w:rsidRPr="00BA70D9" w:rsidRDefault="00BA70D9" w:rsidP="00BA70D9">
      <w:pPr>
        <w:spacing w:after="240"/>
        <w:ind w:firstLine="720"/>
        <w:rPr>
          <w:sz w:val="24"/>
          <w:szCs w:val="24"/>
        </w:rPr>
      </w:pPr>
      <w:r w:rsidRPr="00BA70D9">
        <w:rPr>
          <w:sz w:val="24"/>
          <w:szCs w:val="24"/>
        </w:rPr>
        <w:t xml:space="preserve">1. This instruction is supported by section 5-12-102(1) (when property has been wrongfully withheld, interest shall be awarded in an amount which fully recognizes the gain or benefit realized by the person withholding the property, or, at the election of claimant, in the statutory amount of eight percent); </w:t>
      </w:r>
      <w:r w:rsidRPr="00BA70D9">
        <w:rPr>
          <w:b/>
          <w:bCs/>
          <w:sz w:val="24"/>
          <w:szCs w:val="24"/>
        </w:rPr>
        <w:t>Woo v. El Paso County Sheriff’s Office</w:t>
      </w:r>
      <w:r w:rsidRPr="00BA70D9">
        <w:rPr>
          <w:sz w:val="24"/>
          <w:szCs w:val="24"/>
        </w:rPr>
        <w:t xml:space="preserve">, 2022 CO 56, ¶ 9, 528 P.3d 899, 903 (“Replevin is a possessory action in which a claimant seeks to recover both possession of personal property that has been wrongfully taken or detained and damages for its unlawful detention.”); </w:t>
      </w:r>
      <w:r w:rsidRPr="00BA70D9">
        <w:rPr>
          <w:b/>
          <w:bCs/>
          <w:sz w:val="24"/>
          <w:szCs w:val="24"/>
        </w:rPr>
        <w:t>Smith v. Stevens</w:t>
      </w:r>
      <w:r w:rsidRPr="00BA70D9">
        <w:rPr>
          <w:sz w:val="24"/>
          <w:szCs w:val="24"/>
        </w:rPr>
        <w:t>,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w:t>
      </w:r>
      <w:r w:rsidRPr="00BA70D9">
        <w:rPr>
          <w:b/>
          <w:bCs/>
          <w:sz w:val="24"/>
          <w:szCs w:val="24"/>
        </w:rPr>
        <w:t xml:space="preserve"> Johnson v. Bailey</w:t>
      </w:r>
      <w:r w:rsidRPr="00BA70D9">
        <w:rPr>
          <w:sz w:val="24"/>
          <w:szCs w:val="24"/>
        </w:rPr>
        <w:t xml:space="preserve">, 17 Colo. 59, 28 P. 81 (1891) (general rule of damages in replevin is that if the personal property is recovered in full, plaintiff should be awarded legal interest on the value of the property from the date of taking up to the time of trial).  </w:t>
      </w:r>
    </w:p>
    <w:p w14:paraId="753CA666" w14:textId="77777777" w:rsidR="00BA70D9" w:rsidRDefault="00BA70D9" w:rsidP="00BA70D9">
      <w:pPr>
        <w:spacing w:after="240"/>
        <w:ind w:firstLine="720"/>
        <w:rPr>
          <w:sz w:val="24"/>
          <w:szCs w:val="24"/>
        </w:rPr>
      </w:pPr>
      <w:r w:rsidRPr="00BA70D9">
        <w:rPr>
          <w:sz w:val="24"/>
          <w:szCs w:val="24"/>
        </w:rPr>
        <w:t xml:space="preserve">2. “In this state all of the property must be returned in substantially the same condition as when wrongfully taken, or the total aggregate value of all the property, as found by the jury, must be paid.” </w:t>
      </w:r>
      <w:r w:rsidRPr="00BA70D9">
        <w:rPr>
          <w:b/>
          <w:bCs/>
          <w:sz w:val="24"/>
          <w:szCs w:val="24"/>
        </w:rPr>
        <w:t>Duffy v. Wilson</w:t>
      </w:r>
      <w:r w:rsidRPr="00BA70D9">
        <w:rPr>
          <w:sz w:val="24"/>
          <w:szCs w:val="24"/>
        </w:rPr>
        <w:t>, 98 P. 826, 827, 44 Colo. 340, 344 (1908</w:t>
      </w:r>
      <w:r>
        <w:rPr>
          <w:sz w:val="24"/>
          <w:szCs w:val="24"/>
        </w:rPr>
        <w:t>).</w:t>
      </w:r>
    </w:p>
    <w:p w14:paraId="7B90C6DD" w14:textId="77777777" w:rsidR="00BA70D9" w:rsidRDefault="00BA70D9">
      <w:pPr>
        <w:spacing w:after="200" w:line="276" w:lineRule="auto"/>
        <w:rPr>
          <w:sz w:val="24"/>
          <w:szCs w:val="24"/>
        </w:rPr>
      </w:pPr>
      <w:r>
        <w:rPr>
          <w:sz w:val="24"/>
          <w:szCs w:val="24"/>
        </w:rPr>
        <w:br w:type="page"/>
      </w:r>
    </w:p>
    <w:p w14:paraId="1FDA5782" w14:textId="77777777" w:rsidR="00BA70D9" w:rsidRPr="00BD31B7" w:rsidRDefault="00BA70D9" w:rsidP="00BA70D9">
      <w:pPr>
        <w:spacing w:after="240"/>
        <w:ind w:left="720" w:hanging="720"/>
        <w:rPr>
          <w:b/>
          <w:bCs/>
          <w:sz w:val="24"/>
          <w:szCs w:val="24"/>
        </w:rPr>
      </w:pPr>
      <w:bookmarkStart w:id="10" w:name="a32_10"/>
      <w:bookmarkEnd w:id="10"/>
      <w:r w:rsidRPr="00BD31B7">
        <w:rPr>
          <w:b/>
          <w:bCs/>
          <w:sz w:val="24"/>
          <w:szCs w:val="24"/>
        </w:rPr>
        <w:t xml:space="preserve">32:10 </w:t>
      </w:r>
      <w:r>
        <w:rPr>
          <w:b/>
          <w:bCs/>
          <w:sz w:val="24"/>
          <w:szCs w:val="24"/>
        </w:rPr>
        <w:tab/>
      </w:r>
      <w:r w:rsidRPr="00BD31B7">
        <w:rPr>
          <w:b/>
          <w:bCs/>
          <w:sz w:val="24"/>
          <w:szCs w:val="24"/>
        </w:rPr>
        <w:t>REPLEVIN DAMAGES</w:t>
      </w:r>
      <w:r>
        <w:rPr>
          <w:b/>
          <w:bCs/>
          <w:sz w:val="24"/>
          <w:szCs w:val="24"/>
        </w:rPr>
        <w:t xml:space="preserve"> — </w:t>
      </w:r>
      <w:r w:rsidRPr="00BD31B7">
        <w:rPr>
          <w:b/>
          <w:bCs/>
          <w:sz w:val="24"/>
          <w:szCs w:val="24"/>
        </w:rPr>
        <w:t xml:space="preserve">WHERE </w:t>
      </w:r>
      <w:r>
        <w:rPr>
          <w:b/>
          <w:bCs/>
          <w:sz w:val="24"/>
          <w:szCs w:val="24"/>
        </w:rPr>
        <w:t xml:space="preserve">THE </w:t>
      </w:r>
      <w:r w:rsidRPr="00BD31B7">
        <w:rPr>
          <w:b/>
          <w:bCs/>
          <w:sz w:val="24"/>
          <w:szCs w:val="24"/>
        </w:rPr>
        <w:t xml:space="preserve">PROPERTY CANNOT BE RETURNED TO THE PLAINTIFF </w:t>
      </w:r>
    </w:p>
    <w:p w14:paraId="165BC97B" w14:textId="77777777" w:rsidR="00BA70D9" w:rsidRDefault="00BA70D9" w:rsidP="00BA70D9">
      <w:pPr>
        <w:spacing w:after="240"/>
        <w:ind w:firstLine="720"/>
        <w:rPr>
          <w:b/>
          <w:sz w:val="24"/>
          <w:szCs w:val="24"/>
        </w:rPr>
      </w:pPr>
      <w:r w:rsidRPr="00BD31B7">
        <w:rPr>
          <w:b/>
          <w:sz w:val="24"/>
          <w:szCs w:val="24"/>
        </w:rPr>
        <w:t xml:space="preserve">If you find that the property cannot be returned to the plaintiff, then you shall award </w:t>
      </w:r>
      <w:r>
        <w:rPr>
          <w:b/>
          <w:sz w:val="24"/>
          <w:szCs w:val="24"/>
        </w:rPr>
        <w:t xml:space="preserve">the </w:t>
      </w:r>
      <w:r w:rsidRPr="00BD31B7">
        <w:rPr>
          <w:b/>
          <w:sz w:val="24"/>
          <w:szCs w:val="24"/>
        </w:rPr>
        <w:t xml:space="preserve">plaintiff damages in the amount of the market value of the property on the date that </w:t>
      </w:r>
      <w:r>
        <w:rPr>
          <w:b/>
          <w:sz w:val="24"/>
          <w:szCs w:val="24"/>
        </w:rPr>
        <w:t xml:space="preserve">the </w:t>
      </w:r>
      <w:r w:rsidRPr="00BD31B7">
        <w:rPr>
          <w:b/>
          <w:sz w:val="24"/>
          <w:szCs w:val="24"/>
        </w:rPr>
        <w:t>defendant took possession</w:t>
      </w:r>
      <w:r>
        <w:rPr>
          <w:b/>
          <w:sz w:val="24"/>
          <w:szCs w:val="24"/>
        </w:rPr>
        <w:t xml:space="preserve">. </w:t>
      </w:r>
    </w:p>
    <w:p w14:paraId="5A4D3073" w14:textId="77777777" w:rsidR="00BA70D9" w:rsidRPr="00BD31B7" w:rsidRDefault="00BA70D9" w:rsidP="00BA70D9">
      <w:pPr>
        <w:spacing w:after="240"/>
        <w:ind w:firstLine="720"/>
        <w:rPr>
          <w:b/>
          <w:sz w:val="24"/>
          <w:szCs w:val="24"/>
        </w:rPr>
      </w:pPr>
      <w:r>
        <w:rPr>
          <w:b/>
          <w:sz w:val="24"/>
          <w:szCs w:val="24"/>
        </w:rPr>
        <w:t>In addition, you shall award</w:t>
      </w:r>
      <w:r w:rsidRPr="00BD31B7">
        <w:rPr>
          <w:b/>
          <w:sz w:val="24"/>
          <w:szCs w:val="24"/>
        </w:rPr>
        <w:t xml:space="preserve"> interest on that market value from the time the property was taken or wrongfully kept until the date of your verdict, computed as follows:</w:t>
      </w:r>
    </w:p>
    <w:p w14:paraId="5E489187" w14:textId="77777777" w:rsidR="00BA70D9" w:rsidRPr="00BD31B7" w:rsidRDefault="00BA70D9" w:rsidP="00BA70D9">
      <w:pPr>
        <w:spacing w:after="240"/>
        <w:rPr>
          <w:b/>
          <w:sz w:val="24"/>
          <w:szCs w:val="24"/>
        </w:rPr>
      </w:pPr>
      <w:r>
        <w:rPr>
          <w:b/>
          <w:sz w:val="24"/>
          <w:szCs w:val="24"/>
        </w:rPr>
        <w:tab/>
        <w:t>(In</w:t>
      </w:r>
      <w:r w:rsidRPr="00BD31B7">
        <w:rPr>
          <w:b/>
          <w:sz w:val="24"/>
          <w:szCs w:val="24"/>
        </w:rPr>
        <w:t xml:space="preserve"> the amount of the legal rate of interest of eight percent on the market value of the property on the date that </w:t>
      </w:r>
      <w:r>
        <w:rPr>
          <w:b/>
          <w:sz w:val="24"/>
          <w:szCs w:val="24"/>
        </w:rPr>
        <w:t xml:space="preserve">the </w:t>
      </w:r>
      <w:r w:rsidRPr="00BD31B7">
        <w:rPr>
          <w:b/>
          <w:sz w:val="24"/>
          <w:szCs w:val="24"/>
        </w:rPr>
        <w:t>defendant took possession, compounded annually and computed until the date of your verdict</w:t>
      </w:r>
      <w:r>
        <w:rPr>
          <w:b/>
          <w:sz w:val="24"/>
          <w:szCs w:val="24"/>
        </w:rPr>
        <w:t>) (or) (I</w:t>
      </w:r>
      <w:r w:rsidRPr="00BD31B7">
        <w:rPr>
          <w:b/>
          <w:sz w:val="24"/>
          <w:szCs w:val="24"/>
        </w:rPr>
        <w:t>n an amount proven by the evidence at trial which fully recognizes the gain or benefit realized by the defendant who wrongfully took or kept the property</w:t>
      </w:r>
      <w:r>
        <w:rPr>
          <w:b/>
          <w:sz w:val="24"/>
          <w:szCs w:val="24"/>
        </w:rPr>
        <w:t>)</w:t>
      </w:r>
      <w:r w:rsidRPr="00BD31B7">
        <w:rPr>
          <w:b/>
          <w:sz w:val="24"/>
          <w:szCs w:val="24"/>
        </w:rPr>
        <w:t>.</w:t>
      </w:r>
    </w:p>
    <w:p w14:paraId="2103DB82" w14:textId="77777777" w:rsidR="00BA70D9" w:rsidRPr="00BD31B7" w:rsidRDefault="00BA70D9" w:rsidP="00BA70D9">
      <w:pPr>
        <w:rPr>
          <w:b/>
          <w:sz w:val="24"/>
          <w:szCs w:val="24"/>
        </w:rPr>
      </w:pPr>
    </w:p>
    <w:p w14:paraId="2C08E08C" w14:textId="77777777" w:rsidR="00BA70D9" w:rsidRPr="00BD31B7" w:rsidRDefault="00BA70D9" w:rsidP="00BA70D9">
      <w:pPr>
        <w:spacing w:after="240"/>
        <w:jc w:val="center"/>
        <w:rPr>
          <w:b/>
          <w:sz w:val="24"/>
          <w:szCs w:val="24"/>
        </w:rPr>
      </w:pPr>
      <w:r w:rsidRPr="00BD31B7">
        <w:rPr>
          <w:b/>
          <w:sz w:val="24"/>
          <w:szCs w:val="24"/>
        </w:rPr>
        <w:t xml:space="preserve">Notes on Use </w:t>
      </w:r>
    </w:p>
    <w:p w14:paraId="6B9B17EC" w14:textId="77777777" w:rsidR="00BA70D9" w:rsidRPr="00BD31B7" w:rsidRDefault="00BA70D9" w:rsidP="00BA70D9">
      <w:pPr>
        <w:spacing w:after="240"/>
        <w:ind w:firstLine="720"/>
        <w:rPr>
          <w:sz w:val="24"/>
          <w:szCs w:val="24"/>
        </w:rPr>
      </w:pPr>
      <w:r w:rsidRPr="00BD31B7">
        <w:rPr>
          <w:sz w:val="24"/>
          <w:szCs w:val="24"/>
        </w:rPr>
        <w:t xml:space="preserve">1. This instruction should be used exclusively in cases where the property cannot be returned to the claimant, whether because it has been conveyed to third parties or destroyed. </w:t>
      </w:r>
    </w:p>
    <w:p w14:paraId="37F1BA5C" w14:textId="77777777" w:rsidR="00BA70D9" w:rsidRPr="00BD31B7" w:rsidRDefault="00BA70D9" w:rsidP="00BA70D9">
      <w:pPr>
        <w:spacing w:after="240"/>
        <w:ind w:firstLine="720"/>
        <w:rPr>
          <w:sz w:val="24"/>
          <w:szCs w:val="24"/>
        </w:rPr>
      </w:pPr>
      <w:r w:rsidRPr="00BD31B7">
        <w:rPr>
          <w:sz w:val="24"/>
          <w:szCs w:val="24"/>
        </w:rPr>
        <w:t xml:space="preserve">2. </w:t>
      </w:r>
      <w:r w:rsidRPr="00E65811">
        <w:rPr>
          <w:sz w:val="24"/>
          <w:szCs w:val="24"/>
        </w:rPr>
        <w:t xml:space="preserve">The </w:t>
      </w:r>
      <w:r>
        <w:rPr>
          <w:sz w:val="24"/>
          <w:szCs w:val="24"/>
        </w:rPr>
        <w:t>third</w:t>
      </w:r>
      <w:r w:rsidRPr="00E65811">
        <w:rPr>
          <w:sz w:val="24"/>
          <w:szCs w:val="24"/>
        </w:rPr>
        <w:t xml:space="preserve"> paragraph should be modified to reflect plaintiff’s election of either </w:t>
      </w:r>
      <w:r w:rsidRPr="00BD31B7">
        <w:rPr>
          <w:sz w:val="24"/>
          <w:szCs w:val="24"/>
        </w:rPr>
        <w:t xml:space="preserve">the statutory </w:t>
      </w:r>
      <w:r>
        <w:rPr>
          <w:sz w:val="24"/>
          <w:szCs w:val="24"/>
        </w:rPr>
        <w:t xml:space="preserve">interest </w:t>
      </w:r>
      <w:r w:rsidRPr="00BD31B7">
        <w:rPr>
          <w:sz w:val="24"/>
          <w:szCs w:val="24"/>
        </w:rPr>
        <w:t>amount of eight percent</w:t>
      </w:r>
      <w:r>
        <w:rPr>
          <w:sz w:val="24"/>
          <w:szCs w:val="24"/>
        </w:rPr>
        <w:t>, or</w:t>
      </w:r>
      <w:r w:rsidRPr="00BD31B7">
        <w:rPr>
          <w:sz w:val="24"/>
          <w:szCs w:val="24"/>
        </w:rPr>
        <w:t xml:space="preserve"> a different rate of interest “which fully recognizes the gain or benefit realized by the person withholding” the property as provided in section 5-12-102(1), C.R.S. </w:t>
      </w:r>
    </w:p>
    <w:p w14:paraId="4F873E8D" w14:textId="77777777" w:rsidR="00BA70D9" w:rsidRPr="00BD31B7" w:rsidRDefault="00BA70D9" w:rsidP="00BA70D9">
      <w:pPr>
        <w:spacing w:after="240"/>
        <w:jc w:val="center"/>
        <w:rPr>
          <w:b/>
          <w:sz w:val="24"/>
          <w:szCs w:val="24"/>
        </w:rPr>
      </w:pPr>
      <w:r w:rsidRPr="00BD31B7">
        <w:rPr>
          <w:b/>
          <w:sz w:val="24"/>
          <w:szCs w:val="24"/>
        </w:rPr>
        <w:t xml:space="preserve">Source and Authority </w:t>
      </w:r>
    </w:p>
    <w:p w14:paraId="12778CFA" w14:textId="77777777" w:rsidR="00BA70D9" w:rsidRPr="00BD31B7" w:rsidRDefault="00BA70D9" w:rsidP="00BA70D9">
      <w:pPr>
        <w:spacing w:after="240"/>
        <w:ind w:firstLine="720"/>
        <w:rPr>
          <w:sz w:val="24"/>
          <w:szCs w:val="24"/>
        </w:rPr>
      </w:pPr>
      <w:r w:rsidRPr="00BD31B7">
        <w:rPr>
          <w:sz w:val="24"/>
          <w:szCs w:val="24"/>
        </w:rPr>
        <w:t xml:space="preserve">This instruction is supported by section 5-12-102 (1), C.R.S. (when property has been wrongfully withheld, interest shall be awarded in an amount which fully recognizes the gain or benefit realized by the person withholding the property, or, at the election of claimant, in the statutory amount of eight percent); </w:t>
      </w:r>
      <w:r w:rsidRPr="00BD31B7">
        <w:rPr>
          <w:b/>
          <w:bCs/>
          <w:sz w:val="24"/>
          <w:szCs w:val="24"/>
        </w:rPr>
        <w:t>Wigton v. Wigton</w:t>
      </w:r>
      <w:r w:rsidRPr="00BD31B7">
        <w:rPr>
          <w:sz w:val="24"/>
          <w:szCs w:val="24"/>
        </w:rPr>
        <w:t xml:space="preserve">, 69 Colo. 19, 26, 169 P. 133, 135 (1917) (Trial court reversed for erroneously awarding judgment for the full value of two ledger books that were recovered by the plaintiff; an award of the value of the property was appropriate “only [if] recovery of the specific property may not be had.”); </w:t>
      </w:r>
      <w:r w:rsidRPr="00BD31B7">
        <w:rPr>
          <w:b/>
          <w:bCs/>
          <w:sz w:val="24"/>
          <w:szCs w:val="24"/>
        </w:rPr>
        <w:t>Walker v. MacMillan</w:t>
      </w:r>
      <w:r w:rsidRPr="00BD31B7">
        <w:rPr>
          <w:sz w:val="24"/>
          <w:szCs w:val="24"/>
        </w:rPr>
        <w:t>, 62 Colo. 136, 144, 160 P. 1062, 1064 (1916) (“In replevin the measure of damage, in the absence of specific recovery, is the value of the thing sought to be recovered.”)</w:t>
      </w:r>
      <w:r>
        <w:rPr>
          <w:sz w:val="24"/>
          <w:szCs w:val="24"/>
        </w:rPr>
        <w:t xml:space="preserve">; </w:t>
      </w:r>
      <w:r w:rsidRPr="00BD31B7">
        <w:rPr>
          <w:b/>
          <w:bCs/>
          <w:sz w:val="24"/>
          <w:szCs w:val="24"/>
        </w:rPr>
        <w:t>Smith v. Stevens</w:t>
      </w:r>
      <w:r w:rsidRPr="00BD31B7">
        <w:rPr>
          <w:sz w:val="24"/>
          <w:szCs w:val="24"/>
        </w:rPr>
        <w:t xml:space="preserve">,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 </w:t>
      </w:r>
    </w:p>
    <w:p w14:paraId="50AAFB66" w14:textId="1A30368B" w:rsidR="00BA70D9" w:rsidRDefault="00BA70D9">
      <w:pPr>
        <w:spacing w:after="200" w:line="276" w:lineRule="auto"/>
        <w:rPr>
          <w:sz w:val="24"/>
          <w:szCs w:val="24"/>
        </w:rPr>
      </w:pPr>
      <w:r>
        <w:rPr>
          <w:sz w:val="24"/>
          <w:szCs w:val="24"/>
        </w:rPr>
        <w:br w:type="page"/>
      </w:r>
    </w:p>
    <w:p w14:paraId="1891305C" w14:textId="77777777" w:rsidR="00BA70D9" w:rsidRPr="001E3C3C" w:rsidRDefault="00BA70D9" w:rsidP="00BA70D9">
      <w:pPr>
        <w:ind w:left="720" w:hanging="720"/>
        <w:rPr>
          <w:b/>
          <w:bCs/>
          <w:sz w:val="24"/>
          <w:szCs w:val="24"/>
        </w:rPr>
      </w:pPr>
      <w:bookmarkStart w:id="11" w:name="a32_11"/>
      <w:bookmarkEnd w:id="11"/>
      <w:r w:rsidRPr="001E3C3C">
        <w:rPr>
          <w:b/>
          <w:bCs/>
          <w:sz w:val="24"/>
          <w:szCs w:val="24"/>
        </w:rPr>
        <w:t xml:space="preserve">32:11 </w:t>
      </w:r>
      <w:r w:rsidRPr="001E3C3C">
        <w:rPr>
          <w:b/>
          <w:bCs/>
          <w:sz w:val="24"/>
          <w:szCs w:val="24"/>
        </w:rPr>
        <w:tab/>
        <w:t>POSSESSION AND DAMAGES</w:t>
      </w:r>
      <w:r>
        <w:rPr>
          <w:b/>
          <w:bCs/>
          <w:sz w:val="24"/>
          <w:szCs w:val="24"/>
        </w:rPr>
        <w:t xml:space="preserve"> — </w:t>
      </w:r>
      <w:r w:rsidRPr="001E3C3C">
        <w:rPr>
          <w:b/>
          <w:bCs/>
          <w:sz w:val="24"/>
          <w:szCs w:val="24"/>
        </w:rPr>
        <w:t xml:space="preserve">WHERE THE PROPERTY CAN BE RETURNED BUT </w:t>
      </w:r>
      <w:r>
        <w:rPr>
          <w:b/>
          <w:bCs/>
          <w:sz w:val="24"/>
          <w:szCs w:val="24"/>
        </w:rPr>
        <w:t>NOT IN THE SAME</w:t>
      </w:r>
      <w:r w:rsidRPr="001E3C3C">
        <w:rPr>
          <w:b/>
          <w:bCs/>
          <w:sz w:val="24"/>
          <w:szCs w:val="24"/>
        </w:rPr>
        <w:t xml:space="preserve"> CONDITION </w:t>
      </w:r>
    </w:p>
    <w:p w14:paraId="1F07F4BE" w14:textId="77777777" w:rsidR="00BA70D9" w:rsidRDefault="00BA70D9" w:rsidP="00BA70D9">
      <w:pPr>
        <w:ind w:firstLine="720"/>
        <w:rPr>
          <w:b/>
          <w:sz w:val="24"/>
          <w:szCs w:val="24"/>
        </w:rPr>
      </w:pPr>
    </w:p>
    <w:p w14:paraId="14F8ED33" w14:textId="66427824" w:rsidR="00BA70D9" w:rsidRPr="001E3C3C" w:rsidRDefault="00BA70D9" w:rsidP="00BA70D9">
      <w:pPr>
        <w:spacing w:after="240"/>
        <w:ind w:firstLine="720"/>
        <w:rPr>
          <w:sz w:val="24"/>
          <w:szCs w:val="24"/>
        </w:rPr>
      </w:pPr>
      <w:r w:rsidRPr="001E3C3C">
        <w:rPr>
          <w:b/>
          <w:sz w:val="24"/>
          <w:szCs w:val="24"/>
        </w:rPr>
        <w:t xml:space="preserve">If you find in favor of the plaintiff, you shall award </w:t>
      </w:r>
      <w:r w:rsidRPr="00673CE7">
        <w:rPr>
          <w:bCs/>
          <w:i/>
          <w:iCs/>
          <w:sz w:val="24"/>
          <w:szCs w:val="24"/>
        </w:rPr>
        <w:t>(insert applicable pronoun)</w:t>
      </w:r>
      <w:r w:rsidRPr="001E3C3C">
        <w:rPr>
          <w:b/>
          <w:sz w:val="24"/>
          <w:szCs w:val="24"/>
        </w:rPr>
        <w:t xml:space="preserve"> possession of the </w:t>
      </w:r>
      <w:r w:rsidRPr="001E3C3C">
        <w:rPr>
          <w:i/>
          <w:sz w:val="24"/>
          <w:szCs w:val="24"/>
        </w:rPr>
        <w:t>(</w:t>
      </w:r>
      <w:r w:rsidRPr="001E3C3C">
        <w:rPr>
          <w:i/>
          <w:iCs/>
          <w:sz w:val="24"/>
          <w:szCs w:val="24"/>
        </w:rPr>
        <w:t>insert item of personal property</w:t>
      </w:r>
      <w:r w:rsidRPr="001E3C3C">
        <w:rPr>
          <w:i/>
          <w:sz w:val="24"/>
          <w:szCs w:val="24"/>
        </w:rPr>
        <w:t>)</w:t>
      </w:r>
      <w:r w:rsidRPr="001E3C3C">
        <w:rPr>
          <w:b/>
          <w:sz w:val="24"/>
          <w:szCs w:val="24"/>
        </w:rPr>
        <w:t>.</w:t>
      </w:r>
      <w:r w:rsidRPr="001E3C3C">
        <w:rPr>
          <w:sz w:val="24"/>
          <w:szCs w:val="24"/>
        </w:rPr>
        <w:t xml:space="preserve"> </w:t>
      </w:r>
    </w:p>
    <w:p w14:paraId="2CB084B6" w14:textId="77777777" w:rsidR="00BA70D9" w:rsidRPr="001E3C3C" w:rsidRDefault="00BA70D9" w:rsidP="00BA70D9">
      <w:pPr>
        <w:spacing w:after="240"/>
        <w:ind w:firstLine="720"/>
        <w:rPr>
          <w:b/>
          <w:sz w:val="24"/>
          <w:szCs w:val="24"/>
        </w:rPr>
      </w:pPr>
      <w:r w:rsidRPr="001E3C3C">
        <w:rPr>
          <w:b/>
          <w:sz w:val="24"/>
          <w:szCs w:val="24"/>
        </w:rPr>
        <w:t xml:space="preserve">If you find that the property can be returned to the plaintiff, but not in </w:t>
      </w:r>
      <w:r>
        <w:rPr>
          <w:b/>
          <w:sz w:val="24"/>
          <w:szCs w:val="24"/>
        </w:rPr>
        <w:t xml:space="preserve">substantially </w:t>
      </w:r>
      <w:r w:rsidRPr="001E3C3C">
        <w:rPr>
          <w:b/>
          <w:sz w:val="24"/>
          <w:szCs w:val="24"/>
        </w:rPr>
        <w:t>the same condition that it was in when the defendant first took possession of it, then you shall award the greater of one of the following:</w:t>
      </w:r>
    </w:p>
    <w:p w14:paraId="0AE00307" w14:textId="77777777" w:rsidR="00BA70D9" w:rsidRPr="001E3C3C" w:rsidRDefault="00BA70D9" w:rsidP="00BA70D9">
      <w:pPr>
        <w:pStyle w:val="ListParagraph"/>
        <w:spacing w:after="240"/>
        <w:ind w:left="0" w:firstLine="720"/>
        <w:contextualSpacing w:val="0"/>
        <w:rPr>
          <w:b/>
        </w:rPr>
      </w:pPr>
      <w:r w:rsidRPr="001E3C3C">
        <w:rPr>
          <w:b/>
        </w:rPr>
        <w:t xml:space="preserve">1. If the property was damaged and lost market value while the defendant had possession of it, the difference between the value of the property when </w:t>
      </w:r>
      <w:r>
        <w:rPr>
          <w:b/>
        </w:rPr>
        <w:t xml:space="preserve">the </w:t>
      </w:r>
      <w:r w:rsidRPr="001E3C3C">
        <w:rPr>
          <w:b/>
        </w:rPr>
        <w:t>defendant first took possession of it and the value it had on the date of trial; and</w:t>
      </w:r>
    </w:p>
    <w:p w14:paraId="21219DF3" w14:textId="77777777" w:rsidR="00BA70D9" w:rsidRPr="001E3C3C" w:rsidRDefault="00BA70D9" w:rsidP="00BA70D9">
      <w:pPr>
        <w:spacing w:after="240"/>
        <w:ind w:firstLine="720"/>
        <w:rPr>
          <w:b/>
          <w:sz w:val="24"/>
          <w:szCs w:val="24"/>
        </w:rPr>
      </w:pPr>
      <w:bookmarkStart w:id="12" w:name="_Hlk144980101"/>
      <w:r w:rsidRPr="001E3C3C">
        <w:rPr>
          <w:b/>
          <w:sz w:val="24"/>
          <w:szCs w:val="24"/>
        </w:rPr>
        <w:t xml:space="preserve">2. If the </w:t>
      </w:r>
      <w:r w:rsidRPr="001E3C3C">
        <w:rPr>
          <w:i/>
          <w:sz w:val="24"/>
          <w:szCs w:val="24"/>
        </w:rPr>
        <w:t>(</w:t>
      </w:r>
      <w:r w:rsidRPr="001E3C3C">
        <w:rPr>
          <w:i/>
          <w:iCs/>
          <w:sz w:val="24"/>
          <w:szCs w:val="24"/>
        </w:rPr>
        <w:t>insert item of personal property</w:t>
      </w:r>
      <w:r w:rsidRPr="001E3C3C">
        <w:rPr>
          <w:i/>
          <w:sz w:val="24"/>
          <w:szCs w:val="24"/>
        </w:rPr>
        <w:t>)</w:t>
      </w:r>
      <w:r w:rsidRPr="001E3C3C">
        <w:rPr>
          <w:sz w:val="24"/>
          <w:szCs w:val="24"/>
        </w:rPr>
        <w:t xml:space="preserve"> </w:t>
      </w:r>
      <w:r w:rsidRPr="001E3C3C">
        <w:rPr>
          <w:b/>
          <w:sz w:val="24"/>
          <w:szCs w:val="24"/>
        </w:rPr>
        <w:t xml:space="preserve">had use value, including rental value, that use value, measured from the date </w:t>
      </w:r>
      <w:r>
        <w:rPr>
          <w:b/>
          <w:sz w:val="24"/>
          <w:szCs w:val="24"/>
        </w:rPr>
        <w:t xml:space="preserve">the </w:t>
      </w:r>
      <w:r w:rsidRPr="001E3C3C">
        <w:rPr>
          <w:b/>
          <w:sz w:val="24"/>
          <w:szCs w:val="24"/>
        </w:rPr>
        <w:t>defendant first took possession of the property until the date of trial; (and)</w:t>
      </w:r>
    </w:p>
    <w:bookmarkEnd w:id="12"/>
    <w:p w14:paraId="21B53990" w14:textId="77777777" w:rsidR="00BA70D9" w:rsidRPr="001E3C3C" w:rsidRDefault="00BA70D9" w:rsidP="00BA70D9">
      <w:pPr>
        <w:spacing w:after="240"/>
        <w:ind w:firstLine="720"/>
        <w:rPr>
          <w:b/>
          <w:sz w:val="24"/>
          <w:szCs w:val="24"/>
        </w:rPr>
      </w:pPr>
      <w:r>
        <w:rPr>
          <w:b/>
          <w:sz w:val="24"/>
          <w:szCs w:val="24"/>
        </w:rPr>
        <w:t>(</w:t>
      </w:r>
      <w:r w:rsidRPr="001E3C3C">
        <w:rPr>
          <w:b/>
          <w:sz w:val="24"/>
          <w:szCs w:val="24"/>
        </w:rPr>
        <w:t xml:space="preserve">3. The amount of the legal rate of interest of eight percent on the market value of the property on the date that </w:t>
      </w:r>
      <w:r>
        <w:rPr>
          <w:b/>
          <w:sz w:val="24"/>
          <w:szCs w:val="24"/>
        </w:rPr>
        <w:t xml:space="preserve">the </w:t>
      </w:r>
      <w:r w:rsidRPr="001E3C3C">
        <w:rPr>
          <w:b/>
          <w:sz w:val="24"/>
          <w:szCs w:val="24"/>
        </w:rPr>
        <w:t xml:space="preserve">defendant took possession, compounded annually and computed until the time of trial) </w:t>
      </w:r>
      <w:r>
        <w:rPr>
          <w:b/>
          <w:sz w:val="24"/>
          <w:szCs w:val="24"/>
        </w:rPr>
        <w:t>(</w:t>
      </w:r>
      <w:r w:rsidRPr="001E3C3C">
        <w:rPr>
          <w:b/>
          <w:sz w:val="24"/>
          <w:szCs w:val="24"/>
        </w:rPr>
        <w:t>or</w:t>
      </w:r>
      <w:r>
        <w:rPr>
          <w:b/>
          <w:sz w:val="24"/>
          <w:szCs w:val="24"/>
        </w:rPr>
        <w:t>)</w:t>
      </w:r>
      <w:bookmarkStart w:id="13" w:name="_Hlk144980054"/>
      <w:r w:rsidRPr="001E3C3C">
        <w:rPr>
          <w:b/>
          <w:sz w:val="24"/>
          <w:szCs w:val="24"/>
        </w:rPr>
        <w:t xml:space="preserve"> (</w:t>
      </w:r>
      <w:r>
        <w:rPr>
          <w:b/>
          <w:sz w:val="24"/>
          <w:szCs w:val="24"/>
        </w:rPr>
        <w:t>Interest in a</w:t>
      </w:r>
      <w:r w:rsidRPr="001E3C3C">
        <w:rPr>
          <w:b/>
          <w:sz w:val="24"/>
          <w:szCs w:val="24"/>
        </w:rPr>
        <w:t>n amount proven by the evidence at trial which fully recognizes the gain or benefit realized by the defendant who wrongfully took or kept the property, computed and assessed until the time of trial</w:t>
      </w:r>
      <w:bookmarkEnd w:id="13"/>
      <w:r w:rsidRPr="001E3C3C">
        <w:rPr>
          <w:b/>
          <w:sz w:val="24"/>
          <w:szCs w:val="24"/>
        </w:rPr>
        <w:t>.)</w:t>
      </w:r>
    </w:p>
    <w:p w14:paraId="58B549F7" w14:textId="77777777" w:rsidR="00BA70D9" w:rsidRPr="001E3C3C" w:rsidRDefault="00BA70D9" w:rsidP="00BA70D9">
      <w:pPr>
        <w:pStyle w:val="ListParagraph"/>
        <w:ind w:left="1080" w:firstLine="60"/>
        <w:rPr>
          <w:b/>
        </w:rPr>
      </w:pPr>
    </w:p>
    <w:p w14:paraId="3DE36844" w14:textId="77777777" w:rsidR="00BA70D9" w:rsidRPr="001E3C3C" w:rsidRDefault="00BA70D9" w:rsidP="00BA70D9">
      <w:pPr>
        <w:spacing w:after="240"/>
        <w:jc w:val="center"/>
        <w:rPr>
          <w:b/>
          <w:sz w:val="24"/>
          <w:szCs w:val="24"/>
        </w:rPr>
      </w:pPr>
      <w:r w:rsidRPr="001E3C3C">
        <w:rPr>
          <w:b/>
          <w:sz w:val="24"/>
          <w:szCs w:val="24"/>
        </w:rPr>
        <w:t xml:space="preserve">Notes on Use </w:t>
      </w:r>
    </w:p>
    <w:p w14:paraId="5823C2E2" w14:textId="77777777" w:rsidR="00BA70D9" w:rsidRPr="001E3C3C" w:rsidRDefault="00BA70D9" w:rsidP="00BA70D9">
      <w:pPr>
        <w:spacing w:after="240"/>
        <w:ind w:firstLine="720"/>
        <w:rPr>
          <w:bCs/>
          <w:sz w:val="24"/>
          <w:szCs w:val="24"/>
        </w:rPr>
      </w:pPr>
      <w:r w:rsidRPr="001E3C3C">
        <w:rPr>
          <w:bCs/>
          <w:sz w:val="24"/>
          <w:szCs w:val="24"/>
        </w:rPr>
        <w:t xml:space="preserve">1. Use this instruction exclusively if possession can be awarded and the property returned, but in a damaged or diminished condition. </w:t>
      </w:r>
    </w:p>
    <w:p w14:paraId="6EF82B32" w14:textId="77777777" w:rsidR="00BA70D9" w:rsidRPr="001E3C3C" w:rsidRDefault="00BA70D9" w:rsidP="00BA70D9">
      <w:pPr>
        <w:spacing w:after="240"/>
        <w:ind w:firstLine="720"/>
        <w:rPr>
          <w:bCs/>
          <w:sz w:val="24"/>
          <w:szCs w:val="24"/>
        </w:rPr>
      </w:pPr>
      <w:r w:rsidRPr="001E3C3C">
        <w:rPr>
          <w:bCs/>
          <w:sz w:val="24"/>
          <w:szCs w:val="24"/>
        </w:rPr>
        <w:t xml:space="preserve">2. The instruction should be modified to reflect the remedy pursued by the plaintiff and the evidence at trial.  </w:t>
      </w:r>
    </w:p>
    <w:p w14:paraId="419E07DD" w14:textId="77777777" w:rsidR="00BA70D9" w:rsidRPr="001E3C3C" w:rsidRDefault="00BA70D9" w:rsidP="00BA70D9">
      <w:pPr>
        <w:spacing w:after="240"/>
        <w:jc w:val="center"/>
        <w:rPr>
          <w:b/>
          <w:bCs/>
          <w:sz w:val="24"/>
          <w:szCs w:val="24"/>
        </w:rPr>
      </w:pPr>
      <w:r w:rsidRPr="001E3C3C">
        <w:rPr>
          <w:b/>
          <w:bCs/>
          <w:sz w:val="24"/>
          <w:szCs w:val="24"/>
        </w:rPr>
        <w:t xml:space="preserve">Source and Authority </w:t>
      </w:r>
    </w:p>
    <w:p w14:paraId="66A075EF" w14:textId="77777777" w:rsidR="00BA70D9" w:rsidRDefault="00BA70D9" w:rsidP="00BA70D9">
      <w:pPr>
        <w:spacing w:after="240"/>
        <w:ind w:firstLine="720"/>
        <w:rPr>
          <w:sz w:val="24"/>
          <w:szCs w:val="24"/>
        </w:rPr>
      </w:pPr>
      <w:r>
        <w:rPr>
          <w:sz w:val="24"/>
          <w:szCs w:val="24"/>
        </w:rPr>
        <w:t xml:space="preserve">1. </w:t>
      </w:r>
      <w:r w:rsidRPr="001E3C3C">
        <w:rPr>
          <w:sz w:val="24"/>
          <w:szCs w:val="24"/>
        </w:rPr>
        <w:t xml:space="preserve">This instruction is supported by section 5-12-102 (1), C.R.S. (when property has been wrongfully withheld, interest shall be awarded in an amount which fully recognizes the gain or benefit realized by the person withholding the property, or, at the election of claimant, in the statutory amount of eight percent); </w:t>
      </w:r>
      <w:r w:rsidRPr="001E3C3C">
        <w:rPr>
          <w:b/>
          <w:bCs/>
          <w:sz w:val="24"/>
          <w:szCs w:val="24"/>
        </w:rPr>
        <w:t>Woo v. El Paso County Sheriff’s Office</w:t>
      </w:r>
      <w:r w:rsidRPr="001E3C3C">
        <w:rPr>
          <w:sz w:val="24"/>
          <w:szCs w:val="24"/>
        </w:rPr>
        <w:t>, 2022 CO 56, ¶</w:t>
      </w:r>
      <w:r>
        <w:rPr>
          <w:sz w:val="24"/>
          <w:szCs w:val="24"/>
        </w:rPr>
        <w:t xml:space="preserve"> </w:t>
      </w:r>
      <w:r w:rsidRPr="001E3C3C">
        <w:rPr>
          <w:sz w:val="24"/>
          <w:szCs w:val="24"/>
        </w:rPr>
        <w:t>9, 528 P. 2d 899, 903 (</w:t>
      </w:r>
      <w:r>
        <w:rPr>
          <w:sz w:val="24"/>
          <w:szCs w:val="24"/>
        </w:rPr>
        <w:t>“</w:t>
      </w:r>
      <w:r w:rsidRPr="001E3C3C">
        <w:rPr>
          <w:sz w:val="24"/>
          <w:szCs w:val="24"/>
        </w:rPr>
        <w:t>Replevin is a possessory action in which a claimant seeks to recover both possession of personal property that has been wrongfully taken or detained and damages for its unlawful detention</w:t>
      </w:r>
      <w:r>
        <w:rPr>
          <w:sz w:val="24"/>
          <w:szCs w:val="24"/>
        </w:rPr>
        <w:t>”</w:t>
      </w:r>
      <w:r w:rsidRPr="001E3C3C">
        <w:rPr>
          <w:sz w:val="24"/>
          <w:szCs w:val="24"/>
        </w:rPr>
        <w:t xml:space="preserve">); </w:t>
      </w:r>
      <w:r w:rsidRPr="001E3C3C">
        <w:rPr>
          <w:b/>
          <w:bCs/>
          <w:sz w:val="24"/>
          <w:szCs w:val="24"/>
        </w:rPr>
        <w:t>Smith v. Stevens</w:t>
      </w:r>
      <w:r w:rsidRPr="001E3C3C">
        <w:rPr>
          <w:sz w:val="24"/>
          <w:szCs w:val="24"/>
        </w:rPr>
        <w:t xml:space="preserve">,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    </w:t>
      </w:r>
    </w:p>
    <w:p w14:paraId="46A91FC1" w14:textId="7B499CD6" w:rsidR="00BA70D9" w:rsidRPr="00680213" w:rsidRDefault="00BA70D9" w:rsidP="00864DD2">
      <w:pPr>
        <w:spacing w:after="240"/>
        <w:ind w:firstLine="720"/>
        <w:rPr>
          <w:sz w:val="24"/>
          <w:szCs w:val="24"/>
        </w:rPr>
      </w:pPr>
      <w:r>
        <w:rPr>
          <w:sz w:val="24"/>
          <w:szCs w:val="24"/>
        </w:rPr>
        <w:t xml:space="preserve">2. </w:t>
      </w:r>
      <w:bookmarkStart w:id="14" w:name="_Hlk146201675"/>
      <w:r w:rsidRPr="00916CB3">
        <w:rPr>
          <w:sz w:val="24"/>
          <w:szCs w:val="24"/>
        </w:rPr>
        <w:t>“In this state all of the property must be returned in substantially the same condition as when wrongfully taken, or the total aggregate value of all the property, as found by the jury, must be paid.”</w:t>
      </w:r>
      <w:r>
        <w:rPr>
          <w:sz w:val="24"/>
          <w:szCs w:val="24"/>
        </w:rPr>
        <w:t xml:space="preserve"> </w:t>
      </w:r>
      <w:r w:rsidRPr="00916CB3">
        <w:rPr>
          <w:b/>
          <w:bCs/>
          <w:sz w:val="24"/>
          <w:szCs w:val="24"/>
        </w:rPr>
        <w:t>Duffy v. Wilson</w:t>
      </w:r>
      <w:r w:rsidRPr="00916CB3">
        <w:rPr>
          <w:sz w:val="24"/>
          <w:szCs w:val="24"/>
        </w:rPr>
        <w:t>, 98 P. 826, 827, 44 Colo. 340, 344 (1908)</w:t>
      </w:r>
      <w:r>
        <w:rPr>
          <w:sz w:val="24"/>
          <w:szCs w:val="24"/>
        </w:rPr>
        <w:t>.</w:t>
      </w:r>
      <w:bookmarkEnd w:id="14"/>
    </w:p>
    <w:sectPr w:rsidR="00BA70D9" w:rsidRPr="00680213" w:rsidSect="00732CC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3D3D" w14:textId="77777777" w:rsidR="007447D8" w:rsidRDefault="007447D8" w:rsidP="00BC4E1D">
      <w:r>
        <w:separator/>
      </w:r>
    </w:p>
  </w:endnote>
  <w:endnote w:type="continuationSeparator" w:id="0">
    <w:p w14:paraId="67A71274" w14:textId="77777777" w:rsidR="007447D8" w:rsidRDefault="007447D8"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EE137F">
          <w:rPr>
            <w:noProof/>
          </w:rPr>
          <w:t>11</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E4A4" w14:textId="77777777" w:rsidR="007447D8" w:rsidRDefault="007447D8" w:rsidP="00BC4E1D">
      <w:r>
        <w:separator/>
      </w:r>
    </w:p>
  </w:footnote>
  <w:footnote w:type="continuationSeparator" w:id="0">
    <w:p w14:paraId="72968429" w14:textId="77777777" w:rsidR="007447D8" w:rsidRDefault="007447D8" w:rsidP="00BC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16cid:durableId="19467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FC"/>
    <w:rsid w:val="00003EE2"/>
    <w:rsid w:val="00031C73"/>
    <w:rsid w:val="000327DE"/>
    <w:rsid w:val="00032E9B"/>
    <w:rsid w:val="00055BE9"/>
    <w:rsid w:val="00057B78"/>
    <w:rsid w:val="00057E62"/>
    <w:rsid w:val="000610A3"/>
    <w:rsid w:val="0008082E"/>
    <w:rsid w:val="0008670E"/>
    <w:rsid w:val="000A5B2F"/>
    <w:rsid w:val="000A643D"/>
    <w:rsid w:val="000C0405"/>
    <w:rsid w:val="000C78EA"/>
    <w:rsid w:val="000D5B3F"/>
    <w:rsid w:val="000E3000"/>
    <w:rsid w:val="000E4942"/>
    <w:rsid w:val="000F1149"/>
    <w:rsid w:val="000F6CA1"/>
    <w:rsid w:val="001025A5"/>
    <w:rsid w:val="00105C32"/>
    <w:rsid w:val="00105F57"/>
    <w:rsid w:val="001275AB"/>
    <w:rsid w:val="00131237"/>
    <w:rsid w:val="001464C9"/>
    <w:rsid w:val="00147140"/>
    <w:rsid w:val="00153CC5"/>
    <w:rsid w:val="0016520C"/>
    <w:rsid w:val="00166BC8"/>
    <w:rsid w:val="001B1259"/>
    <w:rsid w:val="001B1468"/>
    <w:rsid w:val="001D10AF"/>
    <w:rsid w:val="001D253E"/>
    <w:rsid w:val="001F1387"/>
    <w:rsid w:val="00206627"/>
    <w:rsid w:val="002128B5"/>
    <w:rsid w:val="0023490B"/>
    <w:rsid w:val="00235E49"/>
    <w:rsid w:val="00241073"/>
    <w:rsid w:val="00242EF0"/>
    <w:rsid w:val="002437A4"/>
    <w:rsid w:val="00243E1F"/>
    <w:rsid w:val="00247EA8"/>
    <w:rsid w:val="002602FC"/>
    <w:rsid w:val="00273F73"/>
    <w:rsid w:val="00295ACE"/>
    <w:rsid w:val="002A31DB"/>
    <w:rsid w:val="002A609C"/>
    <w:rsid w:val="002C614B"/>
    <w:rsid w:val="002D49FB"/>
    <w:rsid w:val="002E5F78"/>
    <w:rsid w:val="002F38D7"/>
    <w:rsid w:val="002F414C"/>
    <w:rsid w:val="00323CF7"/>
    <w:rsid w:val="003372A5"/>
    <w:rsid w:val="003405CB"/>
    <w:rsid w:val="003525DC"/>
    <w:rsid w:val="0037307E"/>
    <w:rsid w:val="00380B71"/>
    <w:rsid w:val="00381678"/>
    <w:rsid w:val="00384E2D"/>
    <w:rsid w:val="003A393E"/>
    <w:rsid w:val="003B4FFC"/>
    <w:rsid w:val="003D1504"/>
    <w:rsid w:val="003D565A"/>
    <w:rsid w:val="00414467"/>
    <w:rsid w:val="00415533"/>
    <w:rsid w:val="00421C1A"/>
    <w:rsid w:val="00436B20"/>
    <w:rsid w:val="00456D54"/>
    <w:rsid w:val="004616F7"/>
    <w:rsid w:val="004670EB"/>
    <w:rsid w:val="00483EDE"/>
    <w:rsid w:val="004963FB"/>
    <w:rsid w:val="0049789B"/>
    <w:rsid w:val="004F35CE"/>
    <w:rsid w:val="004F48CF"/>
    <w:rsid w:val="00524D8D"/>
    <w:rsid w:val="00527A9A"/>
    <w:rsid w:val="0053727E"/>
    <w:rsid w:val="00545A33"/>
    <w:rsid w:val="00562D18"/>
    <w:rsid w:val="00567ECB"/>
    <w:rsid w:val="00583762"/>
    <w:rsid w:val="0059311C"/>
    <w:rsid w:val="0059764B"/>
    <w:rsid w:val="005B418C"/>
    <w:rsid w:val="005C21E2"/>
    <w:rsid w:val="005D62F6"/>
    <w:rsid w:val="005E102F"/>
    <w:rsid w:val="005F0DA7"/>
    <w:rsid w:val="006061DA"/>
    <w:rsid w:val="006158A4"/>
    <w:rsid w:val="00624BE4"/>
    <w:rsid w:val="00627E27"/>
    <w:rsid w:val="00642386"/>
    <w:rsid w:val="00657608"/>
    <w:rsid w:val="00664361"/>
    <w:rsid w:val="00674BE4"/>
    <w:rsid w:val="00674F33"/>
    <w:rsid w:val="006763A1"/>
    <w:rsid w:val="00680213"/>
    <w:rsid w:val="006839AE"/>
    <w:rsid w:val="0069523D"/>
    <w:rsid w:val="00696E5A"/>
    <w:rsid w:val="006B1305"/>
    <w:rsid w:val="006B27D0"/>
    <w:rsid w:val="006C44F9"/>
    <w:rsid w:val="006E5343"/>
    <w:rsid w:val="006E6473"/>
    <w:rsid w:val="006F788B"/>
    <w:rsid w:val="00710B0B"/>
    <w:rsid w:val="00732CCC"/>
    <w:rsid w:val="007447D8"/>
    <w:rsid w:val="00744981"/>
    <w:rsid w:val="00767CB6"/>
    <w:rsid w:val="007722D6"/>
    <w:rsid w:val="00795FC6"/>
    <w:rsid w:val="007A0043"/>
    <w:rsid w:val="007A6A82"/>
    <w:rsid w:val="007A7C1B"/>
    <w:rsid w:val="00810470"/>
    <w:rsid w:val="00813947"/>
    <w:rsid w:val="008246D3"/>
    <w:rsid w:val="00827082"/>
    <w:rsid w:val="00833142"/>
    <w:rsid w:val="00836BFE"/>
    <w:rsid w:val="00845B5E"/>
    <w:rsid w:val="008464BF"/>
    <w:rsid w:val="00850773"/>
    <w:rsid w:val="00851E7D"/>
    <w:rsid w:val="008607BE"/>
    <w:rsid w:val="00864369"/>
    <w:rsid w:val="00864DD2"/>
    <w:rsid w:val="0088479E"/>
    <w:rsid w:val="008875B3"/>
    <w:rsid w:val="00887BDF"/>
    <w:rsid w:val="00893A68"/>
    <w:rsid w:val="0089400C"/>
    <w:rsid w:val="00896200"/>
    <w:rsid w:val="008A4C32"/>
    <w:rsid w:val="008A7E6A"/>
    <w:rsid w:val="008B0984"/>
    <w:rsid w:val="008C5AD8"/>
    <w:rsid w:val="008E3D03"/>
    <w:rsid w:val="008F655D"/>
    <w:rsid w:val="008F7353"/>
    <w:rsid w:val="008F7EC2"/>
    <w:rsid w:val="00900236"/>
    <w:rsid w:val="00927AD9"/>
    <w:rsid w:val="009336F9"/>
    <w:rsid w:val="00936B88"/>
    <w:rsid w:val="00945DB3"/>
    <w:rsid w:val="00981D66"/>
    <w:rsid w:val="009844FD"/>
    <w:rsid w:val="00985A67"/>
    <w:rsid w:val="009874C3"/>
    <w:rsid w:val="009B1B7B"/>
    <w:rsid w:val="009B53AB"/>
    <w:rsid w:val="009B5F41"/>
    <w:rsid w:val="009E3E18"/>
    <w:rsid w:val="00A023C9"/>
    <w:rsid w:val="00A03A69"/>
    <w:rsid w:val="00A31786"/>
    <w:rsid w:val="00A35F97"/>
    <w:rsid w:val="00A4478F"/>
    <w:rsid w:val="00A60324"/>
    <w:rsid w:val="00A618EB"/>
    <w:rsid w:val="00A6239F"/>
    <w:rsid w:val="00A70881"/>
    <w:rsid w:val="00A840FA"/>
    <w:rsid w:val="00A92E6B"/>
    <w:rsid w:val="00A94370"/>
    <w:rsid w:val="00AA4139"/>
    <w:rsid w:val="00AB4B98"/>
    <w:rsid w:val="00AC6CDC"/>
    <w:rsid w:val="00AD54F9"/>
    <w:rsid w:val="00AD6996"/>
    <w:rsid w:val="00AE6C35"/>
    <w:rsid w:val="00AE782D"/>
    <w:rsid w:val="00B0569C"/>
    <w:rsid w:val="00B1427B"/>
    <w:rsid w:val="00B14367"/>
    <w:rsid w:val="00B14400"/>
    <w:rsid w:val="00B16D34"/>
    <w:rsid w:val="00B2034B"/>
    <w:rsid w:val="00B21611"/>
    <w:rsid w:val="00B32E46"/>
    <w:rsid w:val="00B462F3"/>
    <w:rsid w:val="00B64CB8"/>
    <w:rsid w:val="00B65DBF"/>
    <w:rsid w:val="00B70915"/>
    <w:rsid w:val="00B71565"/>
    <w:rsid w:val="00B87B4C"/>
    <w:rsid w:val="00B90938"/>
    <w:rsid w:val="00B96F6A"/>
    <w:rsid w:val="00BA3139"/>
    <w:rsid w:val="00BA4C88"/>
    <w:rsid w:val="00BA59AA"/>
    <w:rsid w:val="00BA70D9"/>
    <w:rsid w:val="00BA72DC"/>
    <w:rsid w:val="00BC4E1D"/>
    <w:rsid w:val="00BF1CE5"/>
    <w:rsid w:val="00BF569D"/>
    <w:rsid w:val="00C01BAD"/>
    <w:rsid w:val="00C078A8"/>
    <w:rsid w:val="00C32C00"/>
    <w:rsid w:val="00C46CDD"/>
    <w:rsid w:val="00C5348A"/>
    <w:rsid w:val="00C54097"/>
    <w:rsid w:val="00C6198C"/>
    <w:rsid w:val="00C6295B"/>
    <w:rsid w:val="00C62D84"/>
    <w:rsid w:val="00C76333"/>
    <w:rsid w:val="00C83A7A"/>
    <w:rsid w:val="00C90C1E"/>
    <w:rsid w:val="00C94893"/>
    <w:rsid w:val="00CB3FAB"/>
    <w:rsid w:val="00CB53C4"/>
    <w:rsid w:val="00CB59B4"/>
    <w:rsid w:val="00CC7356"/>
    <w:rsid w:val="00CD0435"/>
    <w:rsid w:val="00CD5F48"/>
    <w:rsid w:val="00CE1103"/>
    <w:rsid w:val="00CF1163"/>
    <w:rsid w:val="00CF68D4"/>
    <w:rsid w:val="00D21335"/>
    <w:rsid w:val="00D50AA6"/>
    <w:rsid w:val="00D53B6F"/>
    <w:rsid w:val="00D6488D"/>
    <w:rsid w:val="00D867CC"/>
    <w:rsid w:val="00DC44C9"/>
    <w:rsid w:val="00DD6727"/>
    <w:rsid w:val="00E05EA1"/>
    <w:rsid w:val="00E06C1B"/>
    <w:rsid w:val="00E16BE4"/>
    <w:rsid w:val="00E216CE"/>
    <w:rsid w:val="00E21ACD"/>
    <w:rsid w:val="00E318F2"/>
    <w:rsid w:val="00E3385E"/>
    <w:rsid w:val="00E3586D"/>
    <w:rsid w:val="00E47918"/>
    <w:rsid w:val="00E627AC"/>
    <w:rsid w:val="00E670AA"/>
    <w:rsid w:val="00E713D3"/>
    <w:rsid w:val="00E71932"/>
    <w:rsid w:val="00E75B12"/>
    <w:rsid w:val="00E94CE4"/>
    <w:rsid w:val="00EA0B32"/>
    <w:rsid w:val="00EA6940"/>
    <w:rsid w:val="00ED1F0F"/>
    <w:rsid w:val="00EE137F"/>
    <w:rsid w:val="00EE150C"/>
    <w:rsid w:val="00EF1E2D"/>
    <w:rsid w:val="00F06103"/>
    <w:rsid w:val="00F30B5D"/>
    <w:rsid w:val="00F45CEE"/>
    <w:rsid w:val="00F51224"/>
    <w:rsid w:val="00F536BC"/>
    <w:rsid w:val="00F53898"/>
    <w:rsid w:val="00F636C8"/>
    <w:rsid w:val="00F74716"/>
    <w:rsid w:val="00F814D5"/>
    <w:rsid w:val="00F834F5"/>
    <w:rsid w:val="00FA2F57"/>
    <w:rsid w:val="00FB3250"/>
    <w:rsid w:val="00FB4BE5"/>
    <w:rsid w:val="00FB764A"/>
    <w:rsid w:val="00FC5886"/>
    <w:rsid w:val="00FD370F"/>
    <w:rsid w:val="00FE502C"/>
    <w:rsid w:val="00FF1A00"/>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unhideWhenUsed/>
    <w:rsid w:val="000610A3"/>
    <w:rPr>
      <w:sz w:val="20"/>
      <w:szCs w:val="20"/>
    </w:rPr>
  </w:style>
  <w:style w:type="character" w:customStyle="1" w:styleId="CommentTextChar">
    <w:name w:val="Comment Text Char"/>
    <w:basedOn w:val="DefaultParagraphFont"/>
    <w:link w:val="CommentText"/>
    <w:uiPriority w:val="99"/>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 w:type="paragraph" w:styleId="Revision">
    <w:name w:val="Revision"/>
    <w:hidden/>
    <w:uiPriority w:val="99"/>
    <w:semiHidden/>
    <w:rsid w:val="00436B20"/>
    <w:pPr>
      <w:spacing w:after="0" w:line="240" w:lineRule="auto"/>
    </w:pPr>
    <w:rPr>
      <w:rFonts w:ascii="Times New Roman" w:eastAsia="Calibri" w:hAnsi="Times New Roman" w:cs="Times New Roman"/>
      <w:szCs w:val="26"/>
    </w:rPr>
  </w:style>
  <w:style w:type="paragraph" w:styleId="ListParagraph">
    <w:name w:val="List Paragraph"/>
    <w:basedOn w:val="Normal"/>
    <w:uiPriority w:val="34"/>
    <w:qFormat/>
    <w:rsid w:val="00680213"/>
    <w:pPr>
      <w:ind w:left="720"/>
      <w:contextualSpacing/>
      <w:jc w:val="both"/>
    </w:pPr>
    <w:rPr>
      <w:rFonts w:eastAsiaTheme="minorHAnsi"/>
      <w:sz w:val="24"/>
      <w:szCs w:val="24"/>
    </w:rPr>
  </w:style>
  <w:style w:type="character" w:styleId="UnresolvedMention">
    <w:name w:val="Unresolved Mention"/>
    <w:basedOn w:val="DefaultParagraphFont"/>
    <w:uiPriority w:val="99"/>
    <w:semiHidden/>
    <w:unhideWhenUsed/>
    <w:rsid w:val="0086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2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765">
          <w:marLeft w:val="0"/>
          <w:marRight w:val="0"/>
          <w:marTop w:val="0"/>
          <w:marBottom w:val="0"/>
          <w:divBdr>
            <w:top w:val="none" w:sz="0" w:space="0" w:color="auto"/>
            <w:left w:val="none" w:sz="0" w:space="0" w:color="auto"/>
            <w:bottom w:val="none" w:sz="0" w:space="0" w:color="auto"/>
            <w:right w:val="none" w:sz="0" w:space="0" w:color="auto"/>
          </w:divBdr>
          <w:divsChild>
            <w:div w:id="1832333632">
              <w:marLeft w:val="0"/>
              <w:marRight w:val="0"/>
              <w:marTop w:val="0"/>
              <w:marBottom w:val="0"/>
              <w:divBdr>
                <w:top w:val="none" w:sz="0" w:space="0" w:color="auto"/>
                <w:left w:val="none" w:sz="0" w:space="0" w:color="auto"/>
                <w:bottom w:val="none" w:sz="0" w:space="0" w:color="auto"/>
                <w:right w:val="none" w:sz="0" w:space="0" w:color="auto"/>
              </w:divBdr>
              <w:divsChild>
                <w:div w:id="2112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5681">
      <w:bodyDiv w:val="1"/>
      <w:marLeft w:val="0"/>
      <w:marRight w:val="0"/>
      <w:marTop w:val="0"/>
      <w:marBottom w:val="0"/>
      <w:divBdr>
        <w:top w:val="none" w:sz="0" w:space="0" w:color="auto"/>
        <w:left w:val="none" w:sz="0" w:space="0" w:color="auto"/>
        <w:bottom w:val="none" w:sz="0" w:space="0" w:color="auto"/>
        <w:right w:val="none" w:sz="0" w:space="0" w:color="auto"/>
      </w:divBdr>
    </w:div>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836D-36DC-46E5-AB1C-753E77D7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7228</Words>
  <Characters>41202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32</dc:title>
  <dc:creator>Krista Schelhaas</dc:creator>
  <cp:lastModifiedBy>krista schelhaas</cp:lastModifiedBy>
  <cp:revision>2</cp:revision>
  <dcterms:created xsi:type="dcterms:W3CDTF">2026-02-22T18:34:00Z</dcterms:created>
  <dcterms:modified xsi:type="dcterms:W3CDTF">2026-02-22T18:34:00Z</dcterms:modified>
</cp:coreProperties>
</file>