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983D6" w14:textId="4EF269B6" w:rsidR="00CA41CC" w:rsidRPr="00914128" w:rsidRDefault="00427CD9" w:rsidP="00914128">
      <w:pPr>
        <w:pStyle w:val="Heading1"/>
      </w:pPr>
      <w:r>
        <w:t xml:space="preserve">CHAPTER </w:t>
      </w:r>
      <w:r w:rsidR="006073F4">
        <w:t>27</w:t>
      </w:r>
    </w:p>
    <w:p w14:paraId="4F738175" w14:textId="77777777" w:rsidR="00EC7C98" w:rsidRPr="00914128" w:rsidRDefault="00427CD9" w:rsidP="00914128">
      <w:pPr>
        <w:pStyle w:val="Heading1"/>
      </w:pPr>
      <w:r w:rsidRPr="006073F4">
        <w:t>CIVIL CONSPIRACY</w:t>
      </w:r>
    </w:p>
    <w:p w14:paraId="1D3A4D3F" w14:textId="77777777" w:rsidR="00EC7C98" w:rsidRDefault="00590DCC" w:rsidP="00914128">
      <w:pPr>
        <w:pStyle w:val="ToC"/>
      </w:pPr>
      <w:r w:rsidRPr="00590DCC">
        <w:t xml:space="preserve">27:1 </w:t>
      </w:r>
      <w:r w:rsidRPr="00590DCC">
        <w:tab/>
        <w:t xml:space="preserve">Elements </w:t>
      </w:r>
      <w:r>
        <w:t>o</w:t>
      </w:r>
      <w:r w:rsidRPr="00590DCC">
        <w:t>f Liability</w:t>
      </w:r>
    </w:p>
    <w:p w14:paraId="60B21CB0" w14:textId="77777777" w:rsidR="00590DCC" w:rsidRDefault="00427CD9" w:rsidP="00914128">
      <w:pPr>
        <w:pStyle w:val="ToC"/>
      </w:pPr>
      <w:r w:rsidRPr="00590DCC">
        <w:t xml:space="preserve">27:2 </w:t>
      </w:r>
      <w:r w:rsidRPr="00590DCC">
        <w:tab/>
        <w:t>Unlawful Means — Defined</w:t>
      </w:r>
    </w:p>
    <w:p w14:paraId="2C036B9F" w14:textId="77777777" w:rsidR="00590DCC" w:rsidRDefault="00427CD9" w:rsidP="00914128">
      <w:pPr>
        <w:pStyle w:val="ToC"/>
      </w:pPr>
      <w:r w:rsidRPr="00590DCC">
        <w:t xml:space="preserve">27:3 </w:t>
      </w:r>
      <w:r w:rsidRPr="00590DCC">
        <w:tab/>
        <w:t>Unlawful Goal — Defined</w:t>
      </w:r>
    </w:p>
    <w:p w14:paraId="1A448AE1" w14:textId="77777777" w:rsidR="00352111" w:rsidRPr="00352111" w:rsidRDefault="00427CD9">
      <w:pPr>
        <w:rPr>
          <w:rFonts w:eastAsia="Times New Roman"/>
          <w:sz w:val="24"/>
          <w:szCs w:val="24"/>
        </w:rPr>
      </w:pPr>
      <w:r w:rsidRPr="00352111">
        <w:rPr>
          <w:rFonts w:eastAsia="Times New Roman"/>
          <w:sz w:val="24"/>
          <w:szCs w:val="24"/>
        </w:rPr>
        <w:br w:type="page"/>
      </w:r>
    </w:p>
    <w:p w14:paraId="5290A497" w14:textId="77777777" w:rsidR="009E3DA4" w:rsidRPr="009E3DA4" w:rsidRDefault="00427CD9" w:rsidP="00CC0502">
      <w:pPr>
        <w:spacing w:after="240"/>
        <w:ind w:left="720" w:hanging="720"/>
        <w:rPr>
          <w:rFonts w:eastAsia="Times New Roman"/>
          <w:b/>
          <w:sz w:val="24"/>
          <w:szCs w:val="24"/>
        </w:rPr>
      </w:pPr>
      <w:bookmarkStart w:id="0" w:name="a27_01"/>
      <w:bookmarkEnd w:id="0"/>
      <w:r w:rsidRPr="006073F4">
        <w:rPr>
          <w:rFonts w:eastAsia="Times New Roman"/>
          <w:b/>
          <w:sz w:val="24"/>
          <w:szCs w:val="24"/>
        </w:rPr>
        <w:lastRenderedPageBreak/>
        <w:t xml:space="preserve">27:1 </w:t>
      </w:r>
      <w:r w:rsidRPr="006073F4">
        <w:rPr>
          <w:rFonts w:eastAsia="Times New Roman"/>
          <w:b/>
          <w:sz w:val="24"/>
          <w:szCs w:val="24"/>
        </w:rPr>
        <w:tab/>
        <w:t>ELEMENTS OF LIABILITY</w:t>
      </w:r>
    </w:p>
    <w:p w14:paraId="1207204E" w14:textId="45648065"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xml:space="preserve">, on </w:t>
      </w:r>
      <w:r w:rsidR="007E02B1">
        <w:rPr>
          <w:rFonts w:eastAsia="Times New Roman"/>
          <w:bCs/>
          <w:i/>
          <w:iCs/>
          <w:sz w:val="24"/>
          <w:szCs w:val="24"/>
        </w:rPr>
        <w:t>(</w:t>
      </w:r>
      <w:r w:rsidR="007E02B1" w:rsidRPr="00CB74AF">
        <w:rPr>
          <w:rFonts w:eastAsia="Times New Roman"/>
          <w:bCs/>
          <w:i/>
          <w:iCs/>
          <w:sz w:val="24"/>
          <w:szCs w:val="24"/>
        </w:rPr>
        <w:t>insert applicable pronoun</w:t>
      </w:r>
      <w:r w:rsidR="007E02B1">
        <w:rPr>
          <w:rFonts w:eastAsia="Times New Roman"/>
          <w:bCs/>
          <w:i/>
          <w:iCs/>
          <w:sz w:val="24"/>
          <w:szCs w:val="24"/>
        </w:rPr>
        <w:t>)</w:t>
      </w:r>
      <w:r w:rsidRPr="006073F4">
        <w:rPr>
          <w:rFonts w:eastAsia="Times New Roman"/>
          <w:b/>
          <w:sz w:val="24"/>
          <w:szCs w:val="24"/>
        </w:rPr>
        <w:t xml:space="preserve"> claim of civil conspiracy, you must find that all of the following have been proved by a preponderance of the evidence:</w:t>
      </w:r>
    </w:p>
    <w:p w14:paraId="366F15F2"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14:paraId="5EA9B4F0"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14:paraId="2F8F34BA"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14:paraId="23E69FBC"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14:paraId="618AB2CE"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14:paraId="20FA7BEE"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14:paraId="44710CF0"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0A24DC" w14:textId="77777777" w:rsidR="006073F4" w:rsidRPr="006073F4" w:rsidRDefault="00427CD9"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14:paraId="6034E54F" w14:textId="77777777" w:rsidR="00832DB4" w:rsidRDefault="00832DB4" w:rsidP="0054263B">
      <w:pPr>
        <w:jc w:val="center"/>
        <w:rPr>
          <w:rFonts w:eastAsia="Times New Roman"/>
          <w:sz w:val="24"/>
          <w:szCs w:val="24"/>
        </w:rPr>
      </w:pPr>
    </w:p>
    <w:p w14:paraId="684DFC49" w14:textId="77777777" w:rsidR="0054263B" w:rsidRPr="0054263B" w:rsidRDefault="00427CD9" w:rsidP="00BE654D">
      <w:pPr>
        <w:keepNext/>
        <w:spacing w:after="240"/>
        <w:jc w:val="center"/>
        <w:rPr>
          <w:rFonts w:eastAsia="Times New Roman"/>
          <w:b/>
          <w:sz w:val="24"/>
          <w:szCs w:val="24"/>
        </w:rPr>
      </w:pPr>
      <w:r w:rsidRPr="0054263B">
        <w:rPr>
          <w:rFonts w:eastAsia="Times New Roman"/>
          <w:b/>
          <w:sz w:val="24"/>
          <w:szCs w:val="24"/>
        </w:rPr>
        <w:t>Notes on Use</w:t>
      </w:r>
    </w:p>
    <w:p w14:paraId="12D46EA3" w14:textId="77777777" w:rsidR="006073F4" w:rsidRPr="006073F4" w:rsidRDefault="00427CD9"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14:paraId="7AA52F30" w14:textId="77777777" w:rsidR="006073F4" w:rsidRPr="006073F4" w:rsidRDefault="00427CD9"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14:paraId="2E104BAF" w14:textId="77777777"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42344D2B" w14:textId="77777777" w:rsidR="006073F4" w:rsidRPr="006073F4" w:rsidRDefault="00427CD9"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14:paraId="6B81473B" w14:textId="77777777" w:rsidR="006073F4" w:rsidRPr="006073F4" w:rsidRDefault="00427CD9"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14:paraId="59968FC1" w14:textId="77777777" w:rsidR="00352111" w:rsidRPr="0054263B" w:rsidRDefault="00427CD9" w:rsidP="00875064">
      <w:pPr>
        <w:keepNext/>
        <w:spacing w:after="240"/>
        <w:jc w:val="center"/>
        <w:rPr>
          <w:rFonts w:eastAsia="Times New Roman"/>
          <w:b/>
          <w:sz w:val="24"/>
          <w:szCs w:val="24"/>
        </w:rPr>
      </w:pPr>
      <w:r>
        <w:rPr>
          <w:rFonts w:eastAsia="Times New Roman"/>
          <w:b/>
          <w:sz w:val="24"/>
          <w:szCs w:val="24"/>
        </w:rPr>
        <w:t>Source and Authority</w:t>
      </w:r>
    </w:p>
    <w:p w14:paraId="0015B98E" w14:textId="5B6EE03F"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003A42D3" w:rsidRPr="006073F4">
        <w:rPr>
          <w:rFonts w:eastAsia="Times New Roman"/>
          <w:b/>
          <w:sz w:val="24"/>
          <w:szCs w:val="24"/>
        </w:rPr>
        <w:t>Jet Courier Serv</w:t>
      </w:r>
      <w:r w:rsidR="00DC2AF2">
        <w:rPr>
          <w:rFonts w:eastAsia="Times New Roman"/>
          <w:b/>
          <w:sz w:val="24"/>
          <w:szCs w:val="24"/>
        </w:rPr>
        <w:t>ice</w:t>
      </w:r>
      <w:r w:rsidR="00DB10A7">
        <w:rPr>
          <w:rFonts w:eastAsia="Times New Roman"/>
          <w:b/>
          <w:sz w:val="24"/>
          <w:szCs w:val="24"/>
        </w:rPr>
        <w:t>,</w:t>
      </w:r>
      <w:r w:rsidR="003A42D3" w:rsidRPr="006073F4">
        <w:rPr>
          <w:rFonts w:eastAsia="Times New Roman"/>
          <w:b/>
          <w:sz w:val="24"/>
          <w:szCs w:val="24"/>
        </w:rPr>
        <w:t xml:space="preserve"> Inc. v. Mulei</w:t>
      </w:r>
      <w:r w:rsidR="003A42D3" w:rsidRPr="006073F4">
        <w:rPr>
          <w:rFonts w:eastAsia="Times New Roman"/>
          <w:sz w:val="24"/>
          <w:szCs w:val="24"/>
        </w:rPr>
        <w:t>, 771 P.2d 486 (Colo. 1989)</w:t>
      </w:r>
      <w:r w:rsidR="003A42D3">
        <w:rPr>
          <w:rFonts w:eastAsia="Times New Roman"/>
          <w:sz w:val="24"/>
          <w:szCs w:val="24"/>
        </w:rPr>
        <w:t xml:space="preserve">;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160 Colo. 190</w:t>
      </w:r>
      <w:r w:rsidR="00DB10A7">
        <w:rPr>
          <w:rFonts w:eastAsia="Times New Roman"/>
          <w:sz w:val="24"/>
          <w:szCs w:val="24"/>
        </w:rPr>
        <w:t xml:space="preserve">, </w:t>
      </w:r>
      <w:r w:rsidRPr="006073F4">
        <w:rPr>
          <w:rFonts w:eastAsia="Times New Roman"/>
          <w:sz w:val="24"/>
          <w:szCs w:val="24"/>
        </w:rPr>
        <w:t xml:space="preserve">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007F119B">
        <w:rPr>
          <w:rFonts w:eastAsia="Times New Roman"/>
          <w:b/>
          <w:bCs/>
          <w:sz w:val="24"/>
          <w:szCs w:val="24"/>
        </w:rPr>
        <w:t>Coomer v. Salem Media of Colo., Inc.</w:t>
      </w:r>
      <w:r w:rsidR="007F119B">
        <w:rPr>
          <w:rFonts w:eastAsia="Times New Roman"/>
          <w:sz w:val="24"/>
          <w:szCs w:val="24"/>
        </w:rPr>
        <w:t>, 2025 COA 2, ¶ 107</w:t>
      </w:r>
      <w:r w:rsidR="00DC2AF2">
        <w:rPr>
          <w:rFonts w:eastAsia="Times New Roman"/>
          <w:sz w:val="24"/>
          <w:szCs w:val="24"/>
        </w:rPr>
        <w:t>, 565 P.3d 1133</w:t>
      </w:r>
      <w:r w:rsidR="00420DF1">
        <w:rPr>
          <w:rFonts w:eastAsia="Times New Roman"/>
          <w:sz w:val="24"/>
          <w:szCs w:val="24"/>
        </w:rPr>
        <w:t xml:space="preserve"> (“</w:t>
      </w:r>
      <w:r w:rsidR="00420DF1" w:rsidRPr="00420DF1">
        <w:rPr>
          <w:rFonts w:eastAsia="Times New Roman"/>
          <w:b/>
          <w:bCs/>
          <w:sz w:val="24"/>
          <w:szCs w:val="24"/>
        </w:rPr>
        <w:t>Coomer II</w:t>
      </w:r>
      <w:r w:rsidR="00420DF1">
        <w:rPr>
          <w:rFonts w:eastAsia="Times New Roman"/>
          <w:sz w:val="24"/>
          <w:szCs w:val="24"/>
        </w:rPr>
        <w:t>”)</w:t>
      </w:r>
      <w:r w:rsidR="007F119B">
        <w:rPr>
          <w:rFonts w:eastAsia="Times New Roman"/>
          <w:sz w:val="24"/>
          <w:szCs w:val="24"/>
        </w:rPr>
        <w:t xml:space="preserve">; </w:t>
      </w:r>
      <w:r w:rsidR="007D1B41" w:rsidRPr="007D1B41">
        <w:rPr>
          <w:rFonts w:eastAsia="Times New Roman"/>
          <w:b/>
          <w:bCs/>
          <w:sz w:val="24"/>
          <w:szCs w:val="24"/>
        </w:rPr>
        <w:t>Wright v. TEGNA Inc.</w:t>
      </w:r>
      <w:r w:rsidR="007D1B41">
        <w:rPr>
          <w:rFonts w:eastAsia="Times New Roman"/>
          <w:sz w:val="24"/>
          <w:szCs w:val="24"/>
        </w:rPr>
        <w:t>, 2024 COA 64M, ¶ 65</w:t>
      </w:r>
      <w:r w:rsidR="00DC2AF2">
        <w:rPr>
          <w:rFonts w:eastAsia="Times New Roman"/>
          <w:sz w:val="24"/>
          <w:szCs w:val="24"/>
        </w:rPr>
        <w:t>, 556 P.3d 333</w:t>
      </w:r>
      <w:r w:rsidR="007D1B41">
        <w:rPr>
          <w:rFonts w:eastAsia="Times New Roman"/>
          <w:sz w:val="24"/>
          <w:szCs w:val="24"/>
        </w:rPr>
        <w:t xml:space="preserve">; </w:t>
      </w:r>
      <w:r w:rsidR="00B64D2E" w:rsidRPr="00B64D2E">
        <w:rPr>
          <w:rFonts w:eastAsia="Times New Roman"/>
          <w:b/>
          <w:bCs/>
          <w:sz w:val="24"/>
          <w:szCs w:val="24"/>
        </w:rPr>
        <w:t>Coomer v. Donald J. Trump for President, Inc.</w:t>
      </w:r>
      <w:r w:rsidR="00B64D2E">
        <w:rPr>
          <w:rFonts w:eastAsia="Times New Roman"/>
          <w:sz w:val="24"/>
          <w:szCs w:val="24"/>
        </w:rPr>
        <w:t>, 2024 COA 35, ¶ 208</w:t>
      </w:r>
      <w:r w:rsidR="00DC2AF2">
        <w:rPr>
          <w:rFonts w:eastAsia="Times New Roman"/>
          <w:sz w:val="24"/>
          <w:szCs w:val="24"/>
        </w:rPr>
        <w:t>, 552 P.3d 562</w:t>
      </w:r>
      <w:r w:rsidR="00420DF1">
        <w:rPr>
          <w:rFonts w:eastAsia="Times New Roman"/>
          <w:sz w:val="24"/>
          <w:szCs w:val="24"/>
        </w:rPr>
        <w:t xml:space="preserve"> (“</w:t>
      </w:r>
      <w:r w:rsidR="00420DF1" w:rsidRPr="00420DF1">
        <w:rPr>
          <w:rFonts w:eastAsia="Times New Roman"/>
          <w:b/>
          <w:bCs/>
          <w:sz w:val="24"/>
          <w:szCs w:val="24"/>
        </w:rPr>
        <w:t>Coomer I</w:t>
      </w:r>
      <w:r w:rsidR="00420DF1">
        <w:rPr>
          <w:rFonts w:eastAsia="Times New Roman"/>
          <w:sz w:val="24"/>
          <w:szCs w:val="24"/>
        </w:rPr>
        <w:t>”)</w:t>
      </w:r>
      <w:r w:rsidR="00B64D2E">
        <w:rPr>
          <w:rFonts w:eastAsia="Times New Roman"/>
          <w:sz w:val="24"/>
          <w:szCs w:val="24"/>
        </w:rPr>
        <w:t xml:space="preserve">; </w:t>
      </w:r>
      <w:r w:rsidR="00893E48" w:rsidRPr="009C30DD">
        <w:rPr>
          <w:rFonts w:eastAsia="Times New Roman"/>
          <w:b/>
          <w:bCs/>
          <w:sz w:val="24"/>
          <w:szCs w:val="24"/>
        </w:rPr>
        <w:t>Rosenblum v. Budd</w:t>
      </w:r>
      <w:r w:rsidR="00893E48">
        <w:rPr>
          <w:rFonts w:eastAsia="Times New Roman"/>
          <w:sz w:val="24"/>
          <w:szCs w:val="24"/>
        </w:rPr>
        <w:t>, 2023 COA 72, ¶ </w:t>
      </w:r>
      <w:r w:rsidR="009C30DD">
        <w:rPr>
          <w:rFonts w:eastAsia="Times New Roman"/>
          <w:sz w:val="24"/>
          <w:szCs w:val="24"/>
        </w:rPr>
        <w:t>51</w:t>
      </w:r>
      <w:r w:rsidR="00DC2AF2">
        <w:rPr>
          <w:rFonts w:eastAsia="Times New Roman"/>
          <w:sz w:val="24"/>
          <w:szCs w:val="24"/>
        </w:rPr>
        <w:t xml:space="preserve">, 538 P.3d </w:t>
      </w:r>
      <w:r w:rsidR="00AF2D34">
        <w:rPr>
          <w:rFonts w:eastAsia="Times New Roman"/>
          <w:sz w:val="24"/>
          <w:szCs w:val="24"/>
        </w:rPr>
        <w:t>at 367</w:t>
      </w:r>
      <w:r w:rsidR="009C30DD">
        <w:rPr>
          <w:rFonts w:eastAsia="Times New Roman"/>
          <w:sz w:val="24"/>
          <w:szCs w:val="24"/>
        </w:rPr>
        <w:t xml:space="preserve">;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14:paraId="5C7C3947" w14:textId="77777777" w:rsidR="006073F4" w:rsidRPr="006073F4" w:rsidRDefault="00427CD9"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14:paraId="24AE3795" w14:textId="50526DFB"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whether a civil conspiracy could potentially establish personal jurisdiction in Colorado).</w:t>
      </w:r>
    </w:p>
    <w:p w14:paraId="4A9707A0" w14:textId="254C7037"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14:paraId="1F0C5D51" w14:textId="66991D60"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007F119B">
        <w:rPr>
          <w:rFonts w:eastAsia="Times New Roman"/>
          <w:b/>
          <w:bCs/>
          <w:sz w:val="24"/>
          <w:szCs w:val="24"/>
        </w:rPr>
        <w:t>Coomer</w:t>
      </w:r>
      <w:r w:rsidR="00420DF1">
        <w:rPr>
          <w:rFonts w:eastAsia="Times New Roman"/>
          <w:b/>
          <w:bCs/>
          <w:sz w:val="24"/>
          <w:szCs w:val="24"/>
        </w:rPr>
        <w:t xml:space="preserve"> II</w:t>
      </w:r>
      <w:r w:rsidR="007F119B">
        <w:rPr>
          <w:rFonts w:eastAsia="Times New Roman"/>
          <w:sz w:val="24"/>
          <w:szCs w:val="24"/>
        </w:rPr>
        <w:t>, ¶¶ 110-11</w:t>
      </w:r>
      <w:r w:rsidR="00AF2D34">
        <w:rPr>
          <w:rFonts w:eastAsia="Times New Roman"/>
          <w:sz w:val="24"/>
          <w:szCs w:val="24"/>
        </w:rPr>
        <w:t xml:space="preserve">, 565 P.3d at 1155 </w:t>
      </w:r>
      <w:r w:rsidR="007F119B">
        <w:rPr>
          <w:rFonts w:eastAsia="Times New Roman"/>
          <w:sz w:val="24"/>
          <w:szCs w:val="24"/>
        </w:rPr>
        <w:t xml:space="preserve"> (reversing denial of special motion to dismiss claim for civil conspiracy where the plaintiff did not submit direct or circumstantial evidence showing the defendants “agreed to advance a shared purpose by defaming him or inflicting emotional distress upon him”); </w:t>
      </w:r>
      <w:r w:rsidR="007D1B41" w:rsidRPr="007D1B41">
        <w:rPr>
          <w:rFonts w:eastAsia="Times New Roman"/>
          <w:b/>
          <w:bCs/>
          <w:sz w:val="24"/>
          <w:szCs w:val="24"/>
        </w:rPr>
        <w:t>Wright</w:t>
      </w:r>
      <w:r w:rsidR="007D1B41">
        <w:rPr>
          <w:rFonts w:eastAsia="Times New Roman"/>
          <w:sz w:val="24"/>
          <w:szCs w:val="24"/>
        </w:rPr>
        <w:t>, ¶¶ 66-72</w:t>
      </w:r>
      <w:r w:rsidR="00AF2D34">
        <w:rPr>
          <w:rFonts w:eastAsia="Times New Roman"/>
          <w:sz w:val="24"/>
          <w:szCs w:val="24"/>
        </w:rPr>
        <w:t>, 556 P.3d at 345-46</w:t>
      </w:r>
      <w:r w:rsidR="00B64D2E">
        <w:rPr>
          <w:rFonts w:eastAsia="Times New Roman"/>
          <w:sz w:val="24"/>
          <w:szCs w:val="24"/>
        </w:rPr>
        <w:t xml:space="preserve"> (affirming dismissal of claim for civil conspiracy where the plaintiff’s allegations and evidence did not show a meeting of the minds or indicia of an agreement in an unlawful means or end)</w:t>
      </w:r>
      <w:r w:rsidR="007D1B41">
        <w:rPr>
          <w:rFonts w:eastAsia="Times New Roman"/>
          <w:sz w:val="24"/>
          <w:szCs w:val="24"/>
        </w:rPr>
        <w:t xml:space="preserve">; </w:t>
      </w:r>
      <w:r w:rsidR="00420DF1" w:rsidRPr="00420DF1">
        <w:rPr>
          <w:rFonts w:eastAsia="Times New Roman"/>
          <w:b/>
          <w:bCs/>
          <w:sz w:val="24"/>
          <w:szCs w:val="24"/>
        </w:rPr>
        <w:t>Coomer I</w:t>
      </w:r>
      <w:r w:rsidR="00420DF1" w:rsidRPr="00893E48">
        <w:rPr>
          <w:rFonts w:eastAsia="Times New Roman"/>
          <w:sz w:val="24"/>
          <w:szCs w:val="24"/>
        </w:rPr>
        <w:t>,</w:t>
      </w:r>
      <w:r w:rsidR="00420DF1">
        <w:rPr>
          <w:rFonts w:eastAsia="Times New Roman"/>
          <w:sz w:val="24"/>
          <w:szCs w:val="24"/>
        </w:rPr>
        <w:t xml:space="preserve"> ¶</w:t>
      </w:r>
      <w:r w:rsidR="00893E48">
        <w:rPr>
          <w:rFonts w:eastAsia="Times New Roman"/>
          <w:sz w:val="24"/>
          <w:szCs w:val="24"/>
        </w:rPr>
        <w:t>¶</w:t>
      </w:r>
      <w:r w:rsidR="00420DF1">
        <w:rPr>
          <w:rFonts w:eastAsia="Times New Roman"/>
          <w:sz w:val="24"/>
          <w:szCs w:val="24"/>
        </w:rPr>
        <w:t> 209</w:t>
      </w:r>
      <w:r w:rsidR="00893E48">
        <w:rPr>
          <w:rFonts w:eastAsia="Times New Roman"/>
          <w:sz w:val="24"/>
          <w:szCs w:val="24"/>
        </w:rPr>
        <w:t>-14</w:t>
      </w:r>
      <w:r w:rsidR="00AF2D34">
        <w:rPr>
          <w:rFonts w:eastAsia="Times New Roman"/>
          <w:sz w:val="24"/>
          <w:szCs w:val="24"/>
        </w:rPr>
        <w:t>, 552 P.3d at 601-02</w:t>
      </w:r>
      <w:r w:rsidR="00420DF1">
        <w:rPr>
          <w:rFonts w:eastAsia="Times New Roman"/>
          <w:sz w:val="24"/>
          <w:szCs w:val="24"/>
        </w:rPr>
        <w:t xml:space="preserve">; </w:t>
      </w:r>
      <w:r w:rsidR="000D33C0" w:rsidRPr="000D33C0">
        <w:rPr>
          <w:rFonts w:eastAsia="Times New Roman"/>
          <w:b/>
          <w:bCs/>
          <w:sz w:val="24"/>
          <w:szCs w:val="24"/>
        </w:rPr>
        <w:t>Rosenblum</w:t>
      </w:r>
      <w:r w:rsidR="000D33C0">
        <w:rPr>
          <w:rFonts w:eastAsia="Times New Roman"/>
          <w:sz w:val="24"/>
          <w:szCs w:val="24"/>
        </w:rPr>
        <w:t xml:space="preserve">, ¶¶ 52, 55 (“A shared political ideology is insufficient to demonstrate the type of meeting of the minds necessary to </w:t>
      </w:r>
      <w:r w:rsidR="000D33C0">
        <w:rPr>
          <w:rFonts w:eastAsia="Times New Roman"/>
          <w:sz w:val="24"/>
          <w:szCs w:val="24"/>
        </w:rPr>
        <w:lastRenderedPageBreak/>
        <w:t xml:space="preserve">support a civil conspiracy.”);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14:paraId="3864BE40" w14:textId="7DE61230"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Falcon Broadband, Inc. v. Banning Lewis Ranch Metro. Dist. No. 1</w:t>
      </w:r>
      <w:r w:rsidR="00DD649D" w:rsidRPr="00DD649D">
        <w:rPr>
          <w:bCs/>
          <w:sz w:val="24"/>
          <w:szCs w:val="24"/>
        </w:rPr>
        <w:t>,</w:t>
      </w:r>
      <w:r w:rsidR="00DD649D">
        <w:rPr>
          <w:b/>
          <w:bCs/>
          <w:sz w:val="24"/>
          <w:szCs w:val="24"/>
        </w:rPr>
        <w:t xml:space="preserve"> </w:t>
      </w:r>
      <w:r w:rsidR="00DD649D">
        <w:rPr>
          <w:sz w:val="24"/>
          <w:szCs w:val="24"/>
        </w:rPr>
        <w:t>2018 COA 92, ¶ 55</w:t>
      </w:r>
      <w:r w:rsidR="005834B4">
        <w:rPr>
          <w:sz w:val="24"/>
          <w:szCs w:val="24"/>
        </w:rPr>
        <w:t>, 474 P.3d 1231, 1244</w:t>
      </w:r>
      <w:r w:rsidR="00DD649D">
        <w:rPr>
          <w:sz w:val="24"/>
          <w:szCs w:val="24"/>
        </w:rPr>
        <w:t xml:space="preserve"> (“Given our conclusions that the [contract] is void and that there was no tortious interference, no unlawful overt act arguably supports Falcon’s civil conspiracy claim.”);</w:t>
      </w:r>
      <w:r w:rsidR="00DD649D" w:rsidRPr="00DC2AF2">
        <w:rPr>
          <w:sz w:val="24"/>
          <w:szCs w:val="24"/>
        </w:rPr>
        <w:t xml:space="preserve"> </w:t>
      </w:r>
      <w:r w:rsidR="00DC2AF2" w:rsidRPr="00DC2AF2">
        <w:rPr>
          <w:i/>
          <w:iCs/>
          <w:sz w:val="24"/>
          <w:szCs w:val="24"/>
        </w:rPr>
        <w:t>see</w:t>
      </w:r>
      <w:r w:rsidR="00DC2AF2">
        <w:rPr>
          <w:sz w:val="24"/>
          <w:szCs w:val="24"/>
        </w:rPr>
        <w:t xml:space="preserve"> </w:t>
      </w:r>
      <w:r w:rsidR="009B3105" w:rsidRPr="00032002">
        <w:rPr>
          <w:rFonts w:eastAsia="Times New Roman"/>
          <w:b/>
          <w:bCs/>
          <w:sz w:val="24"/>
          <w:szCs w:val="24"/>
        </w:rPr>
        <w:t>Rios de Martinez v. Landaverde</w:t>
      </w:r>
      <w:r w:rsidR="009B3105">
        <w:rPr>
          <w:rFonts w:eastAsia="Times New Roman"/>
          <w:sz w:val="24"/>
          <w:szCs w:val="24"/>
        </w:rPr>
        <w:t>, 2024 COA 115, ¶ 30</w:t>
      </w:r>
      <w:r w:rsidR="00DC2AF2">
        <w:rPr>
          <w:rFonts w:eastAsia="Times New Roman"/>
          <w:sz w:val="24"/>
          <w:szCs w:val="24"/>
        </w:rPr>
        <w:t>, 562 P.3d 908</w:t>
      </w:r>
      <w:r w:rsidR="009B3105">
        <w:rPr>
          <w:rFonts w:eastAsia="Times New Roman"/>
          <w:sz w:val="24"/>
          <w:szCs w:val="24"/>
        </w:rPr>
        <w:t xml:space="preserve"> (if the district court erroneously dismissed a claim for fraudulent transfer in violation of the Colorado Uniform Fraudulent Transfer Act, it </w:t>
      </w:r>
      <w:r w:rsidR="00992327">
        <w:rPr>
          <w:rFonts w:eastAsia="Times New Roman"/>
          <w:sz w:val="24"/>
          <w:szCs w:val="24"/>
        </w:rPr>
        <w:t>also erroneously dismissed the derivative civil conspiracy claim</w:t>
      </w:r>
      <w:r w:rsidR="009B3105">
        <w:rPr>
          <w:rFonts w:eastAsia="Times New Roman"/>
          <w:sz w:val="24"/>
          <w:szCs w:val="24"/>
        </w:rPr>
        <w:t xml:space="preserve">); </w:t>
      </w:r>
      <w:r w:rsidR="00AA3F5F" w:rsidRPr="00DB10A7">
        <w:rPr>
          <w:rFonts w:eastAsia="Times New Roman"/>
          <w:b/>
          <w:bCs/>
          <w:sz w:val="24"/>
          <w:szCs w:val="24"/>
        </w:rPr>
        <w:t>Rosenblum</w:t>
      </w:r>
      <w:r w:rsidR="00AA3F5F">
        <w:rPr>
          <w:rFonts w:eastAsia="Times New Roman"/>
          <w:sz w:val="24"/>
          <w:szCs w:val="24"/>
        </w:rPr>
        <w:t>, ¶¶ 51, 57 (“an implied agreement between the defendants, who shared a political ideology, to use true information to oppose a candidate who they disagreed with</w:t>
      </w:r>
      <w:r w:rsidR="006956BA">
        <w:rPr>
          <w:rFonts w:eastAsia="Times New Roman"/>
          <w:sz w:val="24"/>
          <w:szCs w:val="24"/>
        </w:rPr>
        <w:t xml:space="preserve"> [</w:t>
      </w:r>
      <w:r w:rsidR="00AA3F5F">
        <w:rPr>
          <w:rFonts w:eastAsia="Times New Roman"/>
          <w:sz w:val="24"/>
          <w:szCs w:val="24"/>
        </w:rPr>
        <w:t>is</w:t>
      </w:r>
      <w:r w:rsidR="006956BA">
        <w:rPr>
          <w:rFonts w:eastAsia="Times New Roman"/>
          <w:sz w:val="24"/>
          <w:szCs w:val="24"/>
        </w:rPr>
        <w:t xml:space="preserve">] </w:t>
      </w:r>
      <w:r w:rsidR="00AA3F5F">
        <w:rPr>
          <w:rFonts w:eastAsia="Times New Roman"/>
          <w:sz w:val="24"/>
          <w:szCs w:val="24"/>
        </w:rPr>
        <w:t xml:space="preserve">an entirely lawful course of conduct to reach a lawful goal”); </w:t>
      </w:r>
      <w:r w:rsidR="006956BA">
        <w:rPr>
          <w:rFonts w:eastAsia="Times New Roman"/>
          <w:b/>
          <w:sz w:val="24"/>
          <w:szCs w:val="24"/>
        </w:rPr>
        <w:t>Vickery v. Evelyn V. Trumble Living Tr.</w:t>
      </w:r>
      <w:r w:rsidR="00F11FEE">
        <w:rPr>
          <w:rFonts w:eastAsia="Times New Roman"/>
          <w:bCs/>
          <w:sz w:val="24"/>
          <w:szCs w:val="24"/>
        </w:rPr>
        <w:t xml:space="preserve">, </w:t>
      </w:r>
      <w:r w:rsidR="006956BA">
        <w:rPr>
          <w:rFonts w:eastAsia="Times New Roman"/>
          <w:bCs/>
          <w:sz w:val="24"/>
          <w:szCs w:val="24"/>
        </w:rPr>
        <w:t xml:space="preserve">277 P.3d 864, 871 (Colo. App. 2011) (“Civil conspiracy is a derivative cause of action that is not actionable per se.”); </w:t>
      </w:r>
      <w:r w:rsidRPr="006073F4">
        <w:rPr>
          <w:rFonts w:eastAsia="Times New Roman"/>
          <w:b/>
          <w:sz w:val="24"/>
          <w:szCs w:val="24"/>
        </w:rPr>
        <w:t>Double Oak Constr.</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14:paraId="0BE35E37" w14:textId="0C03D70A" w:rsidR="006073F4" w:rsidRPr="006073F4" w:rsidRDefault="00427CD9" w:rsidP="006073F4">
      <w:pPr>
        <w:spacing w:after="240"/>
        <w:ind w:firstLine="720"/>
        <w:rPr>
          <w:rFonts w:eastAsia="Times New Roman"/>
          <w:sz w:val="24"/>
          <w:szCs w:val="24"/>
        </w:rPr>
      </w:pPr>
      <w:r w:rsidRPr="006073F4">
        <w:rPr>
          <w:rFonts w:eastAsia="Times New Roman"/>
          <w:sz w:val="24"/>
          <w:szCs w:val="24"/>
        </w:rPr>
        <w:t xml:space="preserve">7. </w:t>
      </w:r>
      <w:r w:rsidR="00893E48">
        <w:rPr>
          <w:rFonts w:eastAsia="Times New Roman"/>
          <w:sz w:val="24"/>
          <w:szCs w:val="24"/>
        </w:rPr>
        <w:t xml:space="preserve">A corporation and its agents acting on its behalf do not constitute the two or more persons required for a civil conspiracy. </w:t>
      </w:r>
      <w:r w:rsidR="00893E48" w:rsidRPr="00893E48">
        <w:rPr>
          <w:rFonts w:eastAsia="Times New Roman"/>
          <w:b/>
          <w:bCs/>
          <w:sz w:val="24"/>
          <w:szCs w:val="24"/>
        </w:rPr>
        <w:t>Coomer I</w:t>
      </w:r>
      <w:r w:rsidR="00893E48">
        <w:rPr>
          <w:rFonts w:eastAsia="Times New Roman"/>
          <w:sz w:val="24"/>
          <w:szCs w:val="24"/>
        </w:rPr>
        <w:t>, ¶ 213</w:t>
      </w:r>
      <w:r w:rsidR="00AF2D34">
        <w:rPr>
          <w:rFonts w:eastAsia="Times New Roman"/>
          <w:sz w:val="24"/>
          <w:szCs w:val="24"/>
        </w:rPr>
        <w:t>, 552 P.3d at 602</w:t>
      </w:r>
      <w:r w:rsidR="00893E48">
        <w:rPr>
          <w:rFonts w:eastAsia="Times New Roman"/>
          <w:sz w:val="24"/>
          <w:szCs w:val="24"/>
        </w:rPr>
        <w:t>. Similarly, c</w:t>
      </w:r>
      <w:r w:rsidRPr="006073F4">
        <w:rPr>
          <w:rFonts w:eastAsia="Times New Roman"/>
          <w:sz w:val="24"/>
          <w:szCs w:val="24"/>
        </w:rPr>
        <w:t xml:space="preserve">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14:paraId="6E6FDBCC" w14:textId="77777777" w:rsidR="000B7645" w:rsidRDefault="00427CD9" w:rsidP="000B7645">
      <w:pPr>
        <w:spacing w:after="240"/>
        <w:ind w:firstLine="720"/>
        <w:rPr>
          <w:i/>
          <w:iCs/>
          <w:color w:val="000000"/>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898 P.2d 1049</w:t>
      </w:r>
      <w:r w:rsidR="00B96565">
        <w:rPr>
          <w:rFonts w:eastAsia="Times New Roman"/>
          <w:sz w:val="24"/>
          <w:szCs w:val="24"/>
        </w:rPr>
        <w:t>, 1057</w:t>
      </w:r>
      <w:r w:rsidRPr="006073F4">
        <w:rPr>
          <w:rFonts w:eastAsia="Times New Roman"/>
          <w:sz w:val="24"/>
          <w:szCs w:val="24"/>
        </w:rPr>
        <w:t xml:space="preserve"> (Colo. 1995). The statutory term “tortious act” includes any conduct other than breach of contract that constitutes a civil wrong and causes injury or damages. </w:t>
      </w:r>
      <w:r w:rsidRPr="006073F4">
        <w:rPr>
          <w:rFonts w:eastAsia="Times New Roman"/>
          <w:i/>
          <w:sz w:val="24"/>
          <w:szCs w:val="24"/>
        </w:rPr>
        <w:t>Id</w:t>
      </w:r>
      <w:r w:rsidRPr="00B96565">
        <w:rPr>
          <w:rFonts w:eastAsia="Times New Roman"/>
          <w:i/>
          <w:iCs/>
          <w:sz w:val="24"/>
          <w:szCs w:val="24"/>
        </w:rPr>
        <w:t>.</w:t>
      </w:r>
      <w:r w:rsidR="00B96565" w:rsidRPr="000B7645">
        <w:rPr>
          <w:sz w:val="24"/>
          <w:szCs w:val="24"/>
        </w:rPr>
        <w:t xml:space="preserve"> Under </w:t>
      </w:r>
      <w:r w:rsidR="00B96565" w:rsidRPr="000B7645">
        <w:rPr>
          <w:b/>
          <w:bCs/>
          <w:sz w:val="24"/>
          <w:szCs w:val="24"/>
        </w:rPr>
        <w:t>Heiserman</w:t>
      </w:r>
      <w:r w:rsidR="00B96565" w:rsidRPr="000B7645">
        <w:rPr>
          <w:sz w:val="24"/>
          <w:szCs w:val="24"/>
        </w:rPr>
        <w:t>, “</w:t>
      </w:r>
      <w:r w:rsidR="00B96565" w:rsidRPr="000B7645">
        <w:rPr>
          <w:color w:val="000000"/>
          <w:sz w:val="24"/>
          <w:szCs w:val="24"/>
        </w:rPr>
        <w:t>the evidence must reveal some indicia of an agreement sufficient to prove that the defendants consciously conspired and deliberately pursued a common plan or design that resulted in a tortious act.”</w:t>
      </w:r>
      <w:r w:rsidR="00B96565" w:rsidRPr="000B7645">
        <w:rPr>
          <w:sz w:val="24"/>
          <w:szCs w:val="24"/>
        </w:rPr>
        <w:t xml:space="preserve"> </w:t>
      </w:r>
      <w:r w:rsidR="00B96565" w:rsidRPr="000B7645">
        <w:rPr>
          <w:i/>
          <w:iCs/>
          <w:sz w:val="24"/>
          <w:szCs w:val="24"/>
        </w:rPr>
        <w:t>Id.</w:t>
      </w:r>
      <w:r w:rsidR="00B96565" w:rsidRPr="000B7645">
        <w:rPr>
          <w:color w:val="000000"/>
          <w:sz w:val="24"/>
          <w:szCs w:val="24"/>
        </w:rPr>
        <w:t xml:space="preserve"> “While there must be a conscious and deliberate decision to pursue a common plan or design, the actors need </w:t>
      </w:r>
      <w:r w:rsidR="00B96565" w:rsidRPr="000B7645">
        <w:rPr>
          <w:color w:val="000000"/>
          <w:sz w:val="24"/>
          <w:szCs w:val="24"/>
        </w:rPr>
        <w:lastRenderedPageBreak/>
        <w:t>not have a ‘specific intent’ to commit a tortious act to be subject to joint liability under section 13</w:t>
      </w:r>
      <w:r w:rsidR="00B96565">
        <w:rPr>
          <w:color w:val="000000"/>
          <w:sz w:val="24"/>
          <w:szCs w:val="24"/>
        </w:rPr>
        <w:t>-</w:t>
      </w:r>
      <w:r w:rsidR="00B96565" w:rsidRPr="000B7645">
        <w:rPr>
          <w:color w:val="000000"/>
          <w:sz w:val="24"/>
          <w:szCs w:val="24"/>
        </w:rPr>
        <w:t>21</w:t>
      </w:r>
      <w:r w:rsidR="00B96565">
        <w:rPr>
          <w:color w:val="000000"/>
          <w:sz w:val="24"/>
          <w:szCs w:val="24"/>
        </w:rPr>
        <w:t>-</w:t>
      </w:r>
      <w:r w:rsidR="00B96565" w:rsidRPr="000B7645">
        <w:rPr>
          <w:color w:val="000000"/>
          <w:sz w:val="24"/>
          <w:szCs w:val="24"/>
        </w:rPr>
        <w:t xml:space="preserve">111.5(4).” </w:t>
      </w:r>
      <w:r w:rsidR="00B96565" w:rsidRPr="000B7645">
        <w:rPr>
          <w:i/>
          <w:iCs/>
          <w:color w:val="000000"/>
          <w:sz w:val="24"/>
          <w:szCs w:val="24"/>
        </w:rPr>
        <w:t>Id.</w:t>
      </w:r>
    </w:p>
    <w:p w14:paraId="6430B53B" w14:textId="545010AD" w:rsidR="00260F67" w:rsidRDefault="00427CD9" w:rsidP="000B7645">
      <w:pPr>
        <w:spacing w:after="240"/>
        <w:ind w:firstLine="720"/>
        <w:rPr>
          <w:rFonts w:eastAsia="Times New Roman"/>
          <w:sz w:val="24"/>
          <w:szCs w:val="24"/>
        </w:rPr>
      </w:pPr>
      <w:r>
        <w:rPr>
          <w:rFonts w:eastAsia="Times New Roman"/>
          <w:sz w:val="24"/>
          <w:szCs w:val="24"/>
        </w:rPr>
        <w:br w:type="page"/>
      </w:r>
    </w:p>
    <w:p w14:paraId="3BA583BB" w14:textId="77777777" w:rsidR="00260F67" w:rsidRPr="009E3DA4" w:rsidRDefault="00427CD9" w:rsidP="00260F67">
      <w:pPr>
        <w:spacing w:after="240"/>
        <w:ind w:left="720" w:hanging="720"/>
        <w:rPr>
          <w:rFonts w:eastAsia="Times New Roman"/>
          <w:b/>
          <w:sz w:val="24"/>
          <w:szCs w:val="24"/>
        </w:rPr>
      </w:pPr>
      <w:bookmarkStart w:id="1" w:name="a27_02"/>
      <w:bookmarkEnd w:id="1"/>
      <w:r w:rsidRPr="00260F67">
        <w:rPr>
          <w:rFonts w:eastAsia="Times New Roman"/>
          <w:b/>
          <w:sz w:val="24"/>
          <w:szCs w:val="24"/>
        </w:rPr>
        <w:lastRenderedPageBreak/>
        <w:t xml:space="preserve">27:2 </w:t>
      </w:r>
      <w:r w:rsidRPr="00260F67">
        <w:rPr>
          <w:rFonts w:eastAsia="Times New Roman"/>
          <w:b/>
          <w:sz w:val="24"/>
          <w:szCs w:val="24"/>
        </w:rPr>
        <w:tab/>
        <w:t>UNLAWFUL MEANS — DEFINED</w:t>
      </w:r>
    </w:p>
    <w:p w14:paraId="57BB7AF8" w14:textId="77777777" w:rsidR="00260F67" w:rsidRPr="00260F67" w:rsidRDefault="00427CD9"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14:paraId="4E69545C" w14:textId="77777777" w:rsidR="00260F67" w:rsidRPr="00260F67" w:rsidRDefault="00427CD9"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14:paraId="39D62636" w14:textId="77777777" w:rsidR="00260F67" w:rsidRDefault="00260F67" w:rsidP="00260F67">
      <w:pPr>
        <w:jc w:val="center"/>
        <w:rPr>
          <w:rFonts w:eastAsia="Times New Roman"/>
          <w:sz w:val="24"/>
          <w:szCs w:val="24"/>
        </w:rPr>
      </w:pPr>
    </w:p>
    <w:p w14:paraId="6784C8D2" w14:textId="77777777" w:rsidR="00260F67" w:rsidRPr="0054263B" w:rsidRDefault="00427CD9" w:rsidP="00260F67">
      <w:pPr>
        <w:keepNext/>
        <w:spacing w:after="240"/>
        <w:jc w:val="center"/>
        <w:rPr>
          <w:rFonts w:eastAsia="Times New Roman"/>
          <w:b/>
          <w:sz w:val="24"/>
          <w:szCs w:val="24"/>
        </w:rPr>
      </w:pPr>
      <w:r w:rsidRPr="0054263B">
        <w:rPr>
          <w:rFonts w:eastAsia="Times New Roman"/>
          <w:b/>
          <w:sz w:val="24"/>
          <w:szCs w:val="24"/>
        </w:rPr>
        <w:t>Notes on Use</w:t>
      </w:r>
    </w:p>
    <w:p w14:paraId="6C190D02" w14:textId="77777777" w:rsidR="00260F67" w:rsidRPr="00260F67" w:rsidRDefault="00427CD9"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14:paraId="1814F513" w14:textId="77777777" w:rsidR="00260F67" w:rsidRPr="00260F67" w:rsidRDefault="00427CD9"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14:paraId="770A8A61" w14:textId="77777777" w:rsidR="00260F67" w:rsidRPr="0054263B" w:rsidRDefault="00427CD9" w:rsidP="00260F67">
      <w:pPr>
        <w:keepNext/>
        <w:spacing w:after="240"/>
        <w:jc w:val="center"/>
        <w:rPr>
          <w:rFonts w:eastAsia="Times New Roman"/>
          <w:b/>
          <w:sz w:val="24"/>
          <w:szCs w:val="24"/>
        </w:rPr>
      </w:pPr>
      <w:r>
        <w:rPr>
          <w:rFonts w:eastAsia="Times New Roman"/>
          <w:b/>
          <w:sz w:val="24"/>
          <w:szCs w:val="24"/>
        </w:rPr>
        <w:t>Source and Authority</w:t>
      </w:r>
    </w:p>
    <w:p w14:paraId="6A6B9915" w14:textId="0435D616" w:rsidR="00260F67" w:rsidRPr="00260F67" w:rsidRDefault="00427CD9"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Julius Hyman &amp; Co. v. Velsicol Corp.</w:t>
      </w:r>
      <w:r w:rsidRPr="00260F67">
        <w:rPr>
          <w:rFonts w:eastAsia="Times New Roman"/>
          <w:sz w:val="24"/>
          <w:szCs w:val="24"/>
        </w:rPr>
        <w:t>,</w:t>
      </w:r>
      <w:r w:rsidRPr="00DB10A7">
        <w:rPr>
          <w:rFonts w:eastAsia="Times New Roman"/>
          <w:bCs/>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r w:rsidR="00E80317">
        <w:rPr>
          <w:rFonts w:eastAsia="Times New Roman"/>
          <w:sz w:val="24"/>
          <w:szCs w:val="24"/>
        </w:rPr>
        <w:t xml:space="preserve">; </w:t>
      </w:r>
      <w:r w:rsidR="006956BA" w:rsidRPr="00032002">
        <w:rPr>
          <w:rFonts w:eastAsia="Times New Roman"/>
          <w:b/>
          <w:bCs/>
          <w:sz w:val="24"/>
          <w:szCs w:val="24"/>
        </w:rPr>
        <w:t>Rios de Martinez v. Landaverde</w:t>
      </w:r>
      <w:r w:rsidR="006956BA">
        <w:rPr>
          <w:rFonts w:eastAsia="Times New Roman"/>
          <w:sz w:val="24"/>
          <w:szCs w:val="24"/>
        </w:rPr>
        <w:t xml:space="preserve">, 2024 COA 115, ¶¶ 30-31, 562 P.3d 908 </w:t>
      </w:r>
      <w:r w:rsidR="00E80317">
        <w:rPr>
          <w:rFonts w:eastAsia="Times New Roman"/>
          <w:sz w:val="24"/>
          <w:szCs w:val="24"/>
        </w:rPr>
        <w:t>(reversing the dismissal of a claim for civil conspiracy where the plaintiff’s complaint plausibly alleged a transfer in violation of the Colorado Uniform Fraudulent Transfer Act)</w:t>
      </w:r>
      <w:r w:rsidRPr="00260F67">
        <w:rPr>
          <w:rFonts w:eastAsia="Times New Roman"/>
          <w:sz w:val="24"/>
          <w:szCs w:val="24"/>
        </w:rPr>
        <w:t>.</w:t>
      </w:r>
    </w:p>
    <w:p w14:paraId="3CDC9F8F" w14:textId="1CE41953" w:rsidR="00260F67" w:rsidRPr="00260F67" w:rsidRDefault="00427CD9"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14:paraId="76E1FE1F" w14:textId="77777777" w:rsidR="00260F67" w:rsidRDefault="00427CD9">
      <w:pPr>
        <w:rPr>
          <w:rFonts w:eastAsia="Times New Roman"/>
          <w:sz w:val="24"/>
          <w:szCs w:val="24"/>
        </w:rPr>
      </w:pPr>
      <w:r>
        <w:rPr>
          <w:rFonts w:eastAsia="Times New Roman"/>
          <w:sz w:val="24"/>
          <w:szCs w:val="24"/>
        </w:rPr>
        <w:br w:type="page"/>
      </w:r>
    </w:p>
    <w:p w14:paraId="56DEEEE9" w14:textId="77777777" w:rsidR="00260F67" w:rsidRPr="009E3DA4" w:rsidRDefault="00427CD9" w:rsidP="00260F67">
      <w:pPr>
        <w:spacing w:after="240"/>
        <w:ind w:left="720" w:hanging="720"/>
        <w:rPr>
          <w:rFonts w:eastAsia="Times New Roman"/>
          <w:b/>
          <w:sz w:val="24"/>
          <w:szCs w:val="24"/>
        </w:rPr>
      </w:pPr>
      <w:bookmarkStart w:id="2" w:name="a27_03"/>
      <w:bookmarkEnd w:id="2"/>
      <w:r w:rsidRPr="00260F67">
        <w:rPr>
          <w:rFonts w:eastAsia="Times New Roman"/>
          <w:b/>
          <w:sz w:val="24"/>
          <w:szCs w:val="24"/>
        </w:rPr>
        <w:lastRenderedPageBreak/>
        <w:t xml:space="preserve">27:3 </w:t>
      </w:r>
      <w:r w:rsidRPr="00260F67">
        <w:rPr>
          <w:rFonts w:eastAsia="Times New Roman"/>
          <w:b/>
          <w:sz w:val="24"/>
          <w:szCs w:val="24"/>
        </w:rPr>
        <w:tab/>
        <w:t>UNLAWFUL GOAL — DEFINED</w:t>
      </w:r>
    </w:p>
    <w:p w14:paraId="41804007" w14:textId="77777777" w:rsidR="00260F67" w:rsidRPr="00260F67" w:rsidRDefault="00427CD9"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14:paraId="70252F25" w14:textId="77777777" w:rsidR="00260F67" w:rsidRPr="00260F67" w:rsidRDefault="00427CD9"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14:paraId="5D8EA024" w14:textId="77777777" w:rsidR="00260F67" w:rsidRDefault="00260F67" w:rsidP="00260F67">
      <w:pPr>
        <w:jc w:val="center"/>
        <w:rPr>
          <w:rFonts w:eastAsia="Times New Roman"/>
          <w:sz w:val="24"/>
          <w:szCs w:val="24"/>
        </w:rPr>
      </w:pPr>
    </w:p>
    <w:p w14:paraId="43A26F1A" w14:textId="77777777" w:rsidR="00260F67" w:rsidRPr="0054263B" w:rsidRDefault="00427CD9" w:rsidP="00260F67">
      <w:pPr>
        <w:keepNext/>
        <w:spacing w:after="240"/>
        <w:jc w:val="center"/>
        <w:rPr>
          <w:rFonts w:eastAsia="Times New Roman"/>
          <w:b/>
          <w:sz w:val="24"/>
          <w:szCs w:val="24"/>
        </w:rPr>
      </w:pPr>
      <w:r w:rsidRPr="0054263B">
        <w:rPr>
          <w:rFonts w:eastAsia="Times New Roman"/>
          <w:b/>
          <w:sz w:val="24"/>
          <w:szCs w:val="24"/>
        </w:rPr>
        <w:t>Notes on Use</w:t>
      </w:r>
    </w:p>
    <w:p w14:paraId="498D131C" w14:textId="77777777" w:rsidR="00260F67" w:rsidRPr="00260F67" w:rsidRDefault="00427CD9"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14:paraId="4422EAC5" w14:textId="77777777" w:rsidR="00260F67" w:rsidRPr="00260F67" w:rsidRDefault="00427CD9"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14:paraId="0A9559FE" w14:textId="77777777" w:rsidR="00260F67" w:rsidRPr="0054263B" w:rsidRDefault="00427CD9" w:rsidP="00260F67">
      <w:pPr>
        <w:keepNext/>
        <w:spacing w:after="240"/>
        <w:jc w:val="center"/>
        <w:rPr>
          <w:rFonts w:eastAsia="Times New Roman"/>
          <w:b/>
          <w:sz w:val="24"/>
          <w:szCs w:val="24"/>
        </w:rPr>
      </w:pPr>
      <w:r>
        <w:rPr>
          <w:rFonts w:eastAsia="Times New Roman"/>
          <w:b/>
          <w:sz w:val="24"/>
          <w:szCs w:val="24"/>
        </w:rPr>
        <w:t>Source and Authority</w:t>
      </w:r>
    </w:p>
    <w:p w14:paraId="1EAA1142" w14:textId="77777777" w:rsidR="00DC2F89" w:rsidRPr="00DC2F89" w:rsidRDefault="00427CD9"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3667C" w14:textId="77777777" w:rsidR="00764BD8" w:rsidRDefault="00764BD8" w:rsidP="0054263B">
      <w:r>
        <w:separator/>
      </w:r>
    </w:p>
    <w:p w14:paraId="0FDF9863" w14:textId="77777777" w:rsidR="00764BD8" w:rsidRDefault="00764BD8"/>
  </w:endnote>
  <w:endnote w:type="continuationSeparator" w:id="0">
    <w:p w14:paraId="7ECFFFF9" w14:textId="77777777" w:rsidR="00764BD8" w:rsidRDefault="00764BD8" w:rsidP="0054263B">
      <w:r>
        <w:continuationSeparator/>
      </w:r>
    </w:p>
    <w:p w14:paraId="0C9BFE74" w14:textId="77777777" w:rsidR="00764BD8" w:rsidRDefault="00764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00B3D70A" w14:textId="77777777" w:rsidR="001134B3" w:rsidRDefault="00427CD9">
        <w:pPr>
          <w:pStyle w:val="Footer"/>
          <w:jc w:val="center"/>
        </w:pPr>
        <w:r>
          <w:fldChar w:fldCharType="begin"/>
        </w:r>
        <w:r>
          <w:instrText xml:space="preserve"> PAGE   \* MERGEFORMAT </w:instrText>
        </w:r>
        <w:r>
          <w:fldChar w:fldCharType="separate"/>
        </w:r>
        <w:r w:rsidR="00A26823">
          <w:rPr>
            <w:noProof/>
          </w:rPr>
          <w:t>6</w:t>
        </w:r>
        <w:r>
          <w:rPr>
            <w:noProof/>
          </w:rPr>
          <w:fldChar w:fldCharType="end"/>
        </w:r>
      </w:p>
    </w:sdtContent>
  </w:sdt>
  <w:p w14:paraId="0E4D56CE" w14:textId="77777777" w:rsidR="001134B3" w:rsidRDefault="001134B3">
    <w:pPr>
      <w:pStyle w:val="Footer"/>
    </w:pPr>
  </w:p>
  <w:p w14:paraId="4807CAD8" w14:textId="77777777" w:rsidR="001134B3" w:rsidRDefault="00113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777AC" w14:textId="77777777" w:rsidR="00764BD8" w:rsidRDefault="00764BD8" w:rsidP="0054263B">
      <w:r>
        <w:separator/>
      </w:r>
    </w:p>
    <w:p w14:paraId="4656D601" w14:textId="77777777" w:rsidR="00764BD8" w:rsidRDefault="00764BD8"/>
  </w:footnote>
  <w:footnote w:type="continuationSeparator" w:id="0">
    <w:p w14:paraId="5C58A9CE" w14:textId="77777777" w:rsidR="00764BD8" w:rsidRDefault="00764BD8" w:rsidP="0054263B">
      <w:r>
        <w:continuationSeparator/>
      </w:r>
    </w:p>
    <w:p w14:paraId="50771DD3" w14:textId="77777777" w:rsidR="00764BD8" w:rsidRDefault="00764B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E572C50C">
      <w:start w:val="1"/>
      <w:numFmt w:val="decimal"/>
      <w:lvlText w:val="%1."/>
      <w:lvlJc w:val="left"/>
      <w:pPr>
        <w:ind w:left="1080" w:hanging="360"/>
      </w:pPr>
      <w:rPr>
        <w:rFonts w:hint="default"/>
      </w:rPr>
    </w:lvl>
    <w:lvl w:ilvl="1" w:tplc="DD1C1FD4" w:tentative="1">
      <w:start w:val="1"/>
      <w:numFmt w:val="lowerLetter"/>
      <w:lvlText w:val="%2."/>
      <w:lvlJc w:val="left"/>
      <w:pPr>
        <w:ind w:left="1800" w:hanging="360"/>
      </w:pPr>
    </w:lvl>
    <w:lvl w:ilvl="2" w:tplc="715C5B3A" w:tentative="1">
      <w:start w:val="1"/>
      <w:numFmt w:val="lowerRoman"/>
      <w:lvlText w:val="%3."/>
      <w:lvlJc w:val="right"/>
      <w:pPr>
        <w:ind w:left="2520" w:hanging="180"/>
      </w:pPr>
    </w:lvl>
    <w:lvl w:ilvl="3" w:tplc="45E2601C" w:tentative="1">
      <w:start w:val="1"/>
      <w:numFmt w:val="decimal"/>
      <w:lvlText w:val="%4."/>
      <w:lvlJc w:val="left"/>
      <w:pPr>
        <w:ind w:left="3240" w:hanging="360"/>
      </w:pPr>
    </w:lvl>
    <w:lvl w:ilvl="4" w:tplc="7E8C3170" w:tentative="1">
      <w:start w:val="1"/>
      <w:numFmt w:val="lowerLetter"/>
      <w:lvlText w:val="%5."/>
      <w:lvlJc w:val="left"/>
      <w:pPr>
        <w:ind w:left="3960" w:hanging="360"/>
      </w:pPr>
    </w:lvl>
    <w:lvl w:ilvl="5" w:tplc="E36899B0" w:tentative="1">
      <w:start w:val="1"/>
      <w:numFmt w:val="lowerRoman"/>
      <w:lvlText w:val="%6."/>
      <w:lvlJc w:val="right"/>
      <w:pPr>
        <w:ind w:left="4680" w:hanging="180"/>
      </w:pPr>
    </w:lvl>
    <w:lvl w:ilvl="6" w:tplc="891C6D8A" w:tentative="1">
      <w:start w:val="1"/>
      <w:numFmt w:val="decimal"/>
      <w:lvlText w:val="%7."/>
      <w:lvlJc w:val="left"/>
      <w:pPr>
        <w:ind w:left="5400" w:hanging="360"/>
      </w:pPr>
    </w:lvl>
    <w:lvl w:ilvl="7" w:tplc="A05458DA" w:tentative="1">
      <w:start w:val="1"/>
      <w:numFmt w:val="lowerLetter"/>
      <w:lvlText w:val="%8."/>
      <w:lvlJc w:val="left"/>
      <w:pPr>
        <w:ind w:left="6120" w:hanging="360"/>
      </w:pPr>
    </w:lvl>
    <w:lvl w:ilvl="8" w:tplc="1360B8EA" w:tentative="1">
      <w:start w:val="1"/>
      <w:numFmt w:val="lowerRoman"/>
      <w:lvlText w:val="%9."/>
      <w:lvlJc w:val="right"/>
      <w:pPr>
        <w:ind w:left="6840" w:hanging="180"/>
      </w:pPr>
    </w:lvl>
  </w:abstractNum>
  <w:num w:numId="1" w16cid:durableId="1161854295">
    <w:abstractNumId w:val="0"/>
  </w:num>
  <w:num w:numId="2" w16cid:durableId="1678116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07E69"/>
    <w:rsid w:val="00010330"/>
    <w:rsid w:val="00020CF1"/>
    <w:rsid w:val="00032002"/>
    <w:rsid w:val="00037111"/>
    <w:rsid w:val="00051A07"/>
    <w:rsid w:val="0006367C"/>
    <w:rsid w:val="00074558"/>
    <w:rsid w:val="00080E98"/>
    <w:rsid w:val="00081B0D"/>
    <w:rsid w:val="000824C8"/>
    <w:rsid w:val="0008529D"/>
    <w:rsid w:val="00085495"/>
    <w:rsid w:val="000921F1"/>
    <w:rsid w:val="0009462F"/>
    <w:rsid w:val="000962C8"/>
    <w:rsid w:val="000A040F"/>
    <w:rsid w:val="000A1B6E"/>
    <w:rsid w:val="000B1B7A"/>
    <w:rsid w:val="000B7645"/>
    <w:rsid w:val="000C204E"/>
    <w:rsid w:val="000C503A"/>
    <w:rsid w:val="000C6F97"/>
    <w:rsid w:val="000D33C0"/>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57BFB"/>
    <w:rsid w:val="001608FF"/>
    <w:rsid w:val="0016520C"/>
    <w:rsid w:val="00166E7C"/>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1250"/>
    <w:rsid w:val="00273777"/>
    <w:rsid w:val="0027486C"/>
    <w:rsid w:val="00287B90"/>
    <w:rsid w:val="00290935"/>
    <w:rsid w:val="00293941"/>
    <w:rsid w:val="00293F7E"/>
    <w:rsid w:val="0029461B"/>
    <w:rsid w:val="002A23B0"/>
    <w:rsid w:val="002A2E1C"/>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42D3"/>
    <w:rsid w:val="003A5A75"/>
    <w:rsid w:val="003B5ABE"/>
    <w:rsid w:val="003D027F"/>
    <w:rsid w:val="003D1B54"/>
    <w:rsid w:val="003D370E"/>
    <w:rsid w:val="003E472A"/>
    <w:rsid w:val="003E5389"/>
    <w:rsid w:val="003E5B38"/>
    <w:rsid w:val="003F108C"/>
    <w:rsid w:val="003F6E89"/>
    <w:rsid w:val="00407AAB"/>
    <w:rsid w:val="00420DF1"/>
    <w:rsid w:val="00427CD9"/>
    <w:rsid w:val="00434371"/>
    <w:rsid w:val="00435225"/>
    <w:rsid w:val="004425AA"/>
    <w:rsid w:val="0045142A"/>
    <w:rsid w:val="00456038"/>
    <w:rsid w:val="00456B2B"/>
    <w:rsid w:val="00457617"/>
    <w:rsid w:val="00467B80"/>
    <w:rsid w:val="0047120C"/>
    <w:rsid w:val="00471618"/>
    <w:rsid w:val="0047374D"/>
    <w:rsid w:val="00473B65"/>
    <w:rsid w:val="00474B1B"/>
    <w:rsid w:val="0048541F"/>
    <w:rsid w:val="00485635"/>
    <w:rsid w:val="0049313F"/>
    <w:rsid w:val="00496096"/>
    <w:rsid w:val="00497AA3"/>
    <w:rsid w:val="004A1210"/>
    <w:rsid w:val="004A32E6"/>
    <w:rsid w:val="004B753E"/>
    <w:rsid w:val="004C1A04"/>
    <w:rsid w:val="004C62F9"/>
    <w:rsid w:val="004C723A"/>
    <w:rsid w:val="004D1B56"/>
    <w:rsid w:val="004D2C99"/>
    <w:rsid w:val="004D2F1B"/>
    <w:rsid w:val="004E0408"/>
    <w:rsid w:val="004E7EF1"/>
    <w:rsid w:val="004F003D"/>
    <w:rsid w:val="00501D6D"/>
    <w:rsid w:val="00502D97"/>
    <w:rsid w:val="005065E6"/>
    <w:rsid w:val="0051385E"/>
    <w:rsid w:val="00516447"/>
    <w:rsid w:val="0052537F"/>
    <w:rsid w:val="00527A18"/>
    <w:rsid w:val="00531F32"/>
    <w:rsid w:val="00531F87"/>
    <w:rsid w:val="0053544D"/>
    <w:rsid w:val="0054263B"/>
    <w:rsid w:val="00547D97"/>
    <w:rsid w:val="00550AFD"/>
    <w:rsid w:val="00557FCC"/>
    <w:rsid w:val="005648EF"/>
    <w:rsid w:val="0057771F"/>
    <w:rsid w:val="005834B4"/>
    <w:rsid w:val="00590DCC"/>
    <w:rsid w:val="005A22A6"/>
    <w:rsid w:val="005A6EB1"/>
    <w:rsid w:val="005B27FE"/>
    <w:rsid w:val="005B3A78"/>
    <w:rsid w:val="005B7FC1"/>
    <w:rsid w:val="005C56C9"/>
    <w:rsid w:val="005C5CCB"/>
    <w:rsid w:val="005D1AD3"/>
    <w:rsid w:val="005D3156"/>
    <w:rsid w:val="005E712D"/>
    <w:rsid w:val="005F1017"/>
    <w:rsid w:val="005F19FD"/>
    <w:rsid w:val="005F5A94"/>
    <w:rsid w:val="00604F03"/>
    <w:rsid w:val="006053F6"/>
    <w:rsid w:val="006073F4"/>
    <w:rsid w:val="00620EF2"/>
    <w:rsid w:val="006218C1"/>
    <w:rsid w:val="006272FE"/>
    <w:rsid w:val="0063070C"/>
    <w:rsid w:val="00631BFF"/>
    <w:rsid w:val="00642649"/>
    <w:rsid w:val="00647CC5"/>
    <w:rsid w:val="00651A64"/>
    <w:rsid w:val="00656309"/>
    <w:rsid w:val="0066100E"/>
    <w:rsid w:val="00661D05"/>
    <w:rsid w:val="00665726"/>
    <w:rsid w:val="00675252"/>
    <w:rsid w:val="00675BD1"/>
    <w:rsid w:val="00682B93"/>
    <w:rsid w:val="0068336D"/>
    <w:rsid w:val="00683FA1"/>
    <w:rsid w:val="00685E76"/>
    <w:rsid w:val="00687304"/>
    <w:rsid w:val="006956BA"/>
    <w:rsid w:val="00695E9E"/>
    <w:rsid w:val="00697DF2"/>
    <w:rsid w:val="006A47FD"/>
    <w:rsid w:val="006A4ABB"/>
    <w:rsid w:val="006A74B6"/>
    <w:rsid w:val="006A7F32"/>
    <w:rsid w:val="006B2457"/>
    <w:rsid w:val="006B26D7"/>
    <w:rsid w:val="006B6CF1"/>
    <w:rsid w:val="006C03AF"/>
    <w:rsid w:val="006D00EC"/>
    <w:rsid w:val="006D531A"/>
    <w:rsid w:val="006E0D06"/>
    <w:rsid w:val="006E3575"/>
    <w:rsid w:val="006E62F0"/>
    <w:rsid w:val="006F284C"/>
    <w:rsid w:val="006F7581"/>
    <w:rsid w:val="006F7DC0"/>
    <w:rsid w:val="00702B5A"/>
    <w:rsid w:val="00704DFD"/>
    <w:rsid w:val="0070752A"/>
    <w:rsid w:val="007119D8"/>
    <w:rsid w:val="0071225B"/>
    <w:rsid w:val="00712E33"/>
    <w:rsid w:val="00713866"/>
    <w:rsid w:val="00716F96"/>
    <w:rsid w:val="007216DA"/>
    <w:rsid w:val="00724230"/>
    <w:rsid w:val="00726E21"/>
    <w:rsid w:val="007340B5"/>
    <w:rsid w:val="007532AB"/>
    <w:rsid w:val="00764BD8"/>
    <w:rsid w:val="00766F81"/>
    <w:rsid w:val="00770FFC"/>
    <w:rsid w:val="00776C42"/>
    <w:rsid w:val="00787065"/>
    <w:rsid w:val="00792028"/>
    <w:rsid w:val="007A2B10"/>
    <w:rsid w:val="007A3A0E"/>
    <w:rsid w:val="007A56C2"/>
    <w:rsid w:val="007A612E"/>
    <w:rsid w:val="007B102B"/>
    <w:rsid w:val="007B1633"/>
    <w:rsid w:val="007C42D5"/>
    <w:rsid w:val="007C4B23"/>
    <w:rsid w:val="007D168F"/>
    <w:rsid w:val="007D198E"/>
    <w:rsid w:val="007D1B41"/>
    <w:rsid w:val="007D2BCE"/>
    <w:rsid w:val="007D39CC"/>
    <w:rsid w:val="007E02B1"/>
    <w:rsid w:val="007E1675"/>
    <w:rsid w:val="007F119B"/>
    <w:rsid w:val="007F40A8"/>
    <w:rsid w:val="007F7129"/>
    <w:rsid w:val="007F7740"/>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6FB"/>
    <w:rsid w:val="00875064"/>
    <w:rsid w:val="008812A8"/>
    <w:rsid w:val="00881431"/>
    <w:rsid w:val="008859AF"/>
    <w:rsid w:val="00892A97"/>
    <w:rsid w:val="00893E48"/>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3D46"/>
    <w:rsid w:val="00935DA8"/>
    <w:rsid w:val="00936D0A"/>
    <w:rsid w:val="00950692"/>
    <w:rsid w:val="0095253C"/>
    <w:rsid w:val="00952BBB"/>
    <w:rsid w:val="0095709A"/>
    <w:rsid w:val="009725D8"/>
    <w:rsid w:val="00972635"/>
    <w:rsid w:val="00973884"/>
    <w:rsid w:val="009902F2"/>
    <w:rsid w:val="009908C2"/>
    <w:rsid w:val="00992327"/>
    <w:rsid w:val="009931B9"/>
    <w:rsid w:val="0099627C"/>
    <w:rsid w:val="009A273C"/>
    <w:rsid w:val="009A5AA6"/>
    <w:rsid w:val="009B2577"/>
    <w:rsid w:val="009B3105"/>
    <w:rsid w:val="009B4CC5"/>
    <w:rsid w:val="009B6746"/>
    <w:rsid w:val="009C03DD"/>
    <w:rsid w:val="009C0C3F"/>
    <w:rsid w:val="009C22FE"/>
    <w:rsid w:val="009C30DD"/>
    <w:rsid w:val="009D035C"/>
    <w:rsid w:val="009E20C7"/>
    <w:rsid w:val="009E3DA4"/>
    <w:rsid w:val="009E5868"/>
    <w:rsid w:val="009E5CC5"/>
    <w:rsid w:val="009F581C"/>
    <w:rsid w:val="00A005E6"/>
    <w:rsid w:val="00A038A6"/>
    <w:rsid w:val="00A06ED6"/>
    <w:rsid w:val="00A10F3D"/>
    <w:rsid w:val="00A110C7"/>
    <w:rsid w:val="00A17676"/>
    <w:rsid w:val="00A26823"/>
    <w:rsid w:val="00A36457"/>
    <w:rsid w:val="00A3770F"/>
    <w:rsid w:val="00A40DA5"/>
    <w:rsid w:val="00A50F20"/>
    <w:rsid w:val="00A54915"/>
    <w:rsid w:val="00A57779"/>
    <w:rsid w:val="00A632A0"/>
    <w:rsid w:val="00A677E8"/>
    <w:rsid w:val="00A73AE6"/>
    <w:rsid w:val="00A76341"/>
    <w:rsid w:val="00A80C10"/>
    <w:rsid w:val="00A82D0A"/>
    <w:rsid w:val="00A85AAA"/>
    <w:rsid w:val="00A9205E"/>
    <w:rsid w:val="00A92C18"/>
    <w:rsid w:val="00A96376"/>
    <w:rsid w:val="00AA3F5F"/>
    <w:rsid w:val="00AB1D6F"/>
    <w:rsid w:val="00AB2019"/>
    <w:rsid w:val="00AB71A7"/>
    <w:rsid w:val="00AC78F7"/>
    <w:rsid w:val="00AD4B56"/>
    <w:rsid w:val="00AD61CD"/>
    <w:rsid w:val="00AF0B80"/>
    <w:rsid w:val="00AF2D34"/>
    <w:rsid w:val="00AF40E1"/>
    <w:rsid w:val="00AF7D47"/>
    <w:rsid w:val="00B0264D"/>
    <w:rsid w:val="00B338E2"/>
    <w:rsid w:val="00B35185"/>
    <w:rsid w:val="00B37722"/>
    <w:rsid w:val="00B567C1"/>
    <w:rsid w:val="00B579DF"/>
    <w:rsid w:val="00B6275E"/>
    <w:rsid w:val="00B649E0"/>
    <w:rsid w:val="00B64D2E"/>
    <w:rsid w:val="00B70D68"/>
    <w:rsid w:val="00B719C2"/>
    <w:rsid w:val="00B72D6B"/>
    <w:rsid w:val="00B80FD1"/>
    <w:rsid w:val="00B937E4"/>
    <w:rsid w:val="00B96565"/>
    <w:rsid w:val="00B97801"/>
    <w:rsid w:val="00BA2389"/>
    <w:rsid w:val="00BA27A8"/>
    <w:rsid w:val="00BA510E"/>
    <w:rsid w:val="00BB344E"/>
    <w:rsid w:val="00BB436B"/>
    <w:rsid w:val="00BC49BF"/>
    <w:rsid w:val="00BC60AE"/>
    <w:rsid w:val="00BC65EF"/>
    <w:rsid w:val="00BC789A"/>
    <w:rsid w:val="00BD6E50"/>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6DBC"/>
    <w:rsid w:val="00C87463"/>
    <w:rsid w:val="00C8797B"/>
    <w:rsid w:val="00C91A2D"/>
    <w:rsid w:val="00C93B0B"/>
    <w:rsid w:val="00C94C5E"/>
    <w:rsid w:val="00CA41CC"/>
    <w:rsid w:val="00CA7EF2"/>
    <w:rsid w:val="00CB008B"/>
    <w:rsid w:val="00CB0E16"/>
    <w:rsid w:val="00CB5C67"/>
    <w:rsid w:val="00CB62DC"/>
    <w:rsid w:val="00CB6963"/>
    <w:rsid w:val="00CB74AF"/>
    <w:rsid w:val="00CC0502"/>
    <w:rsid w:val="00CC1AC8"/>
    <w:rsid w:val="00CC6A95"/>
    <w:rsid w:val="00CC7E17"/>
    <w:rsid w:val="00CD23A0"/>
    <w:rsid w:val="00CD4A7D"/>
    <w:rsid w:val="00CE593D"/>
    <w:rsid w:val="00CE7483"/>
    <w:rsid w:val="00CF07F1"/>
    <w:rsid w:val="00CF5432"/>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3094"/>
    <w:rsid w:val="00D739A3"/>
    <w:rsid w:val="00D767EB"/>
    <w:rsid w:val="00D8125F"/>
    <w:rsid w:val="00D904A4"/>
    <w:rsid w:val="00D90E67"/>
    <w:rsid w:val="00D9448D"/>
    <w:rsid w:val="00DA1796"/>
    <w:rsid w:val="00DA2814"/>
    <w:rsid w:val="00DB10A7"/>
    <w:rsid w:val="00DB2C90"/>
    <w:rsid w:val="00DB5333"/>
    <w:rsid w:val="00DC0393"/>
    <w:rsid w:val="00DC2AF2"/>
    <w:rsid w:val="00DC2F89"/>
    <w:rsid w:val="00DC63A9"/>
    <w:rsid w:val="00DC66A6"/>
    <w:rsid w:val="00DC7533"/>
    <w:rsid w:val="00DD649D"/>
    <w:rsid w:val="00DE2930"/>
    <w:rsid w:val="00DE5209"/>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0317"/>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1D69"/>
    <w:rsid w:val="00EE26F9"/>
    <w:rsid w:val="00EF1E2D"/>
    <w:rsid w:val="00EF4043"/>
    <w:rsid w:val="00EF6460"/>
    <w:rsid w:val="00F022D4"/>
    <w:rsid w:val="00F062A4"/>
    <w:rsid w:val="00F10E6F"/>
    <w:rsid w:val="00F11FEE"/>
    <w:rsid w:val="00F32AA4"/>
    <w:rsid w:val="00F37D3E"/>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D72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7E02B1"/>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2026-02-22T18:32:00Z</dcterms:created>
  <dcterms:modified xsi:type="dcterms:W3CDTF">2026-02-22T18:32:00Z</dcterms:modified>
</cp:coreProperties>
</file>