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983D6" w14:textId="4EF269B6" w:rsidR="00CA41CC" w:rsidRPr="00914128" w:rsidRDefault="00427CD9" w:rsidP="00914128">
      <w:pPr>
        <w:pStyle w:val="Heading1"/>
      </w:pPr>
      <w:r>
        <w:t xml:space="preserve">CHAPTER </w:t>
      </w:r>
      <w:r w:rsidR="006073F4">
        <w:t>27</w:t>
      </w:r>
    </w:p>
    <w:p w14:paraId="4F738175" w14:textId="77777777" w:rsidR="00EC7C98" w:rsidRPr="00914128" w:rsidRDefault="00427CD9" w:rsidP="00914128">
      <w:pPr>
        <w:pStyle w:val="Heading1"/>
      </w:pPr>
      <w:r w:rsidRPr="006073F4">
        <w:t>CIVIL CONSPIRACY</w:t>
      </w:r>
    </w:p>
    <w:p w14:paraId="1D3A4D3F" w14:textId="77777777" w:rsidR="00EC7C98" w:rsidRDefault="00590DCC" w:rsidP="00914128">
      <w:pPr>
        <w:pStyle w:val="ToC"/>
      </w:pPr>
      <w:r w:rsidRPr="00590DCC">
        <w:t xml:space="preserve">27:1 </w:t>
      </w:r>
      <w:r w:rsidRPr="00590DCC">
        <w:tab/>
        <w:t xml:space="preserve">Elements </w:t>
      </w:r>
      <w:r>
        <w:t>o</w:t>
      </w:r>
      <w:r w:rsidRPr="00590DCC">
        <w:t>f Liability</w:t>
      </w:r>
    </w:p>
    <w:p w14:paraId="60B21CB0" w14:textId="77777777" w:rsidR="00590DCC" w:rsidRDefault="00427CD9" w:rsidP="00914128">
      <w:pPr>
        <w:pStyle w:val="ToC"/>
      </w:pPr>
      <w:r w:rsidRPr="00590DCC">
        <w:t xml:space="preserve">27:2 </w:t>
      </w:r>
      <w:r w:rsidRPr="00590DCC">
        <w:tab/>
        <w:t>Unlawful Means — Defined</w:t>
      </w:r>
    </w:p>
    <w:p w14:paraId="2C036B9F" w14:textId="77777777" w:rsidR="00590DCC" w:rsidRDefault="00427CD9" w:rsidP="00914128">
      <w:pPr>
        <w:pStyle w:val="ToC"/>
      </w:pPr>
      <w:r w:rsidRPr="00590DCC">
        <w:t xml:space="preserve">27:3 </w:t>
      </w:r>
      <w:r w:rsidRPr="00590DCC">
        <w:tab/>
        <w:t>Unlawful Goal — Defined</w:t>
      </w:r>
    </w:p>
    <w:p w14:paraId="1A448AE1" w14:textId="77777777" w:rsidR="00352111" w:rsidRPr="00352111" w:rsidRDefault="00427CD9">
      <w:pPr>
        <w:rPr>
          <w:rFonts w:eastAsia="Times New Roman"/>
          <w:sz w:val="24"/>
          <w:szCs w:val="24"/>
        </w:rPr>
      </w:pPr>
      <w:r w:rsidRPr="00352111">
        <w:rPr>
          <w:rFonts w:eastAsia="Times New Roman"/>
          <w:sz w:val="24"/>
          <w:szCs w:val="24"/>
        </w:rPr>
        <w:br w:type="page"/>
      </w:r>
    </w:p>
    <w:p w14:paraId="5290A497" w14:textId="77777777" w:rsidR="009E3DA4" w:rsidRPr="009E3DA4" w:rsidRDefault="00427CD9" w:rsidP="00CC0502">
      <w:pPr>
        <w:spacing w:after="240"/>
        <w:ind w:left="720" w:hanging="720"/>
        <w:rPr>
          <w:rFonts w:eastAsia="Times New Roman"/>
          <w:b/>
          <w:sz w:val="24"/>
          <w:szCs w:val="24"/>
        </w:rPr>
      </w:pPr>
      <w:bookmarkStart w:id="0" w:name="a27_01"/>
      <w:bookmarkEnd w:id="0"/>
      <w:r w:rsidRPr="006073F4">
        <w:rPr>
          <w:rFonts w:eastAsia="Times New Roman"/>
          <w:b/>
          <w:sz w:val="24"/>
          <w:szCs w:val="24"/>
        </w:rPr>
        <w:lastRenderedPageBreak/>
        <w:t xml:space="preserve">27:1 </w:t>
      </w:r>
      <w:r w:rsidRPr="006073F4">
        <w:rPr>
          <w:rFonts w:eastAsia="Times New Roman"/>
          <w:b/>
          <w:sz w:val="24"/>
          <w:szCs w:val="24"/>
        </w:rPr>
        <w:tab/>
        <w:t>ELEMENTS OF LIABILITY</w:t>
      </w:r>
    </w:p>
    <w:p w14:paraId="1207204E" w14:textId="45648065"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 xml:space="preserve">For the plaintiff, </w:t>
      </w:r>
      <w:r w:rsidRPr="006073F4">
        <w:rPr>
          <w:rFonts w:eastAsia="Times New Roman"/>
          <w:i/>
          <w:sz w:val="24"/>
          <w:szCs w:val="24"/>
        </w:rPr>
        <w:t>(name)</w:t>
      </w:r>
      <w:r w:rsidRPr="006073F4">
        <w:rPr>
          <w:rFonts w:eastAsia="Times New Roman"/>
          <w:b/>
          <w:sz w:val="24"/>
          <w:szCs w:val="24"/>
        </w:rPr>
        <w:t xml:space="preserve">, to recover from the defendant(s) </w:t>
      </w:r>
      <w:r w:rsidRPr="006073F4">
        <w:rPr>
          <w:rFonts w:eastAsia="Times New Roman"/>
          <w:i/>
          <w:sz w:val="24"/>
          <w:szCs w:val="24"/>
        </w:rPr>
        <w:t>(name[s])</w:t>
      </w:r>
      <w:r w:rsidRPr="006073F4">
        <w:rPr>
          <w:rFonts w:eastAsia="Times New Roman"/>
          <w:b/>
          <w:sz w:val="24"/>
          <w:szCs w:val="24"/>
        </w:rPr>
        <w:t xml:space="preserve">, on </w:t>
      </w:r>
      <w:r w:rsidR="007E02B1">
        <w:rPr>
          <w:rFonts w:eastAsia="Times New Roman"/>
          <w:bCs/>
          <w:i/>
          <w:iCs/>
          <w:sz w:val="24"/>
          <w:szCs w:val="24"/>
        </w:rPr>
        <w:t>(</w:t>
      </w:r>
      <w:r w:rsidR="007E02B1" w:rsidRPr="00CB74AF">
        <w:rPr>
          <w:rFonts w:eastAsia="Times New Roman"/>
          <w:bCs/>
          <w:i/>
          <w:iCs/>
          <w:sz w:val="24"/>
          <w:szCs w:val="24"/>
        </w:rPr>
        <w:t>insert applicable pronoun</w:t>
      </w:r>
      <w:r w:rsidR="007E02B1">
        <w:rPr>
          <w:rFonts w:eastAsia="Times New Roman"/>
          <w:bCs/>
          <w:i/>
          <w:iCs/>
          <w:sz w:val="24"/>
          <w:szCs w:val="24"/>
        </w:rPr>
        <w:t>)</w:t>
      </w:r>
      <w:r w:rsidRPr="006073F4">
        <w:rPr>
          <w:rFonts w:eastAsia="Times New Roman"/>
          <w:b/>
          <w:sz w:val="24"/>
          <w:szCs w:val="24"/>
        </w:rPr>
        <w:t xml:space="preserve"> claim of civil conspiracy, you must find that all of the following have been proved by a preponderance of the evidence:</w:t>
      </w:r>
    </w:p>
    <w:p w14:paraId="366F15F2"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1. The defendant(s) (and at least one other person) agreed, by words or conduct, to (accomplish an unlawful goal) (or) (accomplish a goal through unlawful means);</w:t>
      </w:r>
    </w:p>
    <w:p w14:paraId="5EA9B4F0"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2. (One or more unlawful acts were performed to accomplish the goal) (or) (one or more acts were performed to accomplish the unlawful goal);</w:t>
      </w:r>
    </w:p>
    <w:p w14:paraId="2F8F34BA"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3. The plaintiff had (injuries) (damages) (losses); and</w:t>
      </w:r>
    </w:p>
    <w:p w14:paraId="23E69FBC"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4. The plaintiff’s (injuries) (damages) (losses) were caused by the acts performed to accomplish the goal.</w:t>
      </w:r>
    </w:p>
    <w:p w14:paraId="618AB2CE"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 xml:space="preserve">If you find that any one or more of these </w:t>
      </w:r>
      <w:r w:rsidRPr="006073F4">
        <w:rPr>
          <w:rFonts w:eastAsia="Times New Roman"/>
          <w:i/>
          <w:sz w:val="24"/>
          <w:szCs w:val="24"/>
        </w:rPr>
        <w:t>(number)</w:t>
      </w:r>
      <w:r w:rsidRPr="006073F4">
        <w:rPr>
          <w:rFonts w:eastAsia="Times New Roman"/>
          <w:b/>
          <w:sz w:val="24"/>
          <w:szCs w:val="24"/>
        </w:rPr>
        <w:t xml:space="preserve"> statements has not been proved, then your verdict must be for the defendant(s).</w:t>
      </w:r>
    </w:p>
    <w:p w14:paraId="20FA7BEE"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 xml:space="preserve">On the other hand, if you find that all of these </w:t>
      </w:r>
      <w:r w:rsidRPr="006073F4">
        <w:rPr>
          <w:rFonts w:eastAsia="Times New Roman"/>
          <w:i/>
          <w:sz w:val="24"/>
          <w:szCs w:val="24"/>
        </w:rPr>
        <w:t>(number)</w:t>
      </w:r>
      <w:r w:rsidRPr="006073F4">
        <w:rPr>
          <w:rFonts w:eastAsia="Times New Roman"/>
          <w:b/>
          <w:sz w:val="24"/>
          <w:szCs w:val="24"/>
        </w:rPr>
        <w:t xml:space="preserve"> statements have been proved, (then your verdict must be for the plaintiff) (then you must consider the defendant’s affirmative defense(s) of </w:t>
      </w:r>
      <w:r w:rsidRPr="006073F4">
        <w:rPr>
          <w:rFonts w:eastAsia="Times New Roman"/>
          <w:i/>
          <w:sz w:val="24"/>
          <w:szCs w:val="24"/>
        </w:rPr>
        <w:t>[insert any affirmative defense that would be a complete defense to plaintiff’s claim]</w:t>
      </w:r>
      <w:r w:rsidRPr="006073F4">
        <w:rPr>
          <w:rFonts w:eastAsia="Times New Roman"/>
          <w:b/>
          <w:sz w:val="24"/>
          <w:szCs w:val="24"/>
        </w:rPr>
        <w:t>).</w:t>
      </w:r>
    </w:p>
    <w:p w14:paraId="44710CF0"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400A24DC" w14:textId="77777777" w:rsidR="006073F4" w:rsidRPr="006073F4" w:rsidRDefault="00427CD9" w:rsidP="006073F4">
      <w:pPr>
        <w:spacing w:after="240"/>
        <w:ind w:firstLine="720"/>
        <w:rPr>
          <w:rFonts w:eastAsia="Times New Roman"/>
          <w:b/>
          <w:sz w:val="24"/>
          <w:szCs w:val="24"/>
        </w:rPr>
      </w:pPr>
      <w:r w:rsidRPr="006073F4">
        <w:rPr>
          <w:rFonts w:eastAsia="Times New Roman"/>
          <w:b/>
          <w:sz w:val="24"/>
          <w:szCs w:val="24"/>
        </w:rPr>
        <w:t>However, if you find that (this affirmative defense has not) (none of these affirmative defenses have) been proved, then your verdict must be for the plaintiff.</w:t>
      </w:r>
    </w:p>
    <w:p w14:paraId="6034E54F" w14:textId="77777777" w:rsidR="00832DB4" w:rsidRDefault="00832DB4" w:rsidP="0054263B">
      <w:pPr>
        <w:jc w:val="center"/>
        <w:rPr>
          <w:rFonts w:eastAsia="Times New Roman"/>
          <w:sz w:val="24"/>
          <w:szCs w:val="24"/>
        </w:rPr>
      </w:pPr>
    </w:p>
    <w:p w14:paraId="684DFC49" w14:textId="77777777" w:rsidR="0054263B" w:rsidRPr="0054263B" w:rsidRDefault="00427CD9" w:rsidP="00BE654D">
      <w:pPr>
        <w:keepNext/>
        <w:spacing w:after="240"/>
        <w:jc w:val="center"/>
        <w:rPr>
          <w:rFonts w:eastAsia="Times New Roman"/>
          <w:b/>
          <w:sz w:val="24"/>
          <w:szCs w:val="24"/>
        </w:rPr>
      </w:pPr>
      <w:r w:rsidRPr="0054263B">
        <w:rPr>
          <w:rFonts w:eastAsia="Times New Roman"/>
          <w:b/>
          <w:sz w:val="24"/>
          <w:szCs w:val="24"/>
        </w:rPr>
        <w:t>Notes on Use</w:t>
      </w:r>
    </w:p>
    <w:p w14:paraId="12D46EA3" w14:textId="77777777" w:rsidR="006073F4" w:rsidRPr="006073F4" w:rsidRDefault="00427CD9" w:rsidP="006073F4">
      <w:pPr>
        <w:spacing w:after="240"/>
        <w:ind w:firstLine="720"/>
        <w:rPr>
          <w:rFonts w:eastAsia="Times New Roman"/>
          <w:sz w:val="24"/>
          <w:szCs w:val="24"/>
        </w:rPr>
      </w:pPr>
      <w:r w:rsidRPr="006073F4">
        <w:rPr>
          <w:rFonts w:eastAsia="Times New Roman"/>
          <w:sz w:val="24"/>
          <w:szCs w:val="24"/>
        </w:rPr>
        <w:t>1. Omit any numbered paragraph, the facts of which are not in dispute.</w:t>
      </w:r>
    </w:p>
    <w:p w14:paraId="7AA52F30" w14:textId="77777777" w:rsidR="006073F4" w:rsidRPr="006073F4" w:rsidRDefault="00427CD9" w:rsidP="006073F4">
      <w:pPr>
        <w:spacing w:after="240"/>
        <w:ind w:firstLine="720"/>
        <w:rPr>
          <w:rFonts w:eastAsia="Times New Roman"/>
          <w:sz w:val="24"/>
          <w:szCs w:val="24"/>
        </w:rPr>
      </w:pPr>
      <w:r w:rsidRPr="006073F4">
        <w:rPr>
          <w:rFonts w:eastAsia="Times New Roman"/>
          <w:sz w:val="24"/>
          <w:szCs w:val="24"/>
        </w:rPr>
        <w:t>2. If the defendant has put no affirmative defense in issue or there is insufficient evidence to support a defense, the last two paragraphs should be omitted.</w:t>
      </w:r>
    </w:p>
    <w:p w14:paraId="2E104BAF" w14:textId="77777777"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3. Though mitigation of damages is an affirmative defense, </w:t>
      </w:r>
      <w:r w:rsidRPr="006073F4">
        <w:rPr>
          <w:rFonts w:eastAsia="Times New Roman"/>
          <w:i/>
          <w:sz w:val="24"/>
          <w:szCs w:val="24"/>
        </w:rPr>
        <w:t>see</w:t>
      </w:r>
      <w:r w:rsidRPr="006073F4">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42344D2B" w14:textId="77777777" w:rsidR="006073F4" w:rsidRPr="006073F4" w:rsidRDefault="00427CD9" w:rsidP="006073F4">
      <w:pPr>
        <w:spacing w:after="240"/>
        <w:ind w:firstLine="720"/>
        <w:rPr>
          <w:rFonts w:eastAsia="Times New Roman"/>
          <w:sz w:val="24"/>
          <w:szCs w:val="24"/>
        </w:rPr>
      </w:pPr>
      <w:r w:rsidRPr="006073F4">
        <w:rPr>
          <w:rFonts w:eastAsia="Times New Roman"/>
          <w:sz w:val="24"/>
          <w:szCs w:val="24"/>
        </w:rPr>
        <w:lastRenderedPageBreak/>
        <w:t xml:space="preserve">4. Other appropriate instructions defining the terms used in this instruction must also be given with this instruction, in particular an instruction or instructions relating to causation. </w:t>
      </w:r>
      <w:r w:rsidRPr="006073F4">
        <w:rPr>
          <w:rFonts w:eastAsia="Times New Roman"/>
          <w:i/>
          <w:sz w:val="24"/>
          <w:szCs w:val="24"/>
        </w:rPr>
        <w:t>See</w:t>
      </w:r>
      <w:r w:rsidRPr="006073F4">
        <w:rPr>
          <w:rFonts w:eastAsia="Times New Roman"/>
          <w:sz w:val="24"/>
          <w:szCs w:val="24"/>
        </w:rPr>
        <w:t xml:space="preserve"> Instructions 9:18 to 9:21.</w:t>
      </w:r>
    </w:p>
    <w:p w14:paraId="6B81473B" w14:textId="77777777" w:rsidR="006073F4" w:rsidRPr="006073F4" w:rsidRDefault="00427CD9" w:rsidP="006073F4">
      <w:pPr>
        <w:spacing w:after="240"/>
        <w:ind w:firstLine="720"/>
        <w:rPr>
          <w:rFonts w:eastAsia="Times New Roman"/>
          <w:sz w:val="24"/>
          <w:szCs w:val="24"/>
        </w:rPr>
      </w:pPr>
      <w:r w:rsidRPr="006073F4">
        <w:rPr>
          <w:rFonts w:eastAsia="Times New Roman"/>
          <w:sz w:val="24"/>
          <w:szCs w:val="24"/>
        </w:rPr>
        <w:t>5. For the definition of “unlawful means,” see Instruction 27:2 and for the definition of “unlawful goal,” see Instruction 27:3.</w:t>
      </w:r>
    </w:p>
    <w:p w14:paraId="59968FC1" w14:textId="77777777" w:rsidR="00352111" w:rsidRPr="0054263B" w:rsidRDefault="00427CD9" w:rsidP="00875064">
      <w:pPr>
        <w:keepNext/>
        <w:spacing w:after="240"/>
        <w:jc w:val="center"/>
        <w:rPr>
          <w:rFonts w:eastAsia="Times New Roman"/>
          <w:b/>
          <w:sz w:val="24"/>
          <w:szCs w:val="24"/>
        </w:rPr>
      </w:pPr>
      <w:r>
        <w:rPr>
          <w:rFonts w:eastAsia="Times New Roman"/>
          <w:b/>
          <w:sz w:val="24"/>
          <w:szCs w:val="24"/>
        </w:rPr>
        <w:t>Source and Authority</w:t>
      </w:r>
    </w:p>
    <w:p w14:paraId="0015B98E" w14:textId="5B6EE03F"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1. This instruction is supported by </w:t>
      </w:r>
      <w:r w:rsidRPr="006073F4">
        <w:rPr>
          <w:rFonts w:eastAsia="Times New Roman"/>
          <w:b/>
          <w:sz w:val="24"/>
          <w:szCs w:val="24"/>
        </w:rPr>
        <w:t>Nelson v. Elway</w:t>
      </w:r>
      <w:r w:rsidRPr="006073F4">
        <w:rPr>
          <w:rFonts w:eastAsia="Times New Roman"/>
          <w:sz w:val="24"/>
          <w:szCs w:val="24"/>
        </w:rPr>
        <w:t xml:space="preserve">, 908 P.2d 102 (Colo. 1995) (unlawful overt act not established); </w:t>
      </w:r>
      <w:r w:rsidR="003A42D3" w:rsidRPr="006073F4">
        <w:rPr>
          <w:rFonts w:eastAsia="Times New Roman"/>
          <w:b/>
          <w:sz w:val="24"/>
          <w:szCs w:val="24"/>
        </w:rPr>
        <w:t>Jet Courier Serv</w:t>
      </w:r>
      <w:r w:rsidR="00DC2AF2">
        <w:rPr>
          <w:rFonts w:eastAsia="Times New Roman"/>
          <w:b/>
          <w:sz w:val="24"/>
          <w:szCs w:val="24"/>
        </w:rPr>
        <w:t>ice</w:t>
      </w:r>
      <w:r w:rsidR="00DB10A7">
        <w:rPr>
          <w:rFonts w:eastAsia="Times New Roman"/>
          <w:b/>
          <w:sz w:val="24"/>
          <w:szCs w:val="24"/>
        </w:rPr>
        <w:t>,</w:t>
      </w:r>
      <w:r w:rsidR="003A42D3" w:rsidRPr="006073F4">
        <w:rPr>
          <w:rFonts w:eastAsia="Times New Roman"/>
          <w:b/>
          <w:sz w:val="24"/>
          <w:szCs w:val="24"/>
        </w:rPr>
        <w:t xml:space="preserve"> Inc. v. Mulei</w:t>
      </w:r>
      <w:r w:rsidR="003A42D3" w:rsidRPr="006073F4">
        <w:rPr>
          <w:rFonts w:eastAsia="Times New Roman"/>
          <w:sz w:val="24"/>
          <w:szCs w:val="24"/>
        </w:rPr>
        <w:t>, 771 P.2d 486 (Colo. 1989)</w:t>
      </w:r>
      <w:r w:rsidR="003A42D3">
        <w:rPr>
          <w:rFonts w:eastAsia="Times New Roman"/>
          <w:sz w:val="24"/>
          <w:szCs w:val="24"/>
        </w:rPr>
        <w:t xml:space="preserve">; </w:t>
      </w:r>
      <w:r w:rsidRPr="006073F4">
        <w:rPr>
          <w:rFonts w:eastAsia="Times New Roman"/>
          <w:b/>
          <w:sz w:val="24"/>
          <w:szCs w:val="24"/>
        </w:rPr>
        <w:t>Contract Maintenance Co. v. Local No.</w:t>
      </w:r>
      <w:r w:rsidRPr="006073F4">
        <w:rPr>
          <w:rFonts w:eastAsia="Times New Roman"/>
          <w:sz w:val="24"/>
          <w:szCs w:val="24"/>
        </w:rPr>
        <w:t xml:space="preserve"> </w:t>
      </w:r>
      <w:r w:rsidRPr="006073F4">
        <w:rPr>
          <w:rFonts w:eastAsia="Times New Roman"/>
          <w:b/>
          <w:sz w:val="24"/>
          <w:szCs w:val="24"/>
        </w:rPr>
        <w:t>105</w:t>
      </w:r>
      <w:r w:rsidRPr="006073F4">
        <w:rPr>
          <w:rFonts w:eastAsia="Times New Roman"/>
          <w:sz w:val="24"/>
          <w:szCs w:val="24"/>
        </w:rPr>
        <w:t>, 160 Colo. 190</w:t>
      </w:r>
      <w:r w:rsidR="00DB10A7">
        <w:rPr>
          <w:rFonts w:eastAsia="Times New Roman"/>
          <w:sz w:val="24"/>
          <w:szCs w:val="24"/>
        </w:rPr>
        <w:t xml:space="preserve">, </w:t>
      </w:r>
      <w:r w:rsidRPr="006073F4">
        <w:rPr>
          <w:rFonts w:eastAsia="Times New Roman"/>
          <w:sz w:val="24"/>
          <w:szCs w:val="24"/>
        </w:rPr>
        <w:t xml:space="preserve">415 P.2d 855 (1966); </w:t>
      </w:r>
      <w:r w:rsidRPr="006073F4">
        <w:rPr>
          <w:rFonts w:eastAsia="Times New Roman"/>
          <w:b/>
          <w:sz w:val="24"/>
          <w:szCs w:val="24"/>
        </w:rPr>
        <w:t>Lockwood Grader Corp. v. Bockhaus</w:t>
      </w:r>
      <w:r w:rsidRPr="006073F4">
        <w:rPr>
          <w:rFonts w:eastAsia="Times New Roman"/>
          <w:sz w:val="24"/>
          <w:szCs w:val="24"/>
        </w:rPr>
        <w:t xml:space="preserve">, 129 Colo. 339, 270 P.2d 193 (1954); </w:t>
      </w:r>
      <w:r w:rsidR="007F119B">
        <w:rPr>
          <w:rFonts w:eastAsia="Times New Roman"/>
          <w:b/>
          <w:bCs/>
          <w:sz w:val="24"/>
          <w:szCs w:val="24"/>
        </w:rPr>
        <w:t>Coomer v. Salem Media of Colo., Inc.</w:t>
      </w:r>
      <w:r w:rsidR="007F119B">
        <w:rPr>
          <w:rFonts w:eastAsia="Times New Roman"/>
          <w:sz w:val="24"/>
          <w:szCs w:val="24"/>
        </w:rPr>
        <w:t>, 2025 COA 2, ¶ 107</w:t>
      </w:r>
      <w:r w:rsidR="00DC2AF2">
        <w:rPr>
          <w:rFonts w:eastAsia="Times New Roman"/>
          <w:sz w:val="24"/>
          <w:szCs w:val="24"/>
        </w:rPr>
        <w:t>, 565 P.3d 1133</w:t>
      </w:r>
      <w:r w:rsidR="00420DF1">
        <w:rPr>
          <w:rFonts w:eastAsia="Times New Roman"/>
          <w:sz w:val="24"/>
          <w:szCs w:val="24"/>
        </w:rPr>
        <w:t xml:space="preserve"> (“</w:t>
      </w:r>
      <w:r w:rsidR="00420DF1" w:rsidRPr="00420DF1">
        <w:rPr>
          <w:rFonts w:eastAsia="Times New Roman"/>
          <w:b/>
          <w:bCs/>
          <w:sz w:val="24"/>
          <w:szCs w:val="24"/>
        </w:rPr>
        <w:t>Coomer II</w:t>
      </w:r>
      <w:r w:rsidR="00420DF1">
        <w:rPr>
          <w:rFonts w:eastAsia="Times New Roman"/>
          <w:sz w:val="24"/>
          <w:szCs w:val="24"/>
        </w:rPr>
        <w:t>”)</w:t>
      </w:r>
      <w:r w:rsidR="007F119B">
        <w:rPr>
          <w:rFonts w:eastAsia="Times New Roman"/>
          <w:sz w:val="24"/>
          <w:szCs w:val="24"/>
        </w:rPr>
        <w:t xml:space="preserve">; </w:t>
      </w:r>
      <w:r w:rsidR="007D1B41" w:rsidRPr="007D1B41">
        <w:rPr>
          <w:rFonts w:eastAsia="Times New Roman"/>
          <w:b/>
          <w:bCs/>
          <w:sz w:val="24"/>
          <w:szCs w:val="24"/>
        </w:rPr>
        <w:t>Wright v. TEGNA Inc.</w:t>
      </w:r>
      <w:r w:rsidR="007D1B41">
        <w:rPr>
          <w:rFonts w:eastAsia="Times New Roman"/>
          <w:sz w:val="24"/>
          <w:szCs w:val="24"/>
        </w:rPr>
        <w:t>, 2024 COA 64M, ¶ 65</w:t>
      </w:r>
      <w:r w:rsidR="00DC2AF2">
        <w:rPr>
          <w:rFonts w:eastAsia="Times New Roman"/>
          <w:sz w:val="24"/>
          <w:szCs w:val="24"/>
        </w:rPr>
        <w:t>, 556 P.3d 333</w:t>
      </w:r>
      <w:r w:rsidR="007D1B41">
        <w:rPr>
          <w:rFonts w:eastAsia="Times New Roman"/>
          <w:sz w:val="24"/>
          <w:szCs w:val="24"/>
        </w:rPr>
        <w:t xml:space="preserve">; </w:t>
      </w:r>
      <w:r w:rsidR="00B64D2E" w:rsidRPr="00B64D2E">
        <w:rPr>
          <w:rFonts w:eastAsia="Times New Roman"/>
          <w:b/>
          <w:bCs/>
          <w:sz w:val="24"/>
          <w:szCs w:val="24"/>
        </w:rPr>
        <w:t>Coomer v. Donald J. Trump for President, Inc.</w:t>
      </w:r>
      <w:r w:rsidR="00B64D2E">
        <w:rPr>
          <w:rFonts w:eastAsia="Times New Roman"/>
          <w:sz w:val="24"/>
          <w:szCs w:val="24"/>
        </w:rPr>
        <w:t>, 2024 COA 35, ¶ 208</w:t>
      </w:r>
      <w:r w:rsidR="00DC2AF2">
        <w:rPr>
          <w:rFonts w:eastAsia="Times New Roman"/>
          <w:sz w:val="24"/>
          <w:szCs w:val="24"/>
        </w:rPr>
        <w:t>, 552 P.3d 562</w:t>
      </w:r>
      <w:r w:rsidR="00420DF1">
        <w:rPr>
          <w:rFonts w:eastAsia="Times New Roman"/>
          <w:sz w:val="24"/>
          <w:szCs w:val="24"/>
        </w:rPr>
        <w:t xml:space="preserve"> (“</w:t>
      </w:r>
      <w:r w:rsidR="00420DF1" w:rsidRPr="00420DF1">
        <w:rPr>
          <w:rFonts w:eastAsia="Times New Roman"/>
          <w:b/>
          <w:bCs/>
          <w:sz w:val="24"/>
          <w:szCs w:val="24"/>
        </w:rPr>
        <w:t>Coomer I</w:t>
      </w:r>
      <w:r w:rsidR="00420DF1">
        <w:rPr>
          <w:rFonts w:eastAsia="Times New Roman"/>
          <w:sz w:val="24"/>
          <w:szCs w:val="24"/>
        </w:rPr>
        <w:t>”)</w:t>
      </w:r>
      <w:r w:rsidR="00B64D2E">
        <w:rPr>
          <w:rFonts w:eastAsia="Times New Roman"/>
          <w:sz w:val="24"/>
          <w:szCs w:val="24"/>
        </w:rPr>
        <w:t xml:space="preserve">; </w:t>
      </w:r>
      <w:r w:rsidR="00893E48" w:rsidRPr="009C30DD">
        <w:rPr>
          <w:rFonts w:eastAsia="Times New Roman"/>
          <w:b/>
          <w:bCs/>
          <w:sz w:val="24"/>
          <w:szCs w:val="24"/>
        </w:rPr>
        <w:t>Rosenblum v. Budd</w:t>
      </w:r>
      <w:r w:rsidR="00893E48">
        <w:rPr>
          <w:rFonts w:eastAsia="Times New Roman"/>
          <w:sz w:val="24"/>
          <w:szCs w:val="24"/>
        </w:rPr>
        <w:t>, 2023 COA 72, ¶ </w:t>
      </w:r>
      <w:r w:rsidR="009C30DD">
        <w:rPr>
          <w:rFonts w:eastAsia="Times New Roman"/>
          <w:sz w:val="24"/>
          <w:szCs w:val="24"/>
        </w:rPr>
        <w:t>51</w:t>
      </w:r>
      <w:r w:rsidR="00DC2AF2">
        <w:rPr>
          <w:rFonts w:eastAsia="Times New Roman"/>
          <w:sz w:val="24"/>
          <w:szCs w:val="24"/>
        </w:rPr>
        <w:t xml:space="preserve">, 538 P.3d </w:t>
      </w:r>
      <w:r w:rsidR="00AF2D34">
        <w:rPr>
          <w:rFonts w:eastAsia="Times New Roman"/>
          <w:sz w:val="24"/>
          <w:szCs w:val="24"/>
        </w:rPr>
        <w:t>at 367</w:t>
      </w:r>
      <w:r w:rsidR="009C30DD">
        <w:rPr>
          <w:rFonts w:eastAsia="Times New Roman"/>
          <w:sz w:val="24"/>
          <w:szCs w:val="24"/>
        </w:rPr>
        <w:t xml:space="preserve">; </w:t>
      </w:r>
      <w:r w:rsidRPr="006073F4">
        <w:rPr>
          <w:rFonts w:eastAsia="Times New Roman"/>
          <w:b/>
          <w:sz w:val="24"/>
          <w:szCs w:val="24"/>
        </w:rPr>
        <w:t>Walker v. Van Laningham</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148 P.3d 391 (Colo. App. 2006); </w:t>
      </w:r>
      <w:r w:rsidRPr="006073F4">
        <w:rPr>
          <w:rFonts w:eastAsia="Times New Roman"/>
          <w:b/>
          <w:sz w:val="24"/>
          <w:szCs w:val="24"/>
        </w:rPr>
        <w:t>Stauffer v. Stegemann</w:t>
      </w:r>
      <w:r w:rsidRPr="006073F4">
        <w:rPr>
          <w:rFonts w:eastAsia="Times New Roman"/>
          <w:sz w:val="24"/>
          <w:szCs w:val="24"/>
        </w:rPr>
        <w:t xml:space="preserve">, 165 P.3d 713 (Colo. App. 2006); </w:t>
      </w:r>
      <w:r w:rsidRPr="006073F4">
        <w:rPr>
          <w:rFonts w:eastAsia="Times New Roman"/>
          <w:b/>
          <w:sz w:val="24"/>
          <w:szCs w:val="24"/>
        </w:rPr>
        <w:t>Telluride Real Estate Co. v. Penthouse Affiliates,</w:t>
      </w:r>
      <w:r w:rsidRPr="006073F4">
        <w:rPr>
          <w:rFonts w:eastAsia="Times New Roman"/>
          <w:sz w:val="24"/>
          <w:szCs w:val="24"/>
        </w:rPr>
        <w:t xml:space="preserve"> </w:t>
      </w:r>
      <w:r w:rsidRPr="006073F4">
        <w:rPr>
          <w:rFonts w:eastAsia="Times New Roman"/>
          <w:b/>
          <w:sz w:val="24"/>
          <w:szCs w:val="24"/>
        </w:rPr>
        <w:t>L.L.C.</w:t>
      </w:r>
      <w:r w:rsidRPr="006073F4">
        <w:rPr>
          <w:rFonts w:eastAsia="Times New Roman"/>
          <w:sz w:val="24"/>
          <w:szCs w:val="24"/>
        </w:rPr>
        <w:t xml:space="preserve">, 996 P.2d 151 (Colo. App. 1999); </w:t>
      </w:r>
      <w:r w:rsidRPr="006073F4">
        <w:rPr>
          <w:rFonts w:eastAsia="Times New Roman"/>
          <w:b/>
          <w:sz w:val="24"/>
          <w:szCs w:val="24"/>
        </w:rPr>
        <w:t>Magin v. DVCO Fuel Systems, Inc.</w:t>
      </w:r>
      <w:r w:rsidRPr="006073F4">
        <w:rPr>
          <w:rFonts w:eastAsia="Times New Roman"/>
          <w:sz w:val="24"/>
          <w:szCs w:val="24"/>
        </w:rPr>
        <w:t xml:space="preserve">, 981 P.2d 673 (Colo. App. 1999); and </w:t>
      </w:r>
      <w:r w:rsidRPr="006073F4">
        <w:rPr>
          <w:rFonts w:eastAsia="Times New Roman"/>
          <w:b/>
          <w:sz w:val="24"/>
          <w:szCs w:val="24"/>
        </w:rPr>
        <w:t>Electrolux Corp. v. Lawson</w:t>
      </w:r>
      <w:r w:rsidRPr="006073F4">
        <w:rPr>
          <w:rFonts w:eastAsia="Times New Roman"/>
          <w:sz w:val="24"/>
          <w:szCs w:val="24"/>
        </w:rPr>
        <w:t>, 654 P.2d 340 (Colo. App. 1982).</w:t>
      </w:r>
    </w:p>
    <w:p w14:paraId="5C7C3947" w14:textId="77777777" w:rsidR="006073F4" w:rsidRPr="006073F4" w:rsidRDefault="00427CD9" w:rsidP="006073F4">
      <w:pPr>
        <w:spacing w:after="240"/>
        <w:ind w:firstLine="720"/>
        <w:rPr>
          <w:rFonts w:eastAsia="Times New Roman"/>
          <w:sz w:val="24"/>
          <w:szCs w:val="24"/>
        </w:rPr>
      </w:pPr>
      <w:r w:rsidRPr="006073F4">
        <w:rPr>
          <w:rFonts w:eastAsia="Times New Roman"/>
          <w:sz w:val="24"/>
          <w:szCs w:val="24"/>
        </w:rPr>
        <w:t>2. The cases require an overt act, but do not suggest that an affirmative act covertly done does not constitute an “overt” act. A bad thought does not in itself suffice. The word “overt” has not been used in this instruction because that requirement is covered by the word “performed” in the second numbered paragraph.</w:t>
      </w:r>
    </w:p>
    <w:p w14:paraId="24AE3795" w14:textId="50526DFB"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3. Personal jurisdiction in Colorado for civil conspiracy requires an act by a Colorado resident co-conspirator before the Court could potentially have personal jurisdiction over foreign co-conspirator defendants. </w:t>
      </w:r>
      <w:r w:rsidRPr="006073F4">
        <w:rPr>
          <w:rFonts w:eastAsia="Times New Roman"/>
          <w:b/>
          <w:sz w:val="24"/>
          <w:szCs w:val="24"/>
        </w:rPr>
        <w:t>Giduck v. Niblett</w:t>
      </w:r>
      <w:r w:rsidRPr="006073F4">
        <w:rPr>
          <w:rFonts w:eastAsia="Times New Roman"/>
          <w:sz w:val="24"/>
          <w:szCs w:val="24"/>
        </w:rPr>
        <w:t>, 2014 COA 86, ¶ 25</w:t>
      </w:r>
      <w:r w:rsidR="007A2B10">
        <w:rPr>
          <w:rFonts w:eastAsia="Times New Roman"/>
          <w:sz w:val="24"/>
          <w:szCs w:val="24"/>
        </w:rPr>
        <w:t>, 408 P.3d 856</w:t>
      </w:r>
      <w:r w:rsidRPr="006073F4">
        <w:rPr>
          <w:rFonts w:eastAsia="Times New Roman"/>
          <w:sz w:val="24"/>
          <w:szCs w:val="24"/>
        </w:rPr>
        <w:t xml:space="preserve"> (reserving for another day the question whether a civil conspiracy could potentially establish personal jurisdiction in Colorado).</w:t>
      </w:r>
    </w:p>
    <w:p w14:paraId="4A9707A0" w14:textId="254C7037"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4. A claim for damages arising from a civil conspiracy may be pled as a separate claim, and liability may be imposed on a single defendant for conspiratorial acts with others who have not been joined in the action. In such a case, liability may be imposed upon a defendant for the fault of all other joint tortfeasors, regardless of whether they have settled with the plaintiff and not been joined in the action. </w:t>
      </w:r>
      <w:r w:rsidRPr="006073F4">
        <w:rPr>
          <w:rFonts w:eastAsia="Times New Roman"/>
          <w:b/>
          <w:sz w:val="24"/>
          <w:szCs w:val="24"/>
        </w:rPr>
        <w:t>Pierce v. Wiglesworth</w:t>
      </w:r>
      <w:r w:rsidRPr="006073F4">
        <w:rPr>
          <w:rFonts w:eastAsia="Times New Roman"/>
          <w:sz w:val="24"/>
          <w:szCs w:val="24"/>
        </w:rPr>
        <w:t>, 903 P.2d 656 (Colo. App. 1994).</w:t>
      </w:r>
    </w:p>
    <w:p w14:paraId="1F0C5D51" w14:textId="66991D60"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5. To establish a claim for civil conspiracy, an express agreement is not necessary. However, there must be some indicia of an agreement. </w:t>
      </w:r>
      <w:r w:rsidR="007F119B">
        <w:rPr>
          <w:rFonts w:eastAsia="Times New Roman"/>
          <w:b/>
          <w:bCs/>
          <w:sz w:val="24"/>
          <w:szCs w:val="24"/>
        </w:rPr>
        <w:t>Coomer</w:t>
      </w:r>
      <w:r w:rsidR="00420DF1">
        <w:rPr>
          <w:rFonts w:eastAsia="Times New Roman"/>
          <w:b/>
          <w:bCs/>
          <w:sz w:val="24"/>
          <w:szCs w:val="24"/>
        </w:rPr>
        <w:t xml:space="preserve"> II</w:t>
      </w:r>
      <w:r w:rsidR="007F119B">
        <w:rPr>
          <w:rFonts w:eastAsia="Times New Roman"/>
          <w:sz w:val="24"/>
          <w:szCs w:val="24"/>
        </w:rPr>
        <w:t>, ¶¶ 110-11</w:t>
      </w:r>
      <w:r w:rsidR="00AF2D34">
        <w:rPr>
          <w:rFonts w:eastAsia="Times New Roman"/>
          <w:sz w:val="24"/>
          <w:szCs w:val="24"/>
        </w:rPr>
        <w:t xml:space="preserve">, 565 P.3d at 1155 </w:t>
      </w:r>
      <w:r w:rsidR="007F119B">
        <w:rPr>
          <w:rFonts w:eastAsia="Times New Roman"/>
          <w:sz w:val="24"/>
          <w:szCs w:val="24"/>
        </w:rPr>
        <w:t xml:space="preserve"> (reversing denial of special motion to dismiss claim for civil conspiracy where the plaintiff did not submit direct or circumstantial evidence showing the defendants “agreed to advance a shared purpose by defaming him or inflicting emotional distress upon him”); </w:t>
      </w:r>
      <w:r w:rsidR="007D1B41" w:rsidRPr="007D1B41">
        <w:rPr>
          <w:rFonts w:eastAsia="Times New Roman"/>
          <w:b/>
          <w:bCs/>
          <w:sz w:val="24"/>
          <w:szCs w:val="24"/>
        </w:rPr>
        <w:t>Wright</w:t>
      </w:r>
      <w:r w:rsidR="007D1B41">
        <w:rPr>
          <w:rFonts w:eastAsia="Times New Roman"/>
          <w:sz w:val="24"/>
          <w:szCs w:val="24"/>
        </w:rPr>
        <w:t>, ¶¶ 66-72</w:t>
      </w:r>
      <w:r w:rsidR="00AF2D34">
        <w:rPr>
          <w:rFonts w:eastAsia="Times New Roman"/>
          <w:sz w:val="24"/>
          <w:szCs w:val="24"/>
        </w:rPr>
        <w:t>, 556 P.3d at 345-46</w:t>
      </w:r>
      <w:r w:rsidR="00B64D2E">
        <w:rPr>
          <w:rFonts w:eastAsia="Times New Roman"/>
          <w:sz w:val="24"/>
          <w:szCs w:val="24"/>
        </w:rPr>
        <w:t xml:space="preserve"> (affirming dismissal of claim for civil conspiracy where the plaintiff’s allegations and evidence did not show a meeting of the minds or indicia of an agreement in an unlawful means or end)</w:t>
      </w:r>
      <w:r w:rsidR="007D1B41">
        <w:rPr>
          <w:rFonts w:eastAsia="Times New Roman"/>
          <w:sz w:val="24"/>
          <w:szCs w:val="24"/>
        </w:rPr>
        <w:t xml:space="preserve">; </w:t>
      </w:r>
      <w:r w:rsidR="00420DF1" w:rsidRPr="00420DF1">
        <w:rPr>
          <w:rFonts w:eastAsia="Times New Roman"/>
          <w:b/>
          <w:bCs/>
          <w:sz w:val="24"/>
          <w:szCs w:val="24"/>
        </w:rPr>
        <w:t>Coomer I</w:t>
      </w:r>
      <w:r w:rsidR="00420DF1" w:rsidRPr="00893E48">
        <w:rPr>
          <w:rFonts w:eastAsia="Times New Roman"/>
          <w:sz w:val="24"/>
          <w:szCs w:val="24"/>
        </w:rPr>
        <w:t>,</w:t>
      </w:r>
      <w:r w:rsidR="00420DF1">
        <w:rPr>
          <w:rFonts w:eastAsia="Times New Roman"/>
          <w:sz w:val="24"/>
          <w:szCs w:val="24"/>
        </w:rPr>
        <w:t xml:space="preserve"> ¶</w:t>
      </w:r>
      <w:r w:rsidR="00893E48">
        <w:rPr>
          <w:rFonts w:eastAsia="Times New Roman"/>
          <w:sz w:val="24"/>
          <w:szCs w:val="24"/>
        </w:rPr>
        <w:t>¶</w:t>
      </w:r>
      <w:r w:rsidR="00420DF1">
        <w:rPr>
          <w:rFonts w:eastAsia="Times New Roman"/>
          <w:sz w:val="24"/>
          <w:szCs w:val="24"/>
        </w:rPr>
        <w:t> 209</w:t>
      </w:r>
      <w:r w:rsidR="00893E48">
        <w:rPr>
          <w:rFonts w:eastAsia="Times New Roman"/>
          <w:sz w:val="24"/>
          <w:szCs w:val="24"/>
        </w:rPr>
        <w:t>-14</w:t>
      </w:r>
      <w:r w:rsidR="00AF2D34">
        <w:rPr>
          <w:rFonts w:eastAsia="Times New Roman"/>
          <w:sz w:val="24"/>
          <w:szCs w:val="24"/>
        </w:rPr>
        <w:t>, 552 P.3d at 601-02</w:t>
      </w:r>
      <w:r w:rsidR="00420DF1">
        <w:rPr>
          <w:rFonts w:eastAsia="Times New Roman"/>
          <w:sz w:val="24"/>
          <w:szCs w:val="24"/>
        </w:rPr>
        <w:t xml:space="preserve">; </w:t>
      </w:r>
      <w:r w:rsidR="000D33C0" w:rsidRPr="000D33C0">
        <w:rPr>
          <w:rFonts w:eastAsia="Times New Roman"/>
          <w:b/>
          <w:bCs/>
          <w:sz w:val="24"/>
          <w:szCs w:val="24"/>
        </w:rPr>
        <w:t>Rosenblum</w:t>
      </w:r>
      <w:r w:rsidR="000D33C0">
        <w:rPr>
          <w:rFonts w:eastAsia="Times New Roman"/>
          <w:sz w:val="24"/>
          <w:szCs w:val="24"/>
        </w:rPr>
        <w:t xml:space="preserve">, ¶¶ 52, 55 (“A shared political ideology is insufficient to demonstrate the type of meeting of the minds necessary to </w:t>
      </w:r>
      <w:r w:rsidR="000D33C0">
        <w:rPr>
          <w:rFonts w:eastAsia="Times New Roman"/>
          <w:sz w:val="24"/>
          <w:szCs w:val="24"/>
        </w:rPr>
        <w:lastRenderedPageBreak/>
        <w:t xml:space="preserve">support a civil conspiracy.”); </w:t>
      </w:r>
      <w:r w:rsidRPr="006073F4">
        <w:rPr>
          <w:rFonts w:eastAsia="Times New Roman"/>
          <w:b/>
          <w:sz w:val="24"/>
          <w:szCs w:val="24"/>
        </w:rPr>
        <w:t>Saint John’s Church v. Scott</w:t>
      </w:r>
      <w:r w:rsidRPr="006073F4">
        <w:rPr>
          <w:rFonts w:eastAsia="Times New Roman"/>
          <w:sz w:val="24"/>
          <w:szCs w:val="24"/>
        </w:rPr>
        <w:t xml:space="preserve">, 194 P.3d 475 (Colo. App. 2008) (evidence of conspiracy to commit a public nuisance sufficient where two defendants were part of a small group with a long history of active demonstrations, both made plans to attend protest, both met with protest group about the demonstration, and one provided the other with signs for protest); </w:t>
      </w:r>
      <w:r w:rsidRPr="006073F4">
        <w:rPr>
          <w:rFonts w:eastAsia="Times New Roman"/>
          <w:b/>
          <w:sz w:val="24"/>
          <w:szCs w:val="24"/>
        </w:rPr>
        <w:t>Double Oak Constr., L.L.C. v. Cornerstone Dev. Int’l, L.L.C.</w:t>
      </w:r>
      <w:r w:rsidRPr="006073F4">
        <w:rPr>
          <w:rFonts w:eastAsia="Times New Roman"/>
          <w:sz w:val="24"/>
          <w:szCs w:val="24"/>
        </w:rPr>
        <w:t xml:space="preserve">, 97 P.3d 140 (Colo. App. 2003) (fraudulent conveyance); </w:t>
      </w:r>
      <w:r w:rsidRPr="006073F4">
        <w:rPr>
          <w:rFonts w:eastAsia="Times New Roman"/>
          <w:b/>
          <w:sz w:val="24"/>
          <w:szCs w:val="24"/>
        </w:rPr>
        <w:t>Schneider v. Midtown Motor Co.</w:t>
      </w:r>
      <w:r w:rsidRPr="006073F4">
        <w:rPr>
          <w:rFonts w:eastAsia="Times New Roman"/>
          <w:sz w:val="24"/>
          <w:szCs w:val="24"/>
        </w:rPr>
        <w:t>,</w:t>
      </w:r>
      <w:r w:rsidRPr="006073F4">
        <w:rPr>
          <w:rFonts w:eastAsia="Times New Roman"/>
          <w:b/>
          <w:sz w:val="24"/>
          <w:szCs w:val="24"/>
        </w:rPr>
        <w:t xml:space="preserve"> </w:t>
      </w:r>
      <w:r w:rsidRPr="006073F4">
        <w:rPr>
          <w:rFonts w:eastAsia="Times New Roman"/>
          <w:sz w:val="24"/>
          <w:szCs w:val="24"/>
        </w:rPr>
        <w:t xml:space="preserve">854 P.2d 1322 (Colo. App. 1992). </w:t>
      </w:r>
    </w:p>
    <w:p w14:paraId="3864BE40" w14:textId="7DE61230"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6. A claim for civil conspiracy is a derivative cause of action; therefore, if the acts constituting the underlying wrong do not provide the basis for an independent cause of action, there is no cause of action for the conspiracy itself. </w:t>
      </w:r>
      <w:r w:rsidR="00DD649D">
        <w:rPr>
          <w:b/>
          <w:bCs/>
          <w:sz w:val="24"/>
          <w:szCs w:val="24"/>
        </w:rPr>
        <w:t>Falcon Broadband, Inc. v. Banning Lewis Ranch Metro. Dist. No. 1</w:t>
      </w:r>
      <w:r w:rsidR="00DD649D" w:rsidRPr="00DD649D">
        <w:rPr>
          <w:bCs/>
          <w:sz w:val="24"/>
          <w:szCs w:val="24"/>
        </w:rPr>
        <w:t>,</w:t>
      </w:r>
      <w:r w:rsidR="00DD649D">
        <w:rPr>
          <w:b/>
          <w:bCs/>
          <w:sz w:val="24"/>
          <w:szCs w:val="24"/>
        </w:rPr>
        <w:t xml:space="preserve"> </w:t>
      </w:r>
      <w:r w:rsidR="00DD649D">
        <w:rPr>
          <w:sz w:val="24"/>
          <w:szCs w:val="24"/>
        </w:rPr>
        <w:t>2018 COA 92, ¶ 55</w:t>
      </w:r>
      <w:r w:rsidR="005834B4">
        <w:rPr>
          <w:sz w:val="24"/>
          <w:szCs w:val="24"/>
        </w:rPr>
        <w:t>, 474 P.3d 1231, 1244</w:t>
      </w:r>
      <w:r w:rsidR="00DD649D">
        <w:rPr>
          <w:sz w:val="24"/>
          <w:szCs w:val="24"/>
        </w:rPr>
        <w:t xml:space="preserve"> (“Given our conclusions that the [contract] is void and that there was no tortious interference, no unlawful overt act arguably supports Falcon’s civil conspiracy claim.”);</w:t>
      </w:r>
      <w:r w:rsidR="00DD649D" w:rsidRPr="00DC2AF2">
        <w:rPr>
          <w:sz w:val="24"/>
          <w:szCs w:val="24"/>
        </w:rPr>
        <w:t xml:space="preserve"> </w:t>
      </w:r>
      <w:r w:rsidR="00DC2AF2" w:rsidRPr="00DC2AF2">
        <w:rPr>
          <w:i/>
          <w:iCs/>
          <w:sz w:val="24"/>
          <w:szCs w:val="24"/>
        </w:rPr>
        <w:t>see</w:t>
      </w:r>
      <w:r w:rsidR="00DC2AF2">
        <w:rPr>
          <w:sz w:val="24"/>
          <w:szCs w:val="24"/>
        </w:rPr>
        <w:t xml:space="preserve"> </w:t>
      </w:r>
      <w:r w:rsidR="009B3105" w:rsidRPr="00032002">
        <w:rPr>
          <w:rFonts w:eastAsia="Times New Roman"/>
          <w:b/>
          <w:bCs/>
          <w:sz w:val="24"/>
          <w:szCs w:val="24"/>
        </w:rPr>
        <w:t>Rios de Martinez v. Landaverde</w:t>
      </w:r>
      <w:r w:rsidR="009B3105">
        <w:rPr>
          <w:rFonts w:eastAsia="Times New Roman"/>
          <w:sz w:val="24"/>
          <w:szCs w:val="24"/>
        </w:rPr>
        <w:t>, 2024 COA 115, ¶ 30</w:t>
      </w:r>
      <w:r w:rsidR="00DC2AF2">
        <w:rPr>
          <w:rFonts w:eastAsia="Times New Roman"/>
          <w:sz w:val="24"/>
          <w:szCs w:val="24"/>
        </w:rPr>
        <w:t>, 562 P.3d 908</w:t>
      </w:r>
      <w:r w:rsidR="009B3105">
        <w:rPr>
          <w:rFonts w:eastAsia="Times New Roman"/>
          <w:sz w:val="24"/>
          <w:szCs w:val="24"/>
        </w:rPr>
        <w:t xml:space="preserve"> (if the district court erroneously dismissed a claim for fraudulent transfer in violation of the Colorado Uniform Fraudulent Transfer Act, it </w:t>
      </w:r>
      <w:r w:rsidR="00992327">
        <w:rPr>
          <w:rFonts w:eastAsia="Times New Roman"/>
          <w:sz w:val="24"/>
          <w:szCs w:val="24"/>
        </w:rPr>
        <w:t>also erroneously dismissed the derivative civil conspiracy claim</w:t>
      </w:r>
      <w:r w:rsidR="009B3105">
        <w:rPr>
          <w:rFonts w:eastAsia="Times New Roman"/>
          <w:sz w:val="24"/>
          <w:szCs w:val="24"/>
        </w:rPr>
        <w:t xml:space="preserve">); </w:t>
      </w:r>
      <w:r w:rsidR="00AA3F5F" w:rsidRPr="00DB10A7">
        <w:rPr>
          <w:rFonts w:eastAsia="Times New Roman"/>
          <w:b/>
          <w:bCs/>
          <w:sz w:val="24"/>
          <w:szCs w:val="24"/>
        </w:rPr>
        <w:t>Rosenblum</w:t>
      </w:r>
      <w:r w:rsidR="00AA3F5F">
        <w:rPr>
          <w:rFonts w:eastAsia="Times New Roman"/>
          <w:sz w:val="24"/>
          <w:szCs w:val="24"/>
        </w:rPr>
        <w:t>, ¶¶ 51, 57 (“an implied agreement between the defendants, who shared a political ideology, to use true information to oppose a candidate who they disagreed with</w:t>
      </w:r>
      <w:r w:rsidR="006956BA">
        <w:rPr>
          <w:rFonts w:eastAsia="Times New Roman"/>
          <w:sz w:val="24"/>
          <w:szCs w:val="24"/>
        </w:rPr>
        <w:t xml:space="preserve"> [</w:t>
      </w:r>
      <w:r w:rsidR="00AA3F5F">
        <w:rPr>
          <w:rFonts w:eastAsia="Times New Roman"/>
          <w:sz w:val="24"/>
          <w:szCs w:val="24"/>
        </w:rPr>
        <w:t>is</w:t>
      </w:r>
      <w:r w:rsidR="006956BA">
        <w:rPr>
          <w:rFonts w:eastAsia="Times New Roman"/>
          <w:sz w:val="24"/>
          <w:szCs w:val="24"/>
        </w:rPr>
        <w:t xml:space="preserve">] </w:t>
      </w:r>
      <w:r w:rsidR="00AA3F5F">
        <w:rPr>
          <w:rFonts w:eastAsia="Times New Roman"/>
          <w:sz w:val="24"/>
          <w:szCs w:val="24"/>
        </w:rPr>
        <w:t xml:space="preserve">an entirely lawful course of conduct to reach a lawful goal”); </w:t>
      </w:r>
      <w:r w:rsidR="006956BA">
        <w:rPr>
          <w:rFonts w:eastAsia="Times New Roman"/>
          <w:b/>
          <w:sz w:val="24"/>
          <w:szCs w:val="24"/>
        </w:rPr>
        <w:t>Vickery v. Evelyn V. Trumble Living Tr.</w:t>
      </w:r>
      <w:r w:rsidR="00F11FEE">
        <w:rPr>
          <w:rFonts w:eastAsia="Times New Roman"/>
          <w:bCs/>
          <w:sz w:val="24"/>
          <w:szCs w:val="24"/>
        </w:rPr>
        <w:t xml:space="preserve">, </w:t>
      </w:r>
      <w:r w:rsidR="006956BA">
        <w:rPr>
          <w:rFonts w:eastAsia="Times New Roman"/>
          <w:bCs/>
          <w:sz w:val="24"/>
          <w:szCs w:val="24"/>
        </w:rPr>
        <w:t xml:space="preserve">277 P.3d 864, 871 (Colo. App. 2011) (“Civil conspiracy is a derivative cause of action that is not actionable per se.”); </w:t>
      </w:r>
      <w:r w:rsidRPr="006073F4">
        <w:rPr>
          <w:rFonts w:eastAsia="Times New Roman"/>
          <w:b/>
          <w:sz w:val="24"/>
          <w:szCs w:val="24"/>
        </w:rPr>
        <w:t>Double Oak Constr.</w:t>
      </w:r>
      <w:r w:rsidRPr="006073F4">
        <w:rPr>
          <w:rFonts w:eastAsia="Times New Roman"/>
          <w:sz w:val="24"/>
          <w:szCs w:val="24"/>
        </w:rPr>
        <w:t>, 97 P.3d at 146;</w:t>
      </w:r>
      <w:r w:rsidRPr="006073F4">
        <w:rPr>
          <w:rFonts w:eastAsia="Times New Roman"/>
          <w:b/>
          <w:sz w:val="24"/>
          <w:szCs w:val="24"/>
        </w:rPr>
        <w:t xml:space="preserve"> Condo v. Conners</w:t>
      </w:r>
      <w:r w:rsidRPr="006073F4">
        <w:rPr>
          <w:rFonts w:eastAsia="Times New Roman"/>
          <w:sz w:val="24"/>
          <w:szCs w:val="24"/>
        </w:rPr>
        <w:t xml:space="preserve">, 271 P.3d 524 (Colo. App. 2010) (absent evidence of tortious interference with contract, there was no unlawful overt act to support a claim of civil conspiracy), </w:t>
      </w:r>
      <w:r w:rsidRPr="006073F4">
        <w:rPr>
          <w:rFonts w:eastAsia="Times New Roman"/>
          <w:i/>
          <w:sz w:val="24"/>
          <w:szCs w:val="24"/>
        </w:rPr>
        <w:t>aff’d</w:t>
      </w:r>
      <w:r w:rsidRPr="006073F4">
        <w:rPr>
          <w:rFonts w:eastAsia="Times New Roman"/>
          <w:sz w:val="24"/>
          <w:szCs w:val="24"/>
        </w:rPr>
        <w:t xml:space="preserve">, 266 P.3d 1110 (Colo. 2011). </w:t>
      </w:r>
    </w:p>
    <w:p w14:paraId="0BE35E37" w14:textId="0C03D70A" w:rsidR="006073F4" w:rsidRPr="006073F4" w:rsidRDefault="00427CD9" w:rsidP="006073F4">
      <w:pPr>
        <w:spacing w:after="240"/>
        <w:ind w:firstLine="720"/>
        <w:rPr>
          <w:rFonts w:eastAsia="Times New Roman"/>
          <w:sz w:val="24"/>
          <w:szCs w:val="24"/>
        </w:rPr>
      </w:pPr>
      <w:r w:rsidRPr="006073F4">
        <w:rPr>
          <w:rFonts w:eastAsia="Times New Roman"/>
          <w:sz w:val="24"/>
          <w:szCs w:val="24"/>
        </w:rPr>
        <w:t xml:space="preserve">7. </w:t>
      </w:r>
      <w:r w:rsidR="00893E48">
        <w:rPr>
          <w:rFonts w:eastAsia="Times New Roman"/>
          <w:sz w:val="24"/>
          <w:szCs w:val="24"/>
        </w:rPr>
        <w:t xml:space="preserve">A corporation and its agents acting on its behalf do not constitute the two or more persons required for a civil conspiracy. </w:t>
      </w:r>
      <w:r w:rsidR="00893E48" w:rsidRPr="00893E48">
        <w:rPr>
          <w:rFonts w:eastAsia="Times New Roman"/>
          <w:b/>
          <w:bCs/>
          <w:sz w:val="24"/>
          <w:szCs w:val="24"/>
        </w:rPr>
        <w:t>Coomer I</w:t>
      </w:r>
      <w:r w:rsidR="00893E48">
        <w:rPr>
          <w:rFonts w:eastAsia="Times New Roman"/>
          <w:sz w:val="24"/>
          <w:szCs w:val="24"/>
        </w:rPr>
        <w:t>, ¶ 213</w:t>
      </w:r>
      <w:r w:rsidR="00AF2D34">
        <w:rPr>
          <w:rFonts w:eastAsia="Times New Roman"/>
          <w:sz w:val="24"/>
          <w:szCs w:val="24"/>
        </w:rPr>
        <w:t>, 552 P.3d at 602</w:t>
      </w:r>
      <w:r w:rsidR="00893E48">
        <w:rPr>
          <w:rFonts w:eastAsia="Times New Roman"/>
          <w:sz w:val="24"/>
          <w:szCs w:val="24"/>
        </w:rPr>
        <w:t>. Similarly, c</w:t>
      </w:r>
      <w:r w:rsidRPr="006073F4">
        <w:rPr>
          <w:rFonts w:eastAsia="Times New Roman"/>
          <w:sz w:val="24"/>
          <w:szCs w:val="24"/>
        </w:rPr>
        <w:t xml:space="preserve">ourts have generally held that an attorney acting within the scope of his employment cannot conspire with his client unless the attorney has also acted for his sole personal benefit. However, other courts have recognized additional bases for a viable civil conspiracy claim, such as when an attorney engages in fraud or breaches an independent duty to a third person. </w:t>
      </w:r>
      <w:r w:rsidRPr="006073F4">
        <w:rPr>
          <w:rFonts w:eastAsia="Times New Roman"/>
          <w:b/>
          <w:sz w:val="24"/>
          <w:szCs w:val="24"/>
        </w:rPr>
        <w:t>Semler v. Hellerstein</w:t>
      </w:r>
      <w:r w:rsidRPr="006073F4">
        <w:rPr>
          <w:rFonts w:eastAsia="Times New Roman"/>
          <w:sz w:val="24"/>
          <w:szCs w:val="24"/>
        </w:rPr>
        <w:t>, 2016 COA 143, ¶ 32</w:t>
      </w:r>
      <w:r w:rsidR="00DD649D">
        <w:rPr>
          <w:rFonts w:eastAsia="Times New Roman"/>
          <w:sz w:val="24"/>
          <w:szCs w:val="24"/>
        </w:rPr>
        <w:t>, 428 P.3d 555, 563</w:t>
      </w:r>
      <w:r w:rsidRPr="006073F4">
        <w:rPr>
          <w:rFonts w:eastAsia="Times New Roman"/>
          <w:sz w:val="24"/>
          <w:szCs w:val="24"/>
        </w:rPr>
        <w:t xml:space="preserve"> (affirming dismissal of civil conspiracy claim because the plaintiff failed to allege that the defendant lawyer “acted for his own personal gain or otherwise acted outside the scope of his legal representation”)</w:t>
      </w:r>
      <w:r w:rsidR="00260F67">
        <w:rPr>
          <w:rFonts w:eastAsia="Times New Roman"/>
          <w:sz w:val="24"/>
          <w:szCs w:val="24"/>
        </w:rPr>
        <w:t xml:space="preserve">, </w:t>
      </w:r>
      <w:r w:rsidR="00DD649D" w:rsidRPr="00DD649D">
        <w:rPr>
          <w:rFonts w:eastAsia="Times New Roman"/>
          <w:i/>
          <w:sz w:val="24"/>
          <w:szCs w:val="24"/>
        </w:rPr>
        <w:t>rev’d</w:t>
      </w:r>
      <w:r w:rsidRPr="006073F4">
        <w:rPr>
          <w:rFonts w:eastAsia="Times New Roman"/>
          <w:i/>
          <w:sz w:val="24"/>
          <w:szCs w:val="24"/>
        </w:rPr>
        <w:t xml:space="preserve"> on other grounds</w:t>
      </w:r>
      <w:r w:rsidR="00DD649D">
        <w:rPr>
          <w:rFonts w:eastAsia="Times New Roman"/>
          <w:i/>
          <w:sz w:val="24"/>
          <w:szCs w:val="24"/>
        </w:rPr>
        <w:t xml:space="preserve"> sub nom.</w:t>
      </w:r>
      <w:r w:rsidR="00DD649D" w:rsidRPr="001A0BD9">
        <w:rPr>
          <w:rFonts w:eastAsia="Times New Roman"/>
          <w:b/>
          <w:sz w:val="24"/>
          <w:szCs w:val="24"/>
        </w:rPr>
        <w:t xml:space="preserve"> </w:t>
      </w:r>
      <w:r w:rsidR="00DD649D" w:rsidRPr="00DD649D">
        <w:rPr>
          <w:rFonts w:eastAsia="Times New Roman"/>
          <w:b/>
          <w:sz w:val="24"/>
          <w:szCs w:val="24"/>
        </w:rPr>
        <w:t>Bewley v. Semler</w:t>
      </w:r>
      <w:r w:rsidR="00260F67">
        <w:rPr>
          <w:rFonts w:eastAsia="Times New Roman"/>
          <w:sz w:val="24"/>
          <w:szCs w:val="24"/>
        </w:rPr>
        <w:t>,</w:t>
      </w:r>
      <w:r w:rsidRPr="006073F4">
        <w:rPr>
          <w:rFonts w:eastAsia="Times New Roman"/>
          <w:sz w:val="24"/>
          <w:szCs w:val="24"/>
        </w:rPr>
        <w:t xml:space="preserve"> </w:t>
      </w:r>
      <w:r w:rsidR="00DD649D">
        <w:rPr>
          <w:rFonts w:eastAsia="Times New Roman"/>
          <w:sz w:val="24"/>
          <w:szCs w:val="24"/>
        </w:rPr>
        <w:t>2018 CO 79, 432 P.3d 582</w:t>
      </w:r>
      <w:r w:rsidRPr="006073F4">
        <w:rPr>
          <w:rFonts w:eastAsia="Times New Roman"/>
          <w:sz w:val="24"/>
          <w:szCs w:val="24"/>
        </w:rPr>
        <w:t>.</w:t>
      </w:r>
    </w:p>
    <w:p w14:paraId="6E6FDBCC" w14:textId="77777777" w:rsidR="000B7645" w:rsidRDefault="00427CD9" w:rsidP="000B7645">
      <w:pPr>
        <w:spacing w:after="240"/>
        <w:ind w:firstLine="720"/>
        <w:rPr>
          <w:i/>
          <w:iCs/>
          <w:color w:val="000000"/>
          <w:sz w:val="24"/>
          <w:szCs w:val="24"/>
        </w:rPr>
      </w:pPr>
      <w:r w:rsidRPr="006073F4">
        <w:rPr>
          <w:rFonts w:eastAsia="Times New Roman"/>
          <w:sz w:val="24"/>
          <w:szCs w:val="24"/>
        </w:rPr>
        <w:t xml:space="preserve">8. Section 13-21-111.5(4), C.R.S., provides that defendants who consciously conspire and deliberately pursue a common plan or design to commit a tortious act shall be jointly liable to a plaintiff, rather than only individually liable for their proportion of personal fault. Section 13-21-111.5(4), however, does not list all of the elements of the independent tort of civil conspiracy. </w:t>
      </w:r>
      <w:r w:rsidRPr="006073F4">
        <w:rPr>
          <w:rFonts w:eastAsia="Times New Roman"/>
          <w:b/>
          <w:sz w:val="24"/>
          <w:szCs w:val="24"/>
        </w:rPr>
        <w:t>Resolution Tr. Corp. v. Heiserman</w:t>
      </w:r>
      <w:r w:rsidRPr="006073F4">
        <w:rPr>
          <w:rFonts w:eastAsia="Times New Roman"/>
          <w:sz w:val="24"/>
          <w:szCs w:val="24"/>
        </w:rPr>
        <w:t>, 898 P.2d 1049</w:t>
      </w:r>
      <w:r w:rsidR="00B96565">
        <w:rPr>
          <w:rFonts w:eastAsia="Times New Roman"/>
          <w:sz w:val="24"/>
          <w:szCs w:val="24"/>
        </w:rPr>
        <w:t>, 1057</w:t>
      </w:r>
      <w:r w:rsidRPr="006073F4">
        <w:rPr>
          <w:rFonts w:eastAsia="Times New Roman"/>
          <w:sz w:val="24"/>
          <w:szCs w:val="24"/>
        </w:rPr>
        <w:t xml:space="preserve"> (Colo. 1995). The statutory term “tortious act” includes any conduct other than breach of contract that constitutes a civil wrong and causes injury or damages. </w:t>
      </w:r>
      <w:r w:rsidRPr="006073F4">
        <w:rPr>
          <w:rFonts w:eastAsia="Times New Roman"/>
          <w:i/>
          <w:sz w:val="24"/>
          <w:szCs w:val="24"/>
        </w:rPr>
        <w:t>Id</w:t>
      </w:r>
      <w:r w:rsidRPr="00B96565">
        <w:rPr>
          <w:rFonts w:eastAsia="Times New Roman"/>
          <w:i/>
          <w:iCs/>
          <w:sz w:val="24"/>
          <w:szCs w:val="24"/>
        </w:rPr>
        <w:t>.</w:t>
      </w:r>
      <w:r w:rsidR="00B96565" w:rsidRPr="000B7645">
        <w:rPr>
          <w:sz w:val="24"/>
          <w:szCs w:val="24"/>
        </w:rPr>
        <w:t xml:space="preserve"> Under </w:t>
      </w:r>
      <w:r w:rsidR="00B96565" w:rsidRPr="000B7645">
        <w:rPr>
          <w:b/>
          <w:bCs/>
          <w:sz w:val="24"/>
          <w:szCs w:val="24"/>
        </w:rPr>
        <w:t>Heiserman</w:t>
      </w:r>
      <w:r w:rsidR="00B96565" w:rsidRPr="000B7645">
        <w:rPr>
          <w:sz w:val="24"/>
          <w:szCs w:val="24"/>
        </w:rPr>
        <w:t>, “</w:t>
      </w:r>
      <w:r w:rsidR="00B96565" w:rsidRPr="000B7645">
        <w:rPr>
          <w:color w:val="000000"/>
          <w:sz w:val="24"/>
          <w:szCs w:val="24"/>
        </w:rPr>
        <w:t>the evidence must reveal some indicia of an agreement sufficient to prove that the defendants consciously conspired and deliberately pursued a common plan or design that resulted in a tortious act.”</w:t>
      </w:r>
      <w:r w:rsidR="00B96565" w:rsidRPr="000B7645">
        <w:rPr>
          <w:sz w:val="24"/>
          <w:szCs w:val="24"/>
        </w:rPr>
        <w:t xml:space="preserve"> </w:t>
      </w:r>
      <w:r w:rsidR="00B96565" w:rsidRPr="000B7645">
        <w:rPr>
          <w:i/>
          <w:iCs/>
          <w:sz w:val="24"/>
          <w:szCs w:val="24"/>
        </w:rPr>
        <w:t>Id.</w:t>
      </w:r>
      <w:r w:rsidR="00B96565" w:rsidRPr="000B7645">
        <w:rPr>
          <w:color w:val="000000"/>
          <w:sz w:val="24"/>
          <w:szCs w:val="24"/>
        </w:rPr>
        <w:t xml:space="preserve"> “While there must be a conscious and deliberate decision to pursue a common plan or design, the actors need </w:t>
      </w:r>
      <w:r w:rsidR="00B96565" w:rsidRPr="000B7645">
        <w:rPr>
          <w:color w:val="000000"/>
          <w:sz w:val="24"/>
          <w:szCs w:val="24"/>
        </w:rPr>
        <w:lastRenderedPageBreak/>
        <w:t>not have a ‘specific intent’ to commit a tortious act to be subject to joint liability under section 13</w:t>
      </w:r>
      <w:r w:rsidR="00B96565">
        <w:rPr>
          <w:color w:val="000000"/>
          <w:sz w:val="24"/>
          <w:szCs w:val="24"/>
        </w:rPr>
        <w:t>-</w:t>
      </w:r>
      <w:r w:rsidR="00B96565" w:rsidRPr="000B7645">
        <w:rPr>
          <w:color w:val="000000"/>
          <w:sz w:val="24"/>
          <w:szCs w:val="24"/>
        </w:rPr>
        <w:t>21</w:t>
      </w:r>
      <w:r w:rsidR="00B96565">
        <w:rPr>
          <w:color w:val="000000"/>
          <w:sz w:val="24"/>
          <w:szCs w:val="24"/>
        </w:rPr>
        <w:t>-</w:t>
      </w:r>
      <w:r w:rsidR="00B96565" w:rsidRPr="000B7645">
        <w:rPr>
          <w:color w:val="000000"/>
          <w:sz w:val="24"/>
          <w:szCs w:val="24"/>
        </w:rPr>
        <w:t xml:space="preserve">111.5(4).” </w:t>
      </w:r>
      <w:r w:rsidR="00B96565" w:rsidRPr="000B7645">
        <w:rPr>
          <w:i/>
          <w:iCs/>
          <w:color w:val="000000"/>
          <w:sz w:val="24"/>
          <w:szCs w:val="24"/>
        </w:rPr>
        <w:t>Id.</w:t>
      </w:r>
    </w:p>
    <w:p w14:paraId="6430B53B" w14:textId="545010AD" w:rsidR="00260F67" w:rsidRDefault="00427CD9" w:rsidP="000B7645">
      <w:pPr>
        <w:spacing w:after="240"/>
        <w:ind w:firstLine="720"/>
        <w:rPr>
          <w:rFonts w:eastAsia="Times New Roman"/>
          <w:sz w:val="24"/>
          <w:szCs w:val="24"/>
        </w:rPr>
      </w:pPr>
      <w:r>
        <w:rPr>
          <w:rFonts w:eastAsia="Times New Roman"/>
          <w:sz w:val="24"/>
          <w:szCs w:val="24"/>
        </w:rPr>
        <w:br w:type="page"/>
      </w:r>
    </w:p>
    <w:p w14:paraId="3BA583BB" w14:textId="77777777" w:rsidR="00260F67" w:rsidRPr="009E3DA4" w:rsidRDefault="00427CD9" w:rsidP="00260F67">
      <w:pPr>
        <w:spacing w:after="240"/>
        <w:ind w:left="720" w:hanging="720"/>
        <w:rPr>
          <w:rFonts w:eastAsia="Times New Roman"/>
          <w:b/>
          <w:sz w:val="24"/>
          <w:szCs w:val="24"/>
        </w:rPr>
      </w:pPr>
      <w:bookmarkStart w:id="1" w:name="a27_02"/>
      <w:bookmarkEnd w:id="1"/>
      <w:r w:rsidRPr="00260F67">
        <w:rPr>
          <w:rFonts w:eastAsia="Times New Roman"/>
          <w:b/>
          <w:sz w:val="24"/>
          <w:szCs w:val="24"/>
        </w:rPr>
        <w:lastRenderedPageBreak/>
        <w:t xml:space="preserve">27:2 </w:t>
      </w:r>
      <w:r w:rsidRPr="00260F67">
        <w:rPr>
          <w:rFonts w:eastAsia="Times New Roman"/>
          <w:b/>
          <w:sz w:val="24"/>
          <w:szCs w:val="24"/>
        </w:rPr>
        <w:tab/>
        <w:t>UNLAWFUL MEANS — DEFINED</w:t>
      </w:r>
    </w:p>
    <w:p w14:paraId="57BB7AF8" w14:textId="77777777" w:rsidR="00260F67" w:rsidRPr="00260F67" w:rsidRDefault="00427CD9" w:rsidP="00260F67">
      <w:pPr>
        <w:spacing w:after="240"/>
        <w:ind w:firstLine="720"/>
        <w:rPr>
          <w:rFonts w:eastAsia="Times New Roman"/>
          <w:b/>
          <w:sz w:val="24"/>
          <w:szCs w:val="24"/>
        </w:rPr>
      </w:pPr>
      <w:r w:rsidRPr="00260F67">
        <w:rPr>
          <w:rFonts w:eastAsia="Times New Roman"/>
          <w:b/>
          <w:sz w:val="24"/>
          <w:szCs w:val="24"/>
        </w:rPr>
        <w:t xml:space="preserve">“Unlawful means” (are) (include) </w:t>
      </w:r>
      <w:r w:rsidRPr="00260F67">
        <w:rPr>
          <w:rFonts w:eastAsia="Times New Roman"/>
          <w:i/>
          <w:sz w:val="24"/>
          <w:szCs w:val="24"/>
        </w:rPr>
        <w:t>(insert an appropriate description of the specific acts the plaintiff alleges were used to accomplish the conspiracy of which there is sufficient evidence and which would be unlawful under the applicable law)</w:t>
      </w:r>
      <w:r w:rsidRPr="00260F67">
        <w:rPr>
          <w:rFonts w:eastAsia="Times New Roman"/>
          <w:b/>
          <w:sz w:val="24"/>
          <w:szCs w:val="24"/>
        </w:rPr>
        <w:t>.</w:t>
      </w:r>
    </w:p>
    <w:p w14:paraId="4E69545C" w14:textId="77777777" w:rsidR="00260F67" w:rsidRPr="00260F67" w:rsidRDefault="00427CD9" w:rsidP="00260F67">
      <w:pPr>
        <w:spacing w:after="240"/>
        <w:ind w:firstLine="720"/>
        <w:rPr>
          <w:rFonts w:eastAsia="Times New Roman"/>
          <w:b/>
          <w:sz w:val="24"/>
          <w:szCs w:val="24"/>
        </w:rPr>
      </w:pPr>
      <w:r w:rsidRPr="00260F67">
        <w:rPr>
          <w:rFonts w:eastAsia="Times New Roman"/>
          <w:b/>
          <w:sz w:val="24"/>
          <w:szCs w:val="24"/>
        </w:rPr>
        <w:t>The fact that this definition of “unlawful means” is being given to you does not mean that the court is instructing you to find that unlawful means were used. The question of whether or not such means were used is a question of fact for you to determine.</w:t>
      </w:r>
    </w:p>
    <w:p w14:paraId="39D62636" w14:textId="77777777" w:rsidR="00260F67" w:rsidRDefault="00260F67" w:rsidP="00260F67">
      <w:pPr>
        <w:jc w:val="center"/>
        <w:rPr>
          <w:rFonts w:eastAsia="Times New Roman"/>
          <w:sz w:val="24"/>
          <w:szCs w:val="24"/>
        </w:rPr>
      </w:pPr>
    </w:p>
    <w:p w14:paraId="6784C8D2" w14:textId="77777777" w:rsidR="00260F67" w:rsidRPr="0054263B" w:rsidRDefault="00427CD9" w:rsidP="00260F67">
      <w:pPr>
        <w:keepNext/>
        <w:spacing w:after="240"/>
        <w:jc w:val="center"/>
        <w:rPr>
          <w:rFonts w:eastAsia="Times New Roman"/>
          <w:b/>
          <w:sz w:val="24"/>
          <w:szCs w:val="24"/>
        </w:rPr>
      </w:pPr>
      <w:r w:rsidRPr="0054263B">
        <w:rPr>
          <w:rFonts w:eastAsia="Times New Roman"/>
          <w:b/>
          <w:sz w:val="24"/>
          <w:szCs w:val="24"/>
        </w:rPr>
        <w:t>Notes on Use</w:t>
      </w:r>
    </w:p>
    <w:p w14:paraId="6C190D02" w14:textId="77777777" w:rsidR="00260F67" w:rsidRPr="00260F67" w:rsidRDefault="00427CD9"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means” is included in Instruction 27:1.</w:t>
      </w:r>
    </w:p>
    <w:p w14:paraId="1814F513" w14:textId="77777777" w:rsidR="00260F67" w:rsidRPr="00260F67" w:rsidRDefault="00427CD9" w:rsidP="00260F67">
      <w:pPr>
        <w:spacing w:after="240"/>
        <w:ind w:firstLine="720"/>
        <w:rPr>
          <w:rFonts w:eastAsia="Times New Roman"/>
          <w:sz w:val="24"/>
          <w:szCs w:val="24"/>
        </w:rPr>
      </w:pPr>
      <w:r w:rsidRPr="00260F67">
        <w:rPr>
          <w:rFonts w:eastAsia="Times New Roman"/>
          <w:sz w:val="24"/>
          <w:szCs w:val="24"/>
        </w:rPr>
        <w:t>2. What constitutes “unlawful means” is a question of law for the court.</w:t>
      </w:r>
    </w:p>
    <w:p w14:paraId="770A8A61" w14:textId="77777777" w:rsidR="00260F67" w:rsidRPr="0054263B" w:rsidRDefault="00427CD9" w:rsidP="00260F67">
      <w:pPr>
        <w:keepNext/>
        <w:spacing w:after="240"/>
        <w:jc w:val="center"/>
        <w:rPr>
          <w:rFonts w:eastAsia="Times New Roman"/>
          <w:b/>
          <w:sz w:val="24"/>
          <w:szCs w:val="24"/>
        </w:rPr>
      </w:pPr>
      <w:r>
        <w:rPr>
          <w:rFonts w:eastAsia="Times New Roman"/>
          <w:b/>
          <w:sz w:val="24"/>
          <w:szCs w:val="24"/>
        </w:rPr>
        <w:t>Source and Authority</w:t>
      </w:r>
    </w:p>
    <w:p w14:paraId="6A6B9915" w14:textId="0435D616" w:rsidR="00260F67" w:rsidRPr="00260F67" w:rsidRDefault="00427CD9" w:rsidP="00260F67">
      <w:pPr>
        <w:spacing w:after="240"/>
        <w:ind w:firstLine="720"/>
        <w:rPr>
          <w:rFonts w:eastAsia="Times New Roman"/>
          <w:sz w:val="24"/>
          <w:szCs w:val="24"/>
        </w:rPr>
      </w:pPr>
      <w:r w:rsidRPr="00260F67">
        <w:rPr>
          <w:rFonts w:eastAsia="Times New Roman"/>
          <w:sz w:val="24"/>
          <w:szCs w:val="24"/>
        </w:rPr>
        <w:t xml:space="preserve">1. No Colorado decision provides a comprehensive definition of “unlawful means.” Several cases, however, have held specific acts, such as a breach of a duty of loyalty, to be “unlawful.” </w:t>
      </w:r>
      <w:r w:rsidRPr="00260F67">
        <w:rPr>
          <w:rFonts w:eastAsia="Times New Roman"/>
          <w:b/>
          <w:sz w:val="24"/>
          <w:szCs w:val="24"/>
        </w:rPr>
        <w:t>Jet Courier Serv., Inc. v. Mulei</w:t>
      </w:r>
      <w:r w:rsidRPr="00260F67">
        <w:rPr>
          <w:rFonts w:eastAsia="Times New Roman"/>
          <w:sz w:val="24"/>
          <w:szCs w:val="24"/>
        </w:rPr>
        <w:t xml:space="preserve">, 771 P.2d 486 (Colo. 1989);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Julius Hyman &amp; Co. v. Velsicol Corp.</w:t>
      </w:r>
      <w:r w:rsidRPr="00260F67">
        <w:rPr>
          <w:rFonts w:eastAsia="Times New Roman"/>
          <w:sz w:val="24"/>
          <w:szCs w:val="24"/>
        </w:rPr>
        <w:t>,</w:t>
      </w:r>
      <w:r w:rsidRPr="00DB10A7">
        <w:rPr>
          <w:rFonts w:eastAsia="Times New Roman"/>
          <w:bCs/>
          <w:sz w:val="24"/>
          <w:szCs w:val="24"/>
        </w:rPr>
        <w:t xml:space="preserve"> </w:t>
      </w:r>
      <w:r w:rsidRPr="00260F67">
        <w:rPr>
          <w:rFonts w:eastAsia="Times New Roman"/>
          <w:sz w:val="24"/>
          <w:szCs w:val="24"/>
        </w:rPr>
        <w:t xml:space="preserve">123 Colo. 563, 233 P.2d 977 (1951) (wrongful use of trade secrets); </w:t>
      </w:r>
      <w:r w:rsidRPr="00260F67">
        <w:rPr>
          <w:rFonts w:eastAsia="Times New Roman"/>
          <w:b/>
          <w:sz w:val="24"/>
          <w:szCs w:val="24"/>
        </w:rPr>
        <w:t>Zimmerman v. Hinderlider</w:t>
      </w:r>
      <w:r w:rsidRPr="00260F67">
        <w:rPr>
          <w:rFonts w:eastAsia="Times New Roman"/>
          <w:sz w:val="24"/>
          <w:szCs w:val="24"/>
        </w:rPr>
        <w:t>, 112 Colo. 277, 148 P.2d 813 (1944) (destruction of decreed reservoir rights)</w:t>
      </w:r>
      <w:r w:rsidR="00E80317">
        <w:rPr>
          <w:rFonts w:eastAsia="Times New Roman"/>
          <w:sz w:val="24"/>
          <w:szCs w:val="24"/>
        </w:rPr>
        <w:t xml:space="preserve">; </w:t>
      </w:r>
      <w:r w:rsidR="006956BA" w:rsidRPr="00032002">
        <w:rPr>
          <w:rFonts w:eastAsia="Times New Roman"/>
          <w:b/>
          <w:bCs/>
          <w:sz w:val="24"/>
          <w:szCs w:val="24"/>
        </w:rPr>
        <w:t>Rios de Martinez v. Landaverde</w:t>
      </w:r>
      <w:r w:rsidR="006956BA">
        <w:rPr>
          <w:rFonts w:eastAsia="Times New Roman"/>
          <w:sz w:val="24"/>
          <w:szCs w:val="24"/>
        </w:rPr>
        <w:t xml:space="preserve">, 2024 COA 115, ¶¶ 30-31, 562 P.3d 908 </w:t>
      </w:r>
      <w:r w:rsidR="00E80317">
        <w:rPr>
          <w:rFonts w:eastAsia="Times New Roman"/>
          <w:sz w:val="24"/>
          <w:szCs w:val="24"/>
        </w:rPr>
        <w:t>(reversing the dismissal of a claim for civil conspiracy where the plaintiff’s complaint plausibly alleged a transfer in violation of the Colorado Uniform Fraudulent Transfer Act)</w:t>
      </w:r>
      <w:r w:rsidRPr="00260F67">
        <w:rPr>
          <w:rFonts w:eastAsia="Times New Roman"/>
          <w:sz w:val="24"/>
          <w:szCs w:val="24"/>
        </w:rPr>
        <w:t>.</w:t>
      </w:r>
    </w:p>
    <w:p w14:paraId="3CDC9F8F" w14:textId="1CE41953" w:rsidR="00260F67" w:rsidRPr="00260F67" w:rsidRDefault="00427CD9" w:rsidP="00260F67">
      <w:pPr>
        <w:spacing w:after="240"/>
        <w:ind w:firstLine="720"/>
        <w:rPr>
          <w:rFonts w:eastAsia="Times New Roman"/>
          <w:sz w:val="24"/>
          <w:szCs w:val="24"/>
        </w:rPr>
      </w:pPr>
      <w:r w:rsidRPr="00260F67">
        <w:rPr>
          <w:rFonts w:eastAsia="Times New Roman"/>
          <w:sz w:val="24"/>
          <w:szCs w:val="24"/>
        </w:rPr>
        <w:t xml:space="preserve">2. An alleged conspiracy to defraud, cheat, and wrong the plaintiff by procuring a judgment was held to state a cause of action in </w:t>
      </w:r>
      <w:r w:rsidRPr="00260F67">
        <w:rPr>
          <w:rFonts w:eastAsia="Times New Roman"/>
          <w:b/>
          <w:sz w:val="24"/>
          <w:szCs w:val="24"/>
        </w:rPr>
        <w:t>Dixon v. Bowen</w:t>
      </w:r>
      <w:r w:rsidRPr="00260F67">
        <w:rPr>
          <w:rFonts w:eastAsia="Times New Roman"/>
          <w:sz w:val="24"/>
          <w:szCs w:val="24"/>
        </w:rPr>
        <w:t xml:space="preserve">, 85 Colo. 194, 274 P. 824 (1929), as was a conspiracy to cancel a corporation’s contracts and deplete the corporation’s assets in </w:t>
      </w:r>
      <w:r w:rsidRPr="00260F67">
        <w:rPr>
          <w:rFonts w:eastAsia="Times New Roman"/>
          <w:b/>
          <w:sz w:val="24"/>
          <w:szCs w:val="24"/>
        </w:rPr>
        <w:t>Schreiber v. Burton</w:t>
      </w:r>
      <w:r w:rsidRPr="00260F67">
        <w:rPr>
          <w:rFonts w:eastAsia="Times New Roman"/>
          <w:sz w:val="24"/>
          <w:szCs w:val="24"/>
        </w:rPr>
        <w:t xml:space="preserve">, 81 Colo. 370, 256 P. 1 (1927). </w:t>
      </w:r>
      <w:r w:rsidRPr="00260F67">
        <w:rPr>
          <w:rFonts w:eastAsia="Times New Roman"/>
          <w:i/>
          <w:sz w:val="24"/>
          <w:szCs w:val="24"/>
        </w:rPr>
        <w:t>See also</w:t>
      </w:r>
      <w:r w:rsidRPr="00260F67">
        <w:rPr>
          <w:rFonts w:eastAsia="Times New Roman"/>
          <w:sz w:val="24"/>
          <w:szCs w:val="24"/>
        </w:rPr>
        <w:t xml:space="preserve"> </w:t>
      </w:r>
      <w:r w:rsidRPr="00260F67">
        <w:rPr>
          <w:rFonts w:eastAsia="Times New Roman"/>
          <w:b/>
          <w:sz w:val="24"/>
          <w:szCs w:val="24"/>
        </w:rPr>
        <w:t>Schneider v. Midtown Motor Co.</w:t>
      </w:r>
      <w:r w:rsidRPr="00260F67">
        <w:rPr>
          <w:rFonts w:eastAsia="Times New Roman"/>
          <w:sz w:val="24"/>
          <w:szCs w:val="24"/>
        </w:rPr>
        <w:t>, 854 P.2d 1322 (Colo. App. 1992) (tort of “negligent entrustment”).</w:t>
      </w:r>
    </w:p>
    <w:p w14:paraId="76E1FE1F" w14:textId="77777777" w:rsidR="00260F67" w:rsidRDefault="00427CD9">
      <w:pPr>
        <w:rPr>
          <w:rFonts w:eastAsia="Times New Roman"/>
          <w:sz w:val="24"/>
          <w:szCs w:val="24"/>
        </w:rPr>
      </w:pPr>
      <w:r>
        <w:rPr>
          <w:rFonts w:eastAsia="Times New Roman"/>
          <w:sz w:val="24"/>
          <w:szCs w:val="24"/>
        </w:rPr>
        <w:br w:type="page"/>
      </w:r>
    </w:p>
    <w:p w14:paraId="56DEEEE9" w14:textId="77777777" w:rsidR="00260F67" w:rsidRPr="009E3DA4" w:rsidRDefault="00427CD9" w:rsidP="00260F67">
      <w:pPr>
        <w:spacing w:after="240"/>
        <w:ind w:left="720" w:hanging="720"/>
        <w:rPr>
          <w:rFonts w:eastAsia="Times New Roman"/>
          <w:b/>
          <w:sz w:val="24"/>
          <w:szCs w:val="24"/>
        </w:rPr>
      </w:pPr>
      <w:bookmarkStart w:id="2" w:name="a27_03"/>
      <w:bookmarkEnd w:id="2"/>
      <w:r w:rsidRPr="00260F67">
        <w:rPr>
          <w:rFonts w:eastAsia="Times New Roman"/>
          <w:b/>
          <w:sz w:val="24"/>
          <w:szCs w:val="24"/>
        </w:rPr>
        <w:lastRenderedPageBreak/>
        <w:t xml:space="preserve">27:3 </w:t>
      </w:r>
      <w:r w:rsidRPr="00260F67">
        <w:rPr>
          <w:rFonts w:eastAsia="Times New Roman"/>
          <w:b/>
          <w:sz w:val="24"/>
          <w:szCs w:val="24"/>
        </w:rPr>
        <w:tab/>
        <w:t>UNLAWFUL GOAL — DEFINED</w:t>
      </w:r>
    </w:p>
    <w:p w14:paraId="41804007" w14:textId="77777777" w:rsidR="00260F67" w:rsidRPr="00260F67" w:rsidRDefault="00427CD9" w:rsidP="00260F67">
      <w:pPr>
        <w:spacing w:after="240"/>
        <w:ind w:firstLine="720"/>
        <w:rPr>
          <w:rFonts w:eastAsia="Times New Roman"/>
          <w:b/>
          <w:sz w:val="24"/>
          <w:szCs w:val="24"/>
        </w:rPr>
      </w:pPr>
      <w:r w:rsidRPr="00260F67">
        <w:rPr>
          <w:rFonts w:eastAsia="Times New Roman"/>
          <w:b/>
          <w:sz w:val="24"/>
          <w:szCs w:val="24"/>
        </w:rPr>
        <w:t xml:space="preserve">“Unlawful goal” means </w:t>
      </w:r>
      <w:r w:rsidRPr="00260F67">
        <w:rPr>
          <w:rFonts w:eastAsia="Times New Roman"/>
          <w:i/>
          <w:sz w:val="24"/>
          <w:szCs w:val="24"/>
        </w:rPr>
        <w:t>(insert an appropriate description of the goal of the alleged conspiracy of which there is sufficient evidence and which would be unlawful under the applicable law)</w:t>
      </w:r>
      <w:r w:rsidRPr="00260F67">
        <w:rPr>
          <w:rFonts w:eastAsia="Times New Roman"/>
          <w:b/>
          <w:sz w:val="24"/>
          <w:szCs w:val="24"/>
        </w:rPr>
        <w:t>.</w:t>
      </w:r>
    </w:p>
    <w:p w14:paraId="70252F25" w14:textId="77777777" w:rsidR="00260F67" w:rsidRPr="00260F67" w:rsidRDefault="00427CD9" w:rsidP="00260F67">
      <w:pPr>
        <w:spacing w:after="240"/>
        <w:ind w:firstLine="720"/>
        <w:rPr>
          <w:rFonts w:eastAsia="Times New Roman"/>
          <w:b/>
          <w:sz w:val="24"/>
          <w:szCs w:val="24"/>
        </w:rPr>
      </w:pPr>
      <w:r w:rsidRPr="00260F67">
        <w:rPr>
          <w:rFonts w:eastAsia="Times New Roman"/>
          <w:b/>
          <w:sz w:val="24"/>
          <w:szCs w:val="24"/>
        </w:rPr>
        <w:t>The fact that this definition of “unlawful goal” is being given to you does not mean the court is instructing you to find that the defendant(s) sought to accomplish an unlawful goal. The question of whether the defendant(s) sought to accomplish such a goal is a question of fact for you to determine.</w:t>
      </w:r>
    </w:p>
    <w:p w14:paraId="5D8EA024" w14:textId="77777777" w:rsidR="00260F67" w:rsidRDefault="00260F67" w:rsidP="00260F67">
      <w:pPr>
        <w:jc w:val="center"/>
        <w:rPr>
          <w:rFonts w:eastAsia="Times New Roman"/>
          <w:sz w:val="24"/>
          <w:szCs w:val="24"/>
        </w:rPr>
      </w:pPr>
    </w:p>
    <w:p w14:paraId="43A26F1A" w14:textId="77777777" w:rsidR="00260F67" w:rsidRPr="0054263B" w:rsidRDefault="00427CD9" w:rsidP="00260F67">
      <w:pPr>
        <w:keepNext/>
        <w:spacing w:after="240"/>
        <w:jc w:val="center"/>
        <w:rPr>
          <w:rFonts w:eastAsia="Times New Roman"/>
          <w:b/>
          <w:sz w:val="24"/>
          <w:szCs w:val="24"/>
        </w:rPr>
      </w:pPr>
      <w:r w:rsidRPr="0054263B">
        <w:rPr>
          <w:rFonts w:eastAsia="Times New Roman"/>
          <w:b/>
          <w:sz w:val="24"/>
          <w:szCs w:val="24"/>
        </w:rPr>
        <w:t>Notes on Use</w:t>
      </w:r>
    </w:p>
    <w:p w14:paraId="498D131C" w14:textId="77777777" w:rsidR="00260F67" w:rsidRPr="00260F67" w:rsidRDefault="00427CD9" w:rsidP="00260F67">
      <w:pPr>
        <w:spacing w:after="240"/>
        <w:ind w:firstLine="720"/>
        <w:rPr>
          <w:rFonts w:eastAsia="Times New Roman"/>
          <w:sz w:val="24"/>
          <w:szCs w:val="24"/>
        </w:rPr>
      </w:pPr>
      <w:r w:rsidRPr="00260F67">
        <w:rPr>
          <w:rFonts w:eastAsia="Times New Roman"/>
          <w:sz w:val="24"/>
          <w:szCs w:val="24"/>
        </w:rPr>
        <w:t>1. This instruction must be given whenever the phrase “unlawful goal” is included in Instruction 27:1.</w:t>
      </w:r>
    </w:p>
    <w:p w14:paraId="4422EAC5" w14:textId="77777777" w:rsidR="00260F67" w:rsidRPr="00260F67" w:rsidRDefault="00427CD9" w:rsidP="00260F67">
      <w:pPr>
        <w:spacing w:after="240"/>
        <w:ind w:firstLine="720"/>
        <w:rPr>
          <w:rFonts w:eastAsia="Times New Roman"/>
          <w:sz w:val="24"/>
          <w:szCs w:val="24"/>
        </w:rPr>
      </w:pPr>
      <w:r w:rsidRPr="00260F67">
        <w:rPr>
          <w:rFonts w:eastAsia="Times New Roman"/>
          <w:sz w:val="24"/>
          <w:szCs w:val="24"/>
        </w:rPr>
        <w:t>2. What constitutes an “unlawful goal” is a question of law for the court.</w:t>
      </w:r>
    </w:p>
    <w:p w14:paraId="0A9559FE" w14:textId="77777777" w:rsidR="00260F67" w:rsidRPr="0054263B" w:rsidRDefault="00427CD9" w:rsidP="00260F67">
      <w:pPr>
        <w:keepNext/>
        <w:spacing w:after="240"/>
        <w:jc w:val="center"/>
        <w:rPr>
          <w:rFonts w:eastAsia="Times New Roman"/>
          <w:b/>
          <w:sz w:val="24"/>
          <w:szCs w:val="24"/>
        </w:rPr>
      </w:pPr>
      <w:r>
        <w:rPr>
          <w:rFonts w:eastAsia="Times New Roman"/>
          <w:b/>
          <w:sz w:val="24"/>
          <w:szCs w:val="24"/>
        </w:rPr>
        <w:t>Source and Authority</w:t>
      </w:r>
    </w:p>
    <w:p w14:paraId="1EAA1142" w14:textId="77777777" w:rsidR="00DC2F89" w:rsidRPr="00DC2F89" w:rsidRDefault="00427CD9" w:rsidP="00DC2F89">
      <w:pPr>
        <w:spacing w:after="240"/>
        <w:ind w:firstLine="720"/>
        <w:rPr>
          <w:rFonts w:eastAsia="Times New Roman"/>
          <w:sz w:val="24"/>
          <w:szCs w:val="24"/>
        </w:rPr>
      </w:pPr>
      <w:r w:rsidRPr="00260F67">
        <w:rPr>
          <w:rFonts w:eastAsia="Times New Roman"/>
          <w:sz w:val="24"/>
          <w:szCs w:val="24"/>
        </w:rPr>
        <w:t>No Colorado decision provides a comprehensive definition of “unlawful goal.” For an indication of various goals which have been considered unlawful, however, see the cases cited in the Source and Authority to Instruction 27:2.</w:t>
      </w:r>
    </w:p>
    <w:sectPr w:rsidR="00DC2F89" w:rsidRPr="00DC2F89"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3667C" w14:textId="77777777" w:rsidR="00764BD8" w:rsidRDefault="00764BD8" w:rsidP="0054263B">
      <w:r>
        <w:separator/>
      </w:r>
    </w:p>
    <w:p w14:paraId="0FDF9863" w14:textId="77777777" w:rsidR="00764BD8" w:rsidRDefault="00764BD8"/>
  </w:endnote>
  <w:endnote w:type="continuationSeparator" w:id="0">
    <w:p w14:paraId="7ECFFFF9" w14:textId="77777777" w:rsidR="00764BD8" w:rsidRDefault="00764BD8" w:rsidP="0054263B">
      <w:r>
        <w:continuationSeparator/>
      </w:r>
    </w:p>
    <w:p w14:paraId="0C9BFE74" w14:textId="77777777" w:rsidR="00764BD8" w:rsidRDefault="00764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00B3D70A" w14:textId="77777777" w:rsidR="001134B3" w:rsidRDefault="00427CD9">
        <w:pPr>
          <w:pStyle w:val="Footer"/>
          <w:jc w:val="center"/>
        </w:pPr>
        <w:r>
          <w:fldChar w:fldCharType="begin"/>
        </w:r>
        <w:r>
          <w:instrText xml:space="preserve"> PAGE   \* MERGEFORMAT </w:instrText>
        </w:r>
        <w:r>
          <w:fldChar w:fldCharType="separate"/>
        </w:r>
        <w:r w:rsidR="00A26823">
          <w:rPr>
            <w:noProof/>
          </w:rPr>
          <w:t>6</w:t>
        </w:r>
        <w:r>
          <w:rPr>
            <w:noProof/>
          </w:rPr>
          <w:fldChar w:fldCharType="end"/>
        </w:r>
      </w:p>
    </w:sdtContent>
  </w:sdt>
  <w:p w14:paraId="0E4D56CE" w14:textId="77777777" w:rsidR="001134B3" w:rsidRDefault="001134B3">
    <w:pPr>
      <w:pStyle w:val="Footer"/>
    </w:pPr>
  </w:p>
  <w:p w14:paraId="4807CAD8" w14:textId="77777777" w:rsidR="001134B3" w:rsidRDefault="001134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777AC" w14:textId="77777777" w:rsidR="00764BD8" w:rsidRDefault="00764BD8" w:rsidP="0054263B">
      <w:r>
        <w:separator/>
      </w:r>
    </w:p>
    <w:p w14:paraId="4656D601" w14:textId="77777777" w:rsidR="00764BD8" w:rsidRDefault="00764BD8"/>
  </w:footnote>
  <w:footnote w:type="continuationSeparator" w:id="0">
    <w:p w14:paraId="5C58A9CE" w14:textId="77777777" w:rsidR="00764BD8" w:rsidRDefault="00764BD8" w:rsidP="0054263B">
      <w:r>
        <w:continuationSeparator/>
      </w:r>
    </w:p>
    <w:p w14:paraId="50771DD3" w14:textId="77777777" w:rsidR="00764BD8" w:rsidRDefault="00764B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E572C50C">
      <w:start w:val="1"/>
      <w:numFmt w:val="decimal"/>
      <w:lvlText w:val="%1."/>
      <w:lvlJc w:val="left"/>
      <w:pPr>
        <w:ind w:left="1080" w:hanging="360"/>
      </w:pPr>
      <w:rPr>
        <w:rFonts w:hint="default"/>
      </w:rPr>
    </w:lvl>
    <w:lvl w:ilvl="1" w:tplc="DD1C1FD4" w:tentative="1">
      <w:start w:val="1"/>
      <w:numFmt w:val="lowerLetter"/>
      <w:lvlText w:val="%2."/>
      <w:lvlJc w:val="left"/>
      <w:pPr>
        <w:ind w:left="1800" w:hanging="360"/>
      </w:pPr>
    </w:lvl>
    <w:lvl w:ilvl="2" w:tplc="715C5B3A" w:tentative="1">
      <w:start w:val="1"/>
      <w:numFmt w:val="lowerRoman"/>
      <w:lvlText w:val="%3."/>
      <w:lvlJc w:val="right"/>
      <w:pPr>
        <w:ind w:left="2520" w:hanging="180"/>
      </w:pPr>
    </w:lvl>
    <w:lvl w:ilvl="3" w:tplc="45E2601C" w:tentative="1">
      <w:start w:val="1"/>
      <w:numFmt w:val="decimal"/>
      <w:lvlText w:val="%4."/>
      <w:lvlJc w:val="left"/>
      <w:pPr>
        <w:ind w:left="3240" w:hanging="360"/>
      </w:pPr>
    </w:lvl>
    <w:lvl w:ilvl="4" w:tplc="7E8C3170" w:tentative="1">
      <w:start w:val="1"/>
      <w:numFmt w:val="lowerLetter"/>
      <w:lvlText w:val="%5."/>
      <w:lvlJc w:val="left"/>
      <w:pPr>
        <w:ind w:left="3960" w:hanging="360"/>
      </w:pPr>
    </w:lvl>
    <w:lvl w:ilvl="5" w:tplc="E36899B0" w:tentative="1">
      <w:start w:val="1"/>
      <w:numFmt w:val="lowerRoman"/>
      <w:lvlText w:val="%6."/>
      <w:lvlJc w:val="right"/>
      <w:pPr>
        <w:ind w:left="4680" w:hanging="180"/>
      </w:pPr>
    </w:lvl>
    <w:lvl w:ilvl="6" w:tplc="891C6D8A" w:tentative="1">
      <w:start w:val="1"/>
      <w:numFmt w:val="decimal"/>
      <w:lvlText w:val="%7."/>
      <w:lvlJc w:val="left"/>
      <w:pPr>
        <w:ind w:left="5400" w:hanging="360"/>
      </w:pPr>
    </w:lvl>
    <w:lvl w:ilvl="7" w:tplc="A05458DA" w:tentative="1">
      <w:start w:val="1"/>
      <w:numFmt w:val="lowerLetter"/>
      <w:lvlText w:val="%8."/>
      <w:lvlJc w:val="left"/>
      <w:pPr>
        <w:ind w:left="6120" w:hanging="360"/>
      </w:pPr>
    </w:lvl>
    <w:lvl w:ilvl="8" w:tplc="1360B8EA" w:tentative="1">
      <w:start w:val="1"/>
      <w:numFmt w:val="lowerRoman"/>
      <w:lvlText w:val="%9."/>
      <w:lvlJc w:val="right"/>
      <w:pPr>
        <w:ind w:left="6840" w:hanging="180"/>
      </w:pPr>
    </w:lvl>
  </w:abstractNum>
  <w:num w:numId="1" w16cid:durableId="1161854295">
    <w:abstractNumId w:val="0"/>
  </w:num>
  <w:num w:numId="2" w16cid:durableId="1678116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07E69"/>
    <w:rsid w:val="00010330"/>
    <w:rsid w:val="00020CF1"/>
    <w:rsid w:val="00032002"/>
    <w:rsid w:val="00037111"/>
    <w:rsid w:val="00051A07"/>
    <w:rsid w:val="0006367C"/>
    <w:rsid w:val="00074558"/>
    <w:rsid w:val="00080E98"/>
    <w:rsid w:val="00081B0D"/>
    <w:rsid w:val="000824C8"/>
    <w:rsid w:val="0008529D"/>
    <w:rsid w:val="00085495"/>
    <w:rsid w:val="000921F1"/>
    <w:rsid w:val="0009462F"/>
    <w:rsid w:val="000962C8"/>
    <w:rsid w:val="000A040F"/>
    <w:rsid w:val="000A1B6E"/>
    <w:rsid w:val="000B1B7A"/>
    <w:rsid w:val="000B7645"/>
    <w:rsid w:val="000C204E"/>
    <w:rsid w:val="000C503A"/>
    <w:rsid w:val="000C6F97"/>
    <w:rsid w:val="000D33C0"/>
    <w:rsid w:val="000D4856"/>
    <w:rsid w:val="000F205C"/>
    <w:rsid w:val="001007E7"/>
    <w:rsid w:val="00101A07"/>
    <w:rsid w:val="00107079"/>
    <w:rsid w:val="001117D9"/>
    <w:rsid w:val="00112C8E"/>
    <w:rsid w:val="00112FF9"/>
    <w:rsid w:val="001134B3"/>
    <w:rsid w:val="00116A3D"/>
    <w:rsid w:val="00125209"/>
    <w:rsid w:val="00126B7A"/>
    <w:rsid w:val="001300D4"/>
    <w:rsid w:val="001303C5"/>
    <w:rsid w:val="001378F2"/>
    <w:rsid w:val="00143A15"/>
    <w:rsid w:val="00144917"/>
    <w:rsid w:val="00150847"/>
    <w:rsid w:val="00157BFB"/>
    <w:rsid w:val="001608FF"/>
    <w:rsid w:val="0016520C"/>
    <w:rsid w:val="00166E7C"/>
    <w:rsid w:val="001671A9"/>
    <w:rsid w:val="00171705"/>
    <w:rsid w:val="00172674"/>
    <w:rsid w:val="00174BB5"/>
    <w:rsid w:val="0018388B"/>
    <w:rsid w:val="00184D62"/>
    <w:rsid w:val="001903CB"/>
    <w:rsid w:val="001913B1"/>
    <w:rsid w:val="00191498"/>
    <w:rsid w:val="00191C86"/>
    <w:rsid w:val="00195972"/>
    <w:rsid w:val="001A0BD9"/>
    <w:rsid w:val="001A2648"/>
    <w:rsid w:val="001A332D"/>
    <w:rsid w:val="001A688B"/>
    <w:rsid w:val="001D31A6"/>
    <w:rsid w:val="001E0F3B"/>
    <w:rsid w:val="001E1DB5"/>
    <w:rsid w:val="001F0193"/>
    <w:rsid w:val="001F1AAF"/>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32EA"/>
    <w:rsid w:val="0024597C"/>
    <w:rsid w:val="00254258"/>
    <w:rsid w:val="002547C3"/>
    <w:rsid w:val="00260F67"/>
    <w:rsid w:val="002654B4"/>
    <w:rsid w:val="00267805"/>
    <w:rsid w:val="00271250"/>
    <w:rsid w:val="00273777"/>
    <w:rsid w:val="0027486C"/>
    <w:rsid w:val="00287B90"/>
    <w:rsid w:val="00290935"/>
    <w:rsid w:val="00293941"/>
    <w:rsid w:val="00293F7E"/>
    <w:rsid w:val="0029461B"/>
    <w:rsid w:val="002A23B0"/>
    <w:rsid w:val="002A2E1C"/>
    <w:rsid w:val="002A5932"/>
    <w:rsid w:val="002A6EC7"/>
    <w:rsid w:val="002B5FCF"/>
    <w:rsid w:val="002D0987"/>
    <w:rsid w:val="002D163D"/>
    <w:rsid w:val="002E0970"/>
    <w:rsid w:val="002E562A"/>
    <w:rsid w:val="002E5708"/>
    <w:rsid w:val="002F0E75"/>
    <w:rsid w:val="002F48D6"/>
    <w:rsid w:val="00304398"/>
    <w:rsid w:val="00305D08"/>
    <w:rsid w:val="00316D33"/>
    <w:rsid w:val="00320613"/>
    <w:rsid w:val="0032367C"/>
    <w:rsid w:val="003247EA"/>
    <w:rsid w:val="003259EE"/>
    <w:rsid w:val="00333886"/>
    <w:rsid w:val="00335934"/>
    <w:rsid w:val="00336CE4"/>
    <w:rsid w:val="00343C48"/>
    <w:rsid w:val="00345533"/>
    <w:rsid w:val="00352111"/>
    <w:rsid w:val="00352433"/>
    <w:rsid w:val="00352696"/>
    <w:rsid w:val="00353044"/>
    <w:rsid w:val="003613FE"/>
    <w:rsid w:val="00370240"/>
    <w:rsid w:val="00382177"/>
    <w:rsid w:val="003837B6"/>
    <w:rsid w:val="00392F02"/>
    <w:rsid w:val="003937B8"/>
    <w:rsid w:val="003A2F1C"/>
    <w:rsid w:val="003A42D3"/>
    <w:rsid w:val="003A5A75"/>
    <w:rsid w:val="003B5ABE"/>
    <w:rsid w:val="003D027F"/>
    <w:rsid w:val="003D1B54"/>
    <w:rsid w:val="003D370E"/>
    <w:rsid w:val="003E472A"/>
    <w:rsid w:val="003E5389"/>
    <w:rsid w:val="003E5B38"/>
    <w:rsid w:val="003F108C"/>
    <w:rsid w:val="003F6E89"/>
    <w:rsid w:val="00407AAB"/>
    <w:rsid w:val="00420DF1"/>
    <w:rsid w:val="00427CD9"/>
    <w:rsid w:val="00434371"/>
    <w:rsid w:val="00435225"/>
    <w:rsid w:val="004425AA"/>
    <w:rsid w:val="0045142A"/>
    <w:rsid w:val="00456038"/>
    <w:rsid w:val="00456B2B"/>
    <w:rsid w:val="00457617"/>
    <w:rsid w:val="00467B80"/>
    <w:rsid w:val="0047120C"/>
    <w:rsid w:val="00471618"/>
    <w:rsid w:val="0047374D"/>
    <w:rsid w:val="00473B65"/>
    <w:rsid w:val="00474B1B"/>
    <w:rsid w:val="0048541F"/>
    <w:rsid w:val="00485635"/>
    <w:rsid w:val="0049313F"/>
    <w:rsid w:val="00496096"/>
    <w:rsid w:val="00497AA3"/>
    <w:rsid w:val="004A1210"/>
    <w:rsid w:val="004A32E6"/>
    <w:rsid w:val="004B753E"/>
    <w:rsid w:val="004C1A04"/>
    <w:rsid w:val="004C62F9"/>
    <w:rsid w:val="004C723A"/>
    <w:rsid w:val="004D1B56"/>
    <w:rsid w:val="004D2C99"/>
    <w:rsid w:val="004D2F1B"/>
    <w:rsid w:val="004E0408"/>
    <w:rsid w:val="004E7EF1"/>
    <w:rsid w:val="004F003D"/>
    <w:rsid w:val="00501D6D"/>
    <w:rsid w:val="00502D97"/>
    <w:rsid w:val="005065E6"/>
    <w:rsid w:val="0051385E"/>
    <w:rsid w:val="00516447"/>
    <w:rsid w:val="0052537F"/>
    <w:rsid w:val="00527A18"/>
    <w:rsid w:val="00531F32"/>
    <w:rsid w:val="00531F87"/>
    <w:rsid w:val="0053544D"/>
    <w:rsid w:val="0054263B"/>
    <w:rsid w:val="00547D97"/>
    <w:rsid w:val="00550AFD"/>
    <w:rsid w:val="00557FCC"/>
    <w:rsid w:val="005648EF"/>
    <w:rsid w:val="0057771F"/>
    <w:rsid w:val="005834B4"/>
    <w:rsid w:val="00590DCC"/>
    <w:rsid w:val="005A22A6"/>
    <w:rsid w:val="005A6EB1"/>
    <w:rsid w:val="005B27FE"/>
    <w:rsid w:val="005B3A78"/>
    <w:rsid w:val="005B7FC1"/>
    <w:rsid w:val="005C56C9"/>
    <w:rsid w:val="005C5CCB"/>
    <w:rsid w:val="005D1AD3"/>
    <w:rsid w:val="005D3156"/>
    <w:rsid w:val="005E712D"/>
    <w:rsid w:val="005F1017"/>
    <w:rsid w:val="005F19FD"/>
    <w:rsid w:val="005F5A94"/>
    <w:rsid w:val="00604F03"/>
    <w:rsid w:val="006053F6"/>
    <w:rsid w:val="006073F4"/>
    <w:rsid w:val="00620EF2"/>
    <w:rsid w:val="006218C1"/>
    <w:rsid w:val="006272FE"/>
    <w:rsid w:val="0063070C"/>
    <w:rsid w:val="00631BFF"/>
    <w:rsid w:val="00642649"/>
    <w:rsid w:val="00647CC5"/>
    <w:rsid w:val="00651A64"/>
    <w:rsid w:val="00656309"/>
    <w:rsid w:val="0066100E"/>
    <w:rsid w:val="00661D05"/>
    <w:rsid w:val="00665726"/>
    <w:rsid w:val="00675252"/>
    <w:rsid w:val="00675BD1"/>
    <w:rsid w:val="00682B93"/>
    <w:rsid w:val="0068336D"/>
    <w:rsid w:val="00683FA1"/>
    <w:rsid w:val="00685E76"/>
    <w:rsid w:val="00687304"/>
    <w:rsid w:val="006956BA"/>
    <w:rsid w:val="00695E9E"/>
    <w:rsid w:val="00697DF2"/>
    <w:rsid w:val="006A47FD"/>
    <w:rsid w:val="006A4ABB"/>
    <w:rsid w:val="006A74B6"/>
    <w:rsid w:val="006A7F32"/>
    <w:rsid w:val="006B2457"/>
    <w:rsid w:val="006B26D7"/>
    <w:rsid w:val="006B6CF1"/>
    <w:rsid w:val="006C03AF"/>
    <w:rsid w:val="006D00EC"/>
    <w:rsid w:val="006D531A"/>
    <w:rsid w:val="006E0D06"/>
    <w:rsid w:val="006E3575"/>
    <w:rsid w:val="006E62F0"/>
    <w:rsid w:val="006F284C"/>
    <w:rsid w:val="006F7581"/>
    <w:rsid w:val="006F7DC0"/>
    <w:rsid w:val="00702B5A"/>
    <w:rsid w:val="00704DFD"/>
    <w:rsid w:val="0070752A"/>
    <w:rsid w:val="007119D8"/>
    <w:rsid w:val="0071225B"/>
    <w:rsid w:val="00712E33"/>
    <w:rsid w:val="00713866"/>
    <w:rsid w:val="00716F96"/>
    <w:rsid w:val="007216DA"/>
    <w:rsid w:val="00724230"/>
    <w:rsid w:val="00726E21"/>
    <w:rsid w:val="007340B5"/>
    <w:rsid w:val="007532AB"/>
    <w:rsid w:val="00764BD8"/>
    <w:rsid w:val="00766F81"/>
    <w:rsid w:val="00770FFC"/>
    <w:rsid w:val="00776C42"/>
    <w:rsid w:val="00787065"/>
    <w:rsid w:val="00792028"/>
    <w:rsid w:val="007A2B10"/>
    <w:rsid w:val="007A3A0E"/>
    <w:rsid w:val="007A56C2"/>
    <w:rsid w:val="007A612E"/>
    <w:rsid w:val="007B102B"/>
    <w:rsid w:val="007B1633"/>
    <w:rsid w:val="007C42D5"/>
    <w:rsid w:val="007C4B23"/>
    <w:rsid w:val="007D168F"/>
    <w:rsid w:val="007D198E"/>
    <w:rsid w:val="007D1B41"/>
    <w:rsid w:val="007D2BCE"/>
    <w:rsid w:val="007D39CC"/>
    <w:rsid w:val="007E02B1"/>
    <w:rsid w:val="007E1675"/>
    <w:rsid w:val="007F119B"/>
    <w:rsid w:val="007F40A8"/>
    <w:rsid w:val="007F7129"/>
    <w:rsid w:val="007F7740"/>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26FB"/>
    <w:rsid w:val="00875064"/>
    <w:rsid w:val="008812A8"/>
    <w:rsid w:val="00881431"/>
    <w:rsid w:val="008859AF"/>
    <w:rsid w:val="00892A97"/>
    <w:rsid w:val="00893E48"/>
    <w:rsid w:val="00895065"/>
    <w:rsid w:val="008A1099"/>
    <w:rsid w:val="008A475A"/>
    <w:rsid w:val="008A6339"/>
    <w:rsid w:val="008A637B"/>
    <w:rsid w:val="008B1617"/>
    <w:rsid w:val="008B7480"/>
    <w:rsid w:val="008C1739"/>
    <w:rsid w:val="008D0BF0"/>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32723"/>
    <w:rsid w:val="00933D46"/>
    <w:rsid w:val="00935DA8"/>
    <w:rsid w:val="00936D0A"/>
    <w:rsid w:val="00950692"/>
    <w:rsid w:val="0095253C"/>
    <w:rsid w:val="00952BBB"/>
    <w:rsid w:val="0095709A"/>
    <w:rsid w:val="009725D8"/>
    <w:rsid w:val="00972635"/>
    <w:rsid w:val="00973884"/>
    <w:rsid w:val="009902F2"/>
    <w:rsid w:val="009908C2"/>
    <w:rsid w:val="00992327"/>
    <w:rsid w:val="009931B9"/>
    <w:rsid w:val="0099627C"/>
    <w:rsid w:val="009A273C"/>
    <w:rsid w:val="009A5AA6"/>
    <w:rsid w:val="009B2577"/>
    <w:rsid w:val="009B3105"/>
    <w:rsid w:val="009B4CC5"/>
    <w:rsid w:val="009B6746"/>
    <w:rsid w:val="009C03DD"/>
    <w:rsid w:val="009C0C3F"/>
    <w:rsid w:val="009C22FE"/>
    <w:rsid w:val="009C30DD"/>
    <w:rsid w:val="009D035C"/>
    <w:rsid w:val="009E20C7"/>
    <w:rsid w:val="009E3DA4"/>
    <w:rsid w:val="009E5868"/>
    <w:rsid w:val="009E5CC5"/>
    <w:rsid w:val="009F581C"/>
    <w:rsid w:val="00A005E6"/>
    <w:rsid w:val="00A038A6"/>
    <w:rsid w:val="00A06ED6"/>
    <w:rsid w:val="00A10F3D"/>
    <w:rsid w:val="00A110C7"/>
    <w:rsid w:val="00A17676"/>
    <w:rsid w:val="00A26823"/>
    <w:rsid w:val="00A36457"/>
    <w:rsid w:val="00A3770F"/>
    <w:rsid w:val="00A40DA5"/>
    <w:rsid w:val="00A50F20"/>
    <w:rsid w:val="00A54915"/>
    <w:rsid w:val="00A57779"/>
    <w:rsid w:val="00A632A0"/>
    <w:rsid w:val="00A677E8"/>
    <w:rsid w:val="00A73AE6"/>
    <w:rsid w:val="00A76341"/>
    <w:rsid w:val="00A80C10"/>
    <w:rsid w:val="00A82D0A"/>
    <w:rsid w:val="00A85AAA"/>
    <w:rsid w:val="00A9205E"/>
    <w:rsid w:val="00A92C18"/>
    <w:rsid w:val="00A96376"/>
    <w:rsid w:val="00AA3F5F"/>
    <w:rsid w:val="00AB1D6F"/>
    <w:rsid w:val="00AB2019"/>
    <w:rsid w:val="00AB71A7"/>
    <w:rsid w:val="00AC78F7"/>
    <w:rsid w:val="00AD4B56"/>
    <w:rsid w:val="00AD61CD"/>
    <w:rsid w:val="00AF0B80"/>
    <w:rsid w:val="00AF2D34"/>
    <w:rsid w:val="00AF40E1"/>
    <w:rsid w:val="00AF7D47"/>
    <w:rsid w:val="00B0264D"/>
    <w:rsid w:val="00B338E2"/>
    <w:rsid w:val="00B35185"/>
    <w:rsid w:val="00B37722"/>
    <w:rsid w:val="00B567C1"/>
    <w:rsid w:val="00B579DF"/>
    <w:rsid w:val="00B6275E"/>
    <w:rsid w:val="00B649E0"/>
    <w:rsid w:val="00B64D2E"/>
    <w:rsid w:val="00B70D68"/>
    <w:rsid w:val="00B719C2"/>
    <w:rsid w:val="00B72D6B"/>
    <w:rsid w:val="00B80FD1"/>
    <w:rsid w:val="00B937E4"/>
    <w:rsid w:val="00B96565"/>
    <w:rsid w:val="00B97801"/>
    <w:rsid w:val="00BA2389"/>
    <w:rsid w:val="00BA27A8"/>
    <w:rsid w:val="00BA510E"/>
    <w:rsid w:val="00BB344E"/>
    <w:rsid w:val="00BB436B"/>
    <w:rsid w:val="00BC49BF"/>
    <w:rsid w:val="00BC60AE"/>
    <w:rsid w:val="00BC65EF"/>
    <w:rsid w:val="00BC789A"/>
    <w:rsid w:val="00BD6E50"/>
    <w:rsid w:val="00BE2B09"/>
    <w:rsid w:val="00BE654D"/>
    <w:rsid w:val="00BE6634"/>
    <w:rsid w:val="00BF5DF3"/>
    <w:rsid w:val="00C161A1"/>
    <w:rsid w:val="00C21D93"/>
    <w:rsid w:val="00C225C9"/>
    <w:rsid w:val="00C26751"/>
    <w:rsid w:val="00C40968"/>
    <w:rsid w:val="00C473A2"/>
    <w:rsid w:val="00C60346"/>
    <w:rsid w:val="00C60E95"/>
    <w:rsid w:val="00C610EC"/>
    <w:rsid w:val="00C71283"/>
    <w:rsid w:val="00C724B6"/>
    <w:rsid w:val="00C84E71"/>
    <w:rsid w:val="00C86DBC"/>
    <w:rsid w:val="00C87463"/>
    <w:rsid w:val="00C8797B"/>
    <w:rsid w:val="00C91A2D"/>
    <w:rsid w:val="00C93B0B"/>
    <w:rsid w:val="00C94C5E"/>
    <w:rsid w:val="00CA41CC"/>
    <w:rsid w:val="00CA7EF2"/>
    <w:rsid w:val="00CB008B"/>
    <w:rsid w:val="00CB0E16"/>
    <w:rsid w:val="00CB5C67"/>
    <w:rsid w:val="00CB62DC"/>
    <w:rsid w:val="00CB6963"/>
    <w:rsid w:val="00CB74AF"/>
    <w:rsid w:val="00CC0502"/>
    <w:rsid w:val="00CC1AC8"/>
    <w:rsid w:val="00CC6A95"/>
    <w:rsid w:val="00CC7E17"/>
    <w:rsid w:val="00CD23A0"/>
    <w:rsid w:val="00CD4A7D"/>
    <w:rsid w:val="00CE593D"/>
    <w:rsid w:val="00CE7483"/>
    <w:rsid w:val="00CF07F1"/>
    <w:rsid w:val="00CF5432"/>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3094"/>
    <w:rsid w:val="00D739A3"/>
    <w:rsid w:val="00D767EB"/>
    <w:rsid w:val="00D8125F"/>
    <w:rsid w:val="00D904A4"/>
    <w:rsid w:val="00D90E67"/>
    <w:rsid w:val="00D9448D"/>
    <w:rsid w:val="00DA1796"/>
    <w:rsid w:val="00DA2814"/>
    <w:rsid w:val="00DB10A7"/>
    <w:rsid w:val="00DB2C90"/>
    <w:rsid w:val="00DB5333"/>
    <w:rsid w:val="00DC0393"/>
    <w:rsid w:val="00DC2AF2"/>
    <w:rsid w:val="00DC2F89"/>
    <w:rsid w:val="00DC63A9"/>
    <w:rsid w:val="00DC66A6"/>
    <w:rsid w:val="00DC7533"/>
    <w:rsid w:val="00DD649D"/>
    <w:rsid w:val="00DE2930"/>
    <w:rsid w:val="00DE5209"/>
    <w:rsid w:val="00DF2CB7"/>
    <w:rsid w:val="00DF3BF1"/>
    <w:rsid w:val="00DF7595"/>
    <w:rsid w:val="00E007F8"/>
    <w:rsid w:val="00E0552C"/>
    <w:rsid w:val="00E058BA"/>
    <w:rsid w:val="00E111AA"/>
    <w:rsid w:val="00E172C8"/>
    <w:rsid w:val="00E21120"/>
    <w:rsid w:val="00E24E10"/>
    <w:rsid w:val="00E2724A"/>
    <w:rsid w:val="00E30D4B"/>
    <w:rsid w:val="00E372EA"/>
    <w:rsid w:val="00E41870"/>
    <w:rsid w:val="00E50187"/>
    <w:rsid w:val="00E55147"/>
    <w:rsid w:val="00E551EB"/>
    <w:rsid w:val="00E57B51"/>
    <w:rsid w:val="00E67638"/>
    <w:rsid w:val="00E70C9B"/>
    <w:rsid w:val="00E71646"/>
    <w:rsid w:val="00E71BCE"/>
    <w:rsid w:val="00E72FF1"/>
    <w:rsid w:val="00E7526A"/>
    <w:rsid w:val="00E80317"/>
    <w:rsid w:val="00E87248"/>
    <w:rsid w:val="00E87C31"/>
    <w:rsid w:val="00E87FFB"/>
    <w:rsid w:val="00E93068"/>
    <w:rsid w:val="00E970B9"/>
    <w:rsid w:val="00EA097A"/>
    <w:rsid w:val="00EB113C"/>
    <w:rsid w:val="00EB5133"/>
    <w:rsid w:val="00EB6247"/>
    <w:rsid w:val="00EC16F4"/>
    <w:rsid w:val="00EC17E3"/>
    <w:rsid w:val="00EC29A6"/>
    <w:rsid w:val="00EC3919"/>
    <w:rsid w:val="00EC7C98"/>
    <w:rsid w:val="00ED32E8"/>
    <w:rsid w:val="00ED5E52"/>
    <w:rsid w:val="00ED7176"/>
    <w:rsid w:val="00ED75EA"/>
    <w:rsid w:val="00EE08AC"/>
    <w:rsid w:val="00EE1D69"/>
    <w:rsid w:val="00EE26F9"/>
    <w:rsid w:val="00EF1E2D"/>
    <w:rsid w:val="00EF4043"/>
    <w:rsid w:val="00EF6460"/>
    <w:rsid w:val="00F022D4"/>
    <w:rsid w:val="00F062A4"/>
    <w:rsid w:val="00F10E6F"/>
    <w:rsid w:val="00F11FEE"/>
    <w:rsid w:val="00F32AA4"/>
    <w:rsid w:val="00F37D3E"/>
    <w:rsid w:val="00F573CF"/>
    <w:rsid w:val="00F57A2B"/>
    <w:rsid w:val="00F60050"/>
    <w:rsid w:val="00F658E5"/>
    <w:rsid w:val="00F764F4"/>
    <w:rsid w:val="00F82676"/>
    <w:rsid w:val="00F86F49"/>
    <w:rsid w:val="00F94DD6"/>
    <w:rsid w:val="00FA333E"/>
    <w:rsid w:val="00FA7B76"/>
    <w:rsid w:val="00FB0CAE"/>
    <w:rsid w:val="00FC544C"/>
    <w:rsid w:val="00FD2DF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722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E02B1"/>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2</cp:revision>
  <dcterms:created xsi:type="dcterms:W3CDTF">2026-02-22T18:32:00Z</dcterms:created>
  <dcterms:modified xsi:type="dcterms:W3CDTF">2026-02-22T18:32:00Z</dcterms:modified>
</cp:coreProperties>
</file>