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28F8" w14:textId="52E0B975" w:rsidR="00CA41CC" w:rsidRPr="00914128" w:rsidRDefault="0068336D" w:rsidP="00914128">
      <w:pPr>
        <w:pStyle w:val="Heading1"/>
      </w:pPr>
      <w:r>
        <w:t xml:space="preserve">CHAPTER </w:t>
      </w:r>
      <w:r w:rsidR="006053F6">
        <w:t>21</w:t>
      </w:r>
    </w:p>
    <w:p w14:paraId="50B18603" w14:textId="77777777" w:rsidR="00EC7C98" w:rsidRPr="00914128" w:rsidRDefault="006053F6" w:rsidP="00914128">
      <w:pPr>
        <w:pStyle w:val="Heading1"/>
      </w:pPr>
      <w:r w:rsidRPr="006053F6">
        <w:t>FALSE IMPRISONMENT OR ARREST</w:t>
      </w:r>
    </w:p>
    <w:p w14:paraId="456F0BB6" w14:textId="77777777"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14:paraId="5021312A" w14:textId="77777777" w:rsidR="00EC7C98" w:rsidRDefault="00BC60AE" w:rsidP="00914128">
      <w:pPr>
        <w:pStyle w:val="ToC"/>
      </w:pPr>
      <w:hyperlink w:anchor="a21_01" w:history="1">
        <w:r w:rsidRPr="00BC60AE">
          <w:rPr>
            <w:rStyle w:val="Hyperlink"/>
          </w:rPr>
          <w:t>21:1</w:t>
        </w:r>
      </w:hyperlink>
      <w:r w:rsidRPr="00BC60AE">
        <w:tab/>
        <w:t xml:space="preserve">Elements </w:t>
      </w:r>
      <w:r>
        <w:t xml:space="preserve">of </w:t>
      </w:r>
      <w:r w:rsidRPr="00BC60AE">
        <w:t>Liability</w:t>
      </w:r>
    </w:p>
    <w:p w14:paraId="2467EF40" w14:textId="77777777" w:rsidR="00BC60AE" w:rsidRDefault="00BC60AE" w:rsidP="00914128">
      <w:pPr>
        <w:pStyle w:val="ToC"/>
      </w:pPr>
      <w:hyperlink w:anchor="a21_02" w:history="1">
        <w:r w:rsidRPr="00BC60AE">
          <w:rPr>
            <w:rStyle w:val="Hyperlink"/>
          </w:rPr>
          <w:t>21:2</w:t>
        </w:r>
      </w:hyperlink>
      <w:r w:rsidRPr="00BC60AE">
        <w:t xml:space="preserve"> </w:t>
      </w:r>
      <w:r w:rsidRPr="00BC60AE">
        <w:tab/>
        <w:t xml:space="preserve">Restriction </w:t>
      </w:r>
      <w:r>
        <w:t xml:space="preserve">of </w:t>
      </w:r>
      <w:r w:rsidRPr="00BC60AE">
        <w:t xml:space="preserve">Freedom </w:t>
      </w:r>
      <w:r>
        <w:t xml:space="preserve">of </w:t>
      </w:r>
      <w:r w:rsidRPr="00BC60AE">
        <w:t>Movement — Defined</w:t>
      </w:r>
    </w:p>
    <w:p w14:paraId="42523FAB" w14:textId="77777777" w:rsidR="00BC60AE" w:rsidRDefault="00BC60AE" w:rsidP="00914128">
      <w:pPr>
        <w:pStyle w:val="ToC"/>
      </w:pPr>
      <w:hyperlink w:anchor="a21_03" w:history="1">
        <w:r w:rsidRPr="00BC60AE">
          <w:rPr>
            <w:rStyle w:val="Hyperlink"/>
          </w:rPr>
          <w:t>21:3</w:t>
        </w:r>
      </w:hyperlink>
      <w:r w:rsidRPr="00BC60AE">
        <w:t xml:space="preserve"> </w:t>
      </w:r>
      <w:r w:rsidRPr="00BC60AE">
        <w:tab/>
        <w:t>Intent — Defined</w:t>
      </w:r>
    </w:p>
    <w:p w14:paraId="68615FA8" w14:textId="77777777" w:rsidR="00BC60AE" w:rsidRDefault="00BC60AE" w:rsidP="00914128">
      <w:pPr>
        <w:pStyle w:val="ToC"/>
      </w:pPr>
      <w:hyperlink w:anchor="a21_04" w:history="1">
        <w:r w:rsidRPr="00BC60AE">
          <w:rPr>
            <w:rStyle w:val="Hyperlink"/>
          </w:rPr>
          <w:t>21:4</w:t>
        </w:r>
      </w:hyperlink>
      <w:r w:rsidRPr="00BC60AE">
        <w:t xml:space="preserve"> </w:t>
      </w:r>
      <w:r w:rsidRPr="00BC60AE">
        <w:tab/>
        <w:t xml:space="preserve">Intent </w:t>
      </w:r>
      <w:r>
        <w:t xml:space="preserve">to </w:t>
      </w:r>
      <w:r w:rsidRPr="00BC60AE">
        <w:t xml:space="preserve">Restrict </w:t>
      </w:r>
      <w:r>
        <w:t>b</w:t>
      </w:r>
      <w:r w:rsidRPr="00BC60AE">
        <w:t xml:space="preserve">y Failure </w:t>
      </w:r>
      <w:r>
        <w:t xml:space="preserve">to </w:t>
      </w:r>
      <w:r w:rsidRPr="00BC60AE">
        <w:t>Release</w:t>
      </w:r>
    </w:p>
    <w:p w14:paraId="7A9F9661" w14:textId="77777777" w:rsidR="00BC60AE" w:rsidRDefault="00BC60AE" w:rsidP="00914128">
      <w:pPr>
        <w:pStyle w:val="ToC"/>
      </w:pPr>
      <w:hyperlink w:anchor="a21_05" w:history="1">
        <w:r w:rsidRPr="00BC60AE">
          <w:rPr>
            <w:rStyle w:val="Hyperlink"/>
          </w:rPr>
          <w:t>21:5</w:t>
        </w:r>
      </w:hyperlink>
      <w:r w:rsidRPr="00BC60AE">
        <w:t xml:space="preserve"> </w:t>
      </w:r>
      <w:r w:rsidRPr="00BC60AE">
        <w:tab/>
        <w:t xml:space="preserve">Actual </w:t>
      </w:r>
      <w:r>
        <w:t xml:space="preserve">or </w:t>
      </w:r>
      <w:r w:rsidRPr="00BC60AE">
        <w:t>Nominal Damages</w:t>
      </w:r>
    </w:p>
    <w:p w14:paraId="57590C16" w14:textId="77777777" w:rsidR="002B5FCF" w:rsidRDefault="002B5FCF" w:rsidP="002B5FCF">
      <w:pPr>
        <w:pStyle w:val="ToC"/>
      </w:pPr>
    </w:p>
    <w:p w14:paraId="0E3183C8" w14:textId="77777777"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14:paraId="1C9956B1" w14:textId="77777777" w:rsidR="002B5FCF" w:rsidRDefault="00BC60AE" w:rsidP="002B5FCF">
      <w:pPr>
        <w:pStyle w:val="ToC"/>
      </w:pPr>
      <w:hyperlink w:anchor="a21_06" w:history="1">
        <w:r w:rsidRPr="00BC60AE">
          <w:rPr>
            <w:rStyle w:val="Hyperlink"/>
          </w:rPr>
          <w:t>21:6</w:t>
        </w:r>
      </w:hyperlink>
      <w:r w:rsidRPr="00BC60AE">
        <w:t xml:space="preserve"> </w:t>
      </w:r>
      <w:r w:rsidRPr="00BC60AE">
        <w:tab/>
        <w:t>Consent</w:t>
      </w:r>
    </w:p>
    <w:p w14:paraId="419F7F45" w14:textId="77777777" w:rsidR="00BC60AE" w:rsidRDefault="00BC60AE" w:rsidP="002B5FCF">
      <w:pPr>
        <w:pStyle w:val="ToC"/>
      </w:pPr>
      <w:hyperlink w:anchor="a21_07" w:history="1">
        <w:r w:rsidRPr="00BC60AE">
          <w:rPr>
            <w:rStyle w:val="Hyperlink"/>
          </w:rPr>
          <w:t>21:7</w:t>
        </w:r>
      </w:hyperlink>
      <w:r w:rsidRPr="00BC60AE">
        <w:t xml:space="preserve"> </w:t>
      </w:r>
      <w:r w:rsidRPr="00BC60AE">
        <w:tab/>
        <w:t xml:space="preserve">Statutory Privilege </w:t>
      </w:r>
      <w:r>
        <w:t xml:space="preserve">to </w:t>
      </w:r>
      <w:r w:rsidRPr="00BC60AE">
        <w:t xml:space="preserve">Detain </w:t>
      </w:r>
      <w:r>
        <w:t>f</w:t>
      </w:r>
      <w:r w:rsidRPr="00BC60AE">
        <w:t>or Investigation</w:t>
      </w:r>
    </w:p>
    <w:p w14:paraId="1EE25209" w14:textId="77777777" w:rsidR="00BC60AE" w:rsidRDefault="00BC60AE" w:rsidP="002B5FCF">
      <w:pPr>
        <w:pStyle w:val="ToC"/>
      </w:pPr>
      <w:hyperlink w:anchor="a21_08" w:history="1">
        <w:r w:rsidRPr="00BC60AE">
          <w:rPr>
            <w:rStyle w:val="Hyperlink"/>
          </w:rPr>
          <w:t>21:8</w:t>
        </w:r>
      </w:hyperlink>
      <w:r w:rsidRPr="00BC60AE">
        <w:t xml:space="preserve"> </w:t>
      </w:r>
      <w:r w:rsidRPr="00BC60AE">
        <w:tab/>
        <w:t xml:space="preserve">Common-Law Privilege </w:t>
      </w:r>
      <w:r>
        <w:t xml:space="preserve">to </w:t>
      </w:r>
      <w:r w:rsidRPr="00BC60AE">
        <w:t xml:space="preserve">Detain </w:t>
      </w:r>
      <w:r>
        <w:t>f</w:t>
      </w:r>
      <w:r w:rsidRPr="00BC60AE">
        <w:t>or Investigation</w:t>
      </w:r>
    </w:p>
    <w:p w14:paraId="6B71E02F" w14:textId="77777777" w:rsidR="00BC60AE" w:rsidRDefault="00BC60AE" w:rsidP="002B5FCF">
      <w:pPr>
        <w:pStyle w:val="ToC"/>
      </w:pPr>
      <w:hyperlink w:anchor="a21_09" w:history="1">
        <w:r w:rsidRPr="00BC60AE">
          <w:rPr>
            <w:rStyle w:val="Hyperlink"/>
          </w:rPr>
          <w:t>21:9</w:t>
        </w:r>
      </w:hyperlink>
      <w:r w:rsidRPr="00BC60AE">
        <w:t xml:space="preserve"> </w:t>
      </w:r>
      <w:r w:rsidRPr="00BC60AE">
        <w:tab/>
        <w:t xml:space="preserve">Privilege </w:t>
      </w:r>
      <w:r>
        <w:t xml:space="preserve">to </w:t>
      </w:r>
      <w:r w:rsidRPr="00BC60AE">
        <w:t xml:space="preserve">Defend Person </w:t>
      </w:r>
      <w:r>
        <w:t xml:space="preserve">or </w:t>
      </w:r>
      <w:r w:rsidRPr="00BC60AE">
        <w:t>Property</w:t>
      </w:r>
    </w:p>
    <w:p w14:paraId="0AB25EC4" w14:textId="77777777" w:rsidR="00BC60AE" w:rsidRDefault="00BC60AE" w:rsidP="002B5FCF">
      <w:pPr>
        <w:pStyle w:val="ToC"/>
      </w:pPr>
      <w:hyperlink w:anchor="a21_10" w:history="1">
        <w:r w:rsidRPr="00BC60AE">
          <w:rPr>
            <w:rStyle w:val="Hyperlink"/>
          </w:rPr>
          <w:t>21:10</w:t>
        </w:r>
      </w:hyperlink>
      <w:r w:rsidRPr="00BC60AE">
        <w:t xml:space="preserve"> </w:t>
      </w:r>
      <w:r w:rsidRPr="00BC60AE">
        <w:tab/>
        <w:t xml:space="preserve">Privilege </w:t>
      </w:r>
      <w:r>
        <w:t xml:space="preserve">of </w:t>
      </w:r>
      <w:r w:rsidRPr="00BC60AE">
        <w:t xml:space="preserve">Any Person </w:t>
      </w:r>
      <w:r>
        <w:t xml:space="preserve">to </w:t>
      </w:r>
      <w:r w:rsidRPr="00BC60AE">
        <w:t>Arrest Without</w:t>
      </w:r>
      <w:r>
        <w:t xml:space="preserve"> a </w:t>
      </w:r>
      <w:r w:rsidRPr="00BC60AE">
        <w:t>Warrant</w:t>
      </w:r>
    </w:p>
    <w:p w14:paraId="77EA4A0F" w14:textId="77777777" w:rsidR="00BC60AE" w:rsidRDefault="00BC60AE" w:rsidP="002B5FCF">
      <w:pPr>
        <w:pStyle w:val="ToC"/>
      </w:pPr>
      <w:hyperlink w:anchor="a21_11" w:history="1">
        <w:r w:rsidRPr="00BC60AE">
          <w:rPr>
            <w:rStyle w:val="Hyperlink"/>
          </w:rPr>
          <w:t>21:11</w:t>
        </w:r>
      </w:hyperlink>
      <w:r w:rsidRPr="00BC60AE">
        <w:t xml:space="preserve"> </w:t>
      </w:r>
      <w:r w:rsidRPr="00BC60AE">
        <w:tab/>
        <w:t xml:space="preserve">Privilege </w:t>
      </w:r>
      <w:r>
        <w:t xml:space="preserve">of </w:t>
      </w:r>
      <w:r w:rsidRPr="00BC60AE">
        <w:t xml:space="preserve">Peace Officer </w:t>
      </w:r>
      <w:r>
        <w:t xml:space="preserve">to </w:t>
      </w:r>
      <w:r w:rsidRPr="00BC60AE">
        <w:t>Arrest Without</w:t>
      </w:r>
      <w:r>
        <w:t xml:space="preserve"> a </w:t>
      </w:r>
      <w:r w:rsidRPr="00BC60AE">
        <w:t>Warrant</w:t>
      </w:r>
    </w:p>
    <w:p w14:paraId="72281EE0" w14:textId="77777777" w:rsidR="00BC60AE" w:rsidRDefault="00BC60AE" w:rsidP="002B5FCF">
      <w:pPr>
        <w:pStyle w:val="ToC"/>
      </w:pPr>
      <w:hyperlink w:anchor="a21_12" w:history="1">
        <w:r w:rsidRPr="00BC60AE">
          <w:rPr>
            <w:rStyle w:val="Hyperlink"/>
          </w:rPr>
          <w:t>21:12</w:t>
        </w:r>
      </w:hyperlink>
      <w:r w:rsidRPr="00BC60AE">
        <w:t xml:space="preserve"> </w:t>
      </w:r>
      <w:r w:rsidRPr="00BC60AE">
        <w:tab/>
        <w:t>Arrest — Defined</w:t>
      </w:r>
    </w:p>
    <w:p w14:paraId="08357A47" w14:textId="77777777" w:rsidR="00BC60AE" w:rsidRDefault="00BC60AE" w:rsidP="002B5FCF">
      <w:pPr>
        <w:pStyle w:val="ToC"/>
      </w:pPr>
      <w:hyperlink w:anchor="a21_13" w:history="1">
        <w:r w:rsidRPr="00BC60AE">
          <w:rPr>
            <w:rStyle w:val="Hyperlink"/>
          </w:rPr>
          <w:t>21:13</w:t>
        </w:r>
      </w:hyperlink>
      <w:r w:rsidRPr="00BC60AE">
        <w:t xml:space="preserve"> </w:t>
      </w:r>
      <w:r w:rsidRPr="00BC60AE">
        <w:tab/>
        <w:t xml:space="preserve">Reasonable Grounds </w:t>
      </w:r>
      <w:r>
        <w:t>f</w:t>
      </w:r>
      <w:r w:rsidRPr="00BC60AE">
        <w:t xml:space="preserve">or Believing </w:t>
      </w:r>
      <w:r>
        <w:t>a</w:t>
      </w:r>
      <w:r w:rsidRPr="00BC60AE">
        <w:t xml:space="preserve">nd Probable Cause </w:t>
      </w:r>
      <w:r>
        <w:t xml:space="preserve">to </w:t>
      </w:r>
      <w:r w:rsidRPr="00BC60AE">
        <w:t>Believe — Defined</w:t>
      </w:r>
    </w:p>
    <w:p w14:paraId="06A0B5DC" w14:textId="77777777" w:rsidR="00BC60AE" w:rsidRDefault="00BC60AE" w:rsidP="002B5FCF">
      <w:pPr>
        <w:pStyle w:val="ToC"/>
      </w:pPr>
      <w:hyperlink w:anchor="a21_14" w:history="1">
        <w:r w:rsidRPr="00BC60AE">
          <w:rPr>
            <w:rStyle w:val="Hyperlink"/>
          </w:rPr>
          <w:t>21:14</w:t>
        </w:r>
      </w:hyperlink>
      <w:r w:rsidRPr="00BC60AE">
        <w:t xml:space="preserve"> </w:t>
      </w:r>
      <w:r w:rsidRPr="00BC60AE">
        <w:tab/>
        <w:t>Fresh Pursuit — Defined</w:t>
      </w:r>
    </w:p>
    <w:p w14:paraId="5E6D7803" w14:textId="77777777" w:rsidR="00BC60AE" w:rsidRDefault="00BC60AE" w:rsidP="002B5FCF">
      <w:pPr>
        <w:pStyle w:val="ToC"/>
      </w:pPr>
      <w:hyperlink w:anchor="a21_15" w:history="1">
        <w:r w:rsidRPr="00BC60AE">
          <w:rPr>
            <w:rStyle w:val="Hyperlink"/>
          </w:rPr>
          <w:t>21:15</w:t>
        </w:r>
      </w:hyperlink>
      <w:r w:rsidRPr="00BC60AE">
        <w:t xml:space="preserve"> </w:t>
      </w:r>
      <w:r w:rsidRPr="00BC60AE">
        <w:tab/>
        <w:t xml:space="preserve">Privilege </w:t>
      </w:r>
      <w:r>
        <w:t xml:space="preserve">to </w:t>
      </w:r>
      <w:r w:rsidRPr="00BC60AE">
        <w:t xml:space="preserve">Arrest </w:t>
      </w:r>
      <w:r>
        <w:t>w</w:t>
      </w:r>
      <w:r w:rsidRPr="00BC60AE">
        <w:t>ith</w:t>
      </w:r>
      <w:r>
        <w:t xml:space="preserve"> a </w:t>
      </w:r>
      <w:r w:rsidRPr="00BC60AE">
        <w:t>Warrant</w:t>
      </w:r>
    </w:p>
    <w:p w14:paraId="28A1E2AF" w14:textId="77777777" w:rsidR="00BC60AE" w:rsidRDefault="00BC60AE" w:rsidP="002B5FCF">
      <w:pPr>
        <w:pStyle w:val="ToC"/>
      </w:pPr>
      <w:hyperlink w:anchor="a21_16" w:history="1">
        <w:r w:rsidRPr="00BC60AE">
          <w:rPr>
            <w:rStyle w:val="Hyperlink"/>
          </w:rPr>
          <w:t>21:16</w:t>
        </w:r>
      </w:hyperlink>
      <w:r w:rsidRPr="00BC60AE">
        <w:t xml:space="preserve"> </w:t>
      </w:r>
      <w:r w:rsidRPr="00BC60AE">
        <w:tab/>
        <w:t xml:space="preserve">Indication </w:t>
      </w:r>
      <w:r>
        <w:t xml:space="preserve">of </w:t>
      </w:r>
      <w:r w:rsidRPr="00BC60AE">
        <w:t xml:space="preserve">Intent </w:t>
      </w:r>
      <w:r>
        <w:t xml:space="preserve">to </w:t>
      </w:r>
      <w:r w:rsidRPr="00BC60AE">
        <w:t>Arrest — When Excused</w:t>
      </w:r>
    </w:p>
    <w:p w14:paraId="65821403" w14:textId="77777777" w:rsidR="00BC60AE" w:rsidRDefault="00BC60AE" w:rsidP="002B5FCF">
      <w:pPr>
        <w:pStyle w:val="ToC"/>
      </w:pPr>
      <w:hyperlink w:anchor="a21_17" w:history="1">
        <w:r w:rsidRPr="00BC60AE">
          <w:rPr>
            <w:rStyle w:val="Hyperlink"/>
          </w:rPr>
          <w:t>21:17</w:t>
        </w:r>
      </w:hyperlink>
      <w:r w:rsidRPr="00BC60AE">
        <w:t xml:space="preserve"> </w:t>
      </w:r>
      <w:r w:rsidRPr="00BC60AE">
        <w:tab/>
        <w:t xml:space="preserve">Valid Warrant </w:t>
      </w:r>
      <w:r>
        <w:t xml:space="preserve">or </w:t>
      </w:r>
      <w:r w:rsidRPr="00BC60AE">
        <w:t xml:space="preserve">Warrant Fair </w:t>
      </w:r>
      <w:r>
        <w:t>o</w:t>
      </w:r>
      <w:r w:rsidRPr="00BC60AE">
        <w:t>n Its Face — Defined</w:t>
      </w:r>
    </w:p>
    <w:p w14:paraId="4A469905" w14:textId="77777777" w:rsidR="00BC60AE" w:rsidRDefault="00BC60AE" w:rsidP="002B5FCF">
      <w:pPr>
        <w:pStyle w:val="ToC"/>
      </w:pPr>
      <w:hyperlink w:anchor="a21_18" w:history="1">
        <w:r w:rsidRPr="00BC60AE">
          <w:rPr>
            <w:rStyle w:val="Hyperlink"/>
          </w:rPr>
          <w:t>21:18</w:t>
        </w:r>
      </w:hyperlink>
      <w:r w:rsidRPr="00BC60AE">
        <w:t xml:space="preserve"> </w:t>
      </w:r>
      <w:r w:rsidRPr="00BC60AE">
        <w:tab/>
        <w:t xml:space="preserve">Guilt </w:t>
      </w:r>
      <w:r>
        <w:t xml:space="preserve">of </w:t>
      </w:r>
      <w:r w:rsidRPr="00BC60AE">
        <w:t>Person Arrested</w:t>
      </w:r>
    </w:p>
    <w:p w14:paraId="11693E2B" w14:textId="77777777" w:rsidR="00BC60AE" w:rsidRDefault="00BC60AE" w:rsidP="002B5FCF">
      <w:pPr>
        <w:pStyle w:val="ToC"/>
      </w:pPr>
      <w:hyperlink w:anchor="a21_19" w:history="1">
        <w:r w:rsidRPr="00BC60AE">
          <w:rPr>
            <w:rStyle w:val="Hyperlink"/>
          </w:rPr>
          <w:t>21:19</w:t>
        </w:r>
      </w:hyperlink>
      <w:r w:rsidRPr="00BC60AE">
        <w:t xml:space="preserve"> </w:t>
      </w:r>
      <w:r w:rsidRPr="00BC60AE">
        <w:tab/>
        <w:t xml:space="preserve">Abuse </w:t>
      </w:r>
      <w:r>
        <w:t xml:space="preserve">of a </w:t>
      </w:r>
      <w:r w:rsidRPr="00BC60AE">
        <w:t xml:space="preserve">Privilege </w:t>
      </w:r>
      <w:r>
        <w:t xml:space="preserve">to </w:t>
      </w:r>
      <w:r w:rsidRPr="00BC60AE">
        <w:t>Arrest</w:t>
      </w:r>
    </w:p>
    <w:p w14:paraId="0D82B9F0" w14:textId="77777777" w:rsidR="00352111" w:rsidRPr="00352111" w:rsidRDefault="00352111">
      <w:pPr>
        <w:rPr>
          <w:rFonts w:eastAsia="Times New Roman"/>
          <w:sz w:val="24"/>
          <w:szCs w:val="24"/>
        </w:rPr>
      </w:pPr>
      <w:r w:rsidRPr="00352111">
        <w:rPr>
          <w:rFonts w:eastAsia="Times New Roman"/>
          <w:sz w:val="24"/>
          <w:szCs w:val="24"/>
        </w:rPr>
        <w:br w:type="page"/>
      </w:r>
    </w:p>
    <w:p w14:paraId="6B23D62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14:paraId="58DB3EDA" w14:textId="77777777" w:rsidR="009E3DA4" w:rsidRPr="009E3DA4" w:rsidRDefault="006053F6" w:rsidP="00CC0502">
      <w:pPr>
        <w:spacing w:after="240"/>
        <w:ind w:left="720" w:hanging="720"/>
        <w:rPr>
          <w:rFonts w:eastAsia="Times New Roman"/>
          <w:b/>
          <w:sz w:val="24"/>
          <w:szCs w:val="24"/>
        </w:rPr>
      </w:pPr>
      <w:bookmarkStart w:id="0" w:name="a21_01"/>
      <w:bookmarkEnd w:id="0"/>
      <w:r w:rsidRPr="006053F6">
        <w:rPr>
          <w:rFonts w:eastAsia="Times New Roman"/>
          <w:b/>
          <w:sz w:val="24"/>
          <w:szCs w:val="24"/>
        </w:rPr>
        <w:t xml:space="preserve">21:1 </w:t>
      </w:r>
      <w:r w:rsidRPr="006053F6">
        <w:rPr>
          <w:rFonts w:eastAsia="Times New Roman"/>
          <w:b/>
          <w:sz w:val="24"/>
          <w:szCs w:val="24"/>
        </w:rPr>
        <w:tab/>
        <w:t>ELEMENTS OF LIABILITY</w:t>
      </w:r>
    </w:p>
    <w:p w14:paraId="6E07234F" w14:textId="0BF2C16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xml:space="preserve">, on </w:t>
      </w:r>
      <w:r w:rsidR="009F72BD">
        <w:rPr>
          <w:rFonts w:eastAsia="Times New Roman"/>
          <w:bCs/>
          <w:i/>
          <w:iCs/>
          <w:sz w:val="24"/>
          <w:szCs w:val="24"/>
        </w:rPr>
        <w:t>(insert applicable pronoun)</w:t>
      </w:r>
      <w:r w:rsidRPr="006053F6">
        <w:rPr>
          <w:rFonts w:eastAsia="Times New Roman"/>
          <w:b/>
          <w:sz w:val="24"/>
          <w:szCs w:val="24"/>
        </w:rPr>
        <w:t xml:space="preserve"> claim of (false imprisonment) (false arrest), you must find all of the following have been proved by a preponderance of the evidence:</w:t>
      </w:r>
    </w:p>
    <w:p w14:paraId="22E2800B"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14:paraId="6656E0AA"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14:paraId="2DF5BC37" w14:textId="435DE10A"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3. The plaintiff was aware that </w:t>
      </w:r>
      <w:r w:rsidR="009F72BD">
        <w:rPr>
          <w:rFonts w:eastAsia="Times New Roman"/>
          <w:bCs/>
          <w:i/>
          <w:iCs/>
          <w:sz w:val="24"/>
          <w:szCs w:val="24"/>
        </w:rPr>
        <w:t>(insert applicable pronoun)</w:t>
      </w:r>
      <w:r w:rsidRPr="006053F6">
        <w:rPr>
          <w:rFonts w:eastAsia="Times New Roman"/>
          <w:b/>
          <w:sz w:val="24"/>
          <w:szCs w:val="24"/>
        </w:rPr>
        <w:t xml:space="preserve"> freedom of movement was restricted.</w:t>
      </w:r>
    </w:p>
    <w:p w14:paraId="47425762"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14:paraId="571F166E"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14:paraId="5EAC4CE8"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30F3D0C"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14:paraId="4AA5A3E4"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14:paraId="4F8D33F3" w14:textId="77777777" w:rsidR="00832DB4" w:rsidRDefault="00832DB4" w:rsidP="0054263B">
      <w:pPr>
        <w:jc w:val="center"/>
        <w:rPr>
          <w:rFonts w:eastAsia="Times New Roman"/>
          <w:sz w:val="24"/>
          <w:szCs w:val="24"/>
        </w:rPr>
      </w:pPr>
    </w:p>
    <w:p w14:paraId="770ECE1C"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E060A67"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14:paraId="18C9B935"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14:paraId="0DD2EB0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14:paraId="6F8FAEB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14:paraId="762F1C7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14:paraId="0862F318" w14:textId="6AC67D0E"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714A3AD"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DD81A62"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14:paraId="76790913" w14:textId="77777777"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14:paraId="1C5E183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14:paraId="60D2ADB2" w14:textId="38B26DB5" w:rsidR="00D705AC" w:rsidRPr="004F003D" w:rsidRDefault="00D705AC" w:rsidP="00D545F2">
      <w:pPr>
        <w:spacing w:after="240"/>
        <w:ind w:firstLine="720"/>
        <w:rPr>
          <w:rFonts w:eastAsia="Times New Roman"/>
          <w:sz w:val="24"/>
          <w:szCs w:val="24"/>
        </w:rPr>
      </w:pPr>
      <w:r>
        <w:rPr>
          <w:rFonts w:eastAsia="Times New Roman"/>
          <w:sz w:val="24"/>
          <w:szCs w:val="24"/>
        </w:rPr>
        <w:t xml:space="preserve">4. The Colorado Governmental Immunity Act waives </w:t>
      </w:r>
      <w:r w:rsidR="00D545F2">
        <w:rPr>
          <w:rFonts w:eastAsia="Times New Roman"/>
          <w:sz w:val="24"/>
          <w:szCs w:val="24"/>
        </w:rPr>
        <w:t xml:space="preserve">immunity </w:t>
      </w:r>
      <w:r w:rsidR="00D545F2" w:rsidRPr="00D545F2">
        <w:rPr>
          <w:rFonts w:eastAsia="Times New Roman"/>
          <w:sz w:val="24"/>
          <w:szCs w:val="24"/>
        </w:rPr>
        <w:t xml:space="preserve">from suit or injuries sustained by pretrial detainees allegedly arising out of sheriff’s operation of </w:t>
      </w:r>
      <w:r w:rsidR="00D545F2">
        <w:rPr>
          <w:rFonts w:eastAsia="Times New Roman"/>
          <w:sz w:val="24"/>
          <w:szCs w:val="24"/>
        </w:rPr>
        <w:t xml:space="preserve">jail regardless of whether tort </w:t>
      </w:r>
      <w:r w:rsidR="00D545F2" w:rsidRPr="00D545F2">
        <w:rPr>
          <w:rFonts w:eastAsia="Times New Roman"/>
          <w:sz w:val="24"/>
          <w:szCs w:val="24"/>
        </w:rPr>
        <w:t>liability was predicated on int</w:t>
      </w:r>
      <w:r w:rsidR="00D545F2">
        <w:rPr>
          <w:rFonts w:eastAsia="Times New Roman"/>
          <w:sz w:val="24"/>
          <w:szCs w:val="24"/>
        </w:rPr>
        <w:t xml:space="preserve">entional or negligent conduct. </w:t>
      </w:r>
      <w:r w:rsidR="00D545F2" w:rsidRPr="0032229D">
        <w:rPr>
          <w:rFonts w:eastAsia="Times New Roman"/>
          <w:b/>
          <w:sz w:val="24"/>
          <w:szCs w:val="24"/>
        </w:rPr>
        <w:t>Cisneros v. Elder</w:t>
      </w:r>
      <w:r w:rsidR="0032229D">
        <w:rPr>
          <w:rFonts w:eastAsia="Times New Roman"/>
          <w:sz w:val="24"/>
          <w:szCs w:val="24"/>
        </w:rPr>
        <w:t>,</w:t>
      </w:r>
      <w:r w:rsidR="00D545F2" w:rsidRPr="00D545F2">
        <w:rPr>
          <w:rFonts w:eastAsia="Times New Roman"/>
          <w:sz w:val="24"/>
          <w:szCs w:val="24"/>
        </w:rPr>
        <w:t xml:space="preserve"> 2022 CO 13</w:t>
      </w:r>
      <w:r w:rsidR="0032229D">
        <w:rPr>
          <w:rFonts w:eastAsia="Times New Roman"/>
          <w:sz w:val="24"/>
          <w:szCs w:val="24"/>
        </w:rPr>
        <w:t>M, ¶ 37, 506 P.3d 828</w:t>
      </w:r>
      <w:r w:rsidR="000671D2">
        <w:rPr>
          <w:rFonts w:eastAsia="Times New Roman"/>
          <w:sz w:val="24"/>
          <w:szCs w:val="24"/>
        </w:rPr>
        <w:t>.</w:t>
      </w:r>
    </w:p>
    <w:p w14:paraId="0D5E71B7" w14:textId="77777777" w:rsidR="000671D2" w:rsidRDefault="000671D2">
      <w:pPr>
        <w:rPr>
          <w:rFonts w:eastAsia="Times New Roman"/>
          <w:sz w:val="24"/>
          <w:szCs w:val="24"/>
        </w:rPr>
      </w:pPr>
      <w:r>
        <w:rPr>
          <w:rFonts w:eastAsia="Times New Roman"/>
          <w:sz w:val="24"/>
          <w:szCs w:val="24"/>
        </w:rPr>
        <w:br w:type="page"/>
      </w:r>
    </w:p>
    <w:p w14:paraId="7B3D2A1B" w14:textId="77777777" w:rsidR="00502D97" w:rsidRPr="009E3DA4" w:rsidRDefault="00502D97" w:rsidP="00502D97">
      <w:pPr>
        <w:spacing w:after="240"/>
        <w:ind w:left="720" w:hanging="720"/>
        <w:rPr>
          <w:rFonts w:eastAsia="Times New Roman"/>
          <w:b/>
          <w:sz w:val="24"/>
          <w:szCs w:val="24"/>
        </w:rPr>
      </w:pPr>
      <w:bookmarkStart w:id="1" w:name="a21_02"/>
      <w:bookmarkEnd w:id="1"/>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14:paraId="74854996"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14:paraId="38650265"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14:paraId="16199CC2"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14:paraId="6F9F7D90"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14:paraId="54A0FB4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14:paraId="3ED4469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14:paraId="70A484AA"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14:paraId="728252FC" w14:textId="77777777" w:rsidR="00502D97" w:rsidRDefault="00502D97" w:rsidP="00502D97">
      <w:pPr>
        <w:jc w:val="center"/>
        <w:rPr>
          <w:rFonts w:eastAsia="Times New Roman"/>
          <w:sz w:val="24"/>
          <w:szCs w:val="24"/>
        </w:rPr>
      </w:pPr>
    </w:p>
    <w:p w14:paraId="0CB676AD" w14:textId="77777777"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14:paraId="4EF3785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14:paraId="6D5C122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14:paraId="0031EBC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14:paraId="162F7B1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14:paraId="369167D0"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14:paraId="03486B97"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14:paraId="0C54416C" w14:textId="77777777"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14:paraId="175E7D3E" w14:textId="77777777" w:rsidR="001D04E0"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14:paraId="1EF7760E" w14:textId="77777777" w:rsidR="004F003D" w:rsidRDefault="004F003D">
      <w:pPr>
        <w:rPr>
          <w:rFonts w:eastAsia="Times New Roman"/>
          <w:sz w:val="24"/>
          <w:szCs w:val="24"/>
        </w:rPr>
      </w:pPr>
      <w:r>
        <w:rPr>
          <w:rFonts w:eastAsia="Times New Roman"/>
          <w:sz w:val="24"/>
          <w:szCs w:val="24"/>
        </w:rPr>
        <w:br w:type="page"/>
      </w:r>
    </w:p>
    <w:p w14:paraId="1678A6B5" w14:textId="77777777" w:rsidR="004F003D" w:rsidRPr="009E3DA4" w:rsidRDefault="004F003D" w:rsidP="004F003D">
      <w:pPr>
        <w:spacing w:after="240"/>
        <w:ind w:left="720" w:hanging="720"/>
        <w:rPr>
          <w:rFonts w:eastAsia="Times New Roman"/>
          <w:b/>
          <w:sz w:val="24"/>
          <w:szCs w:val="24"/>
        </w:rPr>
      </w:pPr>
      <w:bookmarkStart w:id="2" w:name="a21_03"/>
      <w:bookmarkEnd w:id="2"/>
      <w:r w:rsidRPr="004F003D">
        <w:rPr>
          <w:rFonts w:eastAsia="Times New Roman"/>
          <w:b/>
          <w:sz w:val="24"/>
          <w:szCs w:val="24"/>
        </w:rPr>
        <w:lastRenderedPageBreak/>
        <w:t xml:space="preserve">21:3 </w:t>
      </w:r>
      <w:r w:rsidRPr="004F003D">
        <w:rPr>
          <w:rFonts w:eastAsia="Times New Roman"/>
          <w:b/>
          <w:sz w:val="24"/>
          <w:szCs w:val="24"/>
        </w:rPr>
        <w:tab/>
        <w:t>INTENT — DEFINED</w:t>
      </w:r>
    </w:p>
    <w:p w14:paraId="2DA01EA5" w14:textId="77777777"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14:paraId="72C47A90" w14:textId="77777777" w:rsidR="004F003D" w:rsidRDefault="004F003D" w:rsidP="004F003D">
      <w:pPr>
        <w:jc w:val="center"/>
        <w:rPr>
          <w:rFonts w:eastAsia="Times New Roman"/>
          <w:sz w:val="24"/>
          <w:szCs w:val="24"/>
        </w:rPr>
      </w:pPr>
    </w:p>
    <w:p w14:paraId="769EEDF8"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4A1C2ADF"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14:paraId="35A57684"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27C0871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14:paraId="200A33E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14:paraId="4274E1A8"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14:paraId="1901B63C" w14:textId="77777777" w:rsidR="004F003D" w:rsidRDefault="004F003D">
      <w:pPr>
        <w:rPr>
          <w:rFonts w:eastAsia="Times New Roman"/>
          <w:sz w:val="24"/>
          <w:szCs w:val="24"/>
        </w:rPr>
      </w:pPr>
      <w:r>
        <w:rPr>
          <w:rFonts w:eastAsia="Times New Roman"/>
          <w:sz w:val="24"/>
          <w:szCs w:val="24"/>
        </w:rPr>
        <w:br w:type="page"/>
      </w:r>
    </w:p>
    <w:p w14:paraId="71B8EB38" w14:textId="77777777" w:rsidR="004F003D" w:rsidRPr="009E3DA4" w:rsidRDefault="00020CF1" w:rsidP="004F003D">
      <w:pPr>
        <w:spacing w:after="240"/>
        <w:ind w:left="720" w:hanging="720"/>
        <w:rPr>
          <w:rFonts w:eastAsia="Times New Roman"/>
          <w:b/>
          <w:sz w:val="24"/>
          <w:szCs w:val="24"/>
        </w:rPr>
      </w:pPr>
      <w:bookmarkStart w:id="3" w:name="a21_04"/>
      <w:bookmarkEnd w:id="3"/>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14:paraId="5E24B1DD"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14:paraId="40C84221"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14:paraId="5D9DB378"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14:paraId="05FAE760"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14:paraId="058B0D1E" w14:textId="77777777" w:rsidR="004F003D" w:rsidRDefault="004F003D" w:rsidP="004F003D">
      <w:pPr>
        <w:jc w:val="center"/>
        <w:rPr>
          <w:rFonts w:eastAsia="Times New Roman"/>
          <w:sz w:val="24"/>
          <w:szCs w:val="24"/>
        </w:rPr>
      </w:pPr>
    </w:p>
    <w:p w14:paraId="4282F710"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354CFF5F"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14:paraId="65EDC231"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14:paraId="6D3FB41B"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14:paraId="3FED55A3"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0EFB225D"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14:paraId="5361FC96" w14:textId="77777777" w:rsidR="0009462F" w:rsidRDefault="0009462F">
      <w:pPr>
        <w:rPr>
          <w:rFonts w:eastAsia="Times New Roman"/>
          <w:sz w:val="24"/>
          <w:szCs w:val="24"/>
        </w:rPr>
      </w:pPr>
      <w:r>
        <w:rPr>
          <w:rFonts w:eastAsia="Times New Roman"/>
          <w:sz w:val="24"/>
          <w:szCs w:val="24"/>
        </w:rPr>
        <w:br w:type="page"/>
      </w:r>
    </w:p>
    <w:p w14:paraId="7123E62C" w14:textId="77777777" w:rsidR="0009462F" w:rsidRPr="009E3DA4" w:rsidRDefault="0009462F" w:rsidP="0009462F">
      <w:pPr>
        <w:spacing w:after="240"/>
        <w:ind w:left="720" w:hanging="720"/>
        <w:rPr>
          <w:rFonts w:eastAsia="Times New Roman"/>
          <w:b/>
          <w:sz w:val="24"/>
          <w:szCs w:val="24"/>
        </w:rPr>
      </w:pPr>
      <w:bookmarkStart w:id="4" w:name="a21_05"/>
      <w:bookmarkEnd w:id="4"/>
      <w:r w:rsidRPr="0009462F">
        <w:rPr>
          <w:rFonts w:eastAsia="Times New Roman"/>
          <w:b/>
          <w:sz w:val="24"/>
          <w:szCs w:val="24"/>
        </w:rPr>
        <w:lastRenderedPageBreak/>
        <w:t xml:space="preserve">21:5 </w:t>
      </w:r>
      <w:r w:rsidRPr="0009462F">
        <w:rPr>
          <w:rFonts w:eastAsia="Times New Roman"/>
          <w:b/>
          <w:sz w:val="24"/>
          <w:szCs w:val="24"/>
        </w:rPr>
        <w:tab/>
        <w:t>ACTUAL OR NOMINAL DAMAGES</w:t>
      </w:r>
    </w:p>
    <w:p w14:paraId="09422478" w14:textId="649FC1E0"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w:t>
      </w:r>
      <w:r w:rsidR="009F72BD">
        <w:rPr>
          <w:rFonts w:eastAsia="Times New Roman"/>
          <w:bCs/>
          <w:i/>
          <w:iCs/>
          <w:sz w:val="24"/>
          <w:szCs w:val="24"/>
        </w:rPr>
        <w:t>(insert applicable pronoun)</w:t>
      </w:r>
      <w:r w:rsidRPr="0009462F">
        <w:rPr>
          <w:rFonts w:eastAsia="Times New Roman"/>
          <w:b/>
          <w:sz w:val="24"/>
          <w:szCs w:val="24"/>
        </w:rPr>
        <w:t xml:space="preserve">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14:paraId="497DB415"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14:paraId="76727513"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14:paraId="200245E0" w14:textId="477D1472"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w:t>
      </w:r>
      <w:r w:rsidR="009F72BD">
        <w:rPr>
          <w:rFonts w:eastAsia="Times New Roman"/>
          <w:bCs/>
          <w:i/>
          <w:iCs/>
          <w:sz w:val="24"/>
          <w:szCs w:val="24"/>
        </w:rPr>
        <w:t>(insert applicable pronoun)</w:t>
      </w:r>
      <w:r w:rsidRPr="0009462F">
        <w:rPr>
          <w:rFonts w:eastAsia="Times New Roman"/>
          <w:b/>
          <w:sz w:val="24"/>
          <w:szCs w:val="24"/>
        </w:rPr>
        <w:t xml:space="preserve">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14:paraId="123F727A"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27176C77" w14:textId="7AB0B7B8"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If you find in favor of the plaintiff, but do not find any actual damages, you shall award </w:t>
      </w:r>
      <w:r w:rsidR="009F72BD">
        <w:rPr>
          <w:rFonts w:eastAsia="Times New Roman"/>
          <w:bCs/>
          <w:i/>
          <w:iCs/>
          <w:sz w:val="24"/>
          <w:szCs w:val="24"/>
        </w:rPr>
        <w:t>(insert applicable pronoun)</w:t>
      </w:r>
      <w:r w:rsidRPr="0009462F">
        <w:rPr>
          <w:rFonts w:eastAsia="Times New Roman"/>
          <w:b/>
          <w:sz w:val="24"/>
          <w:szCs w:val="24"/>
        </w:rPr>
        <w:t xml:space="preserve"> nominal damages of one dollar.</w:t>
      </w:r>
    </w:p>
    <w:p w14:paraId="48A8E945" w14:textId="77777777" w:rsidR="0009462F" w:rsidRDefault="0009462F" w:rsidP="0009462F">
      <w:pPr>
        <w:jc w:val="center"/>
        <w:rPr>
          <w:rFonts w:eastAsia="Times New Roman"/>
          <w:sz w:val="24"/>
          <w:szCs w:val="24"/>
        </w:rPr>
      </w:pPr>
    </w:p>
    <w:p w14:paraId="1309E651" w14:textId="77777777"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14:paraId="7DD57AA1"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14:paraId="01CE5E17"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64FC4589"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w:t>
      </w:r>
      <w:r w:rsidRPr="0009462F">
        <w:rPr>
          <w:rFonts w:eastAsia="Times New Roman"/>
          <w:sz w:val="24"/>
          <w:szCs w:val="24"/>
        </w:rPr>
        <w:lastRenderedPageBreak/>
        <w:t xml:space="preserve">there is a split of authority on the question whether the defendant is liable for damages 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14:paraId="3D0486EB"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14:paraId="71B8B04C" w14:textId="77777777"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14:paraId="5550460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14:paraId="039B3C1C" w14:textId="77777777" w:rsidR="00E372EA" w:rsidRDefault="00E372EA">
      <w:pPr>
        <w:rPr>
          <w:rFonts w:eastAsia="Times New Roman"/>
          <w:sz w:val="24"/>
          <w:szCs w:val="24"/>
        </w:rPr>
      </w:pPr>
      <w:r>
        <w:rPr>
          <w:rFonts w:eastAsia="Times New Roman"/>
          <w:sz w:val="24"/>
          <w:szCs w:val="24"/>
        </w:rPr>
        <w:br w:type="page"/>
      </w:r>
    </w:p>
    <w:p w14:paraId="755DAF2C" w14:textId="77777777"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14:paraId="2616233F" w14:textId="77777777" w:rsidR="00E372EA" w:rsidRPr="009E3DA4" w:rsidRDefault="00E372EA" w:rsidP="00E372EA">
      <w:pPr>
        <w:spacing w:after="240"/>
        <w:ind w:left="720" w:hanging="720"/>
        <w:rPr>
          <w:rFonts w:eastAsia="Times New Roman"/>
          <w:b/>
          <w:sz w:val="24"/>
          <w:szCs w:val="24"/>
        </w:rPr>
      </w:pPr>
      <w:bookmarkStart w:id="5" w:name="a21_06"/>
      <w:bookmarkEnd w:id="5"/>
      <w:r w:rsidRPr="00E372EA">
        <w:rPr>
          <w:rFonts w:eastAsia="Times New Roman"/>
          <w:b/>
          <w:sz w:val="24"/>
          <w:szCs w:val="24"/>
        </w:rPr>
        <w:t xml:space="preserve">21:6 </w:t>
      </w:r>
      <w:r w:rsidRPr="00E372EA">
        <w:rPr>
          <w:rFonts w:eastAsia="Times New Roman"/>
          <w:b/>
          <w:sz w:val="24"/>
          <w:szCs w:val="24"/>
        </w:rPr>
        <w:tab/>
        <w:t>CONSENT</w:t>
      </w:r>
    </w:p>
    <w:p w14:paraId="3A52EFE5" w14:textId="7593C7FB"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consent is proved. This defense is proved if you find that the plaintiff, with full knowledge that </w:t>
      </w:r>
      <w:r w:rsidR="009F72BD">
        <w:rPr>
          <w:rFonts w:eastAsia="Times New Roman"/>
          <w:bCs/>
          <w:i/>
          <w:iCs/>
          <w:sz w:val="24"/>
          <w:szCs w:val="24"/>
        </w:rPr>
        <w:t>(insert applicable pronoun)</w:t>
      </w:r>
      <w:r w:rsidRPr="00E372EA">
        <w:rPr>
          <w:rFonts w:eastAsia="Times New Roman"/>
          <w:b/>
          <w:sz w:val="24"/>
          <w:szCs w:val="24"/>
        </w:rPr>
        <w:t xml:space="preserve"> freedom of movement was to be restricted, willingly submitted to the restriction.</w:t>
      </w:r>
    </w:p>
    <w:p w14:paraId="1AC9ED0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14:paraId="4F96C7EF"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14:paraId="668103F9"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14:paraId="68D2F277"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14:paraId="7FACAEA5" w14:textId="77777777" w:rsidR="00E372EA" w:rsidRDefault="00E372EA" w:rsidP="00E372EA">
      <w:pPr>
        <w:jc w:val="center"/>
        <w:rPr>
          <w:rFonts w:eastAsia="Times New Roman"/>
          <w:sz w:val="24"/>
          <w:szCs w:val="24"/>
        </w:rPr>
      </w:pPr>
    </w:p>
    <w:p w14:paraId="1EB4F3F8"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1F0026A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14:paraId="63D8431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14:paraId="7A92A27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14:paraId="666EC82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14:paraId="4300763A"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3C4598E"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793 P.2d 1181 (Colo. 1990) (consent is voluntary when it is the product of free and unconstrained choice and not the result of force, threat, or promise).</w:t>
      </w:r>
    </w:p>
    <w:p w14:paraId="1EAC3ED5" w14:textId="77777777" w:rsidR="00642649" w:rsidRDefault="00E372EA" w:rsidP="006053F6">
      <w:pPr>
        <w:spacing w:after="240"/>
        <w:ind w:firstLine="720"/>
        <w:rPr>
          <w:rFonts w:eastAsia="Times New Roman"/>
          <w:sz w:val="24"/>
          <w:szCs w:val="24"/>
        </w:rPr>
      </w:pPr>
      <w:r w:rsidRPr="00E372EA">
        <w:rPr>
          <w:rFonts w:eastAsia="Times New Roman"/>
          <w:sz w:val="24"/>
          <w:szCs w:val="24"/>
        </w:rPr>
        <w:lastRenderedPageBreak/>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14:paraId="50F3253B" w14:textId="77777777" w:rsidR="00E372EA" w:rsidRDefault="00E372EA">
      <w:pPr>
        <w:rPr>
          <w:rFonts w:eastAsia="Times New Roman"/>
          <w:sz w:val="24"/>
          <w:szCs w:val="24"/>
        </w:rPr>
      </w:pPr>
      <w:r>
        <w:rPr>
          <w:rFonts w:eastAsia="Times New Roman"/>
          <w:sz w:val="24"/>
          <w:szCs w:val="24"/>
        </w:rPr>
        <w:br w:type="page"/>
      </w:r>
    </w:p>
    <w:p w14:paraId="1AE81696" w14:textId="77777777" w:rsidR="00E372EA" w:rsidRPr="009E3DA4" w:rsidRDefault="00E372EA" w:rsidP="00E372EA">
      <w:pPr>
        <w:spacing w:after="240"/>
        <w:ind w:left="720" w:hanging="720"/>
        <w:rPr>
          <w:rFonts w:eastAsia="Times New Roman"/>
          <w:b/>
          <w:sz w:val="24"/>
          <w:szCs w:val="24"/>
        </w:rPr>
      </w:pPr>
      <w:bookmarkStart w:id="6" w:name="a21_07"/>
      <w:bookmarkEnd w:id="6"/>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14:paraId="54B73D47" w14:textId="0F29FAB2"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14B69CE5"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14:paraId="3CADB75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14:paraId="6F5F3648"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14:paraId="32B25268" w14:textId="7F7ACB1B" w:rsidR="00E372EA" w:rsidRPr="00E372EA" w:rsidRDefault="00E372EA" w:rsidP="00E372EA">
      <w:pPr>
        <w:spacing w:after="240"/>
        <w:ind w:left="720"/>
        <w:rPr>
          <w:rFonts w:eastAsia="Times New Roman"/>
          <w:b/>
          <w:sz w:val="24"/>
          <w:szCs w:val="24"/>
        </w:rPr>
      </w:pPr>
      <w:r w:rsidRPr="00E372EA">
        <w:rPr>
          <w:rFonts w:eastAsia="Times New Roman"/>
          <w:b/>
          <w:sz w:val="24"/>
          <w:szCs w:val="24"/>
        </w:rPr>
        <w:t xml:space="preserve">b. Concealed upon </w:t>
      </w:r>
      <w:r w:rsidR="009F72BD">
        <w:rPr>
          <w:rFonts w:eastAsia="Times New Roman"/>
          <w:bCs/>
          <w:i/>
          <w:iCs/>
          <w:sz w:val="24"/>
          <w:szCs w:val="24"/>
        </w:rPr>
        <w:t>(insert applicable pronoun)</w:t>
      </w:r>
      <w:r w:rsidRPr="00E372EA">
        <w:rPr>
          <w:rFonts w:eastAsia="Times New Roman"/>
          <w:b/>
          <w:sz w:val="24"/>
          <w:szCs w:val="24"/>
        </w:rPr>
        <w:t xml:space="preserve"> person any unpurchased goods, wares, or merchandise held or owned by the store or business establishment selling merchandise, or</w:t>
      </w:r>
    </w:p>
    <w:p w14:paraId="7E102922"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14:paraId="4D06F6E3"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14:paraId="1F3A2DEC" w14:textId="77777777" w:rsidR="00E372EA" w:rsidRDefault="00E372EA" w:rsidP="00E372EA">
      <w:pPr>
        <w:jc w:val="center"/>
        <w:rPr>
          <w:rFonts w:eastAsia="Times New Roman"/>
          <w:sz w:val="24"/>
          <w:szCs w:val="24"/>
        </w:rPr>
      </w:pPr>
    </w:p>
    <w:p w14:paraId="160066D7"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2876111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14:paraId="547B323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14:paraId="15416589"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14:paraId="08E0E32F"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14:paraId="36782E35"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14:paraId="3B918092" w14:textId="24CEBDC0"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w:t>
      </w:r>
      <w:r w:rsidRPr="00E372EA">
        <w:rPr>
          <w:rFonts w:eastAsia="Times New Roman"/>
          <w:sz w:val="24"/>
          <w:szCs w:val="24"/>
        </w:rPr>
        <w:lastRenderedPageBreak/>
        <w:t xml:space="preserve">statute (if other conditions were met) while a search was 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14:paraId="57FE284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14:paraId="4C5CBB7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14:paraId="1C914FA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14:paraId="0DA977B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14:paraId="396243E1"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9D2E283"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14:paraId="7A4871E9" w14:textId="77777777" w:rsidR="00E372EA" w:rsidRDefault="00E372EA">
      <w:pPr>
        <w:rPr>
          <w:rFonts w:eastAsia="Times New Roman"/>
          <w:sz w:val="24"/>
          <w:szCs w:val="24"/>
        </w:rPr>
      </w:pPr>
      <w:r>
        <w:rPr>
          <w:rFonts w:eastAsia="Times New Roman"/>
          <w:sz w:val="24"/>
          <w:szCs w:val="24"/>
        </w:rPr>
        <w:br w:type="page"/>
      </w:r>
    </w:p>
    <w:p w14:paraId="4846EBEF" w14:textId="77777777" w:rsidR="00E372EA" w:rsidRPr="009E3DA4" w:rsidRDefault="00290935" w:rsidP="00E372EA">
      <w:pPr>
        <w:spacing w:after="240"/>
        <w:ind w:left="720" w:hanging="720"/>
        <w:rPr>
          <w:rFonts w:eastAsia="Times New Roman"/>
          <w:b/>
          <w:sz w:val="24"/>
          <w:szCs w:val="24"/>
        </w:rPr>
      </w:pPr>
      <w:bookmarkStart w:id="7" w:name="a21_08"/>
      <w:bookmarkEnd w:id="7"/>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14:paraId="63D60611" w14:textId="3C629271"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xml:space="preserve">, on </w:t>
      </w:r>
      <w:r w:rsidR="009F72BD">
        <w:rPr>
          <w:rFonts w:eastAsia="Times New Roman"/>
          <w:bCs/>
          <w:i/>
          <w:iCs/>
          <w:sz w:val="24"/>
          <w:szCs w:val="24"/>
        </w:rPr>
        <w:t>(insert applicable pronoun)</w:t>
      </w:r>
      <w:r w:rsidRPr="00290935">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24B396A4"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14:paraId="18A6CA9A"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14:paraId="51B73230"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14:paraId="7C0D36C6"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14:paraId="21FB33E1"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14:paraId="3D021295" w14:textId="77777777" w:rsidR="00E372EA" w:rsidRDefault="00E372EA" w:rsidP="00E372EA">
      <w:pPr>
        <w:jc w:val="center"/>
        <w:rPr>
          <w:rFonts w:eastAsia="Times New Roman"/>
          <w:sz w:val="24"/>
          <w:szCs w:val="24"/>
        </w:rPr>
      </w:pPr>
    </w:p>
    <w:p w14:paraId="138FC1C9"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0D0A05D4"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14:paraId="548E464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14:paraId="712A9E0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14:paraId="0AFC7D82"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14:paraId="1367A27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14:paraId="09D1937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14:paraId="48121D7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lastRenderedPageBreak/>
        <w:t>7. If there is a dispute as to whether the defendant detained or questioned the plaintiff, numbered paragraph 3 or 4, or both, must be appropriately modified.</w:t>
      </w:r>
    </w:p>
    <w:p w14:paraId="7A00EF50"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10E9B9CA"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14:paraId="7189393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14:paraId="38660EF0"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14:paraId="3E57DA24" w14:textId="77777777" w:rsidR="00290935" w:rsidRDefault="00290935">
      <w:pPr>
        <w:rPr>
          <w:rFonts w:eastAsia="Times New Roman"/>
          <w:sz w:val="24"/>
          <w:szCs w:val="24"/>
        </w:rPr>
      </w:pPr>
      <w:r>
        <w:rPr>
          <w:rFonts w:eastAsia="Times New Roman"/>
          <w:sz w:val="24"/>
          <w:szCs w:val="24"/>
        </w:rPr>
        <w:br w:type="page"/>
      </w:r>
    </w:p>
    <w:p w14:paraId="4B585F75" w14:textId="77777777" w:rsidR="00290935" w:rsidRPr="009E3DA4" w:rsidRDefault="00FE1F3D" w:rsidP="00290935">
      <w:pPr>
        <w:spacing w:after="240"/>
        <w:ind w:left="720" w:hanging="720"/>
        <w:rPr>
          <w:rFonts w:eastAsia="Times New Roman"/>
          <w:b/>
          <w:sz w:val="24"/>
          <w:szCs w:val="24"/>
        </w:rPr>
      </w:pPr>
      <w:bookmarkStart w:id="8" w:name="a21_09"/>
      <w:bookmarkEnd w:id="8"/>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14:paraId="1852F72E" w14:textId="6C7680E6"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xml:space="preserve">, on </w:t>
      </w:r>
      <w:r w:rsidR="009F72BD">
        <w:rPr>
          <w:rFonts w:eastAsia="Times New Roman"/>
          <w:bCs/>
          <w:i/>
          <w:iCs/>
          <w:sz w:val="24"/>
          <w:szCs w:val="24"/>
        </w:rPr>
        <w:t>(insert applicable pronoun)</w:t>
      </w:r>
      <w:r w:rsidRPr="00FE1F3D">
        <w:rPr>
          <w:rFonts w:eastAsia="Times New Roman"/>
          <w:b/>
          <w:sz w:val="24"/>
          <w:szCs w:val="24"/>
        </w:rPr>
        <w:t xml:space="preserve"> claim of (false imprisonment) (false arrest) if the affirmative defense of privilege to defend (person) (property) is proved. This defense is proved if you find both of the following:</w:t>
      </w:r>
    </w:p>
    <w:p w14:paraId="41E153DC" w14:textId="2A38F9CB"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1. When the defendant restricted the plaintiff’s freedom of movement, </w:t>
      </w:r>
      <w:r w:rsidR="009F72BD">
        <w:rPr>
          <w:rFonts w:eastAsia="Times New Roman"/>
          <w:bCs/>
          <w:i/>
          <w:iCs/>
          <w:sz w:val="24"/>
          <w:szCs w:val="24"/>
        </w:rPr>
        <w:t>(insert applicable pronoun)</w:t>
      </w:r>
      <w:r w:rsidRPr="00FE1F3D">
        <w:rPr>
          <w:rFonts w:eastAsia="Times New Roman"/>
          <w:b/>
          <w:sz w:val="24"/>
          <w:szCs w:val="24"/>
        </w:rPr>
        <w:t xml:space="preserve"> believed and had reasonable grounds to believe that the plaintiff intended to (inflict harm upon </w:t>
      </w:r>
      <w:r w:rsidR="001115BB">
        <w:rPr>
          <w:rFonts w:eastAsia="Times New Roman"/>
          <w:bCs/>
          <w:i/>
          <w:iCs/>
          <w:sz w:val="24"/>
          <w:szCs w:val="24"/>
        </w:rPr>
        <w:t>[insert applicable pronoun]</w:t>
      </w:r>
      <w:r w:rsidRPr="00FE1F3D">
        <w:rPr>
          <w:rFonts w:eastAsia="Times New Roman"/>
          <w:b/>
          <w:sz w:val="24"/>
          <w:szCs w:val="24"/>
        </w:rPr>
        <w:t xml:space="preserve"> person or that of another) (or) (interfere or continue to interfere with the defendant’s right to possess </w:t>
      </w:r>
      <w:r w:rsidR="001115BB">
        <w:rPr>
          <w:rFonts w:eastAsia="Times New Roman"/>
          <w:bCs/>
          <w:i/>
          <w:iCs/>
          <w:sz w:val="24"/>
          <w:szCs w:val="24"/>
        </w:rPr>
        <w:t>[insert applicable pronoun]</w:t>
      </w:r>
      <w:r w:rsidRPr="00FE1F3D">
        <w:rPr>
          <w:rFonts w:eastAsia="Times New Roman"/>
          <w:b/>
          <w:sz w:val="24"/>
          <w:szCs w:val="24"/>
        </w:rPr>
        <w:t xml:space="preserve"> land or personal property); and</w:t>
      </w:r>
    </w:p>
    <w:p w14:paraId="7C5B08F1"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14:paraId="4B730694" w14:textId="77777777" w:rsidR="00290935" w:rsidRDefault="00290935" w:rsidP="00290935">
      <w:pPr>
        <w:jc w:val="center"/>
        <w:rPr>
          <w:rFonts w:eastAsia="Times New Roman"/>
          <w:sz w:val="24"/>
          <w:szCs w:val="24"/>
        </w:rPr>
      </w:pPr>
    </w:p>
    <w:p w14:paraId="16D02D84" w14:textId="77777777"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14:paraId="4B6EDAF2"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14:paraId="76D26661"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14:paraId="00AE89B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14:paraId="42E69364" w14:textId="77777777"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14:paraId="22B12F9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14:paraId="027C2F2B" w14:textId="77777777"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xml:space="preserve">, Instructions 20:16 and 20:17. In any particular case, therefore, when this </w:t>
      </w:r>
      <w:r w:rsidRPr="00FE1F3D">
        <w:rPr>
          <w:rFonts w:eastAsia="Times New Roman"/>
          <w:sz w:val="24"/>
          <w:szCs w:val="24"/>
        </w:rPr>
        <w:lastRenderedPageBreak/>
        <w:t>instruction would not cover all the necessary conditions for the exercise of a particular privilege, this instruction should be modified accordingly.</w:t>
      </w:r>
      <w:r w:rsidR="00726E21">
        <w:rPr>
          <w:rFonts w:eastAsia="Times New Roman"/>
          <w:sz w:val="24"/>
          <w:szCs w:val="24"/>
        </w:rPr>
        <w:br w:type="page"/>
      </w:r>
    </w:p>
    <w:p w14:paraId="712A40A3" w14:textId="77777777" w:rsidR="00726E21" w:rsidRPr="009E3DA4" w:rsidRDefault="008859AF" w:rsidP="00726E21">
      <w:pPr>
        <w:spacing w:after="240"/>
        <w:ind w:left="720" w:hanging="720"/>
        <w:rPr>
          <w:rFonts w:eastAsia="Times New Roman"/>
          <w:b/>
          <w:sz w:val="24"/>
          <w:szCs w:val="24"/>
        </w:rPr>
      </w:pPr>
      <w:bookmarkStart w:id="9" w:name="a21_10"/>
      <w:bookmarkEnd w:id="9"/>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14:paraId="7CFE9A02" w14:textId="7111FEE9"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xml:space="preserve">, on </w:t>
      </w:r>
      <w:r w:rsidR="009F72BD">
        <w:rPr>
          <w:rFonts w:eastAsia="Times New Roman"/>
          <w:bCs/>
          <w:i/>
          <w:iCs/>
          <w:sz w:val="24"/>
          <w:szCs w:val="24"/>
        </w:rPr>
        <w:t>(insert applicable pronoun)</w:t>
      </w:r>
      <w:r w:rsidRPr="008859AF">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4E674C1E"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14:paraId="6BDFEB72"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14:paraId="0858585F"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14:paraId="4042F3FA"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14:paraId="639691E3"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14:paraId="2267AA07"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14:paraId="7DF28BFB" w14:textId="77777777" w:rsidR="00726E21" w:rsidRDefault="00726E21" w:rsidP="00726E21">
      <w:pPr>
        <w:jc w:val="center"/>
        <w:rPr>
          <w:rFonts w:eastAsia="Times New Roman"/>
          <w:sz w:val="24"/>
          <w:szCs w:val="24"/>
        </w:rPr>
      </w:pPr>
    </w:p>
    <w:p w14:paraId="5CF11A49" w14:textId="77777777"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14:paraId="288A575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14:paraId="5E453889"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14:paraId="2096C5C0"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14:paraId="532D1264"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14:paraId="032776A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14:paraId="1BFF7C7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14:paraId="3357E4D7"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14:paraId="4DF2C84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14:paraId="75F9F9CC" w14:textId="77777777"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14:paraId="11F0F52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14:paraId="63FAB91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14:paraId="249C2105"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14:paraId="14AB78FD"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14:paraId="114D2FE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14:paraId="59341214" w14:textId="77777777" w:rsidR="008859AF" w:rsidRDefault="008859AF">
      <w:pPr>
        <w:rPr>
          <w:rFonts w:eastAsia="Times New Roman"/>
          <w:sz w:val="24"/>
          <w:szCs w:val="24"/>
        </w:rPr>
      </w:pPr>
      <w:r>
        <w:rPr>
          <w:rFonts w:eastAsia="Times New Roman"/>
          <w:sz w:val="24"/>
          <w:szCs w:val="24"/>
        </w:rPr>
        <w:br w:type="page"/>
      </w:r>
    </w:p>
    <w:p w14:paraId="3DA65C96" w14:textId="77777777" w:rsidR="008859AF" w:rsidRPr="009E3DA4" w:rsidRDefault="00604F03" w:rsidP="008859AF">
      <w:pPr>
        <w:spacing w:after="240"/>
        <w:ind w:left="720" w:hanging="720"/>
        <w:rPr>
          <w:rFonts w:eastAsia="Times New Roman"/>
          <w:b/>
          <w:sz w:val="24"/>
          <w:szCs w:val="24"/>
        </w:rPr>
      </w:pPr>
      <w:bookmarkStart w:id="10" w:name="a21_11"/>
      <w:bookmarkEnd w:id="10"/>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14:paraId="323ABFBC" w14:textId="10ACA609"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xml:space="preserve">, on </w:t>
      </w:r>
      <w:r w:rsidR="009F72BD">
        <w:rPr>
          <w:rFonts w:eastAsia="Times New Roman"/>
          <w:bCs/>
          <w:i/>
          <w:iCs/>
          <w:sz w:val="24"/>
          <w:szCs w:val="24"/>
        </w:rPr>
        <w:t>(insert applicable pronoun)</w:t>
      </w:r>
      <w:r w:rsidRPr="00604F03">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12DA4F97"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14:paraId="5C2C017C" w14:textId="712AAF4B"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(2.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41E3A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14:paraId="3DC6CC2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14:paraId="0E925873" w14:textId="25B15B81"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(3.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57DF50"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14:paraId="091EC7F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14:paraId="7CEB437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14:paraId="68895260" w14:textId="77777777" w:rsidR="008859AF" w:rsidRDefault="008859AF" w:rsidP="008859AF">
      <w:pPr>
        <w:jc w:val="center"/>
        <w:rPr>
          <w:rFonts w:eastAsia="Times New Roman"/>
          <w:sz w:val="24"/>
          <w:szCs w:val="24"/>
        </w:rPr>
      </w:pPr>
    </w:p>
    <w:p w14:paraId="772A14CC" w14:textId="77777777"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14:paraId="246CD3D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14:paraId="7E07B12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14:paraId="0823FB0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14:paraId="6762686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14:paraId="454C12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14:paraId="1280FFA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14:paraId="79DD572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14:paraId="3B66568E"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14:paraId="60134D24"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14:paraId="5F8349D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14:paraId="4AB40522" w14:textId="77777777"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14:paraId="7735CF4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14:paraId="665CCBA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 xml:space="preserve">W. </w:t>
      </w:r>
      <w:r w:rsidRPr="00604F03">
        <w:rPr>
          <w:rFonts w:eastAsia="Times New Roman"/>
          <w:smallCaps/>
          <w:sz w:val="24"/>
          <w:szCs w:val="24"/>
        </w:rPr>
        <w:lastRenderedPageBreak/>
        <w:t>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14:paraId="10FD93D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14:paraId="6B1CA41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14:paraId="44CF3D0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14:paraId="5D640995"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14:paraId="61D07823" w14:textId="6C1A850D"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528 U.S. 119 (2000);</w:t>
      </w:r>
      <w:r w:rsidR="00567066">
        <w:rPr>
          <w:rFonts w:eastAsia="Times New Roman"/>
          <w:sz w:val="24"/>
          <w:szCs w:val="24"/>
        </w:rPr>
        <w:t xml:space="preserve"> </w:t>
      </w:r>
      <w:r w:rsidR="00567066">
        <w:rPr>
          <w:rFonts w:eastAsia="Times New Roman"/>
          <w:b/>
          <w:bCs/>
          <w:sz w:val="24"/>
          <w:szCs w:val="24"/>
        </w:rPr>
        <w:t>People v. Barnett</w:t>
      </w:r>
      <w:r w:rsidR="00567066">
        <w:rPr>
          <w:rFonts w:eastAsia="Times New Roman"/>
          <w:sz w:val="24"/>
          <w:szCs w:val="24"/>
        </w:rPr>
        <w:t>, 2024 CO 73, ¶ 15, 559 P.3d 250 (proper investigatory stop where officer articulated reasonable suspicion of criminal activity);</w:t>
      </w:r>
      <w:r w:rsidRPr="00604F03">
        <w:rPr>
          <w:rFonts w:eastAsia="Times New Roman"/>
          <w:sz w:val="24"/>
          <w:szCs w:val="24"/>
        </w:rPr>
        <w:t xml:space="preserve">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14:paraId="159DBCD8"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14:paraId="5F62740C" w14:textId="77777777" w:rsidR="00604F03" w:rsidRDefault="00604F03">
      <w:pPr>
        <w:rPr>
          <w:rFonts w:eastAsia="Times New Roman"/>
          <w:sz w:val="24"/>
          <w:szCs w:val="24"/>
        </w:rPr>
      </w:pPr>
      <w:r>
        <w:rPr>
          <w:rFonts w:eastAsia="Times New Roman"/>
          <w:sz w:val="24"/>
          <w:szCs w:val="24"/>
        </w:rPr>
        <w:br w:type="page"/>
      </w:r>
    </w:p>
    <w:p w14:paraId="5F0AD86F" w14:textId="77777777" w:rsidR="00604F03" w:rsidRPr="009E3DA4" w:rsidRDefault="00604F03" w:rsidP="00604F03">
      <w:pPr>
        <w:spacing w:after="240"/>
        <w:ind w:left="720" w:hanging="720"/>
        <w:rPr>
          <w:rFonts w:eastAsia="Times New Roman"/>
          <w:b/>
          <w:sz w:val="24"/>
          <w:szCs w:val="24"/>
        </w:rPr>
      </w:pPr>
      <w:bookmarkStart w:id="11" w:name="a21_12"/>
      <w:bookmarkEnd w:id="11"/>
      <w:r w:rsidRPr="00604F03">
        <w:rPr>
          <w:rFonts w:eastAsia="Times New Roman"/>
          <w:b/>
          <w:sz w:val="24"/>
          <w:szCs w:val="24"/>
        </w:rPr>
        <w:lastRenderedPageBreak/>
        <w:t xml:space="preserve">21:12 </w:t>
      </w:r>
      <w:r w:rsidRPr="00604F03">
        <w:rPr>
          <w:rFonts w:eastAsia="Times New Roman"/>
          <w:b/>
          <w:sz w:val="24"/>
          <w:szCs w:val="24"/>
        </w:rPr>
        <w:tab/>
        <w:t>ARREST — DEFINED</w:t>
      </w:r>
    </w:p>
    <w:p w14:paraId="3E1DFFA1"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14:paraId="1FE48D25" w14:textId="77777777" w:rsidR="00604F03" w:rsidRDefault="00604F03" w:rsidP="00604F03">
      <w:pPr>
        <w:jc w:val="center"/>
        <w:rPr>
          <w:rFonts w:eastAsia="Times New Roman"/>
          <w:sz w:val="24"/>
          <w:szCs w:val="24"/>
        </w:rPr>
      </w:pPr>
    </w:p>
    <w:p w14:paraId="1E078D20"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2BDBF7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14:paraId="64664271" w14:textId="20102B1F"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with other Instructions such as 21:10 and 21:11.</w:t>
      </w:r>
    </w:p>
    <w:p w14:paraId="420FD493"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745AD7F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14:paraId="5C1C841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14:paraId="4D0419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14:paraId="316591CB" w14:textId="77777777" w:rsidR="00604F03" w:rsidRDefault="00604F03">
      <w:pPr>
        <w:rPr>
          <w:rFonts w:eastAsia="Times New Roman"/>
          <w:sz w:val="24"/>
          <w:szCs w:val="24"/>
        </w:rPr>
      </w:pPr>
      <w:r>
        <w:rPr>
          <w:rFonts w:eastAsia="Times New Roman"/>
          <w:sz w:val="24"/>
          <w:szCs w:val="24"/>
        </w:rPr>
        <w:br w:type="page"/>
      </w:r>
    </w:p>
    <w:p w14:paraId="2096E9E5" w14:textId="77777777" w:rsidR="00604F03" w:rsidRPr="009E3DA4" w:rsidRDefault="00A677E8" w:rsidP="00604F03">
      <w:pPr>
        <w:spacing w:after="240"/>
        <w:ind w:left="720" w:hanging="720"/>
        <w:rPr>
          <w:rFonts w:eastAsia="Times New Roman"/>
          <w:b/>
          <w:sz w:val="24"/>
          <w:szCs w:val="24"/>
        </w:rPr>
      </w:pPr>
      <w:bookmarkStart w:id="12" w:name="a21_13"/>
      <w:bookmarkEnd w:id="12"/>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14:paraId="5897C52A"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14:paraId="5173C754" w14:textId="77777777" w:rsidR="00604F03" w:rsidRDefault="00604F03" w:rsidP="00604F03">
      <w:pPr>
        <w:jc w:val="center"/>
        <w:rPr>
          <w:rFonts w:eastAsia="Times New Roman"/>
          <w:sz w:val="24"/>
          <w:szCs w:val="24"/>
        </w:rPr>
      </w:pPr>
    </w:p>
    <w:p w14:paraId="61B2D102"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4091E5B" w14:textId="27531423"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with other Instructions such as 21:7, 21:8, 21:9, 21:10, and 21:11. When given, use whichever parenthesized portions are appropriate.</w:t>
      </w:r>
    </w:p>
    <w:p w14:paraId="0CDE60BA"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4A3186FA" w14:textId="0CAF9318"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is supported by</w:t>
      </w:r>
      <w:r w:rsidR="001F2B1A">
        <w:rPr>
          <w:rFonts w:eastAsia="Times New Roman"/>
          <w:sz w:val="24"/>
          <w:szCs w:val="24"/>
        </w:rPr>
        <w:t xml:space="preserve"> </w:t>
      </w:r>
      <w:r w:rsidR="001F2B1A">
        <w:rPr>
          <w:rFonts w:eastAsia="Times New Roman"/>
          <w:b/>
          <w:bCs/>
          <w:sz w:val="24"/>
          <w:szCs w:val="24"/>
        </w:rPr>
        <w:t>People v. Dacus</w:t>
      </w:r>
      <w:r w:rsidR="001F2B1A">
        <w:rPr>
          <w:rFonts w:eastAsia="Times New Roman"/>
          <w:sz w:val="24"/>
          <w:szCs w:val="24"/>
        </w:rPr>
        <w:t>, 2024 CO 51, ¶ 26, 559 P.3d 198 (contrasting probable cause required for an arrest and reasonable suspicion required for an investigatory stop);</w:t>
      </w:r>
      <w:r w:rsidRPr="00A677E8">
        <w:rPr>
          <w:rFonts w:eastAsia="Times New Roman"/>
          <w:sz w:val="24"/>
          <w:szCs w:val="24"/>
        </w:rPr>
        <w:t xml:space="preserve">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t>
      </w:r>
      <w:r w:rsidRPr="00A677E8">
        <w:rPr>
          <w:rFonts w:eastAsia="Times New Roman"/>
          <w:sz w:val="24"/>
          <w:szCs w:val="24"/>
        </w:rPr>
        <w:lastRenderedPageBreak/>
        <w:t xml:space="preserve">warrant from another state, if valid, may provide the necessary probable cause to make a warrantless arrest in Colorado, even though the detained person is arrested for a different 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14:paraId="691402A1" w14:textId="77777777" w:rsidR="00A677E8" w:rsidRDefault="00A677E8">
      <w:pPr>
        <w:rPr>
          <w:rFonts w:eastAsia="Times New Roman"/>
          <w:sz w:val="24"/>
          <w:szCs w:val="24"/>
        </w:rPr>
      </w:pPr>
      <w:r>
        <w:rPr>
          <w:rFonts w:eastAsia="Times New Roman"/>
          <w:sz w:val="24"/>
          <w:szCs w:val="24"/>
        </w:rPr>
        <w:br w:type="page"/>
      </w:r>
    </w:p>
    <w:p w14:paraId="3FB5C436" w14:textId="77777777" w:rsidR="00A677E8" w:rsidRPr="009E3DA4" w:rsidRDefault="00A677E8" w:rsidP="00A677E8">
      <w:pPr>
        <w:spacing w:after="240"/>
        <w:ind w:left="720" w:hanging="720"/>
        <w:rPr>
          <w:rFonts w:eastAsia="Times New Roman"/>
          <w:b/>
          <w:sz w:val="24"/>
          <w:szCs w:val="24"/>
        </w:rPr>
      </w:pPr>
      <w:bookmarkStart w:id="13" w:name="a21_14"/>
      <w:bookmarkEnd w:id="13"/>
      <w:r w:rsidRPr="00A677E8">
        <w:rPr>
          <w:rFonts w:eastAsia="Times New Roman"/>
          <w:b/>
          <w:sz w:val="24"/>
          <w:szCs w:val="24"/>
        </w:rPr>
        <w:lastRenderedPageBreak/>
        <w:t xml:space="preserve">21:14 </w:t>
      </w:r>
      <w:r w:rsidRPr="00A677E8">
        <w:rPr>
          <w:rFonts w:eastAsia="Times New Roman"/>
          <w:b/>
          <w:sz w:val="24"/>
          <w:szCs w:val="24"/>
        </w:rPr>
        <w:tab/>
        <w:t>FRESH PURSUIT — DEFINED</w:t>
      </w:r>
    </w:p>
    <w:p w14:paraId="3B3530C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14:paraId="029CD7A7" w14:textId="77777777" w:rsidR="00A677E8" w:rsidRDefault="00A677E8" w:rsidP="00A677E8">
      <w:pPr>
        <w:jc w:val="center"/>
        <w:rPr>
          <w:rFonts w:eastAsia="Times New Roman"/>
          <w:sz w:val="24"/>
          <w:szCs w:val="24"/>
        </w:rPr>
      </w:pPr>
    </w:p>
    <w:p w14:paraId="5609CC3A"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50ECAD81" w14:textId="39384E51"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with Instruction 21:10, or with Instruction 21:11 or 21:15 when there is a question of the officer’s authority to make an arrest beyond the territorial limits of the officer’s normal authority under section 16-3-106 or section 16-3-104(2), C.R.S.</w:t>
      </w:r>
    </w:p>
    <w:p w14:paraId="22C915F1"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175B7D7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14:paraId="2BEA146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14:paraId="4E1E88A4"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14:paraId="046CDCC4" w14:textId="77777777" w:rsidR="00A677E8" w:rsidRDefault="00A677E8">
      <w:pPr>
        <w:rPr>
          <w:rFonts w:eastAsia="Times New Roman"/>
          <w:sz w:val="24"/>
          <w:szCs w:val="24"/>
        </w:rPr>
      </w:pPr>
      <w:r>
        <w:rPr>
          <w:rFonts w:eastAsia="Times New Roman"/>
          <w:sz w:val="24"/>
          <w:szCs w:val="24"/>
        </w:rPr>
        <w:br w:type="page"/>
      </w:r>
    </w:p>
    <w:p w14:paraId="5F5DEEDE" w14:textId="77777777" w:rsidR="00A677E8" w:rsidRPr="009E3DA4" w:rsidRDefault="00A677E8" w:rsidP="00A677E8">
      <w:pPr>
        <w:spacing w:after="240"/>
        <w:ind w:left="720" w:hanging="720"/>
        <w:rPr>
          <w:rFonts w:eastAsia="Times New Roman"/>
          <w:b/>
          <w:sz w:val="24"/>
          <w:szCs w:val="24"/>
        </w:rPr>
      </w:pPr>
      <w:bookmarkStart w:id="14" w:name="a21_15"/>
      <w:bookmarkEnd w:id="14"/>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14:paraId="31A1A62C" w14:textId="2DC3A98F"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xml:space="preserve">, on </w:t>
      </w:r>
      <w:r w:rsidR="009F72BD">
        <w:rPr>
          <w:rFonts w:eastAsia="Times New Roman"/>
          <w:bCs/>
          <w:i/>
          <w:iCs/>
          <w:sz w:val="24"/>
          <w:szCs w:val="24"/>
        </w:rPr>
        <w:t>(insert applicable pronoun)</w:t>
      </w:r>
      <w:r w:rsidRPr="00A677E8">
        <w:rPr>
          <w:rFonts w:eastAsia="Times New Roman"/>
          <w:b/>
          <w:sz w:val="24"/>
          <w:szCs w:val="24"/>
        </w:rPr>
        <w:t xml:space="preserve"> claim of (false imprisonment) (false arrest) if the affirmative defense of a privilege to arrest with a warrant is proved (and you do not find such privilege, if any, was abused). This defense is proved if you find all of the following:</w:t>
      </w:r>
    </w:p>
    <w:p w14:paraId="2170B290"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14:paraId="7B7F0A36" w14:textId="5AD588A6"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2. The plaintiff was the person for whose arrest the warrant was issued (or the plaintiff knew that </w:t>
      </w:r>
      <w:r w:rsidR="009F72BD">
        <w:rPr>
          <w:rFonts w:eastAsia="Times New Roman"/>
          <w:bCs/>
          <w:i/>
          <w:iCs/>
          <w:sz w:val="24"/>
          <w:szCs w:val="24"/>
        </w:rPr>
        <w:t>[insert applicable pronoun]</w:t>
      </w:r>
      <w:r w:rsidRPr="00A677E8">
        <w:rPr>
          <w:rFonts w:eastAsia="Times New Roman"/>
          <w:b/>
          <w:sz w:val="24"/>
          <w:szCs w:val="24"/>
        </w:rPr>
        <w:t xml:space="preserve"> conduct would cause the defendant to assume </w:t>
      </w:r>
      <w:r w:rsidR="001115BB">
        <w:rPr>
          <w:rFonts w:eastAsia="Times New Roman"/>
          <w:bCs/>
          <w:i/>
          <w:iCs/>
          <w:sz w:val="24"/>
          <w:szCs w:val="24"/>
        </w:rPr>
        <w:t>[insert applicable pronoun]</w:t>
      </w:r>
      <w:r w:rsidRPr="00A677E8">
        <w:rPr>
          <w:rFonts w:eastAsia="Times New Roman"/>
          <w:b/>
          <w:sz w:val="24"/>
          <w:szCs w:val="24"/>
        </w:rPr>
        <w:t xml:space="preserve"> was);</w:t>
      </w:r>
    </w:p>
    <w:p w14:paraId="53B7B9E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14:paraId="4A635ED5" w14:textId="488894FD"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4. (The defendant had possession of the warrant at the time of the arrest and </w:t>
      </w:r>
      <w:r w:rsidR="001115BB">
        <w:rPr>
          <w:rFonts w:eastAsia="Times New Roman"/>
          <w:bCs/>
          <w:i/>
          <w:iCs/>
          <w:sz w:val="24"/>
          <w:szCs w:val="24"/>
        </w:rPr>
        <w:t>[insert applicable pronoun]</w:t>
      </w:r>
      <w:r w:rsidRPr="00A677E8">
        <w:rPr>
          <w:rFonts w:eastAsia="Times New Roman"/>
          <w:b/>
          <w:sz w:val="24"/>
          <w:szCs w:val="24"/>
        </w:rPr>
        <w:t xml:space="preserve"> showed it to the plaintiff immediately upon plaintiff’s request, if any) (or) (if defendant did not have possession of the warrant, </w:t>
      </w:r>
      <w:r w:rsidR="001115BB">
        <w:rPr>
          <w:rFonts w:eastAsia="Times New Roman"/>
          <w:bCs/>
          <w:i/>
          <w:iCs/>
          <w:sz w:val="24"/>
          <w:szCs w:val="24"/>
        </w:rPr>
        <w:t>[insert applicable pronoun]</w:t>
      </w:r>
      <w:r w:rsidRPr="00A677E8">
        <w:rPr>
          <w:rFonts w:eastAsia="Times New Roman"/>
          <w:b/>
          <w:sz w:val="24"/>
          <w:szCs w:val="24"/>
        </w:rPr>
        <w:t xml:space="preserve"> informed plaintiff of the alleged offense and that a warrant had been issued and that upon the plaintiff’s request </w:t>
      </w:r>
      <w:r w:rsidR="001115BB">
        <w:rPr>
          <w:rFonts w:eastAsia="Times New Roman"/>
          <w:bCs/>
          <w:i/>
          <w:iCs/>
          <w:sz w:val="24"/>
          <w:szCs w:val="24"/>
        </w:rPr>
        <w:t>[insert applicable pronoun]</w:t>
      </w:r>
      <w:r w:rsidRPr="00A677E8">
        <w:rPr>
          <w:rFonts w:eastAsia="Times New Roman"/>
          <w:b/>
          <w:sz w:val="24"/>
          <w:szCs w:val="24"/>
        </w:rPr>
        <w:t xml:space="preserve"> would show </w:t>
      </w:r>
      <w:r w:rsidR="001115BB">
        <w:rPr>
          <w:rFonts w:eastAsia="Times New Roman"/>
          <w:bCs/>
          <w:i/>
          <w:iCs/>
          <w:sz w:val="24"/>
          <w:szCs w:val="24"/>
        </w:rPr>
        <w:t>[insert applicable pronoun]</w:t>
      </w:r>
      <w:r w:rsidRPr="00A677E8">
        <w:rPr>
          <w:rFonts w:eastAsia="Times New Roman"/>
          <w:b/>
          <w:sz w:val="24"/>
          <w:szCs w:val="24"/>
        </w:rPr>
        <w:t xml:space="preserve"> the warrant as soon as possible);</w:t>
      </w:r>
    </w:p>
    <w:p w14:paraId="6139E6A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14:paraId="05523CE9" w14:textId="175D1DA9"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6. The defendant indicated </w:t>
      </w:r>
      <w:r w:rsidR="001115BB">
        <w:rPr>
          <w:rFonts w:eastAsia="Times New Roman"/>
          <w:bCs/>
          <w:i/>
          <w:iCs/>
          <w:sz w:val="24"/>
          <w:szCs w:val="24"/>
        </w:rPr>
        <w:t>(insert applicable pronoun)</w:t>
      </w:r>
      <w:r w:rsidRPr="00A677E8">
        <w:rPr>
          <w:rFonts w:eastAsia="Times New Roman"/>
          <w:b/>
          <w:sz w:val="24"/>
          <w:szCs w:val="24"/>
        </w:rPr>
        <w:t xml:space="preserve"> intent to arrest the plaintiff by </w:t>
      </w:r>
      <w:r w:rsidR="001115BB">
        <w:rPr>
          <w:rFonts w:eastAsia="Times New Roman"/>
          <w:bCs/>
          <w:i/>
          <w:iCs/>
          <w:sz w:val="24"/>
          <w:szCs w:val="24"/>
        </w:rPr>
        <w:t>(insert applicable pronoun)</w:t>
      </w:r>
      <w:r w:rsidRPr="00A677E8">
        <w:rPr>
          <w:rFonts w:eastAsia="Times New Roman"/>
          <w:b/>
          <w:sz w:val="24"/>
          <w:szCs w:val="24"/>
        </w:rPr>
        <w:t xml:space="preserve"> appearance, words, or conduct (or if the defendant did not have to indicate that intent at the time of the arrest, </w:t>
      </w:r>
      <w:r w:rsidR="001115BB">
        <w:rPr>
          <w:rFonts w:eastAsia="Times New Roman"/>
          <w:bCs/>
          <w:i/>
          <w:iCs/>
          <w:sz w:val="24"/>
          <w:szCs w:val="24"/>
        </w:rPr>
        <w:t>[insert applicable pronoun]</w:t>
      </w:r>
      <w:r w:rsidRPr="00A677E8">
        <w:rPr>
          <w:rFonts w:eastAsia="Times New Roman"/>
          <w:b/>
          <w:sz w:val="24"/>
          <w:szCs w:val="24"/>
        </w:rPr>
        <w:t xml:space="preserve"> did so at the first reasonable opportunity).</w:t>
      </w:r>
    </w:p>
    <w:p w14:paraId="3EF75883" w14:textId="77777777" w:rsidR="00A677E8" w:rsidRDefault="00A677E8" w:rsidP="00A677E8">
      <w:pPr>
        <w:jc w:val="center"/>
        <w:rPr>
          <w:rFonts w:eastAsia="Times New Roman"/>
          <w:sz w:val="24"/>
          <w:szCs w:val="24"/>
        </w:rPr>
      </w:pPr>
    </w:p>
    <w:p w14:paraId="320B7754"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7CED8DE8"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14:paraId="4069E68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14:paraId="39BEB75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14:paraId="648D6C8F"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4. Depending on the circumstances, other appropriate instructions, for example, Instruction 21:16, explaining when an indication of an intent to make an arrest may be excused, should be given with this instruction.</w:t>
      </w:r>
    </w:p>
    <w:p w14:paraId="208A9AD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14:paraId="0064063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14:paraId="184F8EC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14:paraId="3F261D00"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14:paraId="343358A2"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14:paraId="30DBFD6B"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295BF0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14:paraId="45CF0CA5" w14:textId="77777777" w:rsidR="00A677E8" w:rsidRDefault="00A677E8">
      <w:pPr>
        <w:rPr>
          <w:rFonts w:eastAsia="Times New Roman"/>
          <w:sz w:val="24"/>
          <w:szCs w:val="24"/>
        </w:rPr>
      </w:pPr>
      <w:r>
        <w:rPr>
          <w:rFonts w:eastAsia="Times New Roman"/>
          <w:sz w:val="24"/>
          <w:szCs w:val="24"/>
        </w:rPr>
        <w:br w:type="page"/>
      </w:r>
    </w:p>
    <w:p w14:paraId="3324F541" w14:textId="77777777" w:rsidR="00A677E8" w:rsidRPr="009E3DA4" w:rsidRDefault="00AF40E1" w:rsidP="00A677E8">
      <w:pPr>
        <w:spacing w:after="240"/>
        <w:ind w:left="720" w:hanging="720"/>
        <w:rPr>
          <w:rFonts w:eastAsia="Times New Roman"/>
          <w:b/>
          <w:sz w:val="24"/>
          <w:szCs w:val="24"/>
        </w:rPr>
      </w:pPr>
      <w:bookmarkStart w:id="15" w:name="a21_16"/>
      <w:bookmarkEnd w:id="15"/>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14:paraId="2BE18AE4"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14:paraId="069A2339"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14:paraId="624605B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14:paraId="3357212B"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14:paraId="30A02B9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14:paraId="0BB5FA55" w14:textId="77777777" w:rsidR="00A677E8" w:rsidRDefault="00A677E8" w:rsidP="00A677E8">
      <w:pPr>
        <w:jc w:val="center"/>
        <w:rPr>
          <w:rFonts w:eastAsia="Times New Roman"/>
          <w:sz w:val="24"/>
          <w:szCs w:val="24"/>
        </w:rPr>
      </w:pPr>
    </w:p>
    <w:p w14:paraId="5F514F9E"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4D6837D7" w14:textId="6A479962"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with Instructions 21:10, 21:11, and 21:15.</w:t>
      </w:r>
    </w:p>
    <w:p w14:paraId="32330BF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14:paraId="6B5F1344"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14:paraId="3973004E"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BDF79B2"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14:paraId="174C4E7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14:paraId="656B4342" w14:textId="77777777" w:rsidR="002D0987" w:rsidRDefault="002D0987">
      <w:pPr>
        <w:rPr>
          <w:rFonts w:eastAsia="Times New Roman"/>
          <w:sz w:val="24"/>
          <w:szCs w:val="24"/>
        </w:rPr>
      </w:pPr>
      <w:r>
        <w:rPr>
          <w:rFonts w:eastAsia="Times New Roman"/>
          <w:sz w:val="24"/>
          <w:szCs w:val="24"/>
        </w:rPr>
        <w:br w:type="page"/>
      </w:r>
    </w:p>
    <w:p w14:paraId="5F0029DE" w14:textId="77777777" w:rsidR="002D0987" w:rsidRPr="009E3DA4" w:rsidRDefault="002D0987" w:rsidP="002D0987">
      <w:pPr>
        <w:spacing w:after="240"/>
        <w:ind w:left="720" w:hanging="720"/>
        <w:rPr>
          <w:rFonts w:eastAsia="Times New Roman"/>
          <w:b/>
          <w:sz w:val="24"/>
          <w:szCs w:val="24"/>
        </w:rPr>
      </w:pPr>
      <w:bookmarkStart w:id="16" w:name="a21_17"/>
      <w:bookmarkEnd w:id="16"/>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14:paraId="24532342" w14:textId="77777777"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14:paraId="247C6D40" w14:textId="77777777" w:rsidR="002D0987" w:rsidRDefault="002D0987" w:rsidP="002D0987">
      <w:pPr>
        <w:jc w:val="center"/>
        <w:rPr>
          <w:rFonts w:eastAsia="Times New Roman"/>
          <w:sz w:val="24"/>
          <w:szCs w:val="24"/>
        </w:rPr>
      </w:pPr>
    </w:p>
    <w:p w14:paraId="5477F4A9"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18F1CB0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14:paraId="0F06273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14:paraId="7A1ACC0E"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711330F1" w14:textId="772F25B8"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r w:rsidR="00FE4183">
        <w:rPr>
          <w:rFonts w:eastAsia="Times New Roman"/>
          <w:sz w:val="24"/>
          <w:szCs w:val="24"/>
        </w:rPr>
        <w:t xml:space="preserve">, </w:t>
      </w:r>
      <w:r w:rsidR="00FE4183">
        <w:rPr>
          <w:rFonts w:eastAsia="Times New Roman"/>
          <w:i/>
          <w:iCs/>
          <w:sz w:val="24"/>
          <w:szCs w:val="24"/>
        </w:rPr>
        <w:t>superseded by statute on other grounds as stated i</w:t>
      </w:r>
      <w:r w:rsidR="00675CE1">
        <w:rPr>
          <w:rFonts w:eastAsia="Times New Roman"/>
          <w:i/>
          <w:iCs/>
          <w:sz w:val="24"/>
          <w:szCs w:val="24"/>
        </w:rPr>
        <w:t>n</w:t>
      </w:r>
      <w:r w:rsidR="00675CE1">
        <w:rPr>
          <w:rFonts w:eastAsia="Times New Roman"/>
          <w:sz w:val="24"/>
          <w:szCs w:val="24"/>
        </w:rPr>
        <w:t xml:space="preserve"> </w:t>
      </w:r>
      <w:r w:rsidR="00FE4183" w:rsidRPr="00823D85">
        <w:rPr>
          <w:rFonts w:eastAsia="Times New Roman"/>
          <w:b/>
          <w:bCs/>
          <w:sz w:val="24"/>
          <w:szCs w:val="24"/>
        </w:rPr>
        <w:t>People v. Woods</w:t>
      </w:r>
      <w:r w:rsidR="00FE4183" w:rsidRPr="00FE4183">
        <w:rPr>
          <w:rFonts w:eastAsia="Times New Roman"/>
          <w:sz w:val="24"/>
          <w:szCs w:val="24"/>
        </w:rPr>
        <w:t>,</w:t>
      </w:r>
      <w:r w:rsidR="00FE4183">
        <w:rPr>
          <w:rFonts w:eastAsia="Times New Roman"/>
          <w:sz w:val="24"/>
          <w:szCs w:val="24"/>
        </w:rPr>
        <w:t xml:space="preserve"> 885 P.2d 287 (Colo App. 1994)</w:t>
      </w:r>
      <w:r w:rsidRPr="002D0987">
        <w:rPr>
          <w:rFonts w:eastAsia="Times New Roman"/>
          <w:sz w:val="24"/>
          <w:szCs w:val="24"/>
        </w:rPr>
        <w:t>.</w:t>
      </w:r>
    </w:p>
    <w:p w14:paraId="08497122"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14:paraId="0485E84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14:paraId="202C340C"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5AD584C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14:paraId="4C54A183"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14:paraId="65C4EDC9"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14:paraId="4EE337FF"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14:paraId="7DE814C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14:paraId="4B7188F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14:paraId="5D9FEC4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14:paraId="5B375DDE"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7618E8D5"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14:paraId="34A935C1"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14:paraId="5A80090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14:paraId="7CE80CB0"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14:paraId="6D3BBB6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14:paraId="2790C41F" w14:textId="77777777" w:rsidR="002D0987" w:rsidRDefault="002D0987">
      <w:pPr>
        <w:rPr>
          <w:rFonts w:eastAsia="Times New Roman"/>
          <w:sz w:val="24"/>
          <w:szCs w:val="24"/>
        </w:rPr>
      </w:pPr>
      <w:r>
        <w:rPr>
          <w:rFonts w:eastAsia="Times New Roman"/>
          <w:sz w:val="24"/>
          <w:szCs w:val="24"/>
        </w:rPr>
        <w:br w:type="page"/>
      </w:r>
    </w:p>
    <w:p w14:paraId="77C0962D" w14:textId="77777777" w:rsidR="002D0987" w:rsidRPr="009E3DA4" w:rsidRDefault="005B27FE" w:rsidP="002D0987">
      <w:pPr>
        <w:spacing w:after="240"/>
        <w:ind w:left="720" w:hanging="720"/>
        <w:rPr>
          <w:rFonts w:eastAsia="Times New Roman"/>
          <w:b/>
          <w:sz w:val="24"/>
          <w:szCs w:val="24"/>
        </w:rPr>
      </w:pPr>
      <w:bookmarkStart w:id="17" w:name="a21_18"/>
      <w:bookmarkEnd w:id="17"/>
      <w:r w:rsidRPr="005B27FE">
        <w:rPr>
          <w:rFonts w:eastAsia="Times New Roman"/>
          <w:b/>
          <w:sz w:val="24"/>
          <w:szCs w:val="24"/>
        </w:rPr>
        <w:lastRenderedPageBreak/>
        <w:t xml:space="preserve">21:18 </w:t>
      </w:r>
      <w:r w:rsidRPr="005B27FE">
        <w:rPr>
          <w:rFonts w:eastAsia="Times New Roman"/>
          <w:b/>
          <w:sz w:val="24"/>
          <w:szCs w:val="24"/>
        </w:rPr>
        <w:tab/>
        <w:t>GUILT OF PERSON ARRESTED</w:t>
      </w:r>
    </w:p>
    <w:p w14:paraId="324E300A" w14:textId="670868B6"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xml:space="preserve">, if the affirmative defense of the guilt of the person arrested is proved. This defense is proved if you find the plaintiff (pleaded guilty to) (or) (was convicted of) the criminal offense for which </w:t>
      </w:r>
      <w:r w:rsidR="009F72BD">
        <w:rPr>
          <w:rFonts w:eastAsia="Times New Roman"/>
          <w:bCs/>
          <w:i/>
          <w:iCs/>
          <w:sz w:val="24"/>
          <w:szCs w:val="24"/>
        </w:rPr>
        <w:t>(insert applicable pronoun)</w:t>
      </w:r>
      <w:r w:rsidRPr="005B27FE">
        <w:rPr>
          <w:rFonts w:eastAsia="Times New Roman"/>
          <w:b/>
          <w:sz w:val="24"/>
          <w:szCs w:val="24"/>
        </w:rPr>
        <w:t xml:space="preserve"> was arrested.</w:t>
      </w:r>
    </w:p>
    <w:p w14:paraId="7C95B47D" w14:textId="77777777" w:rsidR="002D0987" w:rsidRDefault="002D0987" w:rsidP="002D0987">
      <w:pPr>
        <w:jc w:val="center"/>
        <w:rPr>
          <w:rFonts w:eastAsia="Times New Roman"/>
          <w:sz w:val="24"/>
          <w:szCs w:val="24"/>
        </w:rPr>
      </w:pPr>
    </w:p>
    <w:p w14:paraId="163A1CD8"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4E7140A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14:paraId="69C9B9E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14:paraId="7AEEBDF1"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33F9C8A1"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14:paraId="1092888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14:paraId="608D6EAD" w14:textId="77777777" w:rsidR="005B27FE" w:rsidRDefault="005B27FE">
      <w:pPr>
        <w:rPr>
          <w:rFonts w:eastAsia="Times New Roman"/>
          <w:sz w:val="24"/>
          <w:szCs w:val="24"/>
        </w:rPr>
      </w:pPr>
      <w:r>
        <w:rPr>
          <w:rFonts w:eastAsia="Times New Roman"/>
          <w:sz w:val="24"/>
          <w:szCs w:val="24"/>
        </w:rPr>
        <w:br w:type="page"/>
      </w:r>
    </w:p>
    <w:p w14:paraId="2CDBBA71" w14:textId="77777777" w:rsidR="005B27FE" w:rsidRPr="009E3DA4" w:rsidRDefault="005B27FE" w:rsidP="005B27FE">
      <w:pPr>
        <w:spacing w:after="240"/>
        <w:ind w:left="720" w:hanging="720"/>
        <w:rPr>
          <w:rFonts w:eastAsia="Times New Roman"/>
          <w:b/>
          <w:sz w:val="24"/>
          <w:szCs w:val="24"/>
        </w:rPr>
      </w:pPr>
      <w:bookmarkStart w:id="18" w:name="a21_19"/>
      <w:bookmarkEnd w:id="18"/>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14:paraId="048C417E"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14:paraId="13B93A58"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14:paraId="440004F4"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14:paraId="4FCAED51" w14:textId="77777777" w:rsidR="005B27FE" w:rsidRDefault="005B27FE" w:rsidP="005B27FE">
      <w:pPr>
        <w:jc w:val="center"/>
        <w:rPr>
          <w:rFonts w:eastAsia="Times New Roman"/>
          <w:sz w:val="24"/>
          <w:szCs w:val="24"/>
        </w:rPr>
      </w:pPr>
    </w:p>
    <w:p w14:paraId="36FF0CC0" w14:textId="77777777"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14:paraId="7198F0C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14:paraId="135AB427"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14:paraId="19BE015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14:paraId="2945C018" w14:textId="77777777"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14:paraId="73E7249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14:paraId="0574C1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14:paraId="6B36E27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14:paraId="339BAA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14:paraId="75EFA3F5"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14:paraId="0571EA8A"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14:paraId="7E3F5F69"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14:paraId="603C3096" w14:textId="77777777" w:rsidR="00FE1F3D" w:rsidRPr="004D2C99" w:rsidRDefault="00FE1F3D" w:rsidP="006053F6">
      <w:pPr>
        <w:spacing w:after="240"/>
        <w:ind w:firstLine="720"/>
        <w:rPr>
          <w:rFonts w:eastAsia="Times New Roman"/>
          <w:sz w:val="24"/>
          <w:szCs w:val="24"/>
        </w:rPr>
      </w:pPr>
    </w:p>
    <w:sectPr w:rsidR="00FE1F3D" w:rsidRPr="004D2C99" w:rsidSect="0054263B">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5EB8" w14:textId="77777777" w:rsidR="00DF7E17" w:rsidRDefault="00DF7E17" w:rsidP="0054263B">
      <w:r>
        <w:separator/>
      </w:r>
    </w:p>
    <w:p w14:paraId="5C4458C3" w14:textId="77777777" w:rsidR="00DF7E17" w:rsidRDefault="00DF7E17"/>
  </w:endnote>
  <w:endnote w:type="continuationSeparator" w:id="0">
    <w:p w14:paraId="48EA44CC" w14:textId="77777777" w:rsidR="00DF7E17" w:rsidRDefault="00DF7E17" w:rsidP="0054263B">
      <w:r>
        <w:continuationSeparator/>
      </w:r>
    </w:p>
    <w:p w14:paraId="5E5E1C93" w14:textId="77777777" w:rsidR="00DF7E17" w:rsidRDefault="00DF7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9A71" w14:textId="3BFEE527" w:rsidR="002648C1" w:rsidRDefault="002648C1" w:rsidP="0067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34B" w14:textId="77777777" w:rsidR="00952451" w:rsidRDefault="00952451">
    <w:pPr>
      <w:pStyle w:val="Footer"/>
      <w:jc w:val="center"/>
    </w:pPr>
    <w:r>
      <w:fldChar w:fldCharType="begin"/>
    </w:r>
    <w:r>
      <w:instrText xml:space="preserve"> PAGE   \* MERGEFORMAT </w:instrText>
    </w:r>
    <w:r>
      <w:fldChar w:fldCharType="separate"/>
    </w:r>
    <w:r w:rsidR="00AB529B">
      <w:rPr>
        <w:noProof/>
      </w:rPr>
      <w:t>3</w:t>
    </w:r>
    <w:r>
      <w:rPr>
        <w:noProof/>
      </w:rPr>
      <w:fldChar w:fldCharType="end"/>
    </w:r>
  </w:p>
  <w:p w14:paraId="3D638CB2" w14:textId="77777777" w:rsidR="00952451" w:rsidRDefault="0095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3845" w14:textId="77777777" w:rsidR="00DF7E17" w:rsidRDefault="00DF7E17" w:rsidP="0054263B">
      <w:r>
        <w:separator/>
      </w:r>
    </w:p>
    <w:p w14:paraId="3ADD9FAF" w14:textId="77777777" w:rsidR="00DF7E17" w:rsidRDefault="00DF7E17"/>
  </w:footnote>
  <w:footnote w:type="continuationSeparator" w:id="0">
    <w:p w14:paraId="3C90F1AA" w14:textId="77777777" w:rsidR="00DF7E17" w:rsidRDefault="00DF7E17" w:rsidP="0054263B">
      <w:r>
        <w:continuationSeparator/>
      </w:r>
    </w:p>
    <w:p w14:paraId="1F93CFAA" w14:textId="77777777" w:rsidR="00DF7E17" w:rsidRDefault="00DF7E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786422">
    <w:abstractNumId w:val="0"/>
  </w:num>
  <w:num w:numId="2" w16cid:durableId="26165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0CF1"/>
    <w:rsid w:val="00037111"/>
    <w:rsid w:val="000518B2"/>
    <w:rsid w:val="0006367C"/>
    <w:rsid w:val="000671D2"/>
    <w:rsid w:val="000714BF"/>
    <w:rsid w:val="00074558"/>
    <w:rsid w:val="000824C8"/>
    <w:rsid w:val="00084CBB"/>
    <w:rsid w:val="00085495"/>
    <w:rsid w:val="000921F1"/>
    <w:rsid w:val="0009462F"/>
    <w:rsid w:val="000962C8"/>
    <w:rsid w:val="000A040F"/>
    <w:rsid w:val="000B1B7A"/>
    <w:rsid w:val="000B3FBF"/>
    <w:rsid w:val="000C204E"/>
    <w:rsid w:val="000C503A"/>
    <w:rsid w:val="000C6F97"/>
    <w:rsid w:val="000D4856"/>
    <w:rsid w:val="000E52D8"/>
    <w:rsid w:val="000F205C"/>
    <w:rsid w:val="001115BB"/>
    <w:rsid w:val="001117D9"/>
    <w:rsid w:val="00112C8E"/>
    <w:rsid w:val="00112FF9"/>
    <w:rsid w:val="00125209"/>
    <w:rsid w:val="00126B7A"/>
    <w:rsid w:val="00144917"/>
    <w:rsid w:val="001608FF"/>
    <w:rsid w:val="00162176"/>
    <w:rsid w:val="0016520C"/>
    <w:rsid w:val="001671A9"/>
    <w:rsid w:val="00172674"/>
    <w:rsid w:val="00172700"/>
    <w:rsid w:val="00174BB5"/>
    <w:rsid w:val="0018037B"/>
    <w:rsid w:val="0018388B"/>
    <w:rsid w:val="001903CB"/>
    <w:rsid w:val="001913B1"/>
    <w:rsid w:val="00191498"/>
    <w:rsid w:val="00191C86"/>
    <w:rsid w:val="001A2648"/>
    <w:rsid w:val="001A6D48"/>
    <w:rsid w:val="001B416B"/>
    <w:rsid w:val="001D04E0"/>
    <w:rsid w:val="001E0F3B"/>
    <w:rsid w:val="001E2565"/>
    <w:rsid w:val="001F0193"/>
    <w:rsid w:val="001F2B1A"/>
    <w:rsid w:val="00200BA5"/>
    <w:rsid w:val="00202B81"/>
    <w:rsid w:val="002065D8"/>
    <w:rsid w:val="0021368F"/>
    <w:rsid w:val="0021730E"/>
    <w:rsid w:val="00217435"/>
    <w:rsid w:val="0022134E"/>
    <w:rsid w:val="00223286"/>
    <w:rsid w:val="00227D3A"/>
    <w:rsid w:val="00231F04"/>
    <w:rsid w:val="0024062B"/>
    <w:rsid w:val="0024597C"/>
    <w:rsid w:val="002547C3"/>
    <w:rsid w:val="002648C1"/>
    <w:rsid w:val="002654B4"/>
    <w:rsid w:val="00267805"/>
    <w:rsid w:val="00273777"/>
    <w:rsid w:val="00287B90"/>
    <w:rsid w:val="00290935"/>
    <w:rsid w:val="00291DA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229D"/>
    <w:rsid w:val="0032367C"/>
    <w:rsid w:val="003247EA"/>
    <w:rsid w:val="003259EE"/>
    <w:rsid w:val="00333886"/>
    <w:rsid w:val="00335934"/>
    <w:rsid w:val="00336CE4"/>
    <w:rsid w:val="00345533"/>
    <w:rsid w:val="00352111"/>
    <w:rsid w:val="00352433"/>
    <w:rsid w:val="00352696"/>
    <w:rsid w:val="00353044"/>
    <w:rsid w:val="00353523"/>
    <w:rsid w:val="003613FE"/>
    <w:rsid w:val="00361794"/>
    <w:rsid w:val="00373707"/>
    <w:rsid w:val="00382177"/>
    <w:rsid w:val="003837B6"/>
    <w:rsid w:val="003937B8"/>
    <w:rsid w:val="003A2F1C"/>
    <w:rsid w:val="003A5A75"/>
    <w:rsid w:val="003C3CD2"/>
    <w:rsid w:val="003D027F"/>
    <w:rsid w:val="003D1B54"/>
    <w:rsid w:val="003D370E"/>
    <w:rsid w:val="003E472A"/>
    <w:rsid w:val="003E5B38"/>
    <w:rsid w:val="003F108C"/>
    <w:rsid w:val="003F6E89"/>
    <w:rsid w:val="00421763"/>
    <w:rsid w:val="00434371"/>
    <w:rsid w:val="00436DCB"/>
    <w:rsid w:val="004425AA"/>
    <w:rsid w:val="00456038"/>
    <w:rsid w:val="00456B2B"/>
    <w:rsid w:val="00462EE5"/>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4B28"/>
    <w:rsid w:val="0053544D"/>
    <w:rsid w:val="0054263B"/>
    <w:rsid w:val="00547D97"/>
    <w:rsid w:val="00550AFD"/>
    <w:rsid w:val="005510C5"/>
    <w:rsid w:val="00557FCC"/>
    <w:rsid w:val="005648EF"/>
    <w:rsid w:val="00567066"/>
    <w:rsid w:val="00575A89"/>
    <w:rsid w:val="0057771F"/>
    <w:rsid w:val="005A22A6"/>
    <w:rsid w:val="005B27FE"/>
    <w:rsid w:val="005B3A78"/>
    <w:rsid w:val="005C56C9"/>
    <w:rsid w:val="005C5CCB"/>
    <w:rsid w:val="005D1AD3"/>
    <w:rsid w:val="005D3156"/>
    <w:rsid w:val="005E3FE5"/>
    <w:rsid w:val="005E712D"/>
    <w:rsid w:val="005F1017"/>
    <w:rsid w:val="005F19FD"/>
    <w:rsid w:val="005F5A94"/>
    <w:rsid w:val="00604F03"/>
    <w:rsid w:val="006053F6"/>
    <w:rsid w:val="006272FE"/>
    <w:rsid w:val="00631BFF"/>
    <w:rsid w:val="0064201A"/>
    <w:rsid w:val="00642649"/>
    <w:rsid w:val="00647CC5"/>
    <w:rsid w:val="00651A64"/>
    <w:rsid w:val="00661D05"/>
    <w:rsid w:val="006628BF"/>
    <w:rsid w:val="00675252"/>
    <w:rsid w:val="00675CE1"/>
    <w:rsid w:val="00682B93"/>
    <w:rsid w:val="0068336D"/>
    <w:rsid w:val="00683FA1"/>
    <w:rsid w:val="00685E76"/>
    <w:rsid w:val="00687304"/>
    <w:rsid w:val="006977E6"/>
    <w:rsid w:val="00697DF2"/>
    <w:rsid w:val="006A74B6"/>
    <w:rsid w:val="006B2457"/>
    <w:rsid w:val="006B26D7"/>
    <w:rsid w:val="006E0D06"/>
    <w:rsid w:val="006E3575"/>
    <w:rsid w:val="006E62F0"/>
    <w:rsid w:val="006F0C30"/>
    <w:rsid w:val="006F7581"/>
    <w:rsid w:val="006F7DC0"/>
    <w:rsid w:val="00702B5A"/>
    <w:rsid w:val="0070752A"/>
    <w:rsid w:val="007119D8"/>
    <w:rsid w:val="0071225B"/>
    <w:rsid w:val="00713866"/>
    <w:rsid w:val="00716F96"/>
    <w:rsid w:val="007216DA"/>
    <w:rsid w:val="00724230"/>
    <w:rsid w:val="00726E21"/>
    <w:rsid w:val="007340B5"/>
    <w:rsid w:val="007532AB"/>
    <w:rsid w:val="007634B6"/>
    <w:rsid w:val="00766F81"/>
    <w:rsid w:val="00770FFC"/>
    <w:rsid w:val="0077709B"/>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23D85"/>
    <w:rsid w:val="0083035A"/>
    <w:rsid w:val="008317FB"/>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32A"/>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82C6E"/>
    <w:rsid w:val="00986882"/>
    <w:rsid w:val="009902F2"/>
    <w:rsid w:val="00991249"/>
    <w:rsid w:val="009931B9"/>
    <w:rsid w:val="009A0AEB"/>
    <w:rsid w:val="009A5A6D"/>
    <w:rsid w:val="009A5AA6"/>
    <w:rsid w:val="009A5B9F"/>
    <w:rsid w:val="009B6746"/>
    <w:rsid w:val="009C0C3F"/>
    <w:rsid w:val="009C22CA"/>
    <w:rsid w:val="009E20C7"/>
    <w:rsid w:val="009E3DA4"/>
    <w:rsid w:val="009F581C"/>
    <w:rsid w:val="009F72BD"/>
    <w:rsid w:val="00A005E6"/>
    <w:rsid w:val="00A06ED6"/>
    <w:rsid w:val="00A10F3D"/>
    <w:rsid w:val="00A110C7"/>
    <w:rsid w:val="00A277FB"/>
    <w:rsid w:val="00A36457"/>
    <w:rsid w:val="00A37FC1"/>
    <w:rsid w:val="00A50F20"/>
    <w:rsid w:val="00A615D8"/>
    <w:rsid w:val="00A632A0"/>
    <w:rsid w:val="00A65981"/>
    <w:rsid w:val="00A677E8"/>
    <w:rsid w:val="00A73AE6"/>
    <w:rsid w:val="00A76341"/>
    <w:rsid w:val="00A80BB7"/>
    <w:rsid w:val="00A80C10"/>
    <w:rsid w:val="00A82D0A"/>
    <w:rsid w:val="00A85AAA"/>
    <w:rsid w:val="00A92C18"/>
    <w:rsid w:val="00AB2019"/>
    <w:rsid w:val="00AB529B"/>
    <w:rsid w:val="00AB71A7"/>
    <w:rsid w:val="00AC78F7"/>
    <w:rsid w:val="00AD4B56"/>
    <w:rsid w:val="00AF40E1"/>
    <w:rsid w:val="00AF7D47"/>
    <w:rsid w:val="00B0264D"/>
    <w:rsid w:val="00B312BE"/>
    <w:rsid w:val="00B338E2"/>
    <w:rsid w:val="00B35185"/>
    <w:rsid w:val="00B36306"/>
    <w:rsid w:val="00B37722"/>
    <w:rsid w:val="00B567C1"/>
    <w:rsid w:val="00B579DF"/>
    <w:rsid w:val="00B6275E"/>
    <w:rsid w:val="00B63167"/>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0E92"/>
    <w:rsid w:val="00BF5DF3"/>
    <w:rsid w:val="00C0082E"/>
    <w:rsid w:val="00C12FAF"/>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1F39"/>
    <w:rsid w:val="00D16901"/>
    <w:rsid w:val="00D22995"/>
    <w:rsid w:val="00D23BD0"/>
    <w:rsid w:val="00D333AA"/>
    <w:rsid w:val="00D347CA"/>
    <w:rsid w:val="00D51E80"/>
    <w:rsid w:val="00D53848"/>
    <w:rsid w:val="00D53AC5"/>
    <w:rsid w:val="00D545F2"/>
    <w:rsid w:val="00D5484F"/>
    <w:rsid w:val="00D6566B"/>
    <w:rsid w:val="00D705AC"/>
    <w:rsid w:val="00D8125F"/>
    <w:rsid w:val="00D90E67"/>
    <w:rsid w:val="00D94641"/>
    <w:rsid w:val="00DA1796"/>
    <w:rsid w:val="00DA2814"/>
    <w:rsid w:val="00DB2C90"/>
    <w:rsid w:val="00DC0393"/>
    <w:rsid w:val="00DC63A9"/>
    <w:rsid w:val="00DC66A6"/>
    <w:rsid w:val="00DC7533"/>
    <w:rsid w:val="00DD52BF"/>
    <w:rsid w:val="00DE2930"/>
    <w:rsid w:val="00DF2CB7"/>
    <w:rsid w:val="00DF3BF1"/>
    <w:rsid w:val="00DF5F16"/>
    <w:rsid w:val="00DF7595"/>
    <w:rsid w:val="00DF7E17"/>
    <w:rsid w:val="00E007F8"/>
    <w:rsid w:val="00E01CC4"/>
    <w:rsid w:val="00E058BA"/>
    <w:rsid w:val="00E111AA"/>
    <w:rsid w:val="00E172C8"/>
    <w:rsid w:val="00E21120"/>
    <w:rsid w:val="00E24E10"/>
    <w:rsid w:val="00E2724A"/>
    <w:rsid w:val="00E30D4B"/>
    <w:rsid w:val="00E360FE"/>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3536"/>
    <w:rsid w:val="00EB5133"/>
    <w:rsid w:val="00EC16F4"/>
    <w:rsid w:val="00EC17E3"/>
    <w:rsid w:val="00EC3919"/>
    <w:rsid w:val="00EC7C98"/>
    <w:rsid w:val="00ED03FE"/>
    <w:rsid w:val="00ED5E52"/>
    <w:rsid w:val="00ED7176"/>
    <w:rsid w:val="00ED75EA"/>
    <w:rsid w:val="00EE1D69"/>
    <w:rsid w:val="00EE73E2"/>
    <w:rsid w:val="00EF0C69"/>
    <w:rsid w:val="00EF1E2D"/>
    <w:rsid w:val="00EF4043"/>
    <w:rsid w:val="00F022D4"/>
    <w:rsid w:val="00F062A4"/>
    <w:rsid w:val="00F17CFE"/>
    <w:rsid w:val="00F3090C"/>
    <w:rsid w:val="00F32AA4"/>
    <w:rsid w:val="00F37D3E"/>
    <w:rsid w:val="00F566DF"/>
    <w:rsid w:val="00F573CF"/>
    <w:rsid w:val="00F57A2B"/>
    <w:rsid w:val="00F658E5"/>
    <w:rsid w:val="00F764F4"/>
    <w:rsid w:val="00F86F49"/>
    <w:rsid w:val="00FA333E"/>
    <w:rsid w:val="00FA7B76"/>
    <w:rsid w:val="00FB62ED"/>
    <w:rsid w:val="00FC4487"/>
    <w:rsid w:val="00FC544C"/>
    <w:rsid w:val="00FD2DF4"/>
    <w:rsid w:val="00FD7D4E"/>
    <w:rsid w:val="00FE00D7"/>
    <w:rsid w:val="00FE156B"/>
    <w:rsid w:val="00FE1F3D"/>
    <w:rsid w:val="00FE4183"/>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5CBD"/>
  <w15:docId w15:val="{20B26471-6B3E-4952-BB67-F7674AF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73707"/>
    <w:rPr>
      <w:sz w:val="22"/>
      <w:szCs w:val="26"/>
    </w:rPr>
  </w:style>
  <w:style w:type="paragraph" w:customStyle="1" w:styleId="DocID">
    <w:name w:val="DocID"/>
    <w:basedOn w:val="Normal"/>
    <w:next w:val="Normal"/>
    <w:qFormat/>
    <w:rsid w:val="002648C1"/>
    <w:pPr>
      <w:spacing w:after="240"/>
    </w:pPr>
    <w:rPr>
      <w:rFonts w:eastAsiaTheme="minorHAnsi"/>
      <w:color w:val="000000" w:themeColor="tex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809808">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10702</Words>
  <Characters>61006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2</cp:revision>
  <dcterms:created xsi:type="dcterms:W3CDTF">2026-02-22T18:29:00Z</dcterms:created>
  <dcterms:modified xsi:type="dcterms:W3CDTF">2026-02-22T18:29:00Z</dcterms:modified>
</cp:coreProperties>
</file>