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B24C" w14:textId="0C4950B9" w:rsidR="00CA41CC" w:rsidRPr="00914128" w:rsidRDefault="0068336D" w:rsidP="00914128">
      <w:pPr>
        <w:pStyle w:val="Heading1"/>
      </w:pPr>
      <w:r>
        <w:t xml:space="preserve">CHAPTER </w:t>
      </w:r>
      <w:r w:rsidR="00A109BC">
        <w:t>18</w:t>
      </w:r>
    </w:p>
    <w:p w14:paraId="1A3004BF" w14:textId="73B30E34" w:rsidR="00EC7C98" w:rsidRPr="00914128" w:rsidRDefault="00167A38" w:rsidP="00914128">
      <w:pPr>
        <w:pStyle w:val="Heading1"/>
      </w:pPr>
      <w:r w:rsidRPr="00167A38">
        <w:t>TRESPASS TO LAND</w:t>
      </w:r>
      <w:r w:rsidR="000D3EDF">
        <w:t xml:space="preserve"> AND PRIVATE NUISANCE</w:t>
      </w:r>
    </w:p>
    <w:p w14:paraId="3F32E608" w14:textId="77777777" w:rsidR="00EC7C98" w:rsidRDefault="003F78F0" w:rsidP="00914128">
      <w:pPr>
        <w:pStyle w:val="ToC"/>
      </w:pPr>
      <w:hyperlink w:anchor="a18_01" w:history="1">
        <w:r w:rsidRPr="00A109BC">
          <w:rPr>
            <w:rStyle w:val="Hyperlink"/>
          </w:rPr>
          <w:t>18:1</w:t>
        </w:r>
      </w:hyperlink>
      <w:r w:rsidRPr="00A109BC">
        <w:tab/>
        <w:t xml:space="preserve">Trespass — Elements </w:t>
      </w:r>
      <w:r>
        <w:t>o</w:t>
      </w:r>
      <w:r w:rsidRPr="00A109BC">
        <w:t>f Liability</w:t>
      </w:r>
    </w:p>
    <w:p w14:paraId="1EAFA829" w14:textId="77777777" w:rsidR="00A109BC" w:rsidRDefault="003F78F0" w:rsidP="00914128">
      <w:pPr>
        <w:pStyle w:val="ToC"/>
      </w:pPr>
      <w:hyperlink w:anchor="a18_02" w:history="1">
        <w:r w:rsidRPr="00A109BC">
          <w:rPr>
            <w:rStyle w:val="Hyperlink"/>
          </w:rPr>
          <w:t>18:2</w:t>
        </w:r>
      </w:hyperlink>
      <w:r>
        <w:tab/>
      </w:r>
      <w:r w:rsidRPr="00A109BC">
        <w:t>Intentionally — Defined</w:t>
      </w:r>
    </w:p>
    <w:p w14:paraId="53D2EBE9" w14:textId="77777777" w:rsidR="00A109BC" w:rsidRDefault="003F78F0" w:rsidP="00914128">
      <w:pPr>
        <w:pStyle w:val="ToC"/>
      </w:pPr>
      <w:hyperlink w:anchor="a18_03" w:history="1">
        <w:r w:rsidRPr="00A109BC">
          <w:rPr>
            <w:rStyle w:val="Hyperlink"/>
          </w:rPr>
          <w:t>18:3</w:t>
        </w:r>
      </w:hyperlink>
      <w:r w:rsidRPr="00A109BC">
        <w:t xml:space="preserve"> </w:t>
      </w:r>
      <w:r w:rsidRPr="00A109BC">
        <w:tab/>
        <w:t>Consent</w:t>
      </w:r>
    </w:p>
    <w:p w14:paraId="5DB11A44" w14:textId="77777777" w:rsidR="00A109BC" w:rsidRDefault="003F78F0" w:rsidP="00914128">
      <w:pPr>
        <w:pStyle w:val="ToC"/>
      </w:pPr>
      <w:hyperlink w:anchor="a18_04" w:history="1">
        <w:r w:rsidRPr="00A109BC">
          <w:rPr>
            <w:rStyle w:val="Hyperlink"/>
          </w:rPr>
          <w:t>18:4</w:t>
        </w:r>
      </w:hyperlink>
      <w:r w:rsidRPr="00A109BC">
        <w:tab/>
        <w:t xml:space="preserve">Actual </w:t>
      </w:r>
      <w:r>
        <w:t>o</w:t>
      </w:r>
      <w:r w:rsidRPr="00A109BC">
        <w:t>r Nominal Damages</w:t>
      </w:r>
    </w:p>
    <w:p w14:paraId="18CD08DD" w14:textId="0B921E55" w:rsidR="00C23BF5" w:rsidRDefault="00C23BF5" w:rsidP="00914128">
      <w:pPr>
        <w:pStyle w:val="ToC"/>
      </w:pPr>
      <w:hyperlink w:anchor="a18_05" w:history="1">
        <w:r w:rsidRPr="00D76E57">
          <w:rPr>
            <w:rStyle w:val="Hyperlink"/>
          </w:rPr>
          <w:t>18:5</w:t>
        </w:r>
      </w:hyperlink>
      <w:r w:rsidRPr="00C23BF5">
        <w:t xml:space="preserve"> </w:t>
      </w:r>
      <w:r w:rsidRPr="00C23BF5">
        <w:tab/>
      </w:r>
      <w:r>
        <w:t>Private Nuisance</w:t>
      </w:r>
      <w:r w:rsidRPr="00C23BF5">
        <w:t xml:space="preserve"> — </w:t>
      </w:r>
      <w:r>
        <w:t>Elements of Liability</w:t>
      </w:r>
    </w:p>
    <w:p w14:paraId="6B2AADAE" w14:textId="1F2E4182" w:rsidR="00CB0CC1" w:rsidRDefault="00CB0CC1" w:rsidP="00CB0CC1">
      <w:pPr>
        <w:pStyle w:val="ToC"/>
      </w:pPr>
      <w:hyperlink w:anchor="a18_06" w:history="1">
        <w:r w:rsidRPr="00D76E57">
          <w:rPr>
            <w:rStyle w:val="Hyperlink"/>
          </w:rPr>
          <w:t>18:6</w:t>
        </w:r>
      </w:hyperlink>
      <w:r w:rsidRPr="00CB0CC1">
        <w:tab/>
      </w:r>
      <w:r>
        <w:t>Intentionally or Negligently</w:t>
      </w:r>
      <w:r w:rsidRPr="00CB0CC1">
        <w:t xml:space="preserve"> — </w:t>
      </w:r>
      <w:r>
        <w:t>Defined</w:t>
      </w:r>
    </w:p>
    <w:p w14:paraId="5C6104F8" w14:textId="2343ACC6" w:rsidR="00CB0CC1" w:rsidRDefault="00CB0CC1" w:rsidP="00CB0CC1">
      <w:pPr>
        <w:pStyle w:val="ToC"/>
      </w:pPr>
      <w:hyperlink w:anchor="a18_07" w:history="1">
        <w:r w:rsidRPr="00D76E57">
          <w:rPr>
            <w:rStyle w:val="Hyperlink"/>
          </w:rPr>
          <w:t>18:7</w:t>
        </w:r>
      </w:hyperlink>
      <w:r w:rsidRPr="00CB0CC1">
        <w:tab/>
      </w:r>
      <w:r>
        <w:t>Actual or Nominal Damages</w:t>
      </w:r>
    </w:p>
    <w:p w14:paraId="3F24D33A" w14:textId="30D80AFF" w:rsidR="00CB0CC1" w:rsidRDefault="00CB0CC1" w:rsidP="00914128">
      <w:pPr>
        <w:pStyle w:val="ToC"/>
      </w:pP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0" w:name="a18_01"/>
      <w:bookmarkEnd w:id="0"/>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0E3DC5BD"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xml:space="preserve">, on </w:t>
      </w:r>
      <w:r w:rsidR="00146121" w:rsidRPr="00146121">
        <w:rPr>
          <w:rFonts w:eastAsia="Times New Roman"/>
          <w:bCs/>
          <w:i/>
          <w:iCs/>
          <w:sz w:val="24"/>
          <w:szCs w:val="24"/>
        </w:rPr>
        <w:t>(insert applicable pronoun)</w:t>
      </w:r>
      <w:r w:rsidRPr="00167A38">
        <w:rPr>
          <w:rFonts w:eastAsia="Times New Roman"/>
          <w:b/>
          <w:sz w:val="24"/>
          <w:szCs w:val="24"/>
        </w:rPr>
        <w:t xml:space="preserve">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B266164" w:rsidR="00167A38" w:rsidRPr="00167A38" w:rsidRDefault="00167A38" w:rsidP="00167A38">
      <w:pPr>
        <w:spacing w:after="240"/>
        <w:ind w:firstLine="720"/>
        <w:rPr>
          <w:rFonts w:eastAsia="Times New Roman"/>
          <w:sz w:val="24"/>
          <w:szCs w:val="24"/>
        </w:rPr>
      </w:pPr>
      <w:r w:rsidRPr="00167A38">
        <w:rPr>
          <w:rFonts w:eastAsia="Times New Roman"/>
          <w:sz w:val="24"/>
          <w:szCs w:val="24"/>
        </w:rPr>
        <w:t>5. Trespass may occur without direct entry: “</w:t>
      </w:r>
      <w:r w:rsidR="00FF68B4" w:rsidRPr="00FF68B4">
        <w:rPr>
          <w:rFonts w:eastAsia="Times New Roman"/>
          <w:sz w:val="24"/>
          <w:szCs w:val="24"/>
        </w:rPr>
        <w:t>A landowner who sets in motion a force which, in the usual course of events, will damage property of another is guilty of a trespass on such property</w:t>
      </w:r>
      <w:r w:rsidRPr="00167A38">
        <w:rPr>
          <w:rFonts w:eastAsia="Times New Roman"/>
          <w:sz w:val="24"/>
          <w:szCs w:val="24"/>
        </w:rPr>
        <w:t>.</w:t>
      </w:r>
      <w:r w:rsidR="00FF68B4">
        <w:rPr>
          <w:rFonts w:eastAsia="Times New Roman"/>
          <w:sz w:val="24"/>
          <w:szCs w:val="24"/>
        </w:rPr>
        <w:t>”</w:t>
      </w:r>
      <w:r w:rsidRPr="00167A38">
        <w:rPr>
          <w:rFonts w:eastAsia="Times New Roman"/>
          <w:sz w:val="24"/>
          <w:szCs w:val="24"/>
        </w:rPr>
        <w:t xml:space="preserve"> </w:t>
      </w:r>
      <w:r w:rsidRPr="00167A38">
        <w:rPr>
          <w:rFonts w:eastAsia="Times New Roman"/>
          <w:b/>
          <w:sz w:val="24"/>
          <w:szCs w:val="24"/>
        </w:rPr>
        <w:t>Hoery</w:t>
      </w:r>
      <w:r w:rsidRPr="00167A38">
        <w:rPr>
          <w:rFonts w:eastAsia="Times New Roman"/>
          <w:sz w:val="24"/>
          <w:szCs w:val="24"/>
        </w:rPr>
        <w:t>, 64 P.3d at 217</w:t>
      </w:r>
      <w:r w:rsidR="0030228D">
        <w:rPr>
          <w:rFonts w:eastAsia="Times New Roman"/>
          <w:sz w:val="24"/>
          <w:szCs w:val="24"/>
        </w:rPr>
        <w:t xml:space="preserve">; </w:t>
      </w:r>
      <w:r w:rsidR="0030228D" w:rsidRPr="00937FEA">
        <w:rPr>
          <w:rFonts w:eastAsia="Times New Roman"/>
          <w:b/>
          <w:bCs/>
          <w:sz w:val="24"/>
          <w:szCs w:val="24"/>
        </w:rPr>
        <w:t>Blakeland Drive Inv</w:t>
      </w:r>
      <w:r w:rsidR="00937FEA">
        <w:rPr>
          <w:rFonts w:eastAsia="Times New Roman"/>
          <w:b/>
          <w:bCs/>
          <w:sz w:val="24"/>
          <w:szCs w:val="24"/>
        </w:rPr>
        <w:t>’</w:t>
      </w:r>
      <w:r w:rsidR="0030228D" w:rsidRPr="00937FEA">
        <w:rPr>
          <w:rFonts w:eastAsia="Times New Roman"/>
          <w:b/>
          <w:bCs/>
          <w:sz w:val="24"/>
          <w:szCs w:val="24"/>
        </w:rPr>
        <w:t>rs, LLP v. Taghavi</w:t>
      </w:r>
      <w:r w:rsidR="0030228D" w:rsidRPr="00937FEA">
        <w:rPr>
          <w:rFonts w:eastAsia="Times New Roman"/>
          <w:sz w:val="24"/>
          <w:szCs w:val="24"/>
        </w:rPr>
        <w:t>, 2023 COA 30M</w:t>
      </w:r>
      <w:r w:rsidR="0030228D">
        <w:rPr>
          <w:rFonts w:eastAsia="Times New Roman"/>
          <w:sz w:val="24"/>
          <w:szCs w:val="24"/>
        </w:rPr>
        <w:t>, ¶</w:t>
      </w:r>
      <w:r w:rsidR="00937FEA">
        <w:rPr>
          <w:rFonts w:eastAsia="Times New Roman"/>
          <w:sz w:val="24"/>
          <w:szCs w:val="24"/>
        </w:rPr>
        <w:t xml:space="preserve">¶ </w:t>
      </w:r>
      <w:r w:rsidR="0030228D">
        <w:rPr>
          <w:rFonts w:eastAsia="Times New Roman"/>
          <w:sz w:val="24"/>
          <w:szCs w:val="24"/>
        </w:rPr>
        <w:t>15</w:t>
      </w:r>
      <w:r w:rsidR="00937FEA">
        <w:rPr>
          <w:rFonts w:eastAsia="Times New Roman"/>
          <w:sz w:val="24"/>
          <w:szCs w:val="24"/>
        </w:rPr>
        <w:t xml:space="preserve">, 36, 532 P.3d 369 </w:t>
      </w:r>
      <w:r w:rsidR="0030228D">
        <w:rPr>
          <w:rFonts w:eastAsia="Times New Roman"/>
          <w:sz w:val="24"/>
          <w:szCs w:val="24"/>
        </w:rPr>
        <w:t>(</w:t>
      </w:r>
      <w:r w:rsidR="00D90972">
        <w:rPr>
          <w:rFonts w:eastAsia="Times New Roman"/>
          <w:sz w:val="24"/>
          <w:szCs w:val="24"/>
        </w:rPr>
        <w:t xml:space="preserve">a continuing </w:t>
      </w:r>
      <w:r w:rsidR="0030228D">
        <w:rPr>
          <w:rFonts w:eastAsia="Times New Roman"/>
          <w:sz w:val="24"/>
          <w:szCs w:val="24"/>
        </w:rPr>
        <w:t>trespass occurred with “the migrating contamination” of BTEX and MTBE on and under plaintiff’s property “through groundwater and soil vapors”).</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1" w:name="a18_02"/>
      <w:bookmarkEnd w:id="1"/>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08333F24"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10316F6F"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004B50BD">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w:t>
      </w:r>
      <w:r w:rsidR="000F3F07">
        <w:rPr>
          <w:rFonts w:eastAsia="Times New Roman"/>
          <w:sz w:val="24"/>
          <w:szCs w:val="24"/>
        </w:rPr>
        <w:t>(a)</w:t>
      </w:r>
      <w:r w:rsidRPr="00B15A7A">
        <w:rPr>
          <w:rFonts w:eastAsia="Times New Roman"/>
          <w:sz w:val="24"/>
          <w:szCs w:val="24"/>
        </w:rPr>
        <w:t xml:space="preserve"> cmt. i (1965): “</w:t>
      </w:r>
      <w:r w:rsidR="000F3F07" w:rsidRPr="000F3F07">
        <w:rPr>
          <w:rFonts w:eastAsia="Times New Roman"/>
          <w:sz w:val="24"/>
          <w:szCs w:val="24"/>
        </w:rPr>
        <w:t>It is enough that an act is done with knowledge that it will to a substantial certainty result in the entry of the foreign matter</w:t>
      </w:r>
      <w:r w:rsidRPr="00B15A7A">
        <w:rPr>
          <w:rFonts w:eastAsia="Times New Roman"/>
          <w:sz w:val="24"/>
          <w:szCs w:val="24"/>
        </w:rPr>
        <w:t xml:space="preserve">.”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2" w:name="a18_03"/>
      <w:bookmarkEnd w:id="2"/>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3904DE8C"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xml:space="preserve">, on </w:t>
      </w:r>
      <w:r w:rsidR="00146121" w:rsidRPr="004F0EE5">
        <w:rPr>
          <w:rFonts w:eastAsia="Times New Roman"/>
          <w:bCs/>
          <w:i/>
          <w:iCs/>
          <w:sz w:val="24"/>
          <w:szCs w:val="24"/>
        </w:rPr>
        <w:t>(insert applicable pronoun)</w:t>
      </w:r>
      <w:r w:rsidRPr="00B15A7A">
        <w:rPr>
          <w:rFonts w:eastAsia="Times New Roman"/>
          <w:b/>
          <w:sz w:val="24"/>
          <w:szCs w:val="24"/>
        </w:rPr>
        <w:t xml:space="preserve">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3" w:name="a18_04"/>
      <w:bookmarkEnd w:id="3"/>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57D7E8D"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w:t>
      </w:r>
      <w:r w:rsidR="00146121" w:rsidRPr="004F0EE5">
        <w:rPr>
          <w:rFonts w:eastAsia="Times New Roman"/>
          <w:bCs/>
          <w:i/>
          <w:iCs/>
          <w:sz w:val="24"/>
          <w:szCs w:val="24"/>
        </w:rPr>
        <w:t>(insert applicable pronoun)</w:t>
      </w:r>
      <w:r w:rsidRPr="00B15A7A">
        <w:rPr>
          <w:rFonts w:eastAsia="Times New Roman"/>
          <w:b/>
          <w:sz w:val="24"/>
          <w:szCs w:val="24"/>
        </w:rPr>
        <w:t xml:space="preserve">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54D9FA04"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If you find in favor of the plaintiff but do not find any actual damages, you shall award </w:t>
      </w:r>
      <w:r w:rsidR="00146121" w:rsidRPr="004F0EE5">
        <w:rPr>
          <w:rFonts w:eastAsia="Times New Roman"/>
          <w:bCs/>
          <w:i/>
          <w:iCs/>
          <w:sz w:val="24"/>
          <w:szCs w:val="24"/>
        </w:rPr>
        <w:t>(insert applicable pronoun)</w:t>
      </w:r>
      <w:r w:rsidRPr="00B15A7A">
        <w:rPr>
          <w:rFonts w:eastAsia="Times New Roman"/>
          <w:b/>
          <w:sz w:val="24"/>
          <w:szCs w:val="24"/>
        </w:rPr>
        <w:t xml:space="preserve">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Rinker v. Colina-Lee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p w14:paraId="6D9E3FA3" w14:textId="77777777" w:rsidR="00786121" w:rsidRPr="00322F02" w:rsidRDefault="00786121" w:rsidP="00430165">
      <w:pPr>
        <w:rPr>
          <w:rFonts w:eastAsia="Times New Roman"/>
          <w:b/>
          <w:bCs/>
          <w:sz w:val="24"/>
          <w:szCs w:val="24"/>
          <w:u w:val="single"/>
        </w:rPr>
      </w:pPr>
      <w:r w:rsidRPr="00322F02">
        <w:rPr>
          <w:rFonts w:eastAsia="Times New Roman"/>
          <w:b/>
          <w:bCs/>
          <w:sz w:val="24"/>
          <w:szCs w:val="24"/>
          <w:u w:val="single"/>
        </w:rPr>
        <w:t>Damages for Obstruction of Easements</w:t>
      </w:r>
    </w:p>
    <w:p w14:paraId="3E01FEF1" w14:textId="218554EA" w:rsidR="00786121" w:rsidRDefault="00786121" w:rsidP="00786121">
      <w:pPr>
        <w:spacing w:after="240"/>
        <w:ind w:firstLine="720"/>
        <w:rPr>
          <w:rFonts w:eastAsia="Times New Roman"/>
          <w:sz w:val="24"/>
          <w:szCs w:val="24"/>
        </w:rPr>
      </w:pPr>
      <w:r w:rsidRPr="00786121">
        <w:rPr>
          <w:rFonts w:eastAsia="Times New Roman"/>
          <w:bCs/>
          <w:sz w:val="24"/>
          <w:szCs w:val="24"/>
        </w:rPr>
        <w:t>20.</w:t>
      </w:r>
      <w:r>
        <w:rPr>
          <w:rFonts w:eastAsia="Times New Roman"/>
          <w:b/>
          <w:bCs/>
          <w:sz w:val="24"/>
          <w:szCs w:val="24"/>
        </w:rPr>
        <w:t xml:space="preserve"> </w:t>
      </w:r>
      <w:r w:rsidRPr="00A43023">
        <w:rPr>
          <w:rFonts w:eastAsia="Times New Roman"/>
          <w:sz w:val="24"/>
          <w:szCs w:val="24"/>
        </w:rPr>
        <w:t>Damages may be awarded to easement holder when denied access to his land.</w:t>
      </w:r>
      <w:r>
        <w:rPr>
          <w:rFonts w:eastAsia="Times New Roman"/>
          <w:b/>
          <w:bCs/>
          <w:sz w:val="24"/>
          <w:szCs w:val="24"/>
        </w:rPr>
        <w:t xml:space="preserve">  Amada Family Ltd. P’ship v. Pomeroy</w:t>
      </w:r>
      <w:r w:rsidRPr="00322F02">
        <w:rPr>
          <w:rFonts w:eastAsia="Times New Roman"/>
          <w:bCs/>
          <w:sz w:val="24"/>
          <w:szCs w:val="24"/>
        </w:rPr>
        <w:t xml:space="preserve">, </w:t>
      </w:r>
      <w:r w:rsidRPr="00A43023">
        <w:rPr>
          <w:rFonts w:eastAsia="Times New Roman"/>
          <w:sz w:val="24"/>
          <w:szCs w:val="24"/>
        </w:rPr>
        <w:t>2021 COA 73</w:t>
      </w:r>
      <w:r>
        <w:rPr>
          <w:rFonts w:eastAsia="Times New Roman"/>
          <w:sz w:val="24"/>
          <w:szCs w:val="24"/>
        </w:rPr>
        <w:t>,</w:t>
      </w:r>
      <w:r w:rsidRPr="00A43023">
        <w:rPr>
          <w:rFonts w:eastAsia="Times New Roman"/>
          <w:sz w:val="24"/>
          <w:szCs w:val="24"/>
        </w:rPr>
        <w:t xml:space="preserve"> ¶ 83</w:t>
      </w:r>
      <w:r w:rsidR="005917C1">
        <w:rPr>
          <w:rFonts w:eastAsia="Times New Roman"/>
          <w:sz w:val="24"/>
          <w:szCs w:val="24"/>
        </w:rPr>
        <w:t xml:space="preserve">, 494 P.3d 633, </w:t>
      </w:r>
      <w:r w:rsidR="005917C1" w:rsidRPr="005917C1">
        <w:rPr>
          <w:rFonts w:eastAsia="Times New Roman"/>
          <w:sz w:val="24"/>
          <w:szCs w:val="24"/>
        </w:rPr>
        <w:t xml:space="preserve">651 </w:t>
      </w:r>
      <w:r>
        <w:rPr>
          <w:rFonts w:eastAsia="Times New Roman"/>
          <w:sz w:val="24"/>
          <w:szCs w:val="24"/>
        </w:rPr>
        <w:t>(“Pomeroys committed trespass by locking the gate at the entrance to the access easement [requiring plaintiff] to leave his residence in Arizona, drive to Colorado, and spend two nights in a hotel room.”).</w:t>
      </w:r>
    </w:p>
    <w:p w14:paraId="55B0B45E" w14:textId="4038902E" w:rsidR="00E7751B" w:rsidRDefault="009E4F11" w:rsidP="00FC69E3">
      <w:pPr>
        <w:spacing w:after="240"/>
        <w:ind w:firstLine="720"/>
        <w:rPr>
          <w:rFonts w:eastAsia="Times New Roman"/>
          <w:sz w:val="24"/>
          <w:szCs w:val="24"/>
        </w:rPr>
      </w:pPr>
      <w:r>
        <w:rPr>
          <w:rFonts w:eastAsia="Times New Roman"/>
          <w:sz w:val="24"/>
          <w:szCs w:val="24"/>
        </w:rPr>
        <w:t xml:space="preserve">21. </w:t>
      </w:r>
      <w:r w:rsidRPr="009E4F11">
        <w:rPr>
          <w:rFonts w:eastAsia="Times New Roman"/>
          <w:sz w:val="24"/>
          <w:szCs w:val="24"/>
        </w:rPr>
        <w:t xml:space="preserve">A trespass occurs when a ditch easement is unilaterally altered. </w:t>
      </w:r>
      <w:r w:rsidRPr="009E4F11">
        <w:rPr>
          <w:rFonts w:eastAsia="Times New Roman"/>
          <w:b/>
          <w:sz w:val="24"/>
          <w:szCs w:val="24"/>
        </w:rPr>
        <w:t>Roaring Fork Club</w:t>
      </w:r>
      <w:r>
        <w:rPr>
          <w:rFonts w:eastAsia="Times New Roman"/>
          <w:b/>
          <w:sz w:val="24"/>
          <w:szCs w:val="24"/>
        </w:rPr>
        <w:t>,</w:t>
      </w:r>
      <w:r w:rsidRPr="009E4F11">
        <w:rPr>
          <w:rFonts w:eastAsia="Times New Roman"/>
          <w:b/>
          <w:sz w:val="24"/>
          <w:szCs w:val="24"/>
        </w:rPr>
        <w:t xml:space="preserve"> L.P. v. St. Jude’s Co.</w:t>
      </w:r>
      <w:r w:rsidRPr="00681617">
        <w:rPr>
          <w:rFonts w:eastAsia="Times New Roman"/>
          <w:sz w:val="24"/>
          <w:szCs w:val="24"/>
        </w:rPr>
        <w:t>,</w:t>
      </w:r>
      <w:r w:rsidRPr="009E4F11">
        <w:rPr>
          <w:rFonts w:eastAsia="Times New Roman"/>
          <w:sz w:val="24"/>
          <w:szCs w:val="24"/>
        </w:rPr>
        <w:t xml:space="preserve"> 36 P</w:t>
      </w:r>
      <w:r>
        <w:rPr>
          <w:rFonts w:eastAsia="Times New Roman"/>
          <w:sz w:val="24"/>
          <w:szCs w:val="24"/>
        </w:rPr>
        <w:t>.</w:t>
      </w:r>
      <w:r w:rsidRPr="009E4F11">
        <w:rPr>
          <w:rFonts w:eastAsia="Times New Roman"/>
          <w:sz w:val="24"/>
          <w:szCs w:val="24"/>
        </w:rPr>
        <w:t>3d 1229 (Colo. 2001). However, there must be evi</w:t>
      </w:r>
      <w:r>
        <w:rPr>
          <w:rFonts w:eastAsia="Times New Roman"/>
          <w:sz w:val="24"/>
          <w:szCs w:val="24"/>
        </w:rPr>
        <w:t xml:space="preserve">dence of an actual movement or </w:t>
      </w:r>
      <w:r w:rsidRPr="009E4F11">
        <w:rPr>
          <w:rFonts w:eastAsia="Times New Roman"/>
          <w:sz w:val="24"/>
          <w:szCs w:val="24"/>
        </w:rPr>
        <w:t xml:space="preserve">alteration. Accidental damage and repair is not movement or alteration. </w:t>
      </w:r>
      <w:r w:rsidRPr="009E4F11">
        <w:rPr>
          <w:rFonts w:eastAsia="Times New Roman"/>
          <w:b/>
          <w:sz w:val="24"/>
          <w:szCs w:val="24"/>
        </w:rPr>
        <w:t>Glover v. Serratoga Falls</w:t>
      </w:r>
      <w:r w:rsidR="00EC77D1">
        <w:rPr>
          <w:rFonts w:eastAsia="Times New Roman"/>
          <w:b/>
          <w:sz w:val="24"/>
          <w:szCs w:val="24"/>
        </w:rPr>
        <w:t xml:space="preserve"> LLC</w:t>
      </w:r>
      <w:r w:rsidR="00EC77D1" w:rsidRPr="002C27CE">
        <w:rPr>
          <w:rFonts w:eastAsia="Times New Roman"/>
          <w:sz w:val="24"/>
          <w:szCs w:val="24"/>
        </w:rPr>
        <w:t>,</w:t>
      </w:r>
      <w:r w:rsidRPr="009E4F11">
        <w:rPr>
          <w:rFonts w:eastAsia="Times New Roman"/>
          <w:sz w:val="24"/>
          <w:szCs w:val="24"/>
        </w:rPr>
        <w:t xml:space="preserve"> 2021 CO 77</w:t>
      </w:r>
      <w:r w:rsidR="00EC77D1">
        <w:rPr>
          <w:rFonts w:eastAsia="Times New Roman"/>
          <w:sz w:val="24"/>
          <w:szCs w:val="24"/>
        </w:rPr>
        <w:t>, ¶ 33, 498 P.3d 1106</w:t>
      </w:r>
      <w:r w:rsidRPr="009E4F11">
        <w:rPr>
          <w:rFonts w:eastAsia="Times New Roman"/>
          <w:sz w:val="24"/>
          <w:szCs w:val="24"/>
        </w:rPr>
        <w:t>.</w:t>
      </w:r>
    </w:p>
    <w:p w14:paraId="270D4C1B" w14:textId="442D8206" w:rsidR="00C7459A" w:rsidRDefault="00C7459A">
      <w:pPr>
        <w:rPr>
          <w:rFonts w:eastAsia="Times New Roman"/>
          <w:sz w:val="24"/>
          <w:szCs w:val="24"/>
        </w:rPr>
      </w:pPr>
      <w:r>
        <w:rPr>
          <w:rFonts w:eastAsia="Times New Roman"/>
          <w:sz w:val="24"/>
          <w:szCs w:val="24"/>
        </w:rPr>
        <w:br w:type="page"/>
      </w:r>
    </w:p>
    <w:p w14:paraId="573EFB86" w14:textId="77777777" w:rsidR="00C7459A" w:rsidRDefault="00C7459A" w:rsidP="00C7459A">
      <w:pPr>
        <w:spacing w:after="240"/>
        <w:ind w:left="720" w:hanging="720"/>
        <w:rPr>
          <w:rFonts w:eastAsia="Times New Roman"/>
          <w:b/>
          <w:sz w:val="24"/>
          <w:szCs w:val="24"/>
        </w:rPr>
      </w:pPr>
      <w:bookmarkStart w:id="4" w:name="a18_05"/>
      <w:bookmarkEnd w:id="4"/>
      <w:r>
        <w:rPr>
          <w:rFonts w:eastAsia="Times New Roman"/>
          <w:b/>
          <w:sz w:val="24"/>
          <w:szCs w:val="24"/>
        </w:rPr>
        <w:lastRenderedPageBreak/>
        <w:t xml:space="preserve">18:5 </w:t>
      </w:r>
      <w:r>
        <w:rPr>
          <w:rFonts w:eastAsia="Times New Roman"/>
          <w:b/>
          <w:sz w:val="24"/>
          <w:szCs w:val="24"/>
        </w:rPr>
        <w:tab/>
        <w:t>PRIVATE NUISANCE —</w:t>
      </w:r>
      <w:r w:rsidRPr="00F44EE3">
        <w:rPr>
          <w:rFonts w:eastAsia="Times New Roman"/>
          <w:b/>
          <w:sz w:val="24"/>
          <w:szCs w:val="24"/>
        </w:rPr>
        <w:t xml:space="preserve"> ELEMENTS</w:t>
      </w:r>
      <w:r>
        <w:rPr>
          <w:rFonts w:eastAsia="Times New Roman"/>
          <w:b/>
          <w:sz w:val="24"/>
          <w:szCs w:val="24"/>
        </w:rPr>
        <w:t xml:space="preserve"> OF LIABILITY</w:t>
      </w:r>
    </w:p>
    <w:p w14:paraId="26443293"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For the plaintiff, </w:t>
      </w:r>
      <w:r>
        <w:rPr>
          <w:rFonts w:eastAsia="Times New Roman"/>
          <w:i/>
          <w:sz w:val="24"/>
          <w:szCs w:val="24"/>
        </w:rPr>
        <w:t>(name)</w:t>
      </w:r>
      <w:r>
        <w:rPr>
          <w:rFonts w:eastAsia="Times New Roman"/>
          <w:b/>
          <w:sz w:val="24"/>
          <w:szCs w:val="24"/>
        </w:rPr>
        <w:t xml:space="preserve">, to recover from the defendant, </w:t>
      </w:r>
      <w:r>
        <w:rPr>
          <w:rFonts w:eastAsia="Times New Roman"/>
          <w:i/>
          <w:sz w:val="24"/>
          <w:szCs w:val="24"/>
        </w:rPr>
        <w:t>(name)</w:t>
      </w:r>
      <w:r>
        <w:rPr>
          <w:rFonts w:eastAsia="Times New Roman"/>
          <w:b/>
          <w:sz w:val="24"/>
          <w:szCs w:val="24"/>
        </w:rPr>
        <w:t>, on</w:t>
      </w:r>
      <w:r>
        <w:rPr>
          <w:rFonts w:eastAsia="Times New Roman"/>
          <w:bCs/>
          <w:i/>
          <w:iCs/>
          <w:sz w:val="24"/>
          <w:szCs w:val="24"/>
        </w:rPr>
        <w:t xml:space="preserve"> </w:t>
      </w:r>
      <w:r w:rsidRPr="00852309">
        <w:rPr>
          <w:rFonts w:eastAsia="Times New Roman"/>
          <w:b/>
          <w:sz w:val="24"/>
          <w:szCs w:val="24"/>
        </w:rPr>
        <w:t>the</w:t>
      </w:r>
      <w:r>
        <w:rPr>
          <w:rFonts w:eastAsia="Times New Roman"/>
          <w:b/>
          <w:sz w:val="24"/>
          <w:szCs w:val="24"/>
        </w:rPr>
        <w:t xml:space="preserve"> claim of private nuisance, you must find that the following have been proved by a preponderance of the evidence:</w:t>
      </w:r>
    </w:p>
    <w:p w14:paraId="215504A6"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1. The plaintiff is (the owner) (in lawful possession of) </w:t>
      </w:r>
      <w:r>
        <w:rPr>
          <w:rFonts w:eastAsia="Times New Roman"/>
          <w:bCs/>
          <w:i/>
          <w:iCs/>
          <w:sz w:val="24"/>
          <w:szCs w:val="24"/>
        </w:rPr>
        <w:t>(</w:t>
      </w:r>
      <w:r>
        <w:rPr>
          <w:rFonts w:eastAsia="Times New Roman"/>
          <w:i/>
          <w:sz w:val="24"/>
          <w:szCs w:val="24"/>
        </w:rPr>
        <w:t>describe the real property)</w:t>
      </w:r>
      <w:r>
        <w:rPr>
          <w:rFonts w:eastAsia="Times New Roman"/>
          <w:b/>
          <w:sz w:val="24"/>
          <w:szCs w:val="24"/>
        </w:rPr>
        <w:t>;</w:t>
      </w:r>
    </w:p>
    <w:p w14:paraId="55A02693"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2. The defendant, by </w:t>
      </w:r>
      <w:r w:rsidRPr="00F44EE3">
        <w:rPr>
          <w:rFonts w:eastAsia="Times New Roman"/>
          <w:bCs/>
          <w:i/>
          <w:iCs/>
          <w:sz w:val="24"/>
          <w:szCs w:val="24"/>
        </w:rPr>
        <w:t>(</w:t>
      </w:r>
      <w:r w:rsidRPr="00A93957">
        <w:rPr>
          <w:rFonts w:eastAsia="Times New Roman"/>
          <w:bCs/>
          <w:i/>
          <w:iCs/>
          <w:sz w:val="24"/>
          <w:szCs w:val="24"/>
        </w:rPr>
        <w:t>describe the alleged activity</w:t>
      </w:r>
      <w:r w:rsidRPr="00F44EE3">
        <w:rPr>
          <w:rFonts w:eastAsia="Times New Roman"/>
          <w:bCs/>
          <w:i/>
          <w:iCs/>
          <w:sz w:val="24"/>
          <w:szCs w:val="24"/>
        </w:rPr>
        <w:t>)</w:t>
      </w:r>
      <w:r w:rsidRPr="00F44EE3">
        <w:rPr>
          <w:rFonts w:eastAsia="Times New Roman"/>
          <w:b/>
          <w:sz w:val="24"/>
          <w:szCs w:val="24"/>
        </w:rPr>
        <w:t>,</w:t>
      </w:r>
      <w:r>
        <w:rPr>
          <w:rFonts w:eastAsia="Times New Roman"/>
          <w:b/>
          <w:sz w:val="24"/>
          <w:szCs w:val="24"/>
        </w:rPr>
        <w:t xml:space="preserve"> (negligently) (intentionally) interfered or is interfering with the plaintiff’s use and enjoyment of plaintiff’s </w:t>
      </w:r>
      <w:r>
        <w:rPr>
          <w:rFonts w:eastAsia="Times New Roman"/>
          <w:bCs/>
          <w:i/>
          <w:iCs/>
          <w:sz w:val="24"/>
          <w:szCs w:val="24"/>
        </w:rPr>
        <w:t>(</w:t>
      </w:r>
      <w:r>
        <w:rPr>
          <w:rFonts w:eastAsia="Times New Roman"/>
          <w:i/>
          <w:sz w:val="24"/>
          <w:szCs w:val="24"/>
        </w:rPr>
        <w:t>describe the real property)</w:t>
      </w:r>
      <w:r>
        <w:rPr>
          <w:rFonts w:eastAsia="Times New Roman"/>
          <w:b/>
          <w:sz w:val="24"/>
          <w:szCs w:val="24"/>
        </w:rPr>
        <w:t>; and</w:t>
      </w:r>
    </w:p>
    <w:p w14:paraId="7BF4C02C"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3. The defendant’s interference with plaintiff’s use and enjoyment of </w:t>
      </w:r>
      <w:r w:rsidRPr="00F44EE3">
        <w:rPr>
          <w:rFonts w:eastAsia="Times New Roman"/>
          <w:bCs/>
          <w:i/>
          <w:iCs/>
          <w:sz w:val="24"/>
          <w:szCs w:val="24"/>
        </w:rPr>
        <w:t>(</w:t>
      </w:r>
      <w:r w:rsidRPr="009C3E55">
        <w:rPr>
          <w:rFonts w:eastAsia="Times New Roman"/>
          <w:bCs/>
          <w:i/>
          <w:iCs/>
          <w:sz w:val="24"/>
          <w:szCs w:val="24"/>
        </w:rPr>
        <w:t>describe the real property</w:t>
      </w:r>
      <w:r w:rsidRPr="00F44EE3">
        <w:rPr>
          <w:rFonts w:eastAsia="Times New Roman"/>
          <w:bCs/>
          <w:i/>
          <w:iCs/>
          <w:sz w:val="24"/>
          <w:szCs w:val="24"/>
        </w:rPr>
        <w:t>)</w:t>
      </w:r>
      <w:r>
        <w:rPr>
          <w:rFonts w:eastAsia="Times New Roman"/>
          <w:b/>
          <w:sz w:val="24"/>
          <w:szCs w:val="24"/>
        </w:rPr>
        <w:t xml:space="preserve"> </w:t>
      </w:r>
      <w:r w:rsidRPr="00F44EE3">
        <w:rPr>
          <w:rFonts w:eastAsia="Times New Roman"/>
          <w:b/>
          <w:sz w:val="24"/>
          <w:szCs w:val="24"/>
        </w:rPr>
        <w:t>(is)</w:t>
      </w:r>
      <w:r>
        <w:rPr>
          <w:rFonts w:eastAsia="Times New Roman"/>
          <w:b/>
          <w:sz w:val="24"/>
          <w:szCs w:val="24"/>
        </w:rPr>
        <w:t xml:space="preserve"> </w:t>
      </w:r>
      <w:r w:rsidRPr="00F44EE3">
        <w:rPr>
          <w:rFonts w:eastAsia="Times New Roman"/>
          <w:b/>
          <w:sz w:val="24"/>
          <w:szCs w:val="24"/>
        </w:rPr>
        <w:t>(was)</w:t>
      </w:r>
      <w:r>
        <w:rPr>
          <w:rFonts w:eastAsia="Times New Roman"/>
          <w:b/>
          <w:sz w:val="24"/>
          <w:szCs w:val="24"/>
        </w:rPr>
        <w:t xml:space="preserve"> unreasonable and substantial, such that it would offend or cause inconvenience or annoyance to a person of ordinary temperament and sensibility in the community.</w:t>
      </w:r>
    </w:p>
    <w:p w14:paraId="777D51F7" w14:textId="77777777" w:rsidR="00C7459A" w:rsidRDefault="00C7459A" w:rsidP="00C7459A">
      <w:pPr>
        <w:spacing w:after="240"/>
        <w:ind w:firstLine="720"/>
        <w:rPr>
          <w:rFonts w:eastAsia="Times New Roman"/>
          <w:b/>
          <w:sz w:val="24"/>
          <w:szCs w:val="24"/>
        </w:rPr>
      </w:pPr>
      <w:r>
        <w:rPr>
          <w:rFonts w:eastAsia="Times New Roman"/>
          <w:b/>
          <w:sz w:val="24"/>
          <w:szCs w:val="24"/>
        </w:rPr>
        <w:t>If you find that any one or more of these statements has not been proved, then your verdict must be for the defendant.</w:t>
      </w:r>
    </w:p>
    <w:p w14:paraId="1DBE65D9" w14:textId="77777777" w:rsidR="00C7459A" w:rsidRDefault="00C7459A" w:rsidP="00C7459A">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F44EE3">
        <w:rPr>
          <w:rFonts w:eastAsia="Times New Roman"/>
          <w:b/>
          <w:bCs/>
          <w:iCs/>
          <w:sz w:val="24"/>
          <w:szCs w:val="24"/>
        </w:rPr>
        <w:t>).</w:t>
      </w:r>
    </w:p>
    <w:p w14:paraId="2C55E5B6" w14:textId="77777777" w:rsidR="00C7459A" w:rsidRDefault="00C7459A" w:rsidP="00C7459A">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5A5393" w14:textId="77777777" w:rsidR="00C7459A" w:rsidRDefault="00C7459A" w:rsidP="00C7459A">
      <w:pPr>
        <w:spacing w:after="240"/>
        <w:ind w:firstLine="720"/>
        <w:rPr>
          <w:rFonts w:eastAsia="Times New Roman"/>
          <w:b/>
          <w:sz w:val="24"/>
          <w:szCs w:val="24"/>
        </w:rPr>
      </w:pPr>
      <w:r>
        <w:rPr>
          <w:rFonts w:eastAsia="Times New Roman"/>
          <w:b/>
          <w:sz w:val="24"/>
          <w:szCs w:val="24"/>
        </w:rPr>
        <w:t>However, if you find that (this affirmative defense has not) (none of these affirmative defenses have) been proved, then your verdict must be for the plaintiff.</w:t>
      </w:r>
    </w:p>
    <w:p w14:paraId="02453427" w14:textId="77777777" w:rsidR="00C7459A" w:rsidRDefault="00C7459A" w:rsidP="00C7459A">
      <w:pPr>
        <w:ind w:firstLine="720"/>
        <w:rPr>
          <w:rFonts w:eastAsia="Times New Roman"/>
          <w:b/>
          <w:sz w:val="24"/>
          <w:szCs w:val="24"/>
        </w:rPr>
      </w:pPr>
    </w:p>
    <w:p w14:paraId="33EE787C" w14:textId="77777777" w:rsidR="00C7459A" w:rsidRDefault="00C7459A" w:rsidP="00C7459A">
      <w:pPr>
        <w:keepNext/>
        <w:spacing w:after="240"/>
        <w:jc w:val="center"/>
        <w:rPr>
          <w:rFonts w:eastAsia="Times New Roman"/>
          <w:b/>
          <w:sz w:val="24"/>
          <w:szCs w:val="24"/>
        </w:rPr>
      </w:pPr>
      <w:r>
        <w:rPr>
          <w:rFonts w:eastAsia="Times New Roman"/>
          <w:b/>
          <w:sz w:val="24"/>
          <w:szCs w:val="24"/>
        </w:rPr>
        <w:t>Notes on Use</w:t>
      </w:r>
    </w:p>
    <w:p w14:paraId="5E910F5B" w14:textId="77777777" w:rsidR="00C7459A" w:rsidRDefault="00C7459A" w:rsidP="00C7459A">
      <w:pPr>
        <w:spacing w:after="240"/>
        <w:ind w:firstLine="720"/>
        <w:rPr>
          <w:rFonts w:eastAsia="Times New Roman"/>
          <w:sz w:val="24"/>
          <w:szCs w:val="24"/>
        </w:rPr>
      </w:pPr>
      <w:r>
        <w:rPr>
          <w:rFonts w:eastAsia="Times New Roman"/>
          <w:sz w:val="24"/>
          <w:szCs w:val="24"/>
        </w:rPr>
        <w:t>Use whichever parenthesized words and phrases are appropriate.</w:t>
      </w:r>
    </w:p>
    <w:p w14:paraId="7E06EC86" w14:textId="77777777" w:rsidR="00C7459A" w:rsidRDefault="00C7459A" w:rsidP="00C7459A">
      <w:pPr>
        <w:spacing w:after="240"/>
        <w:jc w:val="center"/>
        <w:rPr>
          <w:rFonts w:eastAsia="Times New Roman"/>
          <w:b/>
          <w:sz w:val="24"/>
          <w:szCs w:val="24"/>
        </w:rPr>
      </w:pPr>
      <w:r>
        <w:rPr>
          <w:rFonts w:eastAsia="Times New Roman"/>
          <w:b/>
          <w:sz w:val="24"/>
          <w:szCs w:val="24"/>
        </w:rPr>
        <w:t>Source and Authority</w:t>
      </w:r>
    </w:p>
    <w:p w14:paraId="6AACC20B" w14:textId="56024469" w:rsidR="00C7459A" w:rsidRDefault="00C7459A" w:rsidP="00C7459A">
      <w:pPr>
        <w:spacing w:after="240"/>
        <w:ind w:firstLine="720"/>
        <w:rPr>
          <w:rFonts w:eastAsia="Times New Roman"/>
          <w:bCs/>
          <w:sz w:val="24"/>
          <w:szCs w:val="24"/>
        </w:rPr>
      </w:pPr>
      <w:r>
        <w:rPr>
          <w:rFonts w:eastAsia="Times New Roman"/>
          <w:bCs/>
          <w:sz w:val="24"/>
          <w:szCs w:val="24"/>
        </w:rPr>
        <w:t xml:space="preserve">1. This instruction is supported by </w:t>
      </w:r>
      <w:r w:rsidRPr="003F025C">
        <w:rPr>
          <w:rFonts w:eastAsia="Times New Roman"/>
          <w:b/>
          <w:sz w:val="24"/>
          <w:szCs w:val="24"/>
        </w:rPr>
        <w:t>Public Serv</w:t>
      </w:r>
      <w:r>
        <w:rPr>
          <w:rFonts w:eastAsia="Times New Roman"/>
          <w:b/>
          <w:sz w:val="24"/>
          <w:szCs w:val="24"/>
        </w:rPr>
        <w:t>ice</w:t>
      </w:r>
      <w:r w:rsidRPr="003F025C">
        <w:rPr>
          <w:rFonts w:eastAsia="Times New Roman"/>
          <w:b/>
          <w:sz w:val="24"/>
          <w:szCs w:val="24"/>
        </w:rPr>
        <w:t xml:space="preserve"> Co.</w:t>
      </w:r>
      <w:r>
        <w:rPr>
          <w:rFonts w:eastAsia="Times New Roman"/>
          <w:b/>
          <w:sz w:val="24"/>
          <w:szCs w:val="24"/>
        </w:rPr>
        <w:t xml:space="preserve"> v</w:t>
      </w:r>
      <w:r w:rsidRPr="003F025C">
        <w:rPr>
          <w:rFonts w:eastAsia="Times New Roman"/>
          <w:b/>
          <w:sz w:val="24"/>
          <w:szCs w:val="24"/>
        </w:rPr>
        <w:t>. Van Wyk</w:t>
      </w:r>
      <w:r>
        <w:rPr>
          <w:rFonts w:eastAsia="Times New Roman"/>
          <w:bCs/>
          <w:sz w:val="24"/>
          <w:szCs w:val="24"/>
        </w:rPr>
        <w:t xml:space="preserve">, 27 P.3d 377, 391 (Colo. 2001) (“[T]he </w:t>
      </w:r>
      <w:r w:rsidRPr="00AF580D">
        <w:rPr>
          <w:rFonts w:eastAsia="Times New Roman"/>
          <w:bCs/>
          <w:sz w:val="24"/>
          <w:szCs w:val="24"/>
        </w:rPr>
        <w:t>elements of a claim of nuisance are an intentional, negligent, or unreasonably dangerous activity resulting in the unreasonable and substantial interference with a plaintiff</w:t>
      </w:r>
      <w:r>
        <w:rPr>
          <w:rFonts w:eastAsia="Times New Roman"/>
          <w:bCs/>
          <w:sz w:val="24"/>
          <w:szCs w:val="24"/>
        </w:rPr>
        <w:t>’</w:t>
      </w:r>
      <w:r w:rsidRPr="00AF580D">
        <w:rPr>
          <w:rFonts w:eastAsia="Times New Roman"/>
          <w:bCs/>
          <w:sz w:val="24"/>
          <w:szCs w:val="24"/>
        </w:rPr>
        <w:t>s use and enjoyment of her property</w:t>
      </w:r>
      <w:r>
        <w:rPr>
          <w:rFonts w:eastAsia="Times New Roman"/>
          <w:bCs/>
          <w:sz w:val="24"/>
          <w:szCs w:val="24"/>
        </w:rPr>
        <w:t xml:space="preserve">.”) (remanding to trial court to evaluate whether noise, radiation, and electromagnetic fields of a power line were unreasonable interference). </w:t>
      </w:r>
      <w:r w:rsidRPr="00A87882">
        <w:rPr>
          <w:rFonts w:eastAsia="Times New Roman"/>
          <w:bCs/>
          <w:i/>
          <w:iCs/>
          <w:sz w:val="24"/>
          <w:szCs w:val="24"/>
        </w:rPr>
        <w:t xml:space="preserve">See </w:t>
      </w:r>
      <w:r w:rsidRPr="003741D3">
        <w:rPr>
          <w:rFonts w:eastAsia="Times New Roman"/>
          <w:b/>
          <w:sz w:val="24"/>
          <w:szCs w:val="24"/>
        </w:rPr>
        <w:t>Green v. Castel Concrete Co</w:t>
      </w:r>
      <w:r w:rsidRPr="00C7459A">
        <w:rPr>
          <w:rFonts w:eastAsia="Times New Roman"/>
          <w:b/>
          <w:sz w:val="24"/>
          <w:szCs w:val="24"/>
        </w:rPr>
        <w:t>.</w:t>
      </w:r>
      <w:r>
        <w:rPr>
          <w:rFonts w:eastAsia="Times New Roman"/>
          <w:bCs/>
          <w:sz w:val="24"/>
          <w:szCs w:val="24"/>
        </w:rPr>
        <w:t xml:space="preserve">, 181 Colo. 309, 314, 509 P.2d 588, 591 (1973) (“a </w:t>
      </w:r>
      <w:r w:rsidRPr="00AF580D">
        <w:rPr>
          <w:rFonts w:eastAsia="Times New Roman"/>
          <w:bCs/>
          <w:sz w:val="24"/>
          <w:szCs w:val="24"/>
        </w:rPr>
        <w:t>reading of the record convinces us that there is not sufficient substantial, competent evidence to support a finding</w:t>
      </w:r>
      <w:r>
        <w:rPr>
          <w:rFonts w:eastAsia="Times New Roman"/>
          <w:bCs/>
          <w:sz w:val="24"/>
          <w:szCs w:val="24"/>
        </w:rPr>
        <w:t xml:space="preserve">” that a proposed quarry would constitute a private nuisance); </w:t>
      </w:r>
      <w:r w:rsidRPr="00D03157">
        <w:rPr>
          <w:rFonts w:eastAsia="Times New Roman"/>
          <w:b/>
          <w:sz w:val="24"/>
          <w:szCs w:val="24"/>
        </w:rPr>
        <w:t>B</w:t>
      </w:r>
      <w:r w:rsidRPr="003F025C">
        <w:rPr>
          <w:rFonts w:eastAsia="Times New Roman"/>
          <w:b/>
          <w:sz w:val="24"/>
          <w:szCs w:val="24"/>
        </w:rPr>
        <w:t>aughman v. Cosler</w:t>
      </w:r>
      <w:r>
        <w:rPr>
          <w:rFonts w:eastAsia="Times New Roman"/>
          <w:bCs/>
          <w:sz w:val="24"/>
          <w:szCs w:val="24"/>
        </w:rPr>
        <w:t xml:space="preserve">, 169 Colo. 534, 544, 459 P.2d 294, 299 (1969) (“The trial court </w:t>
      </w:r>
      <w:r w:rsidRPr="00AF580D">
        <w:rPr>
          <w:rFonts w:eastAsia="Times New Roman"/>
          <w:bCs/>
          <w:sz w:val="24"/>
          <w:szCs w:val="24"/>
        </w:rPr>
        <w:t xml:space="preserve">predicated the nuisance upon the </w:t>
      </w:r>
      <w:r w:rsidRPr="00AF580D">
        <w:rPr>
          <w:rFonts w:eastAsia="Times New Roman"/>
          <w:bCs/>
          <w:sz w:val="24"/>
          <w:szCs w:val="24"/>
        </w:rPr>
        <w:lastRenderedPageBreak/>
        <w:t>alleged negligent maintenance of a dangerous condition</w:t>
      </w:r>
      <w:r>
        <w:rPr>
          <w:rFonts w:eastAsia="Times New Roman"/>
          <w:bCs/>
          <w:sz w:val="24"/>
          <w:szCs w:val="24"/>
        </w:rPr>
        <w:t xml:space="preserve"> . . . [but] k</w:t>
      </w:r>
      <w:r w:rsidRPr="00AF580D">
        <w:rPr>
          <w:rFonts w:eastAsia="Times New Roman"/>
          <w:bCs/>
          <w:sz w:val="24"/>
          <w:szCs w:val="24"/>
        </w:rPr>
        <w:t>nowledge, actual or constructive, is an essential ingredient of liability based upon the negligent maintenance of a nuisance</w:t>
      </w:r>
      <w:r>
        <w:rPr>
          <w:rFonts w:eastAsia="Times New Roman"/>
          <w:bCs/>
          <w:sz w:val="24"/>
          <w:szCs w:val="24"/>
        </w:rPr>
        <w:t xml:space="preserve">.”) (reversing jury verdict where plaintiff was injured by explosion occurring on defendant’s property); </w:t>
      </w:r>
      <w:r w:rsidRPr="00375AEA">
        <w:rPr>
          <w:rFonts w:eastAsia="Times New Roman"/>
          <w:b/>
          <w:sz w:val="24"/>
          <w:szCs w:val="24"/>
        </w:rPr>
        <w:t>Krebs v. Hermann</w:t>
      </w:r>
      <w:r>
        <w:rPr>
          <w:rFonts w:eastAsia="Times New Roman"/>
          <w:bCs/>
          <w:sz w:val="24"/>
          <w:szCs w:val="24"/>
        </w:rPr>
        <w:t xml:space="preserve">, 90 Colo. 61, 6 P.2d 907 (1931) (holding that evidence of annoyance and discomfort to plaintiff’s family by defendants’ maintenance of dog kennel and canine hospital was sufficient to support claim for private nuisance); </w:t>
      </w:r>
      <w:r w:rsidRPr="00375AEA">
        <w:rPr>
          <w:rFonts w:eastAsia="Times New Roman"/>
          <w:b/>
          <w:sz w:val="24"/>
          <w:szCs w:val="24"/>
        </w:rPr>
        <w:t>S</w:t>
      </w:r>
      <w:r>
        <w:rPr>
          <w:rFonts w:eastAsia="Times New Roman"/>
          <w:b/>
          <w:sz w:val="24"/>
          <w:szCs w:val="24"/>
        </w:rPr>
        <w:t>t.</w:t>
      </w:r>
      <w:r w:rsidRPr="00375AEA">
        <w:rPr>
          <w:rFonts w:eastAsia="Times New Roman"/>
          <w:b/>
          <w:sz w:val="24"/>
          <w:szCs w:val="24"/>
        </w:rPr>
        <w:t xml:space="preserve"> John’s Church in the Wilderness v. Scott</w:t>
      </w:r>
      <w:r w:rsidRPr="007B045B">
        <w:rPr>
          <w:rFonts w:eastAsia="Times New Roman"/>
          <w:bCs/>
          <w:sz w:val="24"/>
          <w:szCs w:val="24"/>
        </w:rPr>
        <w:t>,</w:t>
      </w:r>
      <w:r>
        <w:rPr>
          <w:rFonts w:eastAsia="Times New Roman"/>
          <w:bCs/>
          <w:sz w:val="24"/>
          <w:szCs w:val="24"/>
        </w:rPr>
        <w:t xml:space="preserve"> 194 P.3d 475 (Colo. App. 2008) (defendant’s shouting from sidewalk during church service substantially and unreasonably interfered with use of church property and constituted a private nuisance)</w:t>
      </w:r>
      <w:bookmarkStart w:id="5" w:name="_Hlk172626800"/>
      <w:r w:rsidRPr="00AA2EED">
        <w:rPr>
          <w:rFonts w:eastAsia="Times New Roman"/>
          <w:bCs/>
          <w:sz w:val="24"/>
          <w:szCs w:val="24"/>
        </w:rPr>
        <w:t>;</w:t>
      </w:r>
      <w:r>
        <w:rPr>
          <w:rFonts w:eastAsia="Times New Roman"/>
          <w:b/>
          <w:sz w:val="24"/>
          <w:szCs w:val="24"/>
        </w:rPr>
        <w:t xml:space="preserve"> </w:t>
      </w:r>
      <w:r w:rsidRPr="00B06E97">
        <w:rPr>
          <w:rFonts w:eastAsia="Times New Roman"/>
          <w:b/>
          <w:sz w:val="24"/>
          <w:szCs w:val="24"/>
        </w:rPr>
        <w:t>Woodward v. Bd</w:t>
      </w:r>
      <w:r>
        <w:rPr>
          <w:rFonts w:eastAsia="Times New Roman"/>
          <w:b/>
          <w:sz w:val="24"/>
          <w:szCs w:val="24"/>
        </w:rPr>
        <w:t>.</w:t>
      </w:r>
      <w:r w:rsidRPr="00B06E97">
        <w:rPr>
          <w:rFonts w:eastAsia="Times New Roman"/>
          <w:b/>
          <w:sz w:val="24"/>
          <w:szCs w:val="24"/>
        </w:rPr>
        <w:t xml:space="preserve"> of Dirs</w:t>
      </w:r>
      <w:r>
        <w:rPr>
          <w:rFonts w:eastAsia="Times New Roman"/>
          <w:b/>
          <w:sz w:val="24"/>
          <w:szCs w:val="24"/>
        </w:rPr>
        <w:t>.</w:t>
      </w:r>
      <w:r>
        <w:rPr>
          <w:rFonts w:eastAsia="Times New Roman"/>
          <w:bCs/>
          <w:sz w:val="24"/>
          <w:szCs w:val="24"/>
        </w:rPr>
        <w:t xml:space="preserve">, 155 P.3d 621 (Colo. App. 2007) (reversing summary judgment and holding that whether modifications of adjoining property that increased light and noise in plaintiff’s unit was reasonable created a question of fact for the jury); </w:t>
      </w:r>
      <w:r w:rsidRPr="009E2302">
        <w:rPr>
          <w:rFonts w:eastAsia="Times New Roman"/>
          <w:b/>
          <w:sz w:val="24"/>
          <w:szCs w:val="24"/>
        </w:rPr>
        <w:t>Staley v. Sagel</w:t>
      </w:r>
      <w:r w:rsidRPr="00AA2EED">
        <w:rPr>
          <w:rFonts w:eastAsia="Times New Roman"/>
          <w:bCs/>
          <w:sz w:val="24"/>
          <w:szCs w:val="24"/>
        </w:rPr>
        <w:t>,</w:t>
      </w:r>
      <w:r>
        <w:rPr>
          <w:rFonts w:eastAsia="Times New Roman"/>
          <w:bCs/>
          <w:sz w:val="24"/>
          <w:szCs w:val="24"/>
        </w:rPr>
        <w:t xml:space="preserve"> 841 P.2d 379, 381-82 (Colo. App. 1992) (jury was properly instructed to determine “that the </w:t>
      </w:r>
      <w:r w:rsidRPr="00AA2EED">
        <w:rPr>
          <w:rFonts w:eastAsia="Times New Roman"/>
          <w:bCs/>
          <w:sz w:val="24"/>
          <w:szCs w:val="24"/>
        </w:rPr>
        <w:t>hog facility</w:t>
      </w:r>
      <w:r>
        <w:rPr>
          <w:rFonts w:eastAsia="Times New Roman"/>
          <w:bCs/>
          <w:sz w:val="24"/>
          <w:szCs w:val="24"/>
        </w:rPr>
        <w:t>’</w:t>
      </w:r>
      <w:r w:rsidRPr="00AA2EED">
        <w:rPr>
          <w:rFonts w:eastAsia="Times New Roman"/>
          <w:bCs/>
          <w:sz w:val="24"/>
          <w:szCs w:val="24"/>
        </w:rPr>
        <w:t>s operation unreasonably and substantially interfered with plaintiffs</w:t>
      </w:r>
      <w:r w:rsidR="00CA5AF3">
        <w:rPr>
          <w:rFonts w:eastAsia="Times New Roman"/>
          <w:bCs/>
          <w:sz w:val="24"/>
          <w:szCs w:val="24"/>
        </w:rPr>
        <w:t>’</w:t>
      </w:r>
      <w:r w:rsidRPr="00AA2EED">
        <w:rPr>
          <w:rFonts w:eastAsia="Times New Roman"/>
          <w:bCs/>
          <w:sz w:val="24"/>
          <w:szCs w:val="24"/>
        </w:rPr>
        <w:t xml:space="preserve"> use and enjoyment of their property</w:t>
      </w:r>
      <w:r>
        <w:rPr>
          <w:rFonts w:eastAsia="Times New Roman"/>
          <w:bCs/>
          <w:sz w:val="24"/>
          <w:szCs w:val="24"/>
        </w:rPr>
        <w:t xml:space="preserve">. . . [and] </w:t>
      </w:r>
      <w:r w:rsidRPr="00AA2EED">
        <w:rPr>
          <w:rFonts w:eastAsia="Times New Roman"/>
          <w:bCs/>
          <w:sz w:val="24"/>
          <w:szCs w:val="24"/>
        </w:rPr>
        <w:t>that interference is unreasonable and substantial only if the activity is disturbing to a person of ordinary temperament and sensibility</w:t>
      </w:r>
      <w:r>
        <w:rPr>
          <w:rFonts w:eastAsia="Times New Roman"/>
          <w:bCs/>
          <w:sz w:val="24"/>
          <w:szCs w:val="24"/>
        </w:rPr>
        <w:t xml:space="preserve">”); </w:t>
      </w:r>
      <w:r w:rsidRPr="00375AEA">
        <w:rPr>
          <w:rFonts w:eastAsia="Times New Roman"/>
          <w:b/>
          <w:sz w:val="24"/>
          <w:szCs w:val="24"/>
        </w:rPr>
        <w:t>Labbe v. Steff</w:t>
      </w:r>
      <w:r>
        <w:rPr>
          <w:rFonts w:eastAsia="Times New Roman"/>
          <w:b/>
          <w:sz w:val="24"/>
          <w:szCs w:val="24"/>
        </w:rPr>
        <w:t>e</w:t>
      </w:r>
      <w:r w:rsidRPr="00375AEA">
        <w:rPr>
          <w:rFonts w:eastAsia="Times New Roman"/>
          <w:b/>
          <w:sz w:val="24"/>
          <w:szCs w:val="24"/>
        </w:rPr>
        <w:t>ns</w:t>
      </w:r>
      <w:r>
        <w:rPr>
          <w:rFonts w:eastAsia="Times New Roman"/>
          <w:bCs/>
          <w:sz w:val="24"/>
          <w:szCs w:val="24"/>
        </w:rPr>
        <w:t>, 752 P.2d 1067, 1067 (Col.</w:t>
      </w:r>
      <w:r w:rsidRPr="003F025C">
        <w:rPr>
          <w:rFonts w:eastAsia="Times New Roman"/>
          <w:bCs/>
          <w:sz w:val="24"/>
          <w:szCs w:val="24"/>
        </w:rPr>
        <w:t xml:space="preserve"> </w:t>
      </w:r>
      <w:r>
        <w:rPr>
          <w:rFonts w:eastAsia="Times New Roman"/>
          <w:bCs/>
          <w:sz w:val="24"/>
          <w:szCs w:val="24"/>
        </w:rPr>
        <w:t>App. 1988) (“</w:t>
      </w:r>
      <w:r w:rsidRPr="00393C01">
        <w:rPr>
          <w:rFonts w:eastAsia="Times New Roman"/>
          <w:bCs/>
          <w:sz w:val="24"/>
          <w:szCs w:val="24"/>
        </w:rPr>
        <w:t>We find no merit in defendant</w:t>
      </w:r>
      <w:r>
        <w:rPr>
          <w:rFonts w:eastAsia="Times New Roman"/>
          <w:bCs/>
          <w:sz w:val="24"/>
          <w:szCs w:val="24"/>
        </w:rPr>
        <w:t>’</w:t>
      </w:r>
      <w:r w:rsidRPr="00393C01">
        <w:rPr>
          <w:rFonts w:eastAsia="Times New Roman"/>
          <w:bCs/>
          <w:sz w:val="24"/>
          <w:szCs w:val="24"/>
        </w:rPr>
        <w:t>s contention that the trial court erroneously determined the car wash to be a nuisance</w:t>
      </w:r>
      <w:r>
        <w:rPr>
          <w:rFonts w:eastAsia="Times New Roman"/>
          <w:bCs/>
          <w:sz w:val="24"/>
          <w:szCs w:val="24"/>
        </w:rPr>
        <w:t xml:space="preserve">.”); </w:t>
      </w:r>
      <w:r w:rsidRPr="00375AEA">
        <w:rPr>
          <w:rFonts w:eastAsia="Times New Roman"/>
          <w:b/>
          <w:sz w:val="24"/>
          <w:szCs w:val="24"/>
        </w:rPr>
        <w:t>Allison v. Smith</w:t>
      </w:r>
      <w:r>
        <w:rPr>
          <w:rFonts w:eastAsia="Times New Roman"/>
          <w:bCs/>
          <w:sz w:val="24"/>
          <w:szCs w:val="24"/>
        </w:rPr>
        <w:t>, 695 P.2d 791 (Colo. App. 1984)</w:t>
      </w:r>
      <w:bookmarkEnd w:id="5"/>
      <w:r>
        <w:rPr>
          <w:rFonts w:eastAsia="Times New Roman"/>
          <w:bCs/>
          <w:sz w:val="24"/>
          <w:szCs w:val="24"/>
        </w:rPr>
        <w:t xml:space="preserve"> (conducting well drilling, car dealership, and construction business in a mountain residential neighborhood created a private nuisance); </w:t>
      </w:r>
      <w:r w:rsidRPr="004A3685">
        <w:rPr>
          <w:rFonts w:eastAsia="Times New Roman"/>
          <w:b/>
          <w:sz w:val="24"/>
          <w:szCs w:val="24"/>
        </w:rPr>
        <w:t>Lowder v. Tina Marie Homes, Inc.</w:t>
      </w:r>
      <w:r w:rsidRPr="0027419B">
        <w:rPr>
          <w:rFonts w:eastAsia="Times New Roman"/>
          <w:bCs/>
          <w:sz w:val="24"/>
          <w:szCs w:val="24"/>
        </w:rPr>
        <w:t>,</w:t>
      </w:r>
      <w:r>
        <w:rPr>
          <w:rFonts w:eastAsia="Times New Roman"/>
          <w:bCs/>
          <w:sz w:val="24"/>
          <w:szCs w:val="24"/>
        </w:rPr>
        <w:t xml:space="preserve"> 43 Colo. App. 225, 601 P.2d 657 (1979) (defendant’s scraping of vegetation from a residential lot negligently causing soil to blow onto plaintiff’s adjoining property created a private nuisance); </w:t>
      </w:r>
      <w:r w:rsidRPr="00375AEA">
        <w:rPr>
          <w:rFonts w:eastAsia="Times New Roman"/>
          <w:b/>
          <w:sz w:val="24"/>
          <w:szCs w:val="24"/>
        </w:rPr>
        <w:t>Miller v. Carnation Co</w:t>
      </w:r>
      <w:r w:rsidRPr="00ED119F">
        <w:rPr>
          <w:rFonts w:eastAsia="Times New Roman"/>
          <w:b/>
          <w:sz w:val="24"/>
          <w:szCs w:val="24"/>
        </w:rPr>
        <w:t>.</w:t>
      </w:r>
      <w:r>
        <w:rPr>
          <w:rFonts w:eastAsia="Times New Roman"/>
          <w:bCs/>
          <w:sz w:val="24"/>
          <w:szCs w:val="24"/>
        </w:rPr>
        <w:t>, 33 Colo. App. 62, 67, 516 P.2d 661, 664 (Colo. App. 1973) (“</w:t>
      </w:r>
      <w:r w:rsidRPr="0027419B">
        <w:rPr>
          <w:rFonts w:eastAsia="Times New Roman"/>
          <w:bCs/>
          <w:sz w:val="24"/>
          <w:szCs w:val="24"/>
        </w:rPr>
        <w:t>there is evidence that defendants</w:t>
      </w:r>
      <w:r>
        <w:rPr>
          <w:rFonts w:eastAsia="Times New Roman"/>
          <w:bCs/>
          <w:sz w:val="24"/>
          <w:szCs w:val="24"/>
        </w:rPr>
        <w:t>’</w:t>
      </w:r>
      <w:r w:rsidRPr="0027419B">
        <w:rPr>
          <w:rFonts w:eastAsia="Times New Roman"/>
          <w:bCs/>
          <w:sz w:val="24"/>
          <w:szCs w:val="24"/>
        </w:rPr>
        <w:t xml:space="preserve"> failure to remove manure from underneath the chicken houses resulted in a breeding ground for flies</w:t>
      </w:r>
      <w:r>
        <w:rPr>
          <w:rFonts w:eastAsia="Times New Roman"/>
          <w:bCs/>
          <w:sz w:val="24"/>
          <w:szCs w:val="24"/>
        </w:rPr>
        <w:t xml:space="preserve">  . . . </w:t>
      </w:r>
      <w:r w:rsidRPr="00034B32">
        <w:rPr>
          <w:rFonts w:eastAsia="Times New Roman"/>
          <w:bCs/>
          <w:sz w:val="24"/>
          <w:szCs w:val="24"/>
        </w:rPr>
        <w:t>and that these flies annoyed plaintiffs and damaged their property</w:t>
      </w:r>
      <w:r>
        <w:rPr>
          <w:rFonts w:eastAsia="Times New Roman"/>
          <w:bCs/>
          <w:sz w:val="24"/>
          <w:szCs w:val="24"/>
        </w:rPr>
        <w:t xml:space="preserve">. . . . </w:t>
      </w:r>
      <w:r w:rsidRPr="00034B32">
        <w:rPr>
          <w:rFonts w:eastAsia="Times New Roman"/>
          <w:bCs/>
          <w:sz w:val="24"/>
          <w:szCs w:val="24"/>
        </w:rPr>
        <w:t>It was therefore error for the trial court to dismiss the nuisance claim at the conclusion of plaintiffs</w:t>
      </w:r>
      <w:r w:rsidR="00ED119F">
        <w:rPr>
          <w:rFonts w:eastAsia="Times New Roman"/>
          <w:bCs/>
          <w:sz w:val="24"/>
          <w:szCs w:val="24"/>
        </w:rPr>
        <w:t>’</w:t>
      </w:r>
      <w:r w:rsidRPr="00034B32">
        <w:rPr>
          <w:rFonts w:eastAsia="Times New Roman"/>
          <w:bCs/>
          <w:sz w:val="24"/>
          <w:szCs w:val="24"/>
        </w:rPr>
        <w:t xml:space="preserve"> evidence</w:t>
      </w:r>
      <w:r>
        <w:rPr>
          <w:rFonts w:eastAsia="Times New Roman"/>
          <w:bCs/>
          <w:sz w:val="24"/>
          <w:szCs w:val="24"/>
        </w:rPr>
        <w:t xml:space="preserve">.”); </w:t>
      </w:r>
      <w:r w:rsidRPr="00FF68B4">
        <w:rPr>
          <w:rFonts w:eastAsia="Times New Roman"/>
          <w:bCs/>
          <w:i/>
          <w:iCs/>
          <w:sz w:val="24"/>
          <w:szCs w:val="24"/>
        </w:rPr>
        <w:t>see also</w:t>
      </w:r>
      <w:r>
        <w:rPr>
          <w:rFonts w:eastAsia="Times New Roman"/>
          <w:bCs/>
          <w:sz w:val="24"/>
          <w:szCs w:val="24"/>
        </w:rPr>
        <w:t xml:space="preserve"> </w:t>
      </w:r>
      <w:r w:rsidRPr="00375AEA">
        <w:rPr>
          <w:rFonts w:eastAsia="Times New Roman"/>
          <w:b/>
          <w:sz w:val="24"/>
          <w:szCs w:val="24"/>
        </w:rPr>
        <w:t>Hoery v. U</w:t>
      </w:r>
      <w:r>
        <w:rPr>
          <w:rFonts w:eastAsia="Times New Roman"/>
          <w:b/>
          <w:sz w:val="24"/>
          <w:szCs w:val="24"/>
        </w:rPr>
        <w:t xml:space="preserve">nited </w:t>
      </w:r>
      <w:r w:rsidRPr="00375AEA">
        <w:rPr>
          <w:rFonts w:eastAsia="Times New Roman"/>
          <w:b/>
          <w:sz w:val="24"/>
          <w:szCs w:val="24"/>
        </w:rPr>
        <w:t>S</w:t>
      </w:r>
      <w:r>
        <w:rPr>
          <w:rFonts w:eastAsia="Times New Roman"/>
          <w:b/>
          <w:sz w:val="24"/>
          <w:szCs w:val="24"/>
        </w:rPr>
        <w:t>tates</w:t>
      </w:r>
      <w:r>
        <w:rPr>
          <w:rFonts w:eastAsia="Times New Roman"/>
          <w:bCs/>
          <w:sz w:val="24"/>
          <w:szCs w:val="24"/>
        </w:rPr>
        <w:t>, 64 P.3d 214, 218 (Colo. 2003) (“</w:t>
      </w:r>
      <w:r w:rsidRPr="00FF68B4">
        <w:rPr>
          <w:rFonts w:eastAsia="Times New Roman"/>
          <w:bCs/>
          <w:sz w:val="24"/>
          <w:szCs w:val="24"/>
        </w:rPr>
        <w:t>A claim for nuisance is predicated upon a substantial invasion of an individual</w:t>
      </w:r>
      <w:r>
        <w:rPr>
          <w:rFonts w:eastAsia="Times New Roman"/>
          <w:bCs/>
          <w:sz w:val="24"/>
          <w:szCs w:val="24"/>
        </w:rPr>
        <w:t>’</w:t>
      </w:r>
      <w:r w:rsidRPr="00FF68B4">
        <w:rPr>
          <w:rFonts w:eastAsia="Times New Roman"/>
          <w:bCs/>
          <w:sz w:val="24"/>
          <w:szCs w:val="24"/>
        </w:rPr>
        <w:t>s interest in the use and enjoyment of his property</w:t>
      </w:r>
      <w:r>
        <w:rPr>
          <w:rFonts w:eastAsia="Times New Roman"/>
          <w:bCs/>
          <w:sz w:val="24"/>
          <w:szCs w:val="24"/>
        </w:rPr>
        <w:t>.”).</w:t>
      </w:r>
    </w:p>
    <w:p w14:paraId="009D1976" w14:textId="77777777" w:rsidR="00C7459A" w:rsidRPr="00375AEA" w:rsidRDefault="00C7459A" w:rsidP="00C7459A">
      <w:pPr>
        <w:spacing w:after="240"/>
        <w:ind w:firstLine="720"/>
        <w:rPr>
          <w:rFonts w:eastAsia="Times New Roman"/>
          <w:bCs/>
          <w:sz w:val="24"/>
          <w:szCs w:val="24"/>
        </w:rPr>
      </w:pPr>
      <w:r>
        <w:rPr>
          <w:rFonts w:eastAsia="Times New Roman"/>
          <w:sz w:val="24"/>
          <w:szCs w:val="24"/>
        </w:rPr>
        <w:t xml:space="preserve">2. Whether conduct amounts to an absolute nuisance, and thus determined as a matter of law, is a question for the court. Absolute nuisances include conduct that has been declared a nuisance by a governing authority, nuisances that result from abnormal and unduly hazardous activities, and situations where the defendants’ purposes on its own land is clearly an unreasonable act in view of surrounding circumstances. </w:t>
      </w:r>
      <w:r w:rsidRPr="00355A96">
        <w:rPr>
          <w:rFonts w:eastAsia="Times New Roman"/>
          <w:b/>
          <w:bCs/>
          <w:sz w:val="24"/>
          <w:szCs w:val="24"/>
        </w:rPr>
        <w:t>N</w:t>
      </w:r>
      <w:r>
        <w:rPr>
          <w:rFonts w:eastAsia="Times New Roman"/>
          <w:b/>
          <w:bCs/>
          <w:sz w:val="24"/>
          <w:szCs w:val="24"/>
        </w:rPr>
        <w:t>w.</w:t>
      </w:r>
      <w:r w:rsidRPr="00355A96">
        <w:rPr>
          <w:rFonts w:eastAsia="Times New Roman"/>
          <w:b/>
          <w:bCs/>
          <w:sz w:val="24"/>
          <w:szCs w:val="24"/>
        </w:rPr>
        <w:t xml:space="preserve"> Water Corp. v. Pennetta</w:t>
      </w:r>
      <w:r w:rsidRPr="002E56BD">
        <w:rPr>
          <w:rFonts w:eastAsia="Times New Roman"/>
          <w:sz w:val="24"/>
          <w:szCs w:val="24"/>
        </w:rPr>
        <w:t>,</w:t>
      </w:r>
      <w:r>
        <w:rPr>
          <w:rFonts w:eastAsia="Times New Roman"/>
          <w:sz w:val="24"/>
          <w:szCs w:val="24"/>
        </w:rPr>
        <w:t xml:space="preserve"> 29 Colo. App. 1, 479 P.2d 398 (1970) (“</w:t>
      </w:r>
      <w:r w:rsidRPr="000F3F07">
        <w:rPr>
          <w:rFonts w:eastAsia="Times New Roman"/>
          <w:sz w:val="24"/>
          <w:szCs w:val="24"/>
        </w:rPr>
        <w:t>In the absence of the tank</w:t>
      </w:r>
      <w:r>
        <w:rPr>
          <w:rFonts w:eastAsia="Times New Roman"/>
          <w:sz w:val="24"/>
          <w:szCs w:val="24"/>
        </w:rPr>
        <w:t>’</w:t>
      </w:r>
      <w:r w:rsidRPr="000F3F07">
        <w:rPr>
          <w:rFonts w:eastAsia="Times New Roman"/>
          <w:sz w:val="24"/>
          <w:szCs w:val="24"/>
        </w:rPr>
        <w:t>s being an absolute nuisance, the question of whether it constituted a nuisance in fact is one which should have been submitted to the jury</w:t>
      </w:r>
      <w:r>
        <w:rPr>
          <w:rFonts w:eastAsia="Times New Roman"/>
          <w:sz w:val="24"/>
          <w:szCs w:val="24"/>
        </w:rPr>
        <w:t>.”).</w:t>
      </w:r>
    </w:p>
    <w:p w14:paraId="69F59711" w14:textId="4FC3C858" w:rsidR="002E56BD" w:rsidRDefault="00C7459A" w:rsidP="002E56BD">
      <w:pPr>
        <w:spacing w:after="240"/>
        <w:ind w:firstLine="720"/>
        <w:rPr>
          <w:rFonts w:eastAsia="Times New Roman"/>
          <w:sz w:val="24"/>
          <w:szCs w:val="24"/>
        </w:rPr>
      </w:pPr>
      <w:r>
        <w:rPr>
          <w:rFonts w:eastAsia="Times New Roman"/>
          <w:sz w:val="24"/>
          <w:szCs w:val="24"/>
        </w:rPr>
        <w:t xml:space="preserve">3.  Conduct and activity permitted by zoning regulations may constitute a private nuisance. </w:t>
      </w:r>
      <w:r w:rsidRPr="000A33BC">
        <w:rPr>
          <w:rFonts w:eastAsia="Times New Roman"/>
          <w:b/>
          <w:bCs/>
          <w:sz w:val="24"/>
          <w:szCs w:val="24"/>
        </w:rPr>
        <w:t>Hobbs v. Smith</w:t>
      </w:r>
      <w:r>
        <w:rPr>
          <w:rFonts w:eastAsia="Times New Roman"/>
          <w:sz w:val="24"/>
          <w:szCs w:val="24"/>
        </w:rPr>
        <w:t>, 29 Colo. App. 301, 303, 484 P.2d 804, 805 (1971) (“</w:t>
      </w:r>
      <w:r w:rsidRPr="00555FBA">
        <w:rPr>
          <w:rFonts w:eastAsia="Times New Roman"/>
          <w:sz w:val="24"/>
          <w:szCs w:val="24"/>
        </w:rPr>
        <w:t>Even though zoning regulations permit an act to be done, and the act is being done with due care, the courts may grant relief where they find that the acts complained of constitute a nuisance</w:t>
      </w:r>
      <w:r>
        <w:rPr>
          <w:rFonts w:eastAsia="Times New Roman"/>
          <w:sz w:val="24"/>
          <w:szCs w:val="24"/>
        </w:rPr>
        <w:t xml:space="preserve">.”), </w:t>
      </w:r>
      <w:r w:rsidRPr="00555FBA">
        <w:rPr>
          <w:rFonts w:eastAsia="Times New Roman"/>
          <w:i/>
          <w:iCs/>
          <w:sz w:val="24"/>
          <w:szCs w:val="24"/>
        </w:rPr>
        <w:t>aff’d</w:t>
      </w:r>
      <w:r>
        <w:rPr>
          <w:rFonts w:eastAsia="Times New Roman"/>
          <w:sz w:val="24"/>
          <w:szCs w:val="24"/>
        </w:rPr>
        <w:t xml:space="preserve">, 177 Colo. 299, 493 P.2d 1352 (1972). Conversely, conduct that violates a zoning ordinance is not necessarily a nuisance. </w:t>
      </w:r>
      <w:r w:rsidRPr="00355A96">
        <w:rPr>
          <w:rFonts w:eastAsia="Times New Roman"/>
          <w:b/>
          <w:bCs/>
          <w:sz w:val="24"/>
          <w:szCs w:val="24"/>
        </w:rPr>
        <w:t>N</w:t>
      </w:r>
      <w:r>
        <w:rPr>
          <w:rFonts w:eastAsia="Times New Roman"/>
          <w:b/>
          <w:bCs/>
          <w:sz w:val="24"/>
          <w:szCs w:val="24"/>
        </w:rPr>
        <w:t>w.</w:t>
      </w:r>
      <w:r w:rsidRPr="00355A96">
        <w:rPr>
          <w:rFonts w:eastAsia="Times New Roman"/>
          <w:b/>
          <w:bCs/>
          <w:sz w:val="24"/>
          <w:szCs w:val="24"/>
        </w:rPr>
        <w:t xml:space="preserve"> Water Corp.</w:t>
      </w:r>
      <w:r w:rsidRPr="000F3F07">
        <w:rPr>
          <w:rFonts w:eastAsia="Times New Roman"/>
          <w:sz w:val="24"/>
          <w:szCs w:val="24"/>
        </w:rPr>
        <w:t>,</w:t>
      </w:r>
      <w:r>
        <w:rPr>
          <w:rFonts w:eastAsia="Times New Roman"/>
          <w:sz w:val="24"/>
          <w:szCs w:val="24"/>
        </w:rPr>
        <w:t xml:space="preserve"> 29 Colo. App. at 4, 479 P.2d at 400 (construction of water tank did not amount to a nuisance </w:t>
      </w:r>
      <w:r w:rsidRPr="000F3F07">
        <w:rPr>
          <w:rFonts w:eastAsia="Times New Roman"/>
          <w:sz w:val="24"/>
          <w:szCs w:val="24"/>
        </w:rPr>
        <w:t>per se</w:t>
      </w:r>
      <w:r>
        <w:rPr>
          <w:rFonts w:eastAsia="Times New Roman"/>
          <w:sz w:val="24"/>
          <w:szCs w:val="24"/>
        </w:rPr>
        <w:t xml:space="preserve">) (“[T]he </w:t>
      </w:r>
      <w:r w:rsidRPr="000F3F07">
        <w:rPr>
          <w:rFonts w:eastAsia="Times New Roman"/>
          <w:sz w:val="24"/>
          <w:szCs w:val="24"/>
        </w:rPr>
        <w:t>fact that a zoning ordinance has been violated is not totally controlling in determining whether a private nuisance exists</w:t>
      </w:r>
      <w:r>
        <w:rPr>
          <w:rFonts w:eastAsia="Times New Roman"/>
          <w:sz w:val="24"/>
          <w:szCs w:val="24"/>
        </w:rPr>
        <w:t>.”).</w:t>
      </w:r>
      <w:r w:rsidR="002E56BD">
        <w:rPr>
          <w:rFonts w:eastAsia="Times New Roman"/>
          <w:sz w:val="24"/>
          <w:szCs w:val="24"/>
        </w:rPr>
        <w:br w:type="page"/>
      </w:r>
    </w:p>
    <w:p w14:paraId="4F8A1391" w14:textId="77777777" w:rsidR="002E56BD" w:rsidRPr="009E3DA4" w:rsidRDefault="002E56BD" w:rsidP="002E56BD">
      <w:pPr>
        <w:spacing w:after="240"/>
        <w:ind w:left="720" w:hanging="720"/>
        <w:rPr>
          <w:rFonts w:eastAsia="Times New Roman"/>
          <w:b/>
          <w:sz w:val="24"/>
          <w:szCs w:val="24"/>
        </w:rPr>
      </w:pPr>
      <w:bookmarkStart w:id="6" w:name="a18_06"/>
      <w:bookmarkEnd w:id="6"/>
      <w:r w:rsidRPr="00167A38">
        <w:rPr>
          <w:rFonts w:eastAsia="Times New Roman"/>
          <w:b/>
          <w:sz w:val="24"/>
          <w:szCs w:val="24"/>
        </w:rPr>
        <w:lastRenderedPageBreak/>
        <w:t>18:</w:t>
      </w:r>
      <w:r>
        <w:rPr>
          <w:rFonts w:eastAsia="Times New Roman"/>
          <w:b/>
          <w:sz w:val="24"/>
          <w:szCs w:val="24"/>
        </w:rPr>
        <w:t>6</w:t>
      </w:r>
      <w:r>
        <w:rPr>
          <w:rFonts w:eastAsia="Times New Roman"/>
          <w:b/>
          <w:sz w:val="24"/>
          <w:szCs w:val="24"/>
        </w:rPr>
        <w:tab/>
      </w:r>
      <w:r w:rsidRPr="00167A38">
        <w:rPr>
          <w:rFonts w:eastAsia="Times New Roman"/>
          <w:b/>
          <w:sz w:val="24"/>
          <w:szCs w:val="24"/>
        </w:rPr>
        <w:t>INTENTIONALLY</w:t>
      </w:r>
      <w:r>
        <w:rPr>
          <w:rFonts w:eastAsia="Times New Roman"/>
          <w:b/>
          <w:sz w:val="24"/>
          <w:szCs w:val="24"/>
        </w:rPr>
        <w:t xml:space="preserve"> OR NEGLIGENTLY</w:t>
      </w:r>
      <w:r w:rsidRPr="00167A38">
        <w:rPr>
          <w:rFonts w:eastAsia="Times New Roman"/>
          <w:b/>
          <w:sz w:val="24"/>
          <w:szCs w:val="24"/>
        </w:rPr>
        <w:t xml:space="preserve"> — DEFINED</w:t>
      </w:r>
    </w:p>
    <w:p w14:paraId="7F1D6F13" w14:textId="77777777" w:rsidR="002E56BD" w:rsidRDefault="002E56BD" w:rsidP="002E56BD">
      <w:pPr>
        <w:ind w:firstLine="720"/>
        <w:rPr>
          <w:rFonts w:eastAsia="Times New Roman"/>
          <w:b/>
          <w:sz w:val="24"/>
          <w:szCs w:val="24"/>
        </w:rPr>
      </w:pPr>
      <w:r w:rsidRPr="00FF5E55">
        <w:rPr>
          <w:rFonts w:eastAsia="Times New Roman"/>
          <w:b/>
          <w:sz w:val="24"/>
          <w:szCs w:val="24"/>
        </w:rPr>
        <w:t>(</w:t>
      </w:r>
      <w:r>
        <w:rPr>
          <w:rFonts w:eastAsia="Times New Roman"/>
          <w:b/>
          <w:sz w:val="24"/>
          <w:szCs w:val="24"/>
        </w:rPr>
        <w:t>A defendant</w:t>
      </w:r>
      <w:r w:rsidRPr="00FF5E55">
        <w:rPr>
          <w:rFonts w:eastAsia="Times New Roman"/>
          <w:b/>
          <w:sz w:val="24"/>
          <w:szCs w:val="24"/>
        </w:rPr>
        <w:t xml:space="preserve"> intentionally interferes with </w:t>
      </w:r>
      <w:r>
        <w:rPr>
          <w:rFonts w:eastAsia="Times New Roman"/>
          <w:b/>
          <w:sz w:val="24"/>
          <w:szCs w:val="24"/>
        </w:rPr>
        <w:t>a plaintiff’s</w:t>
      </w:r>
      <w:r w:rsidRPr="00FF5E55">
        <w:rPr>
          <w:rFonts w:eastAsia="Times New Roman"/>
          <w:b/>
          <w:sz w:val="24"/>
          <w:szCs w:val="24"/>
        </w:rPr>
        <w:t xml:space="preserve"> use and enjoyment</w:t>
      </w:r>
      <w:r>
        <w:rPr>
          <w:rFonts w:eastAsia="Times New Roman"/>
          <w:b/>
          <w:sz w:val="24"/>
          <w:szCs w:val="24"/>
        </w:rPr>
        <w:t xml:space="preserve"> of</w:t>
      </w:r>
      <w:r w:rsidRPr="00FF5E55">
        <w:rPr>
          <w:rFonts w:eastAsia="Times New Roman"/>
          <w:b/>
          <w:sz w:val="24"/>
          <w:szCs w:val="24"/>
        </w:rPr>
        <w:t xml:space="preserve"> </w:t>
      </w:r>
      <w:r>
        <w:rPr>
          <w:rFonts w:eastAsia="Times New Roman"/>
          <w:b/>
          <w:sz w:val="24"/>
          <w:szCs w:val="24"/>
        </w:rPr>
        <w:t xml:space="preserve">a plaintiff’s property when the defendant’s purpose is to cause such interference, or when the defendant knows that </w:t>
      </w:r>
      <w:r w:rsidRPr="00BF6987">
        <w:rPr>
          <w:rFonts w:eastAsia="Times New Roman"/>
          <w:bCs/>
          <w:i/>
          <w:iCs/>
          <w:sz w:val="24"/>
          <w:szCs w:val="24"/>
        </w:rPr>
        <w:t>[</w:t>
      </w:r>
      <w:r>
        <w:rPr>
          <w:rFonts w:eastAsia="Times New Roman"/>
          <w:bCs/>
          <w:i/>
          <w:iCs/>
          <w:sz w:val="24"/>
          <w:szCs w:val="24"/>
        </w:rPr>
        <w:t>insert applicable pronoun]</w:t>
      </w:r>
      <w:r>
        <w:rPr>
          <w:rFonts w:eastAsia="Times New Roman"/>
          <w:b/>
          <w:sz w:val="24"/>
          <w:szCs w:val="24"/>
        </w:rPr>
        <w:t xml:space="preserve"> conduct is likely to cause such interference.)</w:t>
      </w:r>
    </w:p>
    <w:p w14:paraId="273B1E18" w14:textId="77777777" w:rsidR="002E56BD" w:rsidRDefault="002E56BD" w:rsidP="002E56BD">
      <w:pPr>
        <w:ind w:firstLine="720"/>
        <w:rPr>
          <w:rFonts w:eastAsia="Times New Roman"/>
          <w:b/>
          <w:sz w:val="24"/>
          <w:szCs w:val="24"/>
        </w:rPr>
      </w:pPr>
    </w:p>
    <w:p w14:paraId="21FE51AB" w14:textId="77777777" w:rsidR="002E56BD" w:rsidRPr="009134A0" w:rsidRDefault="002E56BD" w:rsidP="002E56BD">
      <w:pPr>
        <w:ind w:firstLine="720"/>
        <w:rPr>
          <w:rFonts w:eastAsia="Times New Roman"/>
          <w:b/>
          <w:bCs/>
          <w:sz w:val="24"/>
          <w:szCs w:val="24"/>
        </w:rPr>
      </w:pPr>
      <w:r>
        <w:rPr>
          <w:rFonts w:eastAsia="Times New Roman"/>
          <w:b/>
          <w:bCs/>
          <w:sz w:val="24"/>
          <w:szCs w:val="24"/>
        </w:rPr>
        <w:t>(A defendant</w:t>
      </w:r>
      <w:r w:rsidRPr="001A1D2A">
        <w:rPr>
          <w:rFonts w:eastAsia="Times New Roman"/>
          <w:b/>
          <w:bCs/>
          <w:sz w:val="24"/>
          <w:szCs w:val="24"/>
        </w:rPr>
        <w:t xml:space="preserve"> negligently interferes with the use and enjoyment </w:t>
      </w:r>
      <w:r>
        <w:rPr>
          <w:rFonts w:eastAsia="Times New Roman"/>
          <w:b/>
          <w:bCs/>
          <w:sz w:val="24"/>
          <w:szCs w:val="24"/>
        </w:rPr>
        <w:t xml:space="preserve">of plaintiff’s </w:t>
      </w:r>
      <w:r w:rsidRPr="001A1D2A">
        <w:rPr>
          <w:rFonts w:eastAsia="Times New Roman"/>
          <w:b/>
          <w:bCs/>
          <w:sz w:val="24"/>
          <w:szCs w:val="24"/>
        </w:rPr>
        <w:t>property when</w:t>
      </w:r>
      <w:r>
        <w:rPr>
          <w:rFonts w:eastAsia="Times New Roman"/>
          <w:b/>
          <w:bCs/>
          <w:sz w:val="24"/>
          <w:szCs w:val="24"/>
        </w:rPr>
        <w:t xml:space="preserve"> a defendant </w:t>
      </w:r>
      <w:r w:rsidRPr="001A1D2A">
        <w:rPr>
          <w:rFonts w:eastAsia="Times New Roman"/>
          <w:b/>
          <w:bCs/>
          <w:sz w:val="24"/>
          <w:szCs w:val="24"/>
        </w:rPr>
        <w:t xml:space="preserve">fails to do an act which a reasonably careful person would do, or </w:t>
      </w:r>
      <w:r>
        <w:rPr>
          <w:rFonts w:eastAsia="Times New Roman"/>
          <w:b/>
          <w:bCs/>
          <w:sz w:val="24"/>
          <w:szCs w:val="24"/>
        </w:rPr>
        <w:t xml:space="preserve">the defendant </w:t>
      </w:r>
      <w:r w:rsidRPr="001A1D2A">
        <w:rPr>
          <w:rFonts w:eastAsia="Times New Roman"/>
          <w:b/>
          <w:bCs/>
          <w:sz w:val="24"/>
          <w:szCs w:val="24"/>
        </w:rPr>
        <w:t>does an act which a reasonably careful person would not do, which in the natural course of events interfere</w:t>
      </w:r>
      <w:r>
        <w:rPr>
          <w:rFonts w:eastAsia="Times New Roman"/>
          <w:b/>
          <w:bCs/>
          <w:sz w:val="24"/>
          <w:szCs w:val="24"/>
        </w:rPr>
        <w:t>d</w:t>
      </w:r>
      <w:r w:rsidRPr="001A1D2A">
        <w:rPr>
          <w:rFonts w:eastAsia="Times New Roman"/>
          <w:b/>
          <w:bCs/>
          <w:sz w:val="24"/>
          <w:szCs w:val="24"/>
        </w:rPr>
        <w:t xml:space="preserve"> with plaintiff’s use of</w:t>
      </w:r>
      <w:r>
        <w:rPr>
          <w:rFonts w:eastAsia="Times New Roman"/>
          <w:sz w:val="24"/>
          <w:szCs w:val="24"/>
        </w:rPr>
        <w:t xml:space="preserve"> </w:t>
      </w:r>
      <w:r w:rsidRPr="00BF6987">
        <w:rPr>
          <w:rFonts w:eastAsia="Times New Roman"/>
          <w:bCs/>
          <w:i/>
          <w:iCs/>
          <w:sz w:val="24"/>
          <w:szCs w:val="24"/>
        </w:rPr>
        <w:t>[</w:t>
      </w:r>
      <w:r>
        <w:rPr>
          <w:rFonts w:eastAsia="Times New Roman"/>
          <w:bCs/>
          <w:i/>
          <w:iCs/>
          <w:sz w:val="24"/>
          <w:szCs w:val="24"/>
        </w:rPr>
        <w:t xml:space="preserve">insert applicable pronoun] </w:t>
      </w:r>
      <w:r w:rsidRPr="009134A0">
        <w:rPr>
          <w:rFonts w:eastAsia="Times New Roman"/>
          <w:b/>
          <w:bCs/>
          <w:sz w:val="24"/>
          <w:szCs w:val="24"/>
        </w:rPr>
        <w:t>property.</w:t>
      </w:r>
      <w:r>
        <w:rPr>
          <w:rFonts w:eastAsia="Times New Roman"/>
          <w:b/>
          <w:bCs/>
          <w:sz w:val="24"/>
          <w:szCs w:val="24"/>
        </w:rPr>
        <w:t>)</w:t>
      </w:r>
    </w:p>
    <w:p w14:paraId="348FC385" w14:textId="77777777" w:rsidR="002E56BD" w:rsidRDefault="002E56BD" w:rsidP="002E56BD">
      <w:pPr>
        <w:rPr>
          <w:rFonts w:eastAsia="Times New Roman"/>
          <w:sz w:val="24"/>
          <w:szCs w:val="24"/>
        </w:rPr>
      </w:pPr>
    </w:p>
    <w:p w14:paraId="0A4C9A37" w14:textId="77777777" w:rsidR="002E56BD" w:rsidRDefault="002E56BD" w:rsidP="002E56BD">
      <w:pPr>
        <w:rPr>
          <w:rFonts w:eastAsia="Times New Roman"/>
          <w:sz w:val="24"/>
          <w:szCs w:val="24"/>
        </w:rPr>
      </w:pPr>
    </w:p>
    <w:p w14:paraId="37C4DBBD" w14:textId="77777777" w:rsidR="002E56BD" w:rsidRPr="0054263B" w:rsidRDefault="002E56BD" w:rsidP="002E56BD">
      <w:pPr>
        <w:keepNext/>
        <w:spacing w:after="240"/>
        <w:jc w:val="center"/>
        <w:rPr>
          <w:rFonts w:eastAsia="Times New Roman"/>
          <w:b/>
          <w:sz w:val="24"/>
          <w:szCs w:val="24"/>
        </w:rPr>
      </w:pPr>
      <w:r w:rsidRPr="0054263B">
        <w:rPr>
          <w:rFonts w:eastAsia="Times New Roman"/>
          <w:b/>
          <w:sz w:val="24"/>
          <w:szCs w:val="24"/>
        </w:rPr>
        <w:t>Notes on Use</w:t>
      </w:r>
    </w:p>
    <w:p w14:paraId="162EBE80" w14:textId="77777777" w:rsidR="002E56BD" w:rsidRDefault="002E56BD" w:rsidP="002E56BD">
      <w:pPr>
        <w:spacing w:after="240"/>
        <w:ind w:firstLine="720"/>
        <w:rPr>
          <w:rFonts w:eastAsia="Times New Roman"/>
          <w:sz w:val="24"/>
          <w:szCs w:val="24"/>
        </w:rPr>
      </w:pPr>
      <w:r w:rsidRPr="00167A38">
        <w:rPr>
          <w:rFonts w:eastAsia="Times New Roman"/>
          <w:sz w:val="24"/>
          <w:szCs w:val="24"/>
        </w:rPr>
        <w:t>This instruction</w:t>
      </w:r>
      <w:r>
        <w:rPr>
          <w:rFonts w:eastAsia="Times New Roman"/>
          <w:sz w:val="24"/>
          <w:szCs w:val="24"/>
        </w:rPr>
        <w:t xml:space="preserve"> and the appropriate parenthetical</w:t>
      </w:r>
      <w:r w:rsidRPr="00167A38">
        <w:rPr>
          <w:rFonts w:eastAsia="Times New Roman"/>
          <w:sz w:val="24"/>
          <w:szCs w:val="24"/>
        </w:rPr>
        <w:t xml:space="preserve"> should be used</w:t>
      </w:r>
      <w:r>
        <w:rPr>
          <w:rFonts w:eastAsia="Times New Roman"/>
          <w:sz w:val="24"/>
          <w:szCs w:val="24"/>
        </w:rPr>
        <w:t xml:space="preserve"> </w:t>
      </w:r>
      <w:r w:rsidRPr="00167A38">
        <w:rPr>
          <w:rFonts w:eastAsia="Times New Roman"/>
          <w:sz w:val="24"/>
          <w:szCs w:val="24"/>
        </w:rPr>
        <w:t>with Instruction 18:</w:t>
      </w:r>
      <w:r>
        <w:rPr>
          <w:rFonts w:eastAsia="Times New Roman"/>
          <w:sz w:val="24"/>
          <w:szCs w:val="24"/>
        </w:rPr>
        <w:t>5</w:t>
      </w:r>
      <w:r w:rsidRPr="00167A38">
        <w:rPr>
          <w:rFonts w:eastAsia="Times New Roman"/>
          <w:sz w:val="24"/>
          <w:szCs w:val="24"/>
        </w:rPr>
        <w:t>.</w:t>
      </w:r>
    </w:p>
    <w:p w14:paraId="1A4EEA00" w14:textId="77777777" w:rsidR="002E56BD" w:rsidRDefault="002E56BD" w:rsidP="002E56BD">
      <w:pPr>
        <w:spacing w:after="240"/>
        <w:jc w:val="center"/>
        <w:rPr>
          <w:rFonts w:eastAsia="Times New Roman"/>
          <w:b/>
          <w:sz w:val="24"/>
          <w:szCs w:val="24"/>
        </w:rPr>
      </w:pPr>
      <w:r>
        <w:rPr>
          <w:rFonts w:eastAsia="Times New Roman"/>
          <w:b/>
          <w:sz w:val="24"/>
          <w:szCs w:val="24"/>
        </w:rPr>
        <w:t>Source and Authority</w:t>
      </w:r>
    </w:p>
    <w:p w14:paraId="64C7603C" w14:textId="5D4B1B61" w:rsidR="002E56BD" w:rsidRDefault="002E56BD" w:rsidP="002E56BD">
      <w:pPr>
        <w:spacing w:after="240"/>
        <w:ind w:firstLine="720"/>
        <w:rPr>
          <w:rFonts w:eastAsia="Times New Roman"/>
          <w:bCs/>
          <w:sz w:val="24"/>
          <w:szCs w:val="24"/>
        </w:rPr>
      </w:pPr>
      <w:r>
        <w:rPr>
          <w:rFonts w:eastAsia="Times New Roman"/>
          <w:bCs/>
          <w:sz w:val="24"/>
          <w:szCs w:val="24"/>
        </w:rPr>
        <w:t xml:space="preserve">This instruction is supported by </w:t>
      </w:r>
      <w:r w:rsidRPr="003F025C">
        <w:rPr>
          <w:rFonts w:eastAsia="Times New Roman"/>
          <w:b/>
          <w:sz w:val="24"/>
          <w:szCs w:val="24"/>
        </w:rPr>
        <w:t>Public Serv</w:t>
      </w:r>
      <w:r>
        <w:rPr>
          <w:rFonts w:eastAsia="Times New Roman"/>
          <w:b/>
          <w:sz w:val="24"/>
          <w:szCs w:val="24"/>
        </w:rPr>
        <w:t>ice</w:t>
      </w:r>
      <w:r w:rsidRPr="003F025C">
        <w:rPr>
          <w:rFonts w:eastAsia="Times New Roman"/>
          <w:b/>
          <w:sz w:val="24"/>
          <w:szCs w:val="24"/>
        </w:rPr>
        <w:t xml:space="preserve"> Co. </w:t>
      </w:r>
      <w:r>
        <w:rPr>
          <w:rFonts w:eastAsia="Times New Roman"/>
          <w:b/>
          <w:sz w:val="24"/>
          <w:szCs w:val="24"/>
        </w:rPr>
        <w:t>v</w:t>
      </w:r>
      <w:r w:rsidRPr="003F025C">
        <w:rPr>
          <w:rFonts w:eastAsia="Times New Roman"/>
          <w:b/>
          <w:sz w:val="24"/>
          <w:szCs w:val="24"/>
        </w:rPr>
        <w:t>. Van Wyk</w:t>
      </w:r>
      <w:r>
        <w:rPr>
          <w:rFonts w:eastAsia="Times New Roman"/>
          <w:bCs/>
          <w:sz w:val="24"/>
          <w:szCs w:val="24"/>
        </w:rPr>
        <w:t xml:space="preserve">, 27 P.3d 377, 391 (Colo. 2001) (“[T]he </w:t>
      </w:r>
      <w:r w:rsidRPr="00AF580D">
        <w:rPr>
          <w:rFonts w:eastAsia="Times New Roman"/>
          <w:bCs/>
          <w:sz w:val="24"/>
          <w:szCs w:val="24"/>
        </w:rPr>
        <w:t>elements of a claim of nuisance are an intentional, negligent, or unreasonably dangerous activity resulting in the unreasonable and substantial interference with a plaintiff's use and enjoyment of her property</w:t>
      </w:r>
      <w:r>
        <w:rPr>
          <w:rFonts w:eastAsia="Times New Roman"/>
          <w:bCs/>
          <w:sz w:val="24"/>
          <w:szCs w:val="24"/>
        </w:rPr>
        <w:t>.”) (remanding to trial court to evaluate whether noise, radiation, and electromagnetic fields of a power line were unreasonable interference);</w:t>
      </w:r>
      <w:r w:rsidRPr="00336F90">
        <w:rPr>
          <w:rFonts w:eastAsia="Times New Roman"/>
          <w:b/>
          <w:sz w:val="24"/>
          <w:szCs w:val="24"/>
        </w:rPr>
        <w:t xml:space="preserve"> </w:t>
      </w:r>
      <w:r w:rsidRPr="0050109E">
        <w:rPr>
          <w:rFonts w:eastAsia="Times New Roman"/>
          <w:bCs/>
          <w:sz w:val="24"/>
          <w:szCs w:val="24"/>
        </w:rPr>
        <w:t>and</w:t>
      </w:r>
      <w:r>
        <w:rPr>
          <w:rFonts w:eastAsia="Times New Roman"/>
          <w:b/>
          <w:sz w:val="24"/>
          <w:szCs w:val="24"/>
        </w:rPr>
        <w:t xml:space="preserve"> </w:t>
      </w:r>
      <w:r w:rsidRPr="00375AEA">
        <w:rPr>
          <w:rFonts w:eastAsia="Times New Roman"/>
          <w:b/>
          <w:sz w:val="24"/>
          <w:szCs w:val="24"/>
        </w:rPr>
        <w:t>S</w:t>
      </w:r>
      <w:r>
        <w:rPr>
          <w:rFonts w:eastAsia="Times New Roman"/>
          <w:b/>
          <w:sz w:val="24"/>
          <w:szCs w:val="24"/>
        </w:rPr>
        <w:t>t.</w:t>
      </w:r>
      <w:r w:rsidRPr="00375AEA">
        <w:rPr>
          <w:rFonts w:eastAsia="Times New Roman"/>
          <w:b/>
          <w:sz w:val="24"/>
          <w:szCs w:val="24"/>
        </w:rPr>
        <w:t xml:space="preserve"> John’s Church in the Wilderness v. Scott</w:t>
      </w:r>
      <w:r w:rsidRPr="002E56BD">
        <w:rPr>
          <w:rFonts w:eastAsia="Times New Roman"/>
          <w:bCs/>
          <w:sz w:val="24"/>
          <w:szCs w:val="24"/>
        </w:rPr>
        <w:t>,</w:t>
      </w:r>
      <w:r>
        <w:rPr>
          <w:rFonts w:eastAsia="Times New Roman"/>
          <w:bCs/>
          <w:sz w:val="24"/>
          <w:szCs w:val="24"/>
        </w:rPr>
        <w:t xml:space="preserve"> 194 P.3d 475, 479 (Colo. App. 2008) (“To </w:t>
      </w:r>
      <w:r w:rsidRPr="00C16BD0">
        <w:rPr>
          <w:rFonts w:eastAsia="Times New Roman"/>
          <w:bCs/>
          <w:sz w:val="24"/>
          <w:szCs w:val="24"/>
        </w:rPr>
        <w:t>prove a private nuisance claim, a plaintiff must establish that (1) the defendant</w:t>
      </w:r>
      <w:r>
        <w:rPr>
          <w:rFonts w:eastAsia="Times New Roman"/>
          <w:bCs/>
          <w:sz w:val="24"/>
          <w:szCs w:val="24"/>
        </w:rPr>
        <w:t>’</w:t>
      </w:r>
      <w:r w:rsidRPr="00C16BD0">
        <w:rPr>
          <w:rFonts w:eastAsia="Times New Roman"/>
          <w:bCs/>
          <w:sz w:val="24"/>
          <w:szCs w:val="24"/>
        </w:rPr>
        <w:t>s conduct unreasonably interfered with the use and enjoyment of the plaintiff</w:t>
      </w:r>
      <w:r>
        <w:rPr>
          <w:rFonts w:eastAsia="Times New Roman"/>
          <w:bCs/>
          <w:sz w:val="24"/>
          <w:szCs w:val="24"/>
        </w:rPr>
        <w:t>’</w:t>
      </w:r>
      <w:r w:rsidRPr="00C16BD0">
        <w:rPr>
          <w:rFonts w:eastAsia="Times New Roman"/>
          <w:bCs/>
          <w:sz w:val="24"/>
          <w:szCs w:val="24"/>
        </w:rPr>
        <w:t>s property, (2) the interference was so substantial that it would have been offensive or caused inconvenience or annoyance to a reasonable person in the community, and (3) the interference was either negligent or intentional</w:t>
      </w:r>
      <w:r>
        <w:rPr>
          <w:rFonts w:eastAsia="Times New Roman"/>
          <w:bCs/>
          <w:sz w:val="24"/>
          <w:szCs w:val="24"/>
        </w:rPr>
        <w:t>.”).</w:t>
      </w:r>
    </w:p>
    <w:p w14:paraId="603E3D91" w14:textId="4ECCD9E9" w:rsidR="002E56BD" w:rsidRDefault="002E56BD">
      <w:pPr>
        <w:rPr>
          <w:rFonts w:eastAsia="Times New Roman"/>
          <w:bCs/>
          <w:sz w:val="24"/>
          <w:szCs w:val="24"/>
        </w:rPr>
      </w:pPr>
      <w:r>
        <w:rPr>
          <w:rFonts w:eastAsia="Times New Roman"/>
          <w:bCs/>
          <w:sz w:val="24"/>
          <w:szCs w:val="24"/>
        </w:rPr>
        <w:br w:type="page"/>
      </w:r>
    </w:p>
    <w:p w14:paraId="74CFD4CC" w14:textId="77777777" w:rsidR="002E56BD" w:rsidRPr="007E0DFF" w:rsidRDefault="002E56BD" w:rsidP="002E56BD">
      <w:pPr>
        <w:spacing w:after="240"/>
        <w:ind w:left="720" w:hanging="720"/>
        <w:rPr>
          <w:rFonts w:eastAsia="Times New Roman"/>
          <w:b/>
          <w:sz w:val="24"/>
          <w:szCs w:val="24"/>
        </w:rPr>
      </w:pPr>
      <w:bookmarkStart w:id="7" w:name="a18_07"/>
      <w:bookmarkEnd w:id="7"/>
      <w:r w:rsidRPr="007E0DFF">
        <w:rPr>
          <w:rFonts w:eastAsia="Times New Roman"/>
          <w:b/>
          <w:sz w:val="24"/>
          <w:szCs w:val="24"/>
        </w:rPr>
        <w:lastRenderedPageBreak/>
        <w:t>18:7</w:t>
      </w:r>
      <w:r w:rsidRPr="007E0DFF">
        <w:rPr>
          <w:rFonts w:eastAsia="Times New Roman"/>
          <w:b/>
          <w:sz w:val="24"/>
          <w:szCs w:val="24"/>
        </w:rPr>
        <w:tab/>
        <w:t>ACTUAL OR NOMINAL DAMAGES</w:t>
      </w:r>
    </w:p>
    <w:p w14:paraId="642382C1"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Plaintiff, </w:t>
      </w:r>
      <w:r w:rsidRPr="007E0DFF">
        <w:rPr>
          <w:rFonts w:eastAsia="Times New Roman"/>
          <w:i/>
          <w:sz w:val="24"/>
          <w:szCs w:val="24"/>
        </w:rPr>
        <w:t>(name)</w:t>
      </w:r>
      <w:r w:rsidRPr="007E0DFF">
        <w:rPr>
          <w:rFonts w:eastAsia="Times New Roman"/>
          <w:b/>
          <w:sz w:val="24"/>
          <w:szCs w:val="24"/>
        </w:rPr>
        <w:t xml:space="preserve">, has the burden of proving the nature and extent of </w:t>
      </w:r>
      <w:r w:rsidRPr="007E0DFF">
        <w:rPr>
          <w:rFonts w:eastAsia="Times New Roman"/>
          <w:bCs/>
          <w:i/>
          <w:iCs/>
          <w:sz w:val="24"/>
          <w:szCs w:val="24"/>
        </w:rPr>
        <w:t>(insert applicable pronoun)</w:t>
      </w:r>
      <w:r w:rsidRPr="007E0DFF">
        <w:rPr>
          <w:rFonts w:eastAsia="Times New Roman"/>
          <w:b/>
          <w:sz w:val="24"/>
          <w:szCs w:val="24"/>
        </w:rPr>
        <w:t xml:space="preserve"> damages by a preponderance of the evidence. If you find in favor of the plaintiff, you must determine the total dollar amount of the plaintiff’s damages, if any, that were caused by the nuisance.</w:t>
      </w:r>
    </w:p>
    <w:p w14:paraId="415C0EA3"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In determining these the plaintiff’s damages, you shall consider </w:t>
      </w:r>
    </w:p>
    <w:p w14:paraId="03AA6BF8"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1. (The difference between the reasonable market value of the real estate without the nuisance and its reasonable market value with the nuisance) (The loss of the property’s rental value for the period during which the nuisance continued); (and)</w:t>
      </w:r>
    </w:p>
    <w:p w14:paraId="3BFCBA06"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(2. </w:t>
      </w:r>
      <w:r w:rsidRPr="007E0DFF">
        <w:rPr>
          <w:rFonts w:eastAsia="Times New Roman"/>
          <w:b/>
          <w:bCs/>
          <w:iCs/>
          <w:sz w:val="24"/>
          <w:szCs w:val="24"/>
        </w:rPr>
        <w:t>Consequential damages the jury might reasonably find the plaintiff suffered as a result of the defendant’s nuisance, including loss of use of the property, discomfort, annoyance, or physical illness.</w:t>
      </w:r>
      <w:r w:rsidRPr="007E0DFF">
        <w:rPr>
          <w:rFonts w:eastAsia="Times New Roman"/>
          <w:b/>
          <w:sz w:val="24"/>
          <w:szCs w:val="24"/>
        </w:rPr>
        <w:t>)</w:t>
      </w:r>
    </w:p>
    <w:p w14:paraId="6979431B" w14:textId="77777777" w:rsidR="002E56BD" w:rsidRPr="007E0DFF" w:rsidRDefault="002E56BD" w:rsidP="002E56BD">
      <w:pPr>
        <w:ind w:firstLine="720"/>
        <w:rPr>
          <w:rFonts w:eastAsia="Times New Roman"/>
          <w:b/>
          <w:sz w:val="24"/>
          <w:szCs w:val="24"/>
        </w:rPr>
      </w:pPr>
    </w:p>
    <w:p w14:paraId="6C105539" w14:textId="77777777" w:rsidR="002E56BD" w:rsidRPr="007E0DFF" w:rsidRDefault="002E56BD" w:rsidP="002E56BD">
      <w:pPr>
        <w:spacing w:after="240"/>
        <w:ind w:firstLine="720"/>
        <w:jc w:val="center"/>
        <w:rPr>
          <w:rFonts w:eastAsia="Times New Roman"/>
          <w:b/>
          <w:sz w:val="24"/>
          <w:szCs w:val="24"/>
        </w:rPr>
      </w:pPr>
      <w:r w:rsidRPr="007E0DFF">
        <w:rPr>
          <w:rFonts w:eastAsia="Times New Roman"/>
          <w:b/>
          <w:sz w:val="24"/>
          <w:szCs w:val="24"/>
        </w:rPr>
        <w:t>Notes on Use</w:t>
      </w:r>
    </w:p>
    <w:p w14:paraId="49A2538F"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1. Use parentheticals that are supported by the evidence. </w:t>
      </w:r>
    </w:p>
    <w:p w14:paraId="736C657F"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2. A landowner is not entitled to both a permanent injunction terminating a nuisance and to an award of damages for the market value. </w:t>
      </w:r>
      <w:r w:rsidRPr="007E0DFF">
        <w:rPr>
          <w:rFonts w:eastAsia="Times New Roman"/>
          <w:b/>
          <w:sz w:val="24"/>
          <w:szCs w:val="24"/>
        </w:rPr>
        <w:t>Staley v. Sagel</w:t>
      </w:r>
      <w:r w:rsidRPr="003A5C5E">
        <w:rPr>
          <w:rFonts w:eastAsia="Times New Roman"/>
          <w:bCs/>
          <w:sz w:val="24"/>
          <w:szCs w:val="24"/>
        </w:rPr>
        <w:t>,</w:t>
      </w:r>
      <w:r w:rsidRPr="007E0DFF">
        <w:rPr>
          <w:rFonts w:eastAsia="Times New Roman"/>
          <w:bCs/>
          <w:sz w:val="24"/>
          <w:szCs w:val="24"/>
        </w:rPr>
        <w:t xml:space="preserve"> 841 P.2d 379 (Colo. App. 1992).</w:t>
      </w:r>
    </w:p>
    <w:p w14:paraId="207E9D18"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3. In trespass actions plaintiffs may recover the cost of restoring, repairing, and rebuilding their property, plus any decrease in market value after repairs. </w:t>
      </w:r>
      <w:r w:rsidRPr="007E0DFF">
        <w:rPr>
          <w:rFonts w:eastAsia="Times New Roman"/>
          <w:bCs/>
          <w:i/>
          <w:iCs/>
          <w:sz w:val="24"/>
          <w:szCs w:val="24"/>
        </w:rPr>
        <w:t>See</w:t>
      </w:r>
      <w:r w:rsidRPr="007E0DFF">
        <w:rPr>
          <w:rFonts w:eastAsia="Times New Roman"/>
          <w:bCs/>
          <w:sz w:val="24"/>
          <w:szCs w:val="24"/>
        </w:rPr>
        <w:t xml:space="preserve"> Note on Use 2 to Instruction 18:4. While a private nuisance claim does not require proof of physical damage to plaintiff’s property, costs of restoration and repair may be available if proven, </w:t>
      </w:r>
      <w:r w:rsidRPr="007E0DFF">
        <w:rPr>
          <w:rFonts w:eastAsia="Times New Roman"/>
          <w:i/>
          <w:iCs/>
          <w:sz w:val="24"/>
          <w:szCs w:val="24"/>
        </w:rPr>
        <w:t xml:space="preserve">see </w:t>
      </w:r>
      <w:r w:rsidRPr="007E0DFF">
        <w:rPr>
          <w:rFonts w:eastAsia="Times New Roman"/>
          <w:b/>
          <w:sz w:val="24"/>
          <w:szCs w:val="24"/>
        </w:rPr>
        <w:t>Webster v. Boone</w:t>
      </w:r>
      <w:r w:rsidRPr="007E0DFF">
        <w:rPr>
          <w:rFonts w:eastAsia="Times New Roman"/>
          <w:bCs/>
          <w:sz w:val="24"/>
          <w:szCs w:val="24"/>
        </w:rPr>
        <w:t>, 992 P.2d 1183, 1185 (Colo. App. 1999) (dicta), and paragraph 1 may be modified accordingly.</w:t>
      </w:r>
    </w:p>
    <w:p w14:paraId="345D612F" w14:textId="77777777" w:rsidR="002E56BD" w:rsidRPr="007E0DFF" w:rsidRDefault="002E56BD" w:rsidP="002E56BD">
      <w:pPr>
        <w:spacing w:after="240"/>
        <w:ind w:firstLine="720"/>
        <w:jc w:val="center"/>
        <w:rPr>
          <w:rFonts w:eastAsia="Times New Roman"/>
          <w:b/>
          <w:sz w:val="24"/>
          <w:szCs w:val="24"/>
        </w:rPr>
      </w:pPr>
      <w:r w:rsidRPr="007E0DFF">
        <w:rPr>
          <w:rFonts w:eastAsia="Times New Roman"/>
          <w:b/>
          <w:sz w:val="24"/>
          <w:szCs w:val="24"/>
        </w:rPr>
        <w:t>Source and Authority</w:t>
      </w:r>
    </w:p>
    <w:p w14:paraId="23D0B19D" w14:textId="64679DB8" w:rsidR="002E56BD" w:rsidRPr="002E56BD" w:rsidRDefault="002E56BD" w:rsidP="002E56BD">
      <w:pPr>
        <w:spacing w:after="240"/>
        <w:ind w:firstLine="720"/>
        <w:rPr>
          <w:rFonts w:eastAsia="Times New Roman"/>
          <w:sz w:val="24"/>
          <w:szCs w:val="24"/>
        </w:rPr>
      </w:pPr>
      <w:r w:rsidRPr="007E0DFF">
        <w:rPr>
          <w:rFonts w:eastAsia="Times New Roman"/>
          <w:bCs/>
          <w:sz w:val="24"/>
          <w:szCs w:val="24"/>
        </w:rPr>
        <w:t xml:space="preserve">This instruction is supported by </w:t>
      </w:r>
      <w:r w:rsidRPr="007E0DFF">
        <w:rPr>
          <w:rFonts w:eastAsia="Times New Roman"/>
          <w:b/>
          <w:sz w:val="24"/>
          <w:szCs w:val="24"/>
        </w:rPr>
        <w:t>Webster</w:t>
      </w:r>
      <w:r w:rsidRPr="007E0DFF">
        <w:rPr>
          <w:rFonts w:eastAsia="Times New Roman"/>
          <w:bCs/>
          <w:sz w:val="24"/>
          <w:szCs w:val="24"/>
        </w:rPr>
        <w:t xml:space="preserve">, 992 P.2d at 1185 (“Damages available on trespass and nuisance claims can include not only diminution of market value or costs of restoration and loss of use of the property, but also discomfort and annoyance to the property owner as the occupant.”);  </w:t>
      </w:r>
      <w:r w:rsidRPr="007E0DFF">
        <w:rPr>
          <w:rFonts w:eastAsia="Times New Roman"/>
          <w:b/>
          <w:sz w:val="24"/>
          <w:szCs w:val="24"/>
        </w:rPr>
        <w:t>Calvaresi v. National Development Co.</w:t>
      </w:r>
      <w:r w:rsidRPr="007E0DFF">
        <w:rPr>
          <w:rFonts w:eastAsia="Times New Roman"/>
          <w:bCs/>
          <w:sz w:val="24"/>
          <w:szCs w:val="24"/>
        </w:rPr>
        <w:t>, 772 P.2d 640, 645 (Colo. App. 1988) (“The trial court must permit an injured landowner to recover damages for . . . the loss of the use of the property, if any, and any separate injuries in the nature of discomfort, annoyance or physical illness.”);</w:t>
      </w:r>
      <w:r w:rsidRPr="007E0DFF">
        <w:rPr>
          <w:rFonts w:eastAsia="Times New Roman"/>
          <w:b/>
          <w:bCs/>
          <w:sz w:val="24"/>
          <w:szCs w:val="24"/>
        </w:rPr>
        <w:t xml:space="preserve"> </w:t>
      </w:r>
      <w:r w:rsidRPr="007E0DFF">
        <w:rPr>
          <w:rFonts w:eastAsia="Times New Roman"/>
          <w:b/>
          <w:sz w:val="24"/>
          <w:szCs w:val="24"/>
        </w:rPr>
        <w:t>Allison v. Smith</w:t>
      </w:r>
      <w:r w:rsidRPr="007E0DFF">
        <w:rPr>
          <w:rFonts w:eastAsia="Times New Roman"/>
          <w:bCs/>
          <w:sz w:val="24"/>
          <w:szCs w:val="24"/>
        </w:rPr>
        <w:t xml:space="preserve">, 695 P.2d 791, 795 (Colo. App. 1984) (the trial court “found a diminution in market value of $8,200 arising from the loss of the well, . . . $7,400 because of the unsightliness resulting from the Smith’s use of their property, . . . and $5,000 for five years’ loss of use”); </w:t>
      </w:r>
      <w:r w:rsidRPr="007E0DFF">
        <w:rPr>
          <w:rFonts w:eastAsia="Times New Roman"/>
          <w:b/>
          <w:bCs/>
          <w:sz w:val="24"/>
          <w:szCs w:val="24"/>
        </w:rPr>
        <w:t>Nw. Water Corp. v. Pennetta</w:t>
      </w:r>
      <w:r w:rsidRPr="008B34DB">
        <w:rPr>
          <w:rFonts w:eastAsia="Times New Roman"/>
          <w:sz w:val="24"/>
          <w:szCs w:val="24"/>
        </w:rPr>
        <w:t>,</w:t>
      </w:r>
      <w:r w:rsidRPr="007E0DFF">
        <w:rPr>
          <w:rFonts w:eastAsia="Times New Roman"/>
          <w:sz w:val="24"/>
          <w:szCs w:val="24"/>
        </w:rPr>
        <w:t xml:space="preserve"> 29 Colo. App. 1, 3, 479 P.2d 398, 400 (1970) (“Plaintiffs were awarded $2,500 for diminution in property value; $1,500 for annoyance, discomfort and inconvenience; and interest on such sums from the date the complaint was filed.”).</w:t>
      </w:r>
    </w:p>
    <w:sectPr w:rsidR="002E56BD" w:rsidRPr="002E56BD"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CDC0" w14:textId="77777777" w:rsidR="00624015" w:rsidRDefault="00624015" w:rsidP="0054263B">
      <w:r>
        <w:separator/>
      </w:r>
    </w:p>
    <w:p w14:paraId="61330555" w14:textId="77777777" w:rsidR="00624015" w:rsidRDefault="00624015"/>
  </w:endnote>
  <w:endnote w:type="continuationSeparator" w:id="0">
    <w:p w14:paraId="77130887" w14:textId="77777777" w:rsidR="00624015" w:rsidRDefault="00624015" w:rsidP="0054263B">
      <w:r>
        <w:continuationSeparator/>
      </w:r>
    </w:p>
    <w:p w14:paraId="303B2A71" w14:textId="77777777" w:rsidR="00624015" w:rsidRDefault="00624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EC77D1">
          <w:rPr>
            <w:noProof/>
          </w:rPr>
          <w:t>11</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30DB" w14:textId="77777777" w:rsidR="00624015" w:rsidRDefault="00624015" w:rsidP="0054263B">
      <w:r>
        <w:separator/>
      </w:r>
    </w:p>
    <w:p w14:paraId="62050BF6" w14:textId="77777777" w:rsidR="00624015" w:rsidRDefault="00624015"/>
  </w:footnote>
  <w:footnote w:type="continuationSeparator" w:id="0">
    <w:p w14:paraId="4382287C" w14:textId="77777777" w:rsidR="00624015" w:rsidRDefault="00624015" w:rsidP="0054263B">
      <w:r>
        <w:continuationSeparator/>
      </w:r>
    </w:p>
    <w:p w14:paraId="7357EAE5" w14:textId="77777777" w:rsidR="00624015" w:rsidRDefault="00624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259169">
    <w:abstractNumId w:val="0"/>
  </w:num>
  <w:num w:numId="2" w16cid:durableId="797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2123"/>
    <w:rsid w:val="00014161"/>
    <w:rsid w:val="00034B32"/>
    <w:rsid w:val="00037111"/>
    <w:rsid w:val="00044BF5"/>
    <w:rsid w:val="00051D41"/>
    <w:rsid w:val="00062B99"/>
    <w:rsid w:val="0006367C"/>
    <w:rsid w:val="00072065"/>
    <w:rsid w:val="00072641"/>
    <w:rsid w:val="000824C8"/>
    <w:rsid w:val="00085495"/>
    <w:rsid w:val="000921F1"/>
    <w:rsid w:val="000962C8"/>
    <w:rsid w:val="000A040F"/>
    <w:rsid w:val="000A33BC"/>
    <w:rsid w:val="000B1B7A"/>
    <w:rsid w:val="000C204E"/>
    <w:rsid w:val="000C503A"/>
    <w:rsid w:val="000C6F97"/>
    <w:rsid w:val="000D3EDF"/>
    <w:rsid w:val="000D4856"/>
    <w:rsid w:val="000F205C"/>
    <w:rsid w:val="000F3F07"/>
    <w:rsid w:val="001117D9"/>
    <w:rsid w:val="00112C8E"/>
    <w:rsid w:val="00112FF9"/>
    <w:rsid w:val="00125209"/>
    <w:rsid w:val="00126B7A"/>
    <w:rsid w:val="00144917"/>
    <w:rsid w:val="00146121"/>
    <w:rsid w:val="001608FF"/>
    <w:rsid w:val="0016520C"/>
    <w:rsid w:val="00166263"/>
    <w:rsid w:val="001671A9"/>
    <w:rsid w:val="00167A38"/>
    <w:rsid w:val="00172674"/>
    <w:rsid w:val="00174BB5"/>
    <w:rsid w:val="00176B92"/>
    <w:rsid w:val="0018388B"/>
    <w:rsid w:val="001903CB"/>
    <w:rsid w:val="001913B1"/>
    <w:rsid w:val="00191498"/>
    <w:rsid w:val="00191C86"/>
    <w:rsid w:val="001A1D2A"/>
    <w:rsid w:val="001A2648"/>
    <w:rsid w:val="001A31FD"/>
    <w:rsid w:val="001C0A35"/>
    <w:rsid w:val="001D5896"/>
    <w:rsid w:val="001E0F3B"/>
    <w:rsid w:val="001E1686"/>
    <w:rsid w:val="001F0193"/>
    <w:rsid w:val="001F4D70"/>
    <w:rsid w:val="00200BA5"/>
    <w:rsid w:val="00202B81"/>
    <w:rsid w:val="002065D8"/>
    <w:rsid w:val="0021368F"/>
    <w:rsid w:val="0021730E"/>
    <w:rsid w:val="00217435"/>
    <w:rsid w:val="00220455"/>
    <w:rsid w:val="0022134E"/>
    <w:rsid w:val="0022161C"/>
    <w:rsid w:val="00223286"/>
    <w:rsid w:val="00227D3A"/>
    <w:rsid w:val="00236DE1"/>
    <w:rsid w:val="0024062B"/>
    <w:rsid w:val="0024597C"/>
    <w:rsid w:val="0024764A"/>
    <w:rsid w:val="002547C3"/>
    <w:rsid w:val="002613F9"/>
    <w:rsid w:val="00262EC2"/>
    <w:rsid w:val="00264B49"/>
    <w:rsid w:val="002654B4"/>
    <w:rsid w:val="00267805"/>
    <w:rsid w:val="00273777"/>
    <w:rsid w:val="0027419B"/>
    <w:rsid w:val="00293F7E"/>
    <w:rsid w:val="002A23B0"/>
    <w:rsid w:val="002A6EC7"/>
    <w:rsid w:val="002B759D"/>
    <w:rsid w:val="002C27CE"/>
    <w:rsid w:val="002D163D"/>
    <w:rsid w:val="002E0970"/>
    <w:rsid w:val="002E12FC"/>
    <w:rsid w:val="002E33D8"/>
    <w:rsid w:val="002E56BD"/>
    <w:rsid w:val="002F48D6"/>
    <w:rsid w:val="0030228D"/>
    <w:rsid w:val="00304398"/>
    <w:rsid w:val="0031067D"/>
    <w:rsid w:val="00316D33"/>
    <w:rsid w:val="00320613"/>
    <w:rsid w:val="0032073B"/>
    <w:rsid w:val="00322F02"/>
    <w:rsid w:val="003247EA"/>
    <w:rsid w:val="003259EE"/>
    <w:rsid w:val="00333886"/>
    <w:rsid w:val="00335934"/>
    <w:rsid w:val="00336CE4"/>
    <w:rsid w:val="00336F90"/>
    <w:rsid w:val="00345533"/>
    <w:rsid w:val="00352111"/>
    <w:rsid w:val="00352433"/>
    <w:rsid w:val="00352696"/>
    <w:rsid w:val="00353044"/>
    <w:rsid w:val="00355A96"/>
    <w:rsid w:val="003613FE"/>
    <w:rsid w:val="003741D3"/>
    <w:rsid w:val="00375AEA"/>
    <w:rsid w:val="00382177"/>
    <w:rsid w:val="003837B6"/>
    <w:rsid w:val="003937B8"/>
    <w:rsid w:val="00393C01"/>
    <w:rsid w:val="003A2EEF"/>
    <w:rsid w:val="003A2F1C"/>
    <w:rsid w:val="003A5A75"/>
    <w:rsid w:val="003A5C5E"/>
    <w:rsid w:val="003C7EC2"/>
    <w:rsid w:val="003D027F"/>
    <w:rsid w:val="003D1B54"/>
    <w:rsid w:val="003D370E"/>
    <w:rsid w:val="003D565A"/>
    <w:rsid w:val="003E472A"/>
    <w:rsid w:val="003E5B38"/>
    <w:rsid w:val="003F0106"/>
    <w:rsid w:val="003F025C"/>
    <w:rsid w:val="003F108C"/>
    <w:rsid w:val="003F6E89"/>
    <w:rsid w:val="003F78F0"/>
    <w:rsid w:val="00411F7A"/>
    <w:rsid w:val="00430165"/>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19EB"/>
    <w:rsid w:val="004A32E6"/>
    <w:rsid w:val="004A3685"/>
    <w:rsid w:val="004B1D21"/>
    <w:rsid w:val="004B50BD"/>
    <w:rsid w:val="004B753E"/>
    <w:rsid w:val="004C437F"/>
    <w:rsid w:val="004C62F9"/>
    <w:rsid w:val="004C723A"/>
    <w:rsid w:val="004D6A1A"/>
    <w:rsid w:val="004E0408"/>
    <w:rsid w:val="004E0838"/>
    <w:rsid w:val="004E7EF1"/>
    <w:rsid w:val="004F48CF"/>
    <w:rsid w:val="0050109E"/>
    <w:rsid w:val="005065E6"/>
    <w:rsid w:val="0051385E"/>
    <w:rsid w:val="00514104"/>
    <w:rsid w:val="00515A30"/>
    <w:rsid w:val="00516447"/>
    <w:rsid w:val="00523826"/>
    <w:rsid w:val="0052537F"/>
    <w:rsid w:val="00527A18"/>
    <w:rsid w:val="00531F87"/>
    <w:rsid w:val="0053544D"/>
    <w:rsid w:val="00535E5C"/>
    <w:rsid w:val="0054263B"/>
    <w:rsid w:val="00543618"/>
    <w:rsid w:val="00547D97"/>
    <w:rsid w:val="00550AFD"/>
    <w:rsid w:val="00552212"/>
    <w:rsid w:val="005545DA"/>
    <w:rsid w:val="00555FBA"/>
    <w:rsid w:val="00557FCC"/>
    <w:rsid w:val="005619DB"/>
    <w:rsid w:val="005648EF"/>
    <w:rsid w:val="005659EE"/>
    <w:rsid w:val="0057158D"/>
    <w:rsid w:val="0057771F"/>
    <w:rsid w:val="005917C1"/>
    <w:rsid w:val="00592A51"/>
    <w:rsid w:val="005A22A6"/>
    <w:rsid w:val="005B3A78"/>
    <w:rsid w:val="005C56C9"/>
    <w:rsid w:val="005C5CCB"/>
    <w:rsid w:val="005D1AD3"/>
    <w:rsid w:val="005D3156"/>
    <w:rsid w:val="005E712D"/>
    <w:rsid w:val="005F1017"/>
    <w:rsid w:val="005F19FD"/>
    <w:rsid w:val="005F5A94"/>
    <w:rsid w:val="00614CA6"/>
    <w:rsid w:val="00624015"/>
    <w:rsid w:val="006272FE"/>
    <w:rsid w:val="00627E27"/>
    <w:rsid w:val="00647CC5"/>
    <w:rsid w:val="00651A64"/>
    <w:rsid w:val="00661D05"/>
    <w:rsid w:val="00667E2D"/>
    <w:rsid w:val="00675252"/>
    <w:rsid w:val="00681617"/>
    <w:rsid w:val="00682325"/>
    <w:rsid w:val="00682B93"/>
    <w:rsid w:val="0068336D"/>
    <w:rsid w:val="00683FA1"/>
    <w:rsid w:val="00685E76"/>
    <w:rsid w:val="00687304"/>
    <w:rsid w:val="00692BC2"/>
    <w:rsid w:val="00697184"/>
    <w:rsid w:val="00697DF2"/>
    <w:rsid w:val="006A74B6"/>
    <w:rsid w:val="006B2457"/>
    <w:rsid w:val="006B26D7"/>
    <w:rsid w:val="006B35C5"/>
    <w:rsid w:val="006E0D06"/>
    <w:rsid w:val="006E34FA"/>
    <w:rsid w:val="006E3575"/>
    <w:rsid w:val="006E62F0"/>
    <w:rsid w:val="006E7691"/>
    <w:rsid w:val="006F02ED"/>
    <w:rsid w:val="006F7581"/>
    <w:rsid w:val="006F7DC0"/>
    <w:rsid w:val="00702B5A"/>
    <w:rsid w:val="0070752A"/>
    <w:rsid w:val="007119D8"/>
    <w:rsid w:val="0071225B"/>
    <w:rsid w:val="00713866"/>
    <w:rsid w:val="007216DA"/>
    <w:rsid w:val="00724230"/>
    <w:rsid w:val="007340B5"/>
    <w:rsid w:val="007532AB"/>
    <w:rsid w:val="007572BC"/>
    <w:rsid w:val="00766F81"/>
    <w:rsid w:val="00770FFC"/>
    <w:rsid w:val="00786121"/>
    <w:rsid w:val="00787065"/>
    <w:rsid w:val="00792028"/>
    <w:rsid w:val="007A3A0E"/>
    <w:rsid w:val="007A612E"/>
    <w:rsid w:val="007B045B"/>
    <w:rsid w:val="007B1633"/>
    <w:rsid w:val="007C7289"/>
    <w:rsid w:val="007D168F"/>
    <w:rsid w:val="007D198E"/>
    <w:rsid w:val="007D2BCE"/>
    <w:rsid w:val="007D39CC"/>
    <w:rsid w:val="007E1675"/>
    <w:rsid w:val="007F7129"/>
    <w:rsid w:val="00801691"/>
    <w:rsid w:val="00806282"/>
    <w:rsid w:val="00813A6B"/>
    <w:rsid w:val="00815172"/>
    <w:rsid w:val="008211F2"/>
    <w:rsid w:val="0082168C"/>
    <w:rsid w:val="0083254A"/>
    <w:rsid w:val="0083264A"/>
    <w:rsid w:val="00832DB4"/>
    <w:rsid w:val="0083763B"/>
    <w:rsid w:val="00837F81"/>
    <w:rsid w:val="00843192"/>
    <w:rsid w:val="00845F81"/>
    <w:rsid w:val="00850A48"/>
    <w:rsid w:val="00853ECF"/>
    <w:rsid w:val="008557E1"/>
    <w:rsid w:val="0086735A"/>
    <w:rsid w:val="008703EF"/>
    <w:rsid w:val="0087099E"/>
    <w:rsid w:val="00872C4E"/>
    <w:rsid w:val="00875064"/>
    <w:rsid w:val="008812A8"/>
    <w:rsid w:val="00881431"/>
    <w:rsid w:val="00895065"/>
    <w:rsid w:val="008A475A"/>
    <w:rsid w:val="008A6339"/>
    <w:rsid w:val="008A637B"/>
    <w:rsid w:val="008B1617"/>
    <w:rsid w:val="008B34DB"/>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150CD"/>
    <w:rsid w:val="009321E9"/>
    <w:rsid w:val="00932723"/>
    <w:rsid w:val="00935DA8"/>
    <w:rsid w:val="00936D0A"/>
    <w:rsid w:val="00937FEA"/>
    <w:rsid w:val="00940E35"/>
    <w:rsid w:val="00950692"/>
    <w:rsid w:val="00952BBB"/>
    <w:rsid w:val="0095709A"/>
    <w:rsid w:val="009725D8"/>
    <w:rsid w:val="00973884"/>
    <w:rsid w:val="009902F2"/>
    <w:rsid w:val="009931B9"/>
    <w:rsid w:val="00993D46"/>
    <w:rsid w:val="009A5AA6"/>
    <w:rsid w:val="009B6746"/>
    <w:rsid w:val="009B750A"/>
    <w:rsid w:val="009B777F"/>
    <w:rsid w:val="009C0C3F"/>
    <w:rsid w:val="009C14D0"/>
    <w:rsid w:val="009D3029"/>
    <w:rsid w:val="009E20C7"/>
    <w:rsid w:val="009E2302"/>
    <w:rsid w:val="009E3DA4"/>
    <w:rsid w:val="009E4F11"/>
    <w:rsid w:val="009F581C"/>
    <w:rsid w:val="00A005E6"/>
    <w:rsid w:val="00A109BC"/>
    <w:rsid w:val="00A10F3D"/>
    <w:rsid w:val="00A110C7"/>
    <w:rsid w:val="00A137AF"/>
    <w:rsid w:val="00A20F8A"/>
    <w:rsid w:val="00A250A2"/>
    <w:rsid w:val="00A36457"/>
    <w:rsid w:val="00A3678B"/>
    <w:rsid w:val="00A41917"/>
    <w:rsid w:val="00A50F20"/>
    <w:rsid w:val="00A606B1"/>
    <w:rsid w:val="00A632A0"/>
    <w:rsid w:val="00A7145D"/>
    <w:rsid w:val="00A73AE6"/>
    <w:rsid w:val="00A76341"/>
    <w:rsid w:val="00A80C10"/>
    <w:rsid w:val="00A82D0A"/>
    <w:rsid w:val="00A85AAA"/>
    <w:rsid w:val="00A87882"/>
    <w:rsid w:val="00A92C18"/>
    <w:rsid w:val="00AA2EED"/>
    <w:rsid w:val="00AB2019"/>
    <w:rsid w:val="00AB5FFA"/>
    <w:rsid w:val="00AB71A7"/>
    <w:rsid w:val="00AC78F7"/>
    <w:rsid w:val="00AD4B56"/>
    <w:rsid w:val="00AF580D"/>
    <w:rsid w:val="00AF7D47"/>
    <w:rsid w:val="00B0264D"/>
    <w:rsid w:val="00B06E97"/>
    <w:rsid w:val="00B14314"/>
    <w:rsid w:val="00B15A7A"/>
    <w:rsid w:val="00B170BD"/>
    <w:rsid w:val="00B20268"/>
    <w:rsid w:val="00B2028F"/>
    <w:rsid w:val="00B32E46"/>
    <w:rsid w:val="00B338E2"/>
    <w:rsid w:val="00B33FF6"/>
    <w:rsid w:val="00B35185"/>
    <w:rsid w:val="00B37722"/>
    <w:rsid w:val="00B46099"/>
    <w:rsid w:val="00B46A2F"/>
    <w:rsid w:val="00B567C1"/>
    <w:rsid w:val="00B579DF"/>
    <w:rsid w:val="00B6178E"/>
    <w:rsid w:val="00B6275E"/>
    <w:rsid w:val="00B70D68"/>
    <w:rsid w:val="00B719C2"/>
    <w:rsid w:val="00B72D6B"/>
    <w:rsid w:val="00B80FD1"/>
    <w:rsid w:val="00B81C66"/>
    <w:rsid w:val="00B81D5C"/>
    <w:rsid w:val="00B84E37"/>
    <w:rsid w:val="00B937E4"/>
    <w:rsid w:val="00B97801"/>
    <w:rsid w:val="00BA1C58"/>
    <w:rsid w:val="00BA2389"/>
    <w:rsid w:val="00BA27A8"/>
    <w:rsid w:val="00BA510E"/>
    <w:rsid w:val="00BA72D6"/>
    <w:rsid w:val="00BB344E"/>
    <w:rsid w:val="00BB5DBC"/>
    <w:rsid w:val="00BC49BF"/>
    <w:rsid w:val="00BC65EF"/>
    <w:rsid w:val="00BC681D"/>
    <w:rsid w:val="00BD0F7E"/>
    <w:rsid w:val="00BE2B09"/>
    <w:rsid w:val="00BE654D"/>
    <w:rsid w:val="00BE6634"/>
    <w:rsid w:val="00BF5DF3"/>
    <w:rsid w:val="00C16BD0"/>
    <w:rsid w:val="00C21D93"/>
    <w:rsid w:val="00C225C9"/>
    <w:rsid w:val="00C23BF5"/>
    <w:rsid w:val="00C26751"/>
    <w:rsid w:val="00C40968"/>
    <w:rsid w:val="00C473A2"/>
    <w:rsid w:val="00C60E95"/>
    <w:rsid w:val="00C610EC"/>
    <w:rsid w:val="00C724B6"/>
    <w:rsid w:val="00C7459A"/>
    <w:rsid w:val="00C75D6F"/>
    <w:rsid w:val="00C84E71"/>
    <w:rsid w:val="00C87463"/>
    <w:rsid w:val="00C8797B"/>
    <w:rsid w:val="00C93B0B"/>
    <w:rsid w:val="00C94C5E"/>
    <w:rsid w:val="00CA142A"/>
    <w:rsid w:val="00CA41CC"/>
    <w:rsid w:val="00CA5AF3"/>
    <w:rsid w:val="00CA7EF2"/>
    <w:rsid w:val="00CB008B"/>
    <w:rsid w:val="00CB08FF"/>
    <w:rsid w:val="00CB0CC1"/>
    <w:rsid w:val="00CB3564"/>
    <w:rsid w:val="00CC0502"/>
    <w:rsid w:val="00CC1603"/>
    <w:rsid w:val="00CC1AC8"/>
    <w:rsid w:val="00CC3F23"/>
    <w:rsid w:val="00CC6A95"/>
    <w:rsid w:val="00CC7E17"/>
    <w:rsid w:val="00CD4A7D"/>
    <w:rsid w:val="00CE4AA6"/>
    <w:rsid w:val="00CE593D"/>
    <w:rsid w:val="00CF07F1"/>
    <w:rsid w:val="00D00330"/>
    <w:rsid w:val="00D0050C"/>
    <w:rsid w:val="00D014AE"/>
    <w:rsid w:val="00D03157"/>
    <w:rsid w:val="00D03893"/>
    <w:rsid w:val="00D046AB"/>
    <w:rsid w:val="00D05926"/>
    <w:rsid w:val="00D06D8D"/>
    <w:rsid w:val="00D16901"/>
    <w:rsid w:val="00D23BD0"/>
    <w:rsid w:val="00D24F27"/>
    <w:rsid w:val="00D333AA"/>
    <w:rsid w:val="00D347CA"/>
    <w:rsid w:val="00D51E80"/>
    <w:rsid w:val="00D53848"/>
    <w:rsid w:val="00D53AC5"/>
    <w:rsid w:val="00D5484F"/>
    <w:rsid w:val="00D76E57"/>
    <w:rsid w:val="00D8125F"/>
    <w:rsid w:val="00D90972"/>
    <w:rsid w:val="00D90E67"/>
    <w:rsid w:val="00DA1796"/>
    <w:rsid w:val="00DA2814"/>
    <w:rsid w:val="00DB2C90"/>
    <w:rsid w:val="00DB44CA"/>
    <w:rsid w:val="00DC545A"/>
    <w:rsid w:val="00DC63A9"/>
    <w:rsid w:val="00DC66A6"/>
    <w:rsid w:val="00DC7533"/>
    <w:rsid w:val="00DD4ED4"/>
    <w:rsid w:val="00DE2930"/>
    <w:rsid w:val="00DF2CB7"/>
    <w:rsid w:val="00DF3BF1"/>
    <w:rsid w:val="00E007F8"/>
    <w:rsid w:val="00E058BA"/>
    <w:rsid w:val="00E111AA"/>
    <w:rsid w:val="00E172C8"/>
    <w:rsid w:val="00E21120"/>
    <w:rsid w:val="00E24E10"/>
    <w:rsid w:val="00E50187"/>
    <w:rsid w:val="00E55147"/>
    <w:rsid w:val="00E551EB"/>
    <w:rsid w:val="00E57CC7"/>
    <w:rsid w:val="00E64EA9"/>
    <w:rsid w:val="00E67638"/>
    <w:rsid w:val="00E70C9B"/>
    <w:rsid w:val="00E72FF1"/>
    <w:rsid w:val="00E7526A"/>
    <w:rsid w:val="00E7751B"/>
    <w:rsid w:val="00E87248"/>
    <w:rsid w:val="00E87C31"/>
    <w:rsid w:val="00E87FFB"/>
    <w:rsid w:val="00E93068"/>
    <w:rsid w:val="00E970B9"/>
    <w:rsid w:val="00E97281"/>
    <w:rsid w:val="00EB113C"/>
    <w:rsid w:val="00EB5133"/>
    <w:rsid w:val="00EC16F4"/>
    <w:rsid w:val="00EC17E3"/>
    <w:rsid w:val="00EC3919"/>
    <w:rsid w:val="00EC57D7"/>
    <w:rsid w:val="00EC77D1"/>
    <w:rsid w:val="00EC7C98"/>
    <w:rsid w:val="00ED119F"/>
    <w:rsid w:val="00ED33CD"/>
    <w:rsid w:val="00ED5E52"/>
    <w:rsid w:val="00ED7176"/>
    <w:rsid w:val="00ED75EA"/>
    <w:rsid w:val="00EF1E2D"/>
    <w:rsid w:val="00EF4043"/>
    <w:rsid w:val="00EF42D0"/>
    <w:rsid w:val="00EF68C4"/>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C69E3"/>
    <w:rsid w:val="00FD1EE6"/>
    <w:rsid w:val="00FD2DF4"/>
    <w:rsid w:val="00FD7D4E"/>
    <w:rsid w:val="00FE00D7"/>
    <w:rsid w:val="00FE156B"/>
    <w:rsid w:val="00FE5969"/>
    <w:rsid w:val="00FE607E"/>
    <w:rsid w:val="00FF171F"/>
    <w:rsid w:val="00FF5E01"/>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D8AB"/>
  <w15:docId w15:val="{62DAF7E0-883A-4029-A6AB-8223BBF8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DD4ED4"/>
    <w:rPr>
      <w:sz w:val="22"/>
      <w:szCs w:val="26"/>
    </w:rPr>
  </w:style>
  <w:style w:type="character" w:styleId="UnresolvedMention">
    <w:name w:val="Unresolved Mention"/>
    <w:basedOn w:val="DefaultParagraphFont"/>
    <w:uiPriority w:val="99"/>
    <w:semiHidden/>
    <w:unhideWhenUsed/>
    <w:rsid w:val="00D76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0815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1B36-D406-4175-8C3F-87F817D2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5828</Words>
  <Characters>33223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dc:title>
  <dc:creator>Ellen Buckley</dc:creator>
  <cp:lastModifiedBy>krista schelhaas</cp:lastModifiedBy>
  <cp:revision>2</cp:revision>
  <dcterms:created xsi:type="dcterms:W3CDTF">2026-02-22T18:27:00Z</dcterms:created>
  <dcterms:modified xsi:type="dcterms:W3CDTF">2026-02-22T18:27:00Z</dcterms:modified>
</cp:coreProperties>
</file>