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BDC0" w14:textId="1EF49E21" w:rsidR="00CA41CC" w:rsidRPr="00914128" w:rsidRDefault="0068336D" w:rsidP="00914128">
      <w:pPr>
        <w:pStyle w:val="Heading1"/>
      </w:pPr>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217435" w:rsidP="00914128">
      <w:pPr>
        <w:pStyle w:val="ToC"/>
      </w:pPr>
      <w:hyperlink w:anchor="a17_01" w:history="1">
        <w:r w:rsidRPr="00787065">
          <w:rPr>
            <w:rStyle w:val="Hyperlink"/>
          </w:rPr>
          <w:t>17:1</w:t>
        </w:r>
      </w:hyperlink>
      <w:r w:rsidRPr="00787065">
        <w:t xml:space="preserve"> </w:t>
      </w:r>
      <w:r w:rsidRPr="00787065">
        <w:tab/>
        <w:t xml:space="preserve">Elements </w:t>
      </w:r>
      <w:r>
        <w:t>o</w:t>
      </w:r>
      <w:r w:rsidRPr="00787065">
        <w:t>f Liability</w:t>
      </w:r>
    </w:p>
    <w:p w14:paraId="0370AAB3" w14:textId="77777777" w:rsidR="00787065" w:rsidRDefault="00217435" w:rsidP="00914128">
      <w:pPr>
        <w:pStyle w:val="ToC"/>
      </w:pPr>
      <w:hyperlink w:anchor="a17_02" w:history="1">
        <w:r w:rsidRPr="00787065">
          <w:rPr>
            <w:rStyle w:val="Hyperlink"/>
          </w:rPr>
          <w:t>17:2</w:t>
        </w:r>
      </w:hyperlink>
      <w:r w:rsidRPr="00787065">
        <w:t xml:space="preserve"> </w:t>
      </w:r>
      <w:r w:rsidRPr="00787065">
        <w:tab/>
        <w:t>Probable Cause — Defined</w:t>
      </w:r>
    </w:p>
    <w:p w14:paraId="145156F8" w14:textId="77777777" w:rsidR="00787065" w:rsidRDefault="00217435" w:rsidP="00914128">
      <w:pPr>
        <w:pStyle w:val="ToC"/>
      </w:pPr>
      <w:hyperlink w:anchor="a17_03" w:history="1">
        <w:r w:rsidRPr="00787065">
          <w:rPr>
            <w:rStyle w:val="Hyperlink"/>
          </w:rPr>
          <w:t>17:3</w:t>
        </w:r>
      </w:hyperlink>
      <w:r w:rsidRPr="00787065">
        <w:t xml:space="preserve"> </w:t>
      </w:r>
      <w:r w:rsidRPr="00787065">
        <w:tab/>
        <w:t xml:space="preserve">Probable Cause Not Dependent </w:t>
      </w:r>
      <w:r>
        <w:t>o</w:t>
      </w:r>
      <w:r w:rsidRPr="00787065">
        <w:t xml:space="preserve">n Result </w:t>
      </w:r>
      <w:r>
        <w:t>o</w:t>
      </w:r>
      <w:r w:rsidRPr="00787065">
        <w:t>f Criminal Case</w:t>
      </w:r>
    </w:p>
    <w:p w14:paraId="0F821594" w14:textId="77777777" w:rsidR="00787065" w:rsidRDefault="00217435" w:rsidP="00914128">
      <w:pPr>
        <w:pStyle w:val="ToC"/>
      </w:pPr>
      <w:hyperlink w:anchor="a17_04" w:history="1">
        <w:r w:rsidRPr="00787065">
          <w:rPr>
            <w:rStyle w:val="Hyperlink"/>
          </w:rPr>
          <w:t>17:4</w:t>
        </w:r>
      </w:hyperlink>
      <w:r w:rsidRPr="00787065">
        <w:t xml:space="preserve"> </w:t>
      </w:r>
      <w:r w:rsidRPr="00787065">
        <w:tab/>
        <w:t xml:space="preserve">Presence </w:t>
      </w:r>
      <w:r>
        <w:t>o</w:t>
      </w:r>
      <w:r w:rsidRPr="00787065">
        <w:t>f Malice</w:t>
      </w:r>
    </w:p>
    <w:p w14:paraId="0C828C0F" w14:textId="77777777" w:rsidR="00787065" w:rsidRDefault="00217435" w:rsidP="00914128">
      <w:pPr>
        <w:pStyle w:val="ToC"/>
      </w:pPr>
      <w:hyperlink w:anchor="a17_05" w:history="1">
        <w:r w:rsidRPr="00787065">
          <w:rPr>
            <w:rStyle w:val="Hyperlink"/>
          </w:rPr>
          <w:t>17:5</w:t>
        </w:r>
      </w:hyperlink>
      <w:r w:rsidRPr="00787065">
        <w:t xml:space="preserve"> </w:t>
      </w:r>
      <w:r w:rsidRPr="00787065">
        <w:tab/>
        <w:t xml:space="preserve">Proof </w:t>
      </w:r>
      <w:r>
        <w:t>o</w:t>
      </w:r>
      <w:r w:rsidRPr="00787065">
        <w:t>f Malice</w:t>
      </w:r>
    </w:p>
    <w:p w14:paraId="0743E542" w14:textId="77777777" w:rsidR="00787065" w:rsidRDefault="00217435" w:rsidP="00914128">
      <w:pPr>
        <w:pStyle w:val="ToC"/>
      </w:pPr>
      <w:hyperlink w:anchor="a17_06" w:history="1">
        <w:r w:rsidRPr="00787065">
          <w:rPr>
            <w:rStyle w:val="Hyperlink"/>
          </w:rPr>
          <w:t>17:6</w:t>
        </w:r>
      </w:hyperlink>
      <w:r w:rsidRPr="00787065">
        <w:t xml:space="preserve"> </w:t>
      </w:r>
      <w:r w:rsidRPr="00787065">
        <w:tab/>
        <w:t xml:space="preserve">Lack </w:t>
      </w:r>
      <w:r>
        <w:t>o</w:t>
      </w:r>
      <w:r w:rsidRPr="00787065">
        <w:t xml:space="preserve">f Probable Cause Not </w:t>
      </w:r>
      <w:r>
        <w:t>t</w:t>
      </w:r>
      <w:r w:rsidRPr="00787065">
        <w:t xml:space="preserve">o Be Inferred </w:t>
      </w:r>
      <w:r>
        <w:t>f</w:t>
      </w:r>
      <w:r w:rsidRPr="00787065">
        <w:t>rom Malice Alone</w:t>
      </w:r>
    </w:p>
    <w:p w14:paraId="52BEC53B" w14:textId="77777777" w:rsidR="00787065" w:rsidRDefault="00217435" w:rsidP="00914128">
      <w:pPr>
        <w:pStyle w:val="ToC"/>
      </w:pPr>
      <w:hyperlink w:anchor="a17_07" w:history="1">
        <w:r w:rsidRPr="00787065">
          <w:rPr>
            <w:rStyle w:val="Hyperlink"/>
          </w:rPr>
          <w:t>17:7</w:t>
        </w:r>
      </w:hyperlink>
      <w:r w:rsidRPr="00787065">
        <w:t xml:space="preserve"> </w:t>
      </w:r>
      <w:r w:rsidRPr="00787065">
        <w:tab/>
        <w:t xml:space="preserve">Affirmative Defense — Advice </w:t>
      </w:r>
      <w:r>
        <w:t>o</w:t>
      </w:r>
      <w:r w:rsidRPr="00787065">
        <w:t>f Attorney</w:t>
      </w:r>
    </w:p>
    <w:p w14:paraId="7BA1415F" w14:textId="77777777" w:rsidR="00787065" w:rsidRDefault="00217435" w:rsidP="00914128">
      <w:pPr>
        <w:pStyle w:val="ToC"/>
      </w:pPr>
      <w:hyperlink w:anchor="a17_08" w:history="1">
        <w:r w:rsidRPr="00787065">
          <w:rPr>
            <w:rStyle w:val="Hyperlink"/>
          </w:rPr>
          <w:t>17:8</w:t>
        </w:r>
      </w:hyperlink>
      <w:r>
        <w:t xml:space="preserve"> </w:t>
      </w:r>
      <w:r>
        <w:tab/>
        <w:t>Affirmative Defense — Advice o</w:t>
      </w:r>
      <w:r w:rsidRPr="00787065">
        <w:t>f Prosecuting Attorney</w:t>
      </w:r>
    </w:p>
    <w:p w14:paraId="7455CAA7" w14:textId="77777777" w:rsidR="00787065" w:rsidRDefault="00217435" w:rsidP="00914128">
      <w:pPr>
        <w:pStyle w:val="ToC"/>
      </w:pPr>
      <w:hyperlink w:anchor="a17_09" w:history="1">
        <w:r w:rsidRPr="00787065">
          <w:rPr>
            <w:rStyle w:val="Hyperlink"/>
          </w:rPr>
          <w:t>17:9</w:t>
        </w:r>
      </w:hyperlink>
      <w:r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217435" w:rsidP="00E007F8">
      <w:pPr>
        <w:pStyle w:val="ToC"/>
      </w:pPr>
      <w:hyperlink w:anchor="a17_10" w:history="1">
        <w:r w:rsidRPr="00787065">
          <w:rPr>
            <w:rStyle w:val="Hyperlink"/>
          </w:rPr>
          <w:t>17:10</w:t>
        </w:r>
      </w:hyperlink>
      <w:r w:rsidRPr="00787065">
        <w:t xml:space="preserve"> </w:t>
      </w:r>
      <w:r w:rsidRPr="00787065">
        <w:tab/>
        <w:t xml:space="preserve">Elements </w:t>
      </w:r>
      <w:r>
        <w:t>o</w:t>
      </w:r>
      <w:r w:rsidRPr="00787065">
        <w:t>f Liability</w:t>
      </w:r>
    </w:p>
    <w:p w14:paraId="6E67B0D1" w14:textId="77777777" w:rsidR="005D140F" w:rsidRDefault="00217435" w:rsidP="005D140F">
      <w:pPr>
        <w:pStyle w:val="ToC"/>
      </w:pPr>
      <w:hyperlink w:anchor="a17_11" w:history="1">
        <w:r w:rsidRPr="00217435">
          <w:rPr>
            <w:rStyle w:val="Hyperlink"/>
          </w:rPr>
          <w:t>17:11</w:t>
        </w:r>
      </w:hyperlink>
      <w:r w:rsidRPr="00217435">
        <w:t xml:space="preserve"> </w:t>
      </w:r>
      <w:r w:rsidRPr="00217435">
        <w:tab/>
        <w:t>Actual Damages</w:t>
      </w:r>
    </w:p>
    <w:p w14:paraId="1E5FF99D" w14:textId="629F5E7B" w:rsidR="005D140F" w:rsidRDefault="005D140F" w:rsidP="005D140F">
      <w:pPr>
        <w:pStyle w:val="ToC"/>
      </w:pPr>
      <w:hyperlink w:anchor="a17_12" w:history="1">
        <w:r w:rsidRPr="00612588">
          <w:rPr>
            <w:rStyle w:val="Hyperlink"/>
          </w:rPr>
          <w:t>17:12</w:t>
        </w:r>
      </w:hyperlink>
      <w:r>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0" w:name="a17_01"/>
      <w:bookmarkEnd w:id="0"/>
      <w:r w:rsidRPr="001F0193">
        <w:rPr>
          <w:rFonts w:eastAsia="Times New Roman"/>
          <w:b/>
          <w:sz w:val="24"/>
          <w:szCs w:val="24"/>
        </w:rPr>
        <w:t xml:space="preserve">17:1 </w:t>
      </w:r>
      <w:r w:rsidRPr="001F0193">
        <w:rPr>
          <w:rFonts w:eastAsia="Times New Roman"/>
          <w:b/>
          <w:sz w:val="24"/>
          <w:szCs w:val="24"/>
        </w:rPr>
        <w:tab/>
        <w:t>ELEMENTS OF LIABILITY</w:t>
      </w:r>
    </w:p>
    <w:p w14:paraId="622BC417" w14:textId="5EAF9255"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xml:space="preserve">, on </w:t>
      </w:r>
      <w:r w:rsidR="00AB7418" w:rsidRPr="00AB7418">
        <w:rPr>
          <w:rFonts w:eastAsia="Times New Roman"/>
          <w:bCs/>
          <w:i/>
          <w:iCs/>
          <w:sz w:val="24"/>
          <w:szCs w:val="24"/>
        </w:rPr>
        <w:t>(insert applicable pronoun)</w:t>
      </w:r>
      <w:r w:rsidRPr="001F0193">
        <w:rPr>
          <w:rFonts w:eastAsia="Times New Roman"/>
          <w:b/>
          <w:sz w:val="24"/>
          <w:szCs w:val="24"/>
        </w:rPr>
        <w:t xml:space="preserve">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07E4B098"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d on a prior civil action, </w:t>
      </w:r>
      <w:r w:rsidRPr="00F2256F">
        <w:rPr>
          <w:rFonts w:eastAsia="Times New Roman"/>
          <w:sz w:val="24"/>
          <w:szCs w:val="24"/>
        </w:rPr>
        <w:t>implying</w:t>
      </w:r>
      <w:r w:rsidRPr="001F0193">
        <w:rPr>
          <w:rFonts w:eastAsia="Times New Roman"/>
          <w:sz w:val="24"/>
          <w:szCs w:val="24"/>
        </w:rPr>
        <w:t xml:space="preserv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r w:rsidRPr="00494700">
        <w:rPr>
          <w:rFonts w:eastAsia="Times New Roman"/>
          <w:sz w:val="24"/>
          <w:szCs w:val="24"/>
        </w:rPr>
        <w:t>lis pendens</w:t>
      </w:r>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r w:rsidRPr="00494700">
        <w:rPr>
          <w:rFonts w:eastAsia="Times New Roman"/>
          <w:sz w:val="24"/>
          <w:szCs w:val="24"/>
        </w:rPr>
        <w:t>lis pendens</w:t>
      </w:r>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1990) (filing of </w:t>
      </w:r>
      <w:r w:rsidRPr="00494700">
        <w:rPr>
          <w:rFonts w:eastAsia="Times New Roman"/>
          <w:sz w:val="24"/>
          <w:szCs w:val="24"/>
        </w:rPr>
        <w:t>lis pendens</w:t>
      </w:r>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r w:rsidRPr="001F0193">
        <w:rPr>
          <w:rFonts w:eastAsia="Times New Roman"/>
          <w:b/>
          <w:sz w:val="24"/>
          <w:szCs w:val="24"/>
        </w:rPr>
        <w:t>Slee v. Simpson</w:t>
      </w:r>
      <w:r w:rsidRPr="001F0193">
        <w:rPr>
          <w:rFonts w:eastAsia="Times New Roman"/>
          <w:sz w:val="24"/>
          <w:szCs w:val="24"/>
        </w:rPr>
        <w:t xml:space="preserve">, 91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461, 15 P.2d 1084 (1932); </w:t>
      </w:r>
      <w:r w:rsidR="006E5497">
        <w:rPr>
          <w:rFonts w:eastAsia="Times New Roman"/>
          <w:b/>
          <w:bCs/>
          <w:sz w:val="24"/>
          <w:szCs w:val="24"/>
        </w:rPr>
        <w:t>Salazar v. Pub</w:t>
      </w:r>
      <w:r w:rsidR="00AB7418">
        <w:rPr>
          <w:rFonts w:eastAsia="Times New Roman"/>
          <w:b/>
          <w:bCs/>
          <w:sz w:val="24"/>
          <w:szCs w:val="24"/>
        </w:rPr>
        <w:t>.</w:t>
      </w:r>
      <w:r w:rsidR="006E5497">
        <w:rPr>
          <w:rFonts w:eastAsia="Times New Roman"/>
          <w:b/>
          <w:bCs/>
          <w:sz w:val="24"/>
          <w:szCs w:val="24"/>
        </w:rPr>
        <w:t xml:space="preserve"> Tr. Inst.</w:t>
      </w:r>
      <w:r w:rsidR="006E5497">
        <w:rPr>
          <w:rFonts w:eastAsia="Times New Roman"/>
          <w:sz w:val="24"/>
          <w:szCs w:val="24"/>
        </w:rPr>
        <w:t xml:space="preserve">, 2022 COA 109M, </w:t>
      </w:r>
      <w:r w:rsidR="006E5497" w:rsidRPr="00596FC7">
        <w:rPr>
          <w:rFonts w:eastAsia="Times New Roman"/>
          <w:sz w:val="24"/>
          <w:szCs w:val="24"/>
        </w:rPr>
        <w:t>¶¶</w:t>
      </w:r>
      <w:r w:rsidR="006E5497">
        <w:rPr>
          <w:rFonts w:eastAsia="Times New Roman"/>
          <w:sz w:val="24"/>
          <w:szCs w:val="24"/>
        </w:rPr>
        <w:t xml:space="preserve"> 55,</w:t>
      </w:r>
      <w:r w:rsidR="00AB7418">
        <w:rPr>
          <w:rFonts w:eastAsia="Times New Roman"/>
          <w:sz w:val="24"/>
          <w:szCs w:val="24"/>
        </w:rPr>
        <w:t xml:space="preserve"> </w:t>
      </w:r>
      <w:r w:rsidR="006E5497">
        <w:rPr>
          <w:rFonts w:eastAsia="Times New Roman"/>
          <w:sz w:val="24"/>
          <w:szCs w:val="24"/>
        </w:rPr>
        <w:t xml:space="preserve">63, 522 P.3d 242 (for an administrative proceeding to qualify as a prior action that may give rise to a malicious prosecution claim, it must be quasi-judicial in nature and have the power to take action adversely affecting the legally protected interests of the subject of the complaint); </w:t>
      </w:r>
      <w:r w:rsidRPr="001F0193">
        <w:rPr>
          <w:rFonts w:eastAsia="Times New Roman"/>
          <w:b/>
          <w:sz w:val="24"/>
          <w:szCs w:val="24"/>
        </w:rPr>
        <w:t>Waskel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524400FD"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appropriate cases, the language in numbered paragraph 4 should read: “If the complaint was filed with probable cause, the defendant continued to prosecute the criminal action after </w:t>
      </w:r>
      <w:r w:rsidR="00AB7418" w:rsidRPr="00AB7418">
        <w:rPr>
          <w:rFonts w:eastAsia="Times New Roman"/>
          <w:bCs/>
          <w:i/>
          <w:iCs/>
          <w:sz w:val="24"/>
          <w:szCs w:val="24"/>
        </w:rPr>
        <w:t>(insert applicable pronoun)</w:t>
      </w:r>
      <w:r w:rsidRPr="001F0193">
        <w:rPr>
          <w:rFonts w:eastAsia="Times New Roman"/>
          <w:sz w:val="24"/>
          <w:szCs w:val="24"/>
        </w:rPr>
        <w:t xml:space="preserv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ry Ward &amp; Co. v. 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r w:rsidRPr="001F0193">
        <w:rPr>
          <w:rFonts w:eastAsia="Times New Roman"/>
          <w:sz w:val="24"/>
          <w:szCs w:val="24"/>
        </w:rPr>
        <w:t xml:space="preserve">, 129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r w:rsidRPr="001F0193">
        <w:rPr>
          <w:rFonts w:eastAsia="Times New Roman"/>
          <w:b/>
          <w:sz w:val="24"/>
          <w:szCs w:val="24"/>
        </w:rPr>
        <w:t>Lounder v. Jacobs</w:t>
      </w:r>
      <w:r w:rsidRPr="001F0193">
        <w:rPr>
          <w:rFonts w:eastAsia="Times New Roman"/>
          <w:sz w:val="24"/>
          <w:szCs w:val="24"/>
        </w:rPr>
        <w:t xml:space="preserve">, 119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B &amp; K Distrib.,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r w:rsidRPr="001F0193">
        <w:rPr>
          <w:rFonts w:eastAsia="Times New Roman"/>
          <w:b/>
          <w:sz w:val="24"/>
          <w:szCs w:val="24"/>
        </w:rPr>
        <w:t>Sancetta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lastRenderedPageBreak/>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7A47108F" w:rsidR="001F0193" w:rsidRPr="001F0193" w:rsidRDefault="001F0193" w:rsidP="001F0193">
      <w:pPr>
        <w:spacing w:after="240"/>
        <w:ind w:firstLine="720"/>
        <w:rPr>
          <w:rFonts w:eastAsia="Times New Roman"/>
          <w:sz w:val="24"/>
          <w:szCs w:val="24"/>
        </w:rPr>
      </w:pPr>
      <w:r w:rsidRPr="001F0193">
        <w:rPr>
          <w:rFonts w:eastAsia="Times New Roman"/>
          <w:sz w:val="24"/>
          <w:szCs w:val="24"/>
        </w:rPr>
        <w:t>3. For a further discussion of an official’s immunity as a prosecutor in the context of liability under 42 U.S.C. § 1983</w:t>
      </w:r>
      <w:r w:rsidR="008D7B62">
        <w:rPr>
          <w:rFonts w:eastAsia="Times New Roman"/>
          <w:sz w:val="24"/>
          <w:szCs w:val="24"/>
        </w:rPr>
        <w:t xml:space="preserve"> (20</w:t>
      </w:r>
      <w:r w:rsidR="00F2256F">
        <w:rPr>
          <w:rFonts w:eastAsia="Times New Roman"/>
          <w:sz w:val="24"/>
          <w:szCs w:val="24"/>
        </w:rPr>
        <w:t>24</w:t>
      </w:r>
      <w:r w:rsidR="008D7B62">
        <w:rPr>
          <w:rFonts w:eastAsia="Times New Roman"/>
          <w:sz w:val="24"/>
          <w:szCs w:val="24"/>
        </w:rPr>
        <w:t>)</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1985).</w:t>
      </w:r>
    </w:p>
    <w:p w14:paraId="1B466E66" w14:textId="2577117E" w:rsidR="001F0193" w:rsidRPr="00813845"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xml:space="preserve">, 933 P.2d 1311 (Colo. 1997), the court held that plaintiff’s claim for malicious prosecution based solely upon the defendant’s grand jury testimony was properly dismissed by the trial court because a witness before a grand jury is absolutely immune </w:t>
      </w:r>
      <w:r w:rsidRPr="00F2256F">
        <w:rPr>
          <w:rFonts w:eastAsia="Times New Roman"/>
          <w:sz w:val="24"/>
          <w:szCs w:val="24"/>
        </w:rPr>
        <w:t>from civil liability for his or her testimony even if such testimony is knowingly false and malicious.</w:t>
      </w:r>
      <w:r w:rsidR="004161D5" w:rsidRPr="00F2256F">
        <w:rPr>
          <w:rFonts w:eastAsia="Times New Roman"/>
          <w:sz w:val="24"/>
          <w:szCs w:val="24"/>
        </w:rPr>
        <w:t xml:space="preserve"> </w:t>
      </w:r>
      <w:r w:rsidR="004161D5" w:rsidRPr="00813845">
        <w:rPr>
          <w:i/>
          <w:iCs/>
          <w:sz w:val="24"/>
          <w:szCs w:val="24"/>
        </w:rPr>
        <w:t>But see</w:t>
      </w:r>
      <w:r w:rsidR="00813845">
        <w:rPr>
          <w:sz w:val="24"/>
          <w:szCs w:val="24"/>
        </w:rPr>
        <w:t xml:space="preserve"> </w:t>
      </w:r>
      <w:r w:rsidR="004161D5" w:rsidRPr="00813845">
        <w:rPr>
          <w:b/>
          <w:bCs/>
          <w:sz w:val="24"/>
          <w:szCs w:val="24"/>
        </w:rPr>
        <w:t>Wolf v. Brenneman</w:t>
      </w:r>
      <w:r w:rsidR="004161D5" w:rsidRPr="00813845">
        <w:rPr>
          <w:sz w:val="24"/>
          <w:szCs w:val="24"/>
        </w:rPr>
        <w:t xml:space="preserve">, 2024 COA 71, ¶ 50, 557 P.3d 798 (malicious prosecution defendants are not entitled to absolute immunity for statements made to law enforcement </w:t>
      </w:r>
      <w:r w:rsidR="00505334" w:rsidRPr="00813845">
        <w:rPr>
          <w:sz w:val="24"/>
          <w:szCs w:val="24"/>
        </w:rPr>
        <w:t>in reporting a crime</w:t>
      </w:r>
      <w:r w:rsidR="004161D5" w:rsidRPr="00813845">
        <w:rPr>
          <w:sz w:val="24"/>
          <w:szCs w:val="24"/>
        </w:rPr>
        <w:t>).</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r w:rsidRPr="001E5E31">
        <w:rPr>
          <w:rFonts w:eastAsia="Times New Roman"/>
          <w:sz w:val="24"/>
          <w:szCs w:val="24"/>
        </w:rPr>
        <w:t>lis pendens</w:t>
      </w:r>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Masters v. Castrodale</w:t>
      </w:r>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1" w:name="a17_02"/>
      <w:bookmarkEnd w:id="1"/>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19DBE93E"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xml:space="preserve">, was guilty of the offense with which </w:t>
      </w:r>
      <w:r w:rsidR="00AB7418" w:rsidRPr="00AB7418">
        <w:rPr>
          <w:rFonts w:eastAsia="Times New Roman"/>
          <w:bCs/>
          <w:i/>
          <w:iCs/>
          <w:sz w:val="24"/>
          <w:szCs w:val="24"/>
        </w:rPr>
        <w:t>(insert applicable pronoun)</w:t>
      </w:r>
      <w:r w:rsidRPr="001F0193">
        <w:rPr>
          <w:rFonts w:eastAsia="Times New Roman"/>
          <w:b/>
          <w:sz w:val="24"/>
          <w:szCs w:val="24"/>
        </w:rPr>
        <w:t xml:space="preserv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5352FA38" w:rsidR="001F0193" w:rsidRDefault="006E5497" w:rsidP="001F0193">
      <w:pPr>
        <w:spacing w:after="240"/>
        <w:ind w:firstLine="720"/>
        <w:rPr>
          <w:rFonts w:eastAsia="Times New Roman"/>
          <w:sz w:val="24"/>
          <w:szCs w:val="24"/>
        </w:rPr>
      </w:pPr>
      <w:r>
        <w:rPr>
          <w:rFonts w:eastAsia="Times New Roman"/>
          <w:sz w:val="24"/>
          <w:szCs w:val="24"/>
        </w:rPr>
        <w:t xml:space="preserve">1. </w:t>
      </w:r>
      <w:r w:rsidR="001F0193" w:rsidRPr="001F0193">
        <w:rPr>
          <w:rFonts w:eastAsia="Times New Roman"/>
          <w:sz w:val="24"/>
          <w:szCs w:val="24"/>
        </w:rPr>
        <w:t xml:space="preserve">This instruction is supported by </w:t>
      </w:r>
      <w:r w:rsidR="001F0193" w:rsidRPr="001F0193">
        <w:rPr>
          <w:rFonts w:eastAsia="Times New Roman"/>
          <w:b/>
          <w:sz w:val="24"/>
          <w:szCs w:val="24"/>
        </w:rPr>
        <w:t>Konas v. Red Owl Stores, Inc.</w:t>
      </w:r>
      <w:r w:rsidR="001F0193" w:rsidRPr="001F0193">
        <w:rPr>
          <w:rFonts w:eastAsia="Times New Roman"/>
          <w:sz w:val="24"/>
          <w:szCs w:val="24"/>
        </w:rPr>
        <w:t xml:space="preserve">, 158 </w:t>
      </w:r>
      <w:smartTag w:uri="urn:schemas-microsoft-com:office:smarttags" w:element="State">
        <w:smartTag w:uri="urn:schemas-microsoft-com:office:smarttags" w:element="place">
          <w:r w:rsidR="001F0193" w:rsidRPr="001F0193">
            <w:rPr>
              <w:rFonts w:eastAsia="Times New Roman"/>
              <w:sz w:val="24"/>
              <w:szCs w:val="24"/>
            </w:rPr>
            <w:t>Colo.</w:t>
          </w:r>
        </w:smartTag>
      </w:smartTag>
      <w:r w:rsidR="001F0193"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001F0193" w:rsidRPr="001F0193">
        <w:rPr>
          <w:rFonts w:eastAsia="Times New Roman"/>
          <w:b/>
          <w:sz w:val="24"/>
          <w:szCs w:val="24"/>
        </w:rPr>
        <w:t>Montgomery Ward &amp; Co. v. Pherson</w:t>
      </w:r>
      <w:r w:rsidR="001F0193" w:rsidRPr="001F0193">
        <w:rPr>
          <w:rFonts w:eastAsia="Times New Roman"/>
          <w:sz w:val="24"/>
          <w:szCs w:val="24"/>
        </w:rPr>
        <w:t xml:space="preserve">, 129 Colo. 502, 272 P.2d 643 (1954); </w:t>
      </w:r>
      <w:r w:rsidR="001F0193" w:rsidRPr="001F0193">
        <w:rPr>
          <w:rFonts w:eastAsia="Times New Roman"/>
          <w:b/>
          <w:sz w:val="24"/>
          <w:szCs w:val="24"/>
        </w:rPr>
        <w:t>Gurley v. Tomkins</w:t>
      </w:r>
      <w:r w:rsidR="001F0193" w:rsidRPr="001F0193">
        <w:rPr>
          <w:rFonts w:eastAsia="Times New Roman"/>
          <w:sz w:val="24"/>
          <w:szCs w:val="24"/>
        </w:rPr>
        <w:t>,</w:t>
      </w:r>
      <w:r w:rsidR="001F0193" w:rsidRPr="001F0193">
        <w:rPr>
          <w:rFonts w:eastAsia="Times New Roman"/>
          <w:b/>
          <w:sz w:val="24"/>
          <w:szCs w:val="24"/>
        </w:rPr>
        <w:t xml:space="preserve"> </w:t>
      </w:r>
      <w:r w:rsidR="001F0193" w:rsidRPr="001F0193">
        <w:rPr>
          <w:rFonts w:eastAsia="Times New Roman"/>
          <w:sz w:val="24"/>
          <w:szCs w:val="24"/>
        </w:rPr>
        <w:t>17 Colo. 437, 30 P. 344 (1892).</w:t>
      </w:r>
    </w:p>
    <w:p w14:paraId="36F1718F" w14:textId="3271240F" w:rsidR="00604D21" w:rsidRDefault="002A1EA8" w:rsidP="00604D21">
      <w:pPr>
        <w:rPr>
          <w:sz w:val="24"/>
          <w:szCs w:val="24"/>
        </w:rPr>
      </w:pPr>
      <w:r>
        <w:rPr>
          <w:rFonts w:eastAsia="Times New Roman"/>
          <w:sz w:val="24"/>
          <w:szCs w:val="24"/>
        </w:rPr>
        <w:tab/>
      </w:r>
      <w:r w:rsidR="006E5497">
        <w:rPr>
          <w:rFonts w:eastAsia="Times New Roman"/>
          <w:sz w:val="24"/>
          <w:szCs w:val="24"/>
        </w:rPr>
        <w:t xml:space="preserve">2. </w:t>
      </w:r>
      <w:r w:rsidR="00604D21">
        <w:rPr>
          <w:sz w:val="24"/>
          <w:szCs w:val="24"/>
        </w:rPr>
        <w:t xml:space="preserve">“Probable cause requires that the defendant believed ‘in good faith in the wrongful conduct of the plaintiff in the underlying action, and that such belief was reasonable and prudent.’” </w:t>
      </w:r>
      <w:r w:rsidR="00604D21" w:rsidRPr="00604D21">
        <w:rPr>
          <w:b/>
          <w:bCs/>
          <w:sz w:val="24"/>
          <w:szCs w:val="24"/>
        </w:rPr>
        <w:t>Salazar v. Pub. Tr</w:t>
      </w:r>
      <w:r w:rsidR="00AB7418">
        <w:rPr>
          <w:b/>
          <w:bCs/>
          <w:sz w:val="24"/>
          <w:szCs w:val="24"/>
        </w:rPr>
        <w:t>.</w:t>
      </w:r>
      <w:r w:rsidR="00604D21" w:rsidRPr="00604D21">
        <w:rPr>
          <w:b/>
          <w:bCs/>
          <w:sz w:val="24"/>
          <w:szCs w:val="24"/>
        </w:rPr>
        <w:t xml:space="preserve"> Inst.</w:t>
      </w:r>
      <w:r w:rsidR="00604D21">
        <w:rPr>
          <w:sz w:val="24"/>
          <w:szCs w:val="24"/>
        </w:rPr>
        <w:t xml:space="preserve">, 2022 COA 109M, </w:t>
      </w:r>
      <w:r w:rsidR="00B04954">
        <w:rPr>
          <w:sz w:val="24"/>
          <w:szCs w:val="24"/>
        </w:rPr>
        <w:t>¶</w:t>
      </w:r>
      <w:r w:rsidR="00604D21">
        <w:rPr>
          <w:sz w:val="24"/>
          <w:szCs w:val="24"/>
        </w:rPr>
        <w:t xml:space="preserve"> 27, 522 P.3d 242 (quoting </w:t>
      </w:r>
      <w:r w:rsidR="00604D21" w:rsidRPr="00604D21">
        <w:rPr>
          <w:b/>
          <w:bCs/>
          <w:sz w:val="24"/>
          <w:szCs w:val="24"/>
        </w:rPr>
        <w:t>Montgomery Ward &amp; Co. v. Pherson</w:t>
      </w:r>
      <w:r w:rsidR="00604D21">
        <w:rPr>
          <w:sz w:val="24"/>
          <w:szCs w:val="24"/>
        </w:rPr>
        <w:t xml:space="preserve">, 129 Colo. 502, 508, 272 P.2d 643, 646 (1954)) (cleaned up). “Probable cause is judged by appearances to the defendant at the time he initiates prosecution.” </w:t>
      </w:r>
      <w:r w:rsidR="00604D21">
        <w:rPr>
          <w:i/>
          <w:iCs/>
          <w:sz w:val="24"/>
          <w:szCs w:val="24"/>
        </w:rPr>
        <w:t>Id</w:t>
      </w:r>
      <w:r w:rsidR="00604D21">
        <w:rPr>
          <w:sz w:val="24"/>
          <w:szCs w:val="24"/>
        </w:rPr>
        <w:t xml:space="preserve">., p 27 (quoting </w:t>
      </w:r>
      <w:r w:rsidR="00604D21" w:rsidRPr="00604D21">
        <w:rPr>
          <w:smallCaps/>
          <w:sz w:val="24"/>
          <w:szCs w:val="24"/>
        </w:rPr>
        <w:t>W. Page Keeton et al., Prosser and Keeton on the Law of Torts</w:t>
      </w:r>
      <w:r w:rsidR="00604D21">
        <w:rPr>
          <w:sz w:val="24"/>
          <w:szCs w:val="24"/>
        </w:rPr>
        <w:t xml:space="preserve"> § 119, at 876 (5th ed. 1984)).  </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2" w:name="a17_03"/>
      <w:bookmarkEnd w:id="2"/>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0E6EC5DD" w:rsidR="004E0408" w:rsidRPr="00F2256F" w:rsidRDefault="00F2256F" w:rsidP="00F2256F">
      <w:pPr>
        <w:spacing w:after="240"/>
        <w:ind w:firstLine="720"/>
        <w:rPr>
          <w:rFonts w:eastAsia="Times New Roman"/>
          <w:sz w:val="24"/>
          <w:szCs w:val="24"/>
        </w:rPr>
      </w:pPr>
      <w:r>
        <w:rPr>
          <w:rFonts w:eastAsia="Times New Roman"/>
          <w:sz w:val="24"/>
          <w:szCs w:val="24"/>
        </w:rPr>
        <w:t xml:space="preserve">1. </w:t>
      </w:r>
      <w:r w:rsidR="004E0408" w:rsidRPr="00F2256F">
        <w:rPr>
          <w:rFonts w:eastAsia="Times New Roman"/>
          <w:sz w:val="24"/>
          <w:szCs w:val="24"/>
        </w:rPr>
        <w:t xml:space="preserve">This instruction is supported by </w:t>
      </w:r>
      <w:r w:rsidR="004E0408" w:rsidRPr="00F2256F">
        <w:rPr>
          <w:rFonts w:eastAsia="Times New Roman"/>
          <w:b/>
          <w:sz w:val="24"/>
          <w:szCs w:val="24"/>
        </w:rPr>
        <w:t>Montgomery Ward &amp; Co. v. Pherson</w:t>
      </w:r>
      <w:r w:rsidR="004E0408" w:rsidRPr="00F2256F">
        <w:rPr>
          <w:rFonts w:eastAsia="Times New Roman"/>
          <w:sz w:val="24"/>
          <w:szCs w:val="24"/>
        </w:rPr>
        <w:t>,</w:t>
      </w:r>
      <w:r w:rsidR="004E0408" w:rsidRPr="00F2256F">
        <w:rPr>
          <w:rFonts w:eastAsia="Times New Roman"/>
          <w:b/>
          <w:sz w:val="24"/>
          <w:szCs w:val="24"/>
        </w:rPr>
        <w:t xml:space="preserve"> </w:t>
      </w:r>
      <w:r w:rsidR="004E0408" w:rsidRPr="00F2256F">
        <w:rPr>
          <w:rFonts w:eastAsia="Times New Roman"/>
          <w:sz w:val="24"/>
          <w:szCs w:val="24"/>
        </w:rPr>
        <w:t xml:space="preserve">129 Colo. 502, 272 P.2d 643 (1954). </w:t>
      </w:r>
      <w:r w:rsidR="00C17C98" w:rsidRPr="00F2256F">
        <w:rPr>
          <w:rFonts w:eastAsia="Times New Roman"/>
          <w:i/>
          <w:sz w:val="24"/>
          <w:szCs w:val="24"/>
        </w:rPr>
        <w:t>See also</w:t>
      </w:r>
      <w:r w:rsidR="004E0408" w:rsidRPr="00F2256F">
        <w:rPr>
          <w:rFonts w:eastAsia="Times New Roman"/>
          <w:sz w:val="24"/>
          <w:szCs w:val="24"/>
        </w:rPr>
        <w:t xml:space="preserve"> </w:t>
      </w:r>
      <w:r w:rsidR="004E0408" w:rsidRPr="00F2256F">
        <w:rPr>
          <w:rFonts w:eastAsia="Times New Roman"/>
          <w:b/>
          <w:sz w:val="24"/>
          <w:szCs w:val="24"/>
        </w:rPr>
        <w:t>Flader v. Smith</w:t>
      </w:r>
      <w:r w:rsidR="004E0408" w:rsidRPr="00F2256F">
        <w:rPr>
          <w:rFonts w:eastAsia="Times New Roman"/>
          <w:sz w:val="24"/>
          <w:szCs w:val="24"/>
        </w:rPr>
        <w:t xml:space="preserve">, 116 Colo. 322, 181 P.2d 464 (1947); </w:t>
      </w:r>
      <w:r w:rsidR="004E0408" w:rsidRPr="00F2256F">
        <w:rPr>
          <w:rFonts w:eastAsia="Times New Roman"/>
          <w:b/>
          <w:sz w:val="24"/>
          <w:szCs w:val="24"/>
        </w:rPr>
        <w:t>Climax Dairy Co. v. Mulder</w:t>
      </w:r>
      <w:r w:rsidR="004E0408" w:rsidRPr="00F2256F">
        <w:rPr>
          <w:rFonts w:eastAsia="Times New Roman"/>
          <w:sz w:val="24"/>
          <w:szCs w:val="24"/>
        </w:rPr>
        <w:t>, 78 Colo. 407, 242 P. 666 (1925)</w:t>
      </w:r>
      <w:r w:rsidR="00654089" w:rsidRPr="00F2256F">
        <w:rPr>
          <w:rFonts w:eastAsia="Times New Roman"/>
          <w:sz w:val="24"/>
          <w:szCs w:val="24"/>
        </w:rPr>
        <w:t>;</w:t>
      </w:r>
      <w:r w:rsidR="004E0408" w:rsidRPr="00F2256F">
        <w:rPr>
          <w:rFonts w:eastAsia="Times New Roman"/>
          <w:sz w:val="24"/>
          <w:szCs w:val="24"/>
        </w:rPr>
        <w:t xml:space="preserve"> </w:t>
      </w:r>
      <w:r w:rsidR="00654089" w:rsidRPr="00F2256F">
        <w:rPr>
          <w:rFonts w:eastAsia="Times New Roman"/>
          <w:smallCaps/>
          <w:sz w:val="24"/>
          <w:szCs w:val="24"/>
        </w:rPr>
        <w:t>Restatement (Second) of Torts</w:t>
      </w:r>
      <w:r w:rsidR="00654089" w:rsidRPr="00F2256F">
        <w:rPr>
          <w:rFonts w:eastAsia="Times New Roman"/>
          <w:sz w:val="24"/>
          <w:szCs w:val="24"/>
        </w:rPr>
        <w:t xml:space="preserve"> § 667(2) (1977); </w:t>
      </w:r>
      <w:r w:rsidR="004E0408" w:rsidRPr="00F2256F">
        <w:rPr>
          <w:rFonts w:eastAsia="Times New Roman"/>
          <w:smallCaps/>
          <w:sz w:val="24"/>
          <w:szCs w:val="24"/>
        </w:rPr>
        <w:t xml:space="preserve">W. </w:t>
      </w:r>
      <w:r w:rsidR="00EE1CDB" w:rsidRPr="00F2256F">
        <w:rPr>
          <w:rFonts w:eastAsia="Times New Roman"/>
          <w:smallCaps/>
          <w:sz w:val="24"/>
          <w:szCs w:val="24"/>
        </w:rPr>
        <w:t xml:space="preserve">Page Keeton et al., </w:t>
      </w:r>
      <w:r w:rsidR="004E0408" w:rsidRPr="00F2256F">
        <w:rPr>
          <w:rFonts w:eastAsia="Times New Roman"/>
          <w:smallCaps/>
          <w:sz w:val="24"/>
          <w:szCs w:val="24"/>
        </w:rPr>
        <w:t xml:space="preserve">Prosser </w:t>
      </w:r>
      <w:r w:rsidR="00EE1CDB" w:rsidRPr="00F2256F">
        <w:rPr>
          <w:rFonts w:eastAsia="Times New Roman"/>
          <w:smallCaps/>
          <w:sz w:val="24"/>
          <w:szCs w:val="24"/>
        </w:rPr>
        <w:t>and</w:t>
      </w:r>
      <w:r w:rsidR="004E0408" w:rsidRPr="00F2256F">
        <w:rPr>
          <w:rFonts w:eastAsia="Times New Roman"/>
          <w:smallCaps/>
          <w:sz w:val="24"/>
          <w:szCs w:val="24"/>
        </w:rPr>
        <w:t xml:space="preserve"> Keeton</w:t>
      </w:r>
      <w:r w:rsidR="00EE1CDB" w:rsidRPr="00F2256F">
        <w:rPr>
          <w:rFonts w:eastAsia="Times New Roman"/>
          <w:smallCaps/>
          <w:sz w:val="24"/>
          <w:szCs w:val="24"/>
        </w:rPr>
        <w:t xml:space="preserve"> on the Law of</w:t>
      </w:r>
      <w:r w:rsidR="004E0408" w:rsidRPr="00F2256F">
        <w:rPr>
          <w:rFonts w:eastAsia="Times New Roman"/>
          <w:smallCaps/>
          <w:sz w:val="24"/>
          <w:szCs w:val="24"/>
        </w:rPr>
        <w:t xml:space="preserve"> Torts</w:t>
      </w:r>
      <w:r w:rsidR="004E0408" w:rsidRPr="00F2256F">
        <w:rPr>
          <w:rFonts w:eastAsia="Times New Roman"/>
          <w:sz w:val="24"/>
          <w:szCs w:val="24"/>
        </w:rPr>
        <w:t xml:space="preserve"> § 119 (5th ed. 1984).</w:t>
      </w:r>
    </w:p>
    <w:p w14:paraId="365FF41C" w14:textId="064E5EC6" w:rsidR="00F23FB1" w:rsidRPr="00813845" w:rsidRDefault="00F2256F" w:rsidP="00F2256F">
      <w:pPr>
        <w:spacing w:after="240"/>
        <w:ind w:firstLine="720"/>
        <w:rPr>
          <w:rFonts w:eastAsia="Times New Roman"/>
          <w:sz w:val="24"/>
          <w:szCs w:val="24"/>
        </w:rPr>
      </w:pPr>
      <w:r w:rsidRPr="00813845">
        <w:rPr>
          <w:sz w:val="24"/>
          <w:szCs w:val="24"/>
        </w:rPr>
        <w:t xml:space="preserve">2. </w:t>
      </w:r>
      <w:r w:rsidR="00F23FB1" w:rsidRPr="00813845">
        <w:rPr>
          <w:sz w:val="24"/>
          <w:szCs w:val="24"/>
        </w:rPr>
        <w:t>In civil cases, a court’s denial of a summary judgment or directed verdict motion does not create a rebuttable presumption that probable cause existed for the claims challenged in the denied motion but is merely a factor to consider in evaluating whether probable cause existed for those claims. When determining how much weight to give the deni</w:t>
      </w:r>
      <w:r w:rsidR="00E27B77" w:rsidRPr="00813845">
        <w:rPr>
          <w:sz w:val="24"/>
          <w:szCs w:val="24"/>
        </w:rPr>
        <w:t>al</w:t>
      </w:r>
      <w:r w:rsidR="00F23FB1" w:rsidRPr="00813845">
        <w:rPr>
          <w:sz w:val="24"/>
          <w:szCs w:val="24"/>
        </w:rPr>
        <w:t xml:space="preserve"> order, other factors to consider include the type of order, whether the order included many details, whether the order addressed all elements of all claims, at what point in the litigation the order was issued, whether the court commented on the strength of the evidence, whether parties assert that false or misleading evidence was used in defeating the motion, whether any relevant testimony was later determined to be materially false, whether perjury or fraud were alleged to have occurred, and whether the parties had completed discovery at the time of the order. </w:t>
      </w:r>
      <w:r w:rsidR="00F23FB1" w:rsidRPr="00813845">
        <w:rPr>
          <w:b/>
          <w:bCs/>
          <w:sz w:val="24"/>
          <w:szCs w:val="24"/>
        </w:rPr>
        <w:t>Cantafio v. Schnelle</w:t>
      </w:r>
      <w:r w:rsidR="00F23FB1" w:rsidRPr="00813845">
        <w:rPr>
          <w:sz w:val="24"/>
          <w:szCs w:val="24"/>
        </w:rPr>
        <w:t xml:space="preserve">, 2025 CO 39, ¶¶ </w:t>
      </w:r>
      <w:r w:rsidR="00335004" w:rsidRPr="00813845">
        <w:rPr>
          <w:sz w:val="24"/>
          <w:szCs w:val="24"/>
        </w:rPr>
        <w:t xml:space="preserve">25, </w:t>
      </w:r>
      <w:r w:rsidR="00F23FB1" w:rsidRPr="00813845">
        <w:rPr>
          <w:sz w:val="24"/>
          <w:szCs w:val="24"/>
        </w:rPr>
        <w:t>29-30, 569 P.3d 1226.</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3" w:name="a17_04"/>
      <w:bookmarkEnd w:id="3"/>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1B81AF69"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xml:space="preserve">, was motivated by malice if </w:t>
      </w:r>
      <w:r w:rsidR="00AB7418" w:rsidRPr="00AB7418">
        <w:rPr>
          <w:rFonts w:eastAsia="Times New Roman"/>
          <w:bCs/>
          <w:i/>
          <w:iCs/>
          <w:sz w:val="24"/>
          <w:szCs w:val="24"/>
        </w:rPr>
        <w:t>(insert applicable pronoun)</w:t>
      </w:r>
      <w:r w:rsidRPr="00174BB5">
        <w:rPr>
          <w:rFonts w:eastAsia="Times New Roman"/>
          <w:b/>
          <w:sz w:val="24"/>
          <w:szCs w:val="24"/>
        </w:rPr>
        <w:t xml:space="preserve"> primary motive was a motive other than a desire to bring to justice a person </w:t>
      </w:r>
      <w:r w:rsidR="00AB7418" w:rsidRPr="00AB7418">
        <w:rPr>
          <w:rFonts w:eastAsia="Times New Roman"/>
          <w:bCs/>
          <w:i/>
          <w:iCs/>
          <w:sz w:val="24"/>
          <w:szCs w:val="24"/>
        </w:rPr>
        <w:t>(insert applicable pronoun)</w:t>
      </w:r>
      <w:r w:rsidRPr="00174BB5">
        <w:rPr>
          <w:rFonts w:eastAsia="Times New Roman"/>
          <w:b/>
          <w:sz w:val="24"/>
          <w:szCs w:val="24"/>
        </w:rPr>
        <w:t xml:space="preserv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place">
        <w:smartTag w:uri="urn:schemas-microsoft-com:office:smarttags" w:element="Stat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ry Ward &amp; Co. v. 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r w:rsidRPr="00174BB5">
        <w:rPr>
          <w:rFonts w:eastAsia="Times New Roman"/>
          <w:sz w:val="24"/>
          <w:szCs w:val="24"/>
        </w:rPr>
        <w:t xml:space="preserve">, 129 </w:t>
      </w:r>
      <w:smartTag w:uri="urn:schemas-microsoft-com:office:smarttags" w:element="place">
        <w:smartTag w:uri="urn:schemas-microsoft-com:office:smarttags" w:element="State">
          <w:r w:rsidRPr="00174BB5">
            <w:rPr>
              <w:rFonts w:eastAsia="Times New Roman"/>
              <w:sz w:val="24"/>
              <w:szCs w:val="24"/>
            </w:rPr>
            <w:t>Colo.</w:t>
          </w:r>
        </w:smartTag>
      </w:smartTag>
      <w:r w:rsidRPr="00174BB5">
        <w:rPr>
          <w:rFonts w:eastAsia="Times New Roman"/>
          <w:sz w:val="24"/>
          <w:szCs w:val="24"/>
        </w:rPr>
        <w:t xml:space="preserve"> 502, 272 P.2d 643 (1954); </w:t>
      </w:r>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 v. Jacobs</w:t>
      </w:r>
      <w:r w:rsidRPr="00174BB5">
        <w:rPr>
          <w:rFonts w:eastAsia="Times New Roman"/>
          <w:sz w:val="24"/>
          <w:szCs w:val="24"/>
        </w:rPr>
        <w:t xml:space="preserve">, 119 </w:t>
      </w:r>
      <w:smartTag w:uri="urn:schemas-microsoft-com:office:smarttags" w:element="place">
        <w:smartTag w:uri="urn:schemas-microsoft-com:office:smarttags" w:element="Stat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4" w:name="a17_05"/>
      <w:bookmarkEnd w:id="4"/>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place">
        <w:smartTag w:uri="urn:schemas-microsoft-com:office:smarttags" w:element="Stat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5" w:name="a17_06"/>
      <w:bookmarkEnd w:id="5"/>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6" w:name="a17_07"/>
      <w:bookmarkEnd w:id="6"/>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56F7667C"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xml:space="preserve">, on </w:t>
      </w:r>
      <w:r w:rsidR="00AB7418" w:rsidRPr="00AB7418">
        <w:rPr>
          <w:rFonts w:eastAsia="Times New Roman"/>
          <w:bCs/>
          <w:i/>
          <w:iCs/>
          <w:sz w:val="24"/>
          <w:szCs w:val="24"/>
        </w:rPr>
        <w:t>(insert applicable pronoun)</w:t>
      </w:r>
      <w:r w:rsidRPr="009A5AA6">
        <w:rPr>
          <w:rFonts w:eastAsia="Times New Roman"/>
          <w:b/>
          <w:sz w:val="24"/>
          <w:szCs w:val="24"/>
        </w:rPr>
        <w:t xml:space="preserve">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Montgomery Ward &amp; Co v. Pherson</w:t>
      </w:r>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r w:rsidRPr="009A5AA6">
        <w:rPr>
          <w:rFonts w:eastAsia="Times New Roman"/>
          <w:b/>
          <w:sz w:val="24"/>
          <w:szCs w:val="24"/>
        </w:rPr>
        <w:t>Antolovich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7" w:name="a17_08"/>
      <w:bookmarkEnd w:id="7"/>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6C6E122"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xml:space="preserve">, on </w:t>
      </w:r>
      <w:r w:rsidR="00AB7418" w:rsidRPr="00AB7418">
        <w:rPr>
          <w:rFonts w:eastAsia="Times New Roman"/>
          <w:bCs/>
          <w:i/>
          <w:iCs/>
          <w:sz w:val="24"/>
          <w:szCs w:val="24"/>
        </w:rPr>
        <w:t>(insert applicable pronoun)</w:t>
      </w:r>
      <w:r w:rsidRPr="000A040F">
        <w:rPr>
          <w:rFonts w:eastAsia="Times New Roman"/>
          <w:b/>
          <w:sz w:val="24"/>
          <w:szCs w:val="24"/>
        </w:rPr>
        <w:t xml:space="preserve">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Montgomery Ward &amp; Co. v. Pherson</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B &amp; K Distrib.,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r w:rsidRPr="000A040F">
        <w:rPr>
          <w:rFonts w:eastAsia="Times New Roman"/>
          <w:b/>
          <w:sz w:val="24"/>
          <w:szCs w:val="24"/>
        </w:rPr>
        <w:t>Antolovich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8" w:name="a17_09"/>
      <w:bookmarkEnd w:id="8"/>
      <w:r w:rsidRPr="00EC16F4">
        <w:rPr>
          <w:rFonts w:eastAsia="Times New Roman"/>
          <w:b/>
          <w:sz w:val="24"/>
          <w:szCs w:val="24"/>
        </w:rPr>
        <w:lastRenderedPageBreak/>
        <w:t>17:9</w:t>
      </w:r>
      <w:r w:rsidRPr="00EC16F4">
        <w:rPr>
          <w:rFonts w:eastAsia="Times New Roman"/>
          <w:b/>
          <w:sz w:val="24"/>
          <w:szCs w:val="24"/>
        </w:rPr>
        <w:tab/>
        <w:t>ACTUAL DAMAGES</w:t>
      </w:r>
    </w:p>
    <w:p w14:paraId="306C997E" w14:textId="54CED1CF"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w:t>
      </w:r>
      <w:r w:rsidR="00AB7418" w:rsidRPr="00AB7418">
        <w:rPr>
          <w:rFonts w:eastAsia="Times New Roman"/>
          <w:bCs/>
          <w:i/>
          <w:iCs/>
          <w:sz w:val="24"/>
          <w:szCs w:val="24"/>
        </w:rPr>
        <w:t>(insert applicable pronoun)</w:t>
      </w:r>
      <w:r w:rsidRPr="00EC16F4">
        <w:rPr>
          <w:rFonts w:eastAsia="Times New Roman"/>
          <w:b/>
          <w:sz w:val="24"/>
          <w:szCs w:val="24"/>
        </w:rPr>
        <w:t xml:space="preserve">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6A0ED03D"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w:t>
      </w:r>
      <w:r w:rsidR="00AB7418" w:rsidRPr="00AB7418">
        <w:rPr>
          <w:rFonts w:eastAsia="Times New Roman"/>
          <w:bCs/>
          <w:i/>
          <w:iCs/>
          <w:sz w:val="24"/>
          <w:szCs w:val="24"/>
        </w:rPr>
        <w:t>(insert applicable pronoun)</w:t>
      </w:r>
      <w:r w:rsidRPr="00EC16F4">
        <w:rPr>
          <w:rFonts w:eastAsia="Times New Roman"/>
          <w:b/>
          <w:sz w:val="24"/>
          <w:szCs w:val="24"/>
        </w:rPr>
        <w:t xml:space="preserve"> in the criminal case against </w:t>
      </w:r>
      <w:r w:rsidR="00AB7418" w:rsidRPr="00AB7418">
        <w:rPr>
          <w:rFonts w:eastAsia="Times New Roman"/>
          <w:bCs/>
          <w:i/>
          <w:iCs/>
          <w:sz w:val="24"/>
          <w:szCs w:val="24"/>
        </w:rPr>
        <w:t>(insert applicable pronoun)</w:t>
      </w:r>
      <w:r w:rsidRPr="00EC16F4">
        <w:rPr>
          <w:rFonts w:eastAsia="Times New Roman"/>
          <w:b/>
          <w:sz w:val="24"/>
          <w:szCs w:val="24"/>
        </w:rPr>
        <w:t xml:space="preserve">, a reasonable amount for the time the plaintiff necessarily lost in preparing for and in attending the trial of the criminal case, loss of income, damage to </w:t>
      </w:r>
      <w:r w:rsidR="00AB7418" w:rsidRPr="00AB7418">
        <w:rPr>
          <w:rFonts w:eastAsia="Times New Roman"/>
          <w:bCs/>
          <w:i/>
          <w:iCs/>
          <w:sz w:val="24"/>
          <w:szCs w:val="24"/>
        </w:rPr>
        <w:t>(insert applicable pronoun)</w:t>
      </w:r>
      <w:r w:rsidRPr="00EC16F4">
        <w:rPr>
          <w:rFonts w:eastAsia="Times New Roman"/>
          <w:b/>
          <w:sz w:val="24"/>
          <w:szCs w:val="24"/>
        </w:rPr>
        <w:t xml:space="preserve">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4. Omit any particular element of damages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xml:space="preserve">, 786 P.2d 1112, 1119 (Colo. </w:t>
      </w:r>
      <w:r w:rsidRPr="00EC16F4">
        <w:rPr>
          <w:rFonts w:eastAsia="Times New Roman"/>
          <w:sz w:val="24"/>
          <w:szCs w:val="24"/>
        </w:rPr>
        <w:lastRenderedPageBreak/>
        <w:t>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Johnston v. Deideshimer</w:t>
      </w:r>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9" w:name="a17_10"/>
      <w:bookmarkEnd w:id="9"/>
      <w:r w:rsidRPr="00596FC7">
        <w:rPr>
          <w:rFonts w:eastAsia="Times New Roman"/>
          <w:b/>
          <w:sz w:val="24"/>
          <w:szCs w:val="24"/>
        </w:rPr>
        <w:t xml:space="preserve">17:10 </w:t>
      </w:r>
      <w:r w:rsidRPr="00596FC7">
        <w:rPr>
          <w:rFonts w:eastAsia="Times New Roman"/>
          <w:b/>
          <w:sz w:val="24"/>
          <w:szCs w:val="24"/>
        </w:rPr>
        <w:tab/>
        <w:t>ELEMENTS OF LIABILITY</w:t>
      </w:r>
    </w:p>
    <w:p w14:paraId="58E0066D" w14:textId="75C5121C"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xml:space="preserve">, on </w:t>
      </w:r>
      <w:r w:rsidR="00AB7418" w:rsidRPr="00AB7418">
        <w:rPr>
          <w:rFonts w:eastAsia="Times New Roman"/>
          <w:bCs/>
          <w:i/>
          <w:iCs/>
          <w:sz w:val="24"/>
          <w:szCs w:val="24"/>
        </w:rPr>
        <w:t>(insert applicable pronoun)</w:t>
      </w:r>
      <w:r w:rsidRPr="00596FC7">
        <w:rPr>
          <w:rFonts w:eastAsia="Times New Roman"/>
          <w:b/>
          <w:sz w:val="24"/>
          <w:szCs w:val="24"/>
        </w:rPr>
        <w:t xml:space="preserve">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0EBB4F69"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w:t>
      </w:r>
      <w:r w:rsidR="009E724C">
        <w:rPr>
          <w:rFonts w:eastAsia="Times New Roman"/>
          <w:sz w:val="24"/>
          <w:szCs w:val="24"/>
        </w:rPr>
        <w:t>9</w:t>
      </w:r>
      <w:r w:rsidR="007F5255" w:rsidRPr="00596FC7">
        <w:rPr>
          <w:rFonts w:eastAsia="Times New Roman"/>
          <w:sz w:val="24"/>
          <w:szCs w:val="24"/>
        </w:rPr>
        <w:t>, ¶ 12</w:t>
      </w:r>
      <w:r w:rsidR="00D12116">
        <w:rPr>
          <w:rFonts w:eastAsia="Times New Roman"/>
          <w:sz w:val="24"/>
          <w:szCs w:val="24"/>
        </w:rPr>
        <w:t>, 452 P.3d 141</w:t>
      </w:r>
      <w:r w:rsidR="007F5255">
        <w:rPr>
          <w:rFonts w:eastAsia="Times New Roman"/>
          <w:sz w:val="24"/>
          <w:szCs w:val="24"/>
        </w:rPr>
        <w:t xml:space="preserve">; </w:t>
      </w:r>
      <w:r w:rsidR="007F5255" w:rsidRPr="00596FC7">
        <w:rPr>
          <w:rFonts w:eastAsia="Times New Roman"/>
          <w:b/>
          <w:sz w:val="24"/>
          <w:szCs w:val="24"/>
        </w:rPr>
        <w:t>Mackall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lastRenderedPageBreak/>
        <w:t>Colo. Cmty. Bank v. Hoffman</w:t>
      </w:r>
      <w:r w:rsidR="007F5255" w:rsidRPr="00596FC7">
        <w:rPr>
          <w:rFonts w:eastAsia="Times New Roman"/>
          <w:sz w:val="24"/>
          <w:szCs w:val="24"/>
        </w:rPr>
        <w:t>, 2013 COA 146, ¶ 37, 338 P.3d 390</w:t>
      </w:r>
      <w:r w:rsidRPr="00596FC7">
        <w:rPr>
          <w:rFonts w:eastAsia="Times New Roman"/>
          <w:sz w:val="24"/>
          <w:szCs w:val="24"/>
        </w:rPr>
        <w:t xml:space="preserve">; </w:t>
      </w:r>
      <w:r w:rsidRPr="00596FC7">
        <w:rPr>
          <w:rFonts w:eastAsia="Times New Roman"/>
          <w:b/>
          <w:sz w:val="24"/>
          <w:szCs w:val="24"/>
        </w:rPr>
        <w:t>Mintz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r w:rsidRPr="00596FC7">
        <w:rPr>
          <w:b/>
          <w:bCs/>
          <w:sz w:val="24"/>
          <w:szCs w:val="24"/>
        </w:rPr>
        <w:t>Mintz</w:t>
      </w:r>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3A6AD591"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 1</w:t>
      </w:r>
      <w:r w:rsidR="007F5255">
        <w:rPr>
          <w:rFonts w:eastAsia="Times New Roman"/>
          <w:sz w:val="24"/>
          <w:szCs w:val="24"/>
        </w:rPr>
        <w:t>3</w:t>
      </w:r>
      <w:r w:rsidR="009E724C">
        <w:rPr>
          <w:rFonts w:eastAsia="Times New Roman"/>
          <w:sz w:val="24"/>
          <w:szCs w:val="24"/>
        </w:rPr>
        <w:t>, 452 P.3d at 145</w:t>
      </w:r>
      <w:r w:rsidR="00625AED" w:rsidRPr="00596FC7">
        <w:rPr>
          <w:rFonts w:eastAsia="Times New Roman"/>
          <w:sz w:val="24"/>
          <w:szCs w:val="24"/>
        </w:rPr>
        <w:t>;</w:t>
      </w:r>
      <w:r w:rsidR="00490B47" w:rsidRPr="00596FC7">
        <w:rPr>
          <w:rFonts w:eastAsia="Times New Roman"/>
          <w:sz w:val="24"/>
          <w:szCs w:val="24"/>
        </w:rPr>
        <w:t xml:space="preserve"> </w:t>
      </w:r>
      <w:r w:rsidR="00BD1292" w:rsidRPr="00BD1292">
        <w:rPr>
          <w:rFonts w:eastAsia="Times New Roman"/>
          <w:b/>
          <w:sz w:val="24"/>
          <w:szCs w:val="24"/>
        </w:rPr>
        <w:t>Mackall</w:t>
      </w:r>
      <w:r w:rsidR="00BD1292">
        <w:rPr>
          <w:rFonts w:eastAsia="Times New Roman"/>
          <w:sz w:val="24"/>
          <w:szCs w:val="24"/>
        </w:rPr>
        <w:t>, ¶ 39</w:t>
      </w:r>
      <w:r w:rsidR="009E724C">
        <w:rPr>
          <w:rFonts w:eastAsia="Times New Roman"/>
          <w:sz w:val="24"/>
          <w:szCs w:val="24"/>
        </w:rPr>
        <w:t>, 356 P.3d at 954</w:t>
      </w:r>
      <w:r w:rsidR="00BD1292">
        <w:rPr>
          <w:rFonts w:eastAsia="Times New Roman"/>
          <w:sz w:val="24"/>
          <w:szCs w:val="24"/>
        </w:rPr>
        <w:t xml:space="preserve">;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r w:rsidR="00625AED" w:rsidRPr="00596FC7">
        <w:rPr>
          <w:b/>
          <w:bCs/>
          <w:sz w:val="24"/>
          <w:szCs w:val="24"/>
        </w:rPr>
        <w:t>Mintz</w:t>
      </w:r>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Walker v. Van Laningham</w:t>
      </w:r>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6A0B6AE1"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 13</w:t>
      </w:r>
      <w:r w:rsidR="009E724C">
        <w:rPr>
          <w:sz w:val="24"/>
          <w:szCs w:val="24"/>
        </w:rPr>
        <w:t>, 452 P.3d at 145</w:t>
      </w:r>
      <w:r w:rsidR="00596FC7" w:rsidRPr="00596FC7">
        <w:rPr>
          <w:sz w:val="24"/>
          <w:szCs w:val="24"/>
        </w:rPr>
        <w:t xml:space="preserve">; </w:t>
      </w:r>
      <w:r w:rsidR="00596FC7" w:rsidRPr="00596FC7">
        <w:rPr>
          <w:b/>
          <w:bCs/>
          <w:sz w:val="24"/>
          <w:szCs w:val="24"/>
        </w:rPr>
        <w:t>Mintz</w:t>
      </w:r>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Active Release Techniques, LLC v. Xtomix,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r w:rsidR="00FB4FCB" w:rsidRPr="00596FC7">
        <w:rPr>
          <w:rFonts w:eastAsia="Times New Roman"/>
          <w:b/>
          <w:sz w:val="24"/>
          <w:szCs w:val="24"/>
        </w:rPr>
        <w:t>Sterenbuch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Am. Guar. &amp; Liab.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98064C">
        <w:rPr>
          <w:rFonts w:eastAsia="Times New Roman"/>
          <w:sz w:val="24"/>
          <w:szCs w:val="24"/>
        </w:rPr>
        <w:t>¶ 38</w:t>
      </w:r>
      <w:r w:rsidR="009E724C">
        <w:rPr>
          <w:rFonts w:eastAsia="Times New Roman"/>
          <w:sz w:val="24"/>
          <w:szCs w:val="24"/>
        </w:rPr>
        <w:t>, 338 P.3d at 397</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4EB763C3" w14:textId="650F56FC" w:rsidR="00132A20" w:rsidRPr="00697DF2" w:rsidRDefault="00B63233" w:rsidP="00132A20">
      <w:pPr>
        <w:spacing w:after="240"/>
        <w:ind w:firstLine="720"/>
        <w:rPr>
          <w:rFonts w:eastAsia="Times New Roman"/>
          <w:sz w:val="24"/>
          <w:szCs w:val="24"/>
        </w:rPr>
      </w:pPr>
      <w:r>
        <w:rPr>
          <w:rFonts w:eastAsia="Times New Roman"/>
          <w:sz w:val="24"/>
          <w:szCs w:val="24"/>
        </w:rPr>
        <w:lastRenderedPageBreak/>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n Env’t,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59EFC19D" w14:textId="37A7C1C0" w:rsidR="00132A20" w:rsidRPr="00697DF2" w:rsidRDefault="006815DE" w:rsidP="001925D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 32</w:t>
      </w:r>
      <w:r w:rsidR="009E724C">
        <w:rPr>
          <w:rFonts w:eastAsia="Times New Roman"/>
          <w:sz w:val="24"/>
          <w:szCs w:val="24"/>
        </w:rPr>
        <w:t>, 291 P.3d at 9</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w:t>
      </w:r>
      <w:r w:rsidR="001925DA">
        <w:rPr>
          <w:rFonts w:eastAsia="Times New Roman"/>
          <w:sz w:val="24"/>
          <w:szCs w:val="24"/>
        </w:rPr>
        <w:t xml:space="preserve">; </w:t>
      </w:r>
      <w:r w:rsidR="001925DA" w:rsidRPr="001925DA">
        <w:rPr>
          <w:rFonts w:eastAsia="Times New Roman"/>
          <w:i/>
          <w:iCs/>
          <w:sz w:val="24"/>
          <w:szCs w:val="24"/>
        </w:rPr>
        <w:t>cf.</w:t>
      </w:r>
      <w:r w:rsidR="001925DA">
        <w:rPr>
          <w:rFonts w:eastAsia="Times New Roman"/>
          <w:sz w:val="24"/>
          <w:szCs w:val="24"/>
        </w:rPr>
        <w:t xml:space="preserve"> </w:t>
      </w:r>
      <w:r w:rsidR="001925DA" w:rsidRPr="004A338A">
        <w:rPr>
          <w:rFonts w:eastAsia="Times New Roman"/>
          <w:b/>
          <w:bCs/>
          <w:sz w:val="24"/>
          <w:szCs w:val="24"/>
        </w:rPr>
        <w:t>L.S.S. v</w:t>
      </w:r>
      <w:r w:rsidR="001925DA">
        <w:rPr>
          <w:rFonts w:eastAsia="Times New Roman"/>
          <w:b/>
          <w:bCs/>
          <w:sz w:val="24"/>
          <w:szCs w:val="24"/>
        </w:rPr>
        <w:t>.</w:t>
      </w:r>
      <w:r w:rsidR="001925DA" w:rsidRPr="004A338A">
        <w:rPr>
          <w:rFonts w:eastAsia="Times New Roman"/>
          <w:b/>
          <w:bCs/>
          <w:sz w:val="24"/>
          <w:szCs w:val="24"/>
        </w:rPr>
        <w:t xml:space="preserve"> S.A.P</w:t>
      </w:r>
      <w:r w:rsidR="001925DA" w:rsidRPr="004A494B">
        <w:rPr>
          <w:rFonts w:eastAsia="Times New Roman"/>
          <w:b/>
          <w:bCs/>
          <w:sz w:val="24"/>
          <w:szCs w:val="24"/>
        </w:rPr>
        <w:t>.</w:t>
      </w:r>
      <w:r w:rsidR="001925DA">
        <w:rPr>
          <w:rFonts w:eastAsia="Times New Roman"/>
          <w:sz w:val="24"/>
          <w:szCs w:val="24"/>
        </w:rPr>
        <w:t>, 2022 COA 123, ¶ 53, 523 P.3d 1280 (recognizing that ancillary claims alleging a false claim of child abuse and extreme and outrageous conduct are subject to the same constitutional standards as a defamation claim involving a matter of public concern)</w:t>
      </w:r>
      <w:r w:rsidR="00697DF2" w:rsidRPr="00697DF2">
        <w:rPr>
          <w:rFonts w:eastAsia="Times New Roman"/>
          <w:sz w:val="24"/>
          <w:szCs w:val="24"/>
        </w:rPr>
        <w:t xml:space="preserv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498D359E"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z v. Cont</w:t>
      </w:r>
      <w:r w:rsidR="0092062B">
        <w:rPr>
          <w:rFonts w:eastAsia="Times New Roman"/>
          <w:b/>
          <w:sz w:val="24"/>
          <w:szCs w:val="24"/>
        </w:rPr>
        <w:t>’</w:t>
      </w:r>
      <w:r w:rsidR="00697DF2" w:rsidRPr="00697DF2">
        <w:rPr>
          <w:rFonts w:eastAsia="Times New Roman"/>
          <w:b/>
          <w:sz w:val="24"/>
          <w:szCs w:val="24"/>
        </w:rPr>
        <w:t>l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aff’d in part, 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 in part on other grounds</w:t>
      </w:r>
      <w:r w:rsidR="00697DF2" w:rsidRPr="00697DF2">
        <w:rPr>
          <w:rFonts w:eastAsia="Times New Roman"/>
          <w:sz w:val="24"/>
          <w:szCs w:val="24"/>
        </w:rPr>
        <w:t>, 730 P.2d 308 (</w:t>
      </w:r>
      <w:smartTag w:uri="urn:schemas-microsoft-com:office:smarttags" w:element="State">
        <w:smartTag w:uri="urn:schemas-microsoft-com:office:smarttags" w:element="plac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r w:rsidR="00697DF2" w:rsidRPr="00697DF2">
        <w:rPr>
          <w:rFonts w:eastAsia="Times New Roman"/>
          <w:b/>
          <w:sz w:val="24"/>
          <w:szCs w:val="24"/>
        </w:rPr>
        <w:t>Salstrom</w:t>
      </w:r>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r w:rsidR="00697DF2" w:rsidRPr="004C7C75">
        <w:rPr>
          <w:rFonts w:eastAsia="Times New Roman"/>
          <w:sz w:val="24"/>
          <w:szCs w:val="24"/>
        </w:rPr>
        <w:t>lis pendens</w:t>
      </w:r>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0" w:name="a17_11"/>
      <w:bookmarkEnd w:id="10"/>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4F334671"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w:t>
      </w:r>
      <w:r w:rsidR="00AB7418" w:rsidRPr="00AB7418">
        <w:rPr>
          <w:rFonts w:eastAsia="Times New Roman"/>
          <w:bCs/>
          <w:i/>
          <w:iCs/>
          <w:sz w:val="24"/>
          <w:szCs w:val="24"/>
        </w:rPr>
        <w:t>(insert applicable pronoun)</w:t>
      </w:r>
      <w:r w:rsidRPr="00697DF2">
        <w:rPr>
          <w:rFonts w:eastAsia="Times New Roman"/>
          <w:b/>
          <w:sz w:val="24"/>
          <w:szCs w:val="24"/>
        </w:rPr>
        <w:t xml:space="preserve">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14CC042D"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w:t>
      </w:r>
      <w:r w:rsidR="00AB7418" w:rsidRPr="00AB7418">
        <w:rPr>
          <w:rFonts w:eastAsia="Times New Roman"/>
          <w:bCs/>
          <w:i/>
          <w:iCs/>
          <w:sz w:val="24"/>
          <w:szCs w:val="24"/>
        </w:rPr>
        <w:t>(insert applicable pronoun)</w:t>
      </w:r>
      <w:r w:rsidRPr="00697DF2">
        <w:rPr>
          <w:rFonts w:eastAsia="Times New Roman"/>
          <w:b/>
          <w:sz w:val="24"/>
          <w:szCs w:val="24"/>
        </w:rPr>
        <w:t xml:space="preserve"> in any (proceeding) (or) (trial) against </w:t>
      </w:r>
      <w:r w:rsidR="00AB7418" w:rsidRPr="00AB7418">
        <w:rPr>
          <w:rFonts w:eastAsia="Times New Roman"/>
          <w:bCs/>
          <w:i/>
          <w:iCs/>
          <w:sz w:val="24"/>
          <w:szCs w:val="24"/>
        </w:rPr>
        <w:t>(insert applicable pronoun)</w:t>
      </w:r>
      <w:r w:rsidRPr="00697DF2">
        <w:rPr>
          <w:rFonts w:eastAsia="Times New Roman"/>
          <w:b/>
          <w:sz w:val="24"/>
          <w:szCs w:val="24"/>
        </w:rPr>
        <w:t xml:space="preserve">, (and) a reasonable amount for the time </w:t>
      </w:r>
      <w:r w:rsidR="00AB7418" w:rsidRPr="00AB7418">
        <w:rPr>
          <w:rFonts w:eastAsia="Times New Roman"/>
          <w:bCs/>
          <w:i/>
          <w:iCs/>
          <w:sz w:val="24"/>
          <w:szCs w:val="24"/>
        </w:rPr>
        <w:t>(insert applicable pronoun)</w:t>
      </w:r>
      <w:r w:rsidRPr="00697DF2">
        <w:rPr>
          <w:rFonts w:eastAsia="Times New Roman"/>
          <w:b/>
          <w:sz w:val="24"/>
          <w:szCs w:val="24"/>
        </w:rPr>
        <w:t xml:space="preserve"> lost in preparing for and in attending the proceeding or trial of the case, loss of income, damage to </w:t>
      </w:r>
      <w:r w:rsidR="00AB7418" w:rsidRPr="00AB7418">
        <w:rPr>
          <w:rFonts w:eastAsia="Times New Roman"/>
          <w:bCs/>
          <w:i/>
          <w:iCs/>
          <w:sz w:val="24"/>
          <w:szCs w:val="24"/>
        </w:rPr>
        <w:t>(insert applicable pronoun)</w:t>
      </w:r>
      <w:r w:rsidRPr="00697DF2">
        <w:rPr>
          <w:rFonts w:eastAsia="Times New Roman"/>
          <w:b/>
          <w:sz w:val="24"/>
          <w:szCs w:val="24"/>
        </w:rPr>
        <w:t xml:space="preserve">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Comput</w:t>
      </w:r>
      <w:r w:rsidR="001E0B88">
        <w:rPr>
          <w:rFonts w:eastAsia="Times New Roman"/>
          <w:b/>
          <w:sz w:val="24"/>
          <w:szCs w:val="24"/>
        </w:rPr>
        <w:t>.</w:t>
      </w:r>
      <w:r w:rsidRPr="00697DF2">
        <w:rPr>
          <w:rFonts w:eastAsia="Times New Roman"/>
          <w:b/>
          <w:sz w:val="24"/>
          <w:szCs w:val="24"/>
        </w:rPr>
        <w:t xml:space="preserve"> Servs.,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1" w:name="a17_12"/>
      <w:bookmarkEnd w:id="11"/>
      <w:r w:rsidRPr="00697DF2">
        <w:rPr>
          <w:rFonts w:eastAsia="Times New Roman"/>
          <w:b/>
          <w:sz w:val="24"/>
          <w:szCs w:val="24"/>
        </w:rPr>
        <w:lastRenderedPageBreak/>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r w:rsidRPr="005B7CCD">
        <w:rPr>
          <w:rFonts w:eastAsia="Times New Roman"/>
          <w:b/>
          <w:sz w:val="24"/>
          <w:szCs w:val="24"/>
        </w:rPr>
        <w:t>Mintz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Am. Guar. &amp; Liab.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cmt. b (1977).</w:t>
      </w:r>
    </w:p>
    <w:sectPr w:rsidR="005B7CCD" w:rsidRPr="005B7CCD"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162A" w14:textId="77777777" w:rsidR="00C31A49" w:rsidRDefault="00C31A49" w:rsidP="0054263B">
      <w:r>
        <w:separator/>
      </w:r>
    </w:p>
    <w:p w14:paraId="3C7F3934" w14:textId="77777777" w:rsidR="00C31A49" w:rsidRDefault="00C31A49"/>
  </w:endnote>
  <w:endnote w:type="continuationSeparator" w:id="0">
    <w:p w14:paraId="726155FD" w14:textId="77777777" w:rsidR="00C31A49" w:rsidRDefault="00C31A49" w:rsidP="0054263B">
      <w:r>
        <w:continuationSeparator/>
      </w:r>
    </w:p>
    <w:p w14:paraId="1B2CB2D7" w14:textId="77777777" w:rsidR="00C31A49" w:rsidRDefault="00C31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533642">
          <w:rPr>
            <w:noProof/>
          </w:rPr>
          <w:t>18</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9ED5" w14:textId="77777777" w:rsidR="00C31A49" w:rsidRDefault="00C31A49" w:rsidP="0054263B">
      <w:r>
        <w:separator/>
      </w:r>
    </w:p>
    <w:p w14:paraId="4B0A0887" w14:textId="77777777" w:rsidR="00C31A49" w:rsidRDefault="00C31A49"/>
  </w:footnote>
  <w:footnote w:type="continuationSeparator" w:id="0">
    <w:p w14:paraId="28275078" w14:textId="77777777" w:rsidR="00C31A49" w:rsidRDefault="00C31A49" w:rsidP="0054263B">
      <w:r>
        <w:continuationSeparator/>
      </w:r>
    </w:p>
    <w:p w14:paraId="0746C5D1" w14:textId="77777777" w:rsidR="00C31A49" w:rsidRDefault="00C31A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408E7"/>
    <w:multiLevelType w:val="hybridMultilevel"/>
    <w:tmpl w:val="3ABED4DE"/>
    <w:lvl w:ilvl="0" w:tplc="00EE0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5316025">
    <w:abstractNumId w:val="0"/>
  </w:num>
  <w:num w:numId="2" w16cid:durableId="1600408725">
    <w:abstractNumId w:val="1"/>
  </w:num>
  <w:num w:numId="3" w16cid:durableId="118458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6A83"/>
    <w:rsid w:val="00037111"/>
    <w:rsid w:val="0006367C"/>
    <w:rsid w:val="0008000E"/>
    <w:rsid w:val="000824C8"/>
    <w:rsid w:val="00085495"/>
    <w:rsid w:val="000921F1"/>
    <w:rsid w:val="000962C8"/>
    <w:rsid w:val="000A040F"/>
    <w:rsid w:val="000B1B7A"/>
    <w:rsid w:val="000B4763"/>
    <w:rsid w:val="000B655D"/>
    <w:rsid w:val="000C204E"/>
    <w:rsid w:val="000C503A"/>
    <w:rsid w:val="000C6F97"/>
    <w:rsid w:val="000D0F30"/>
    <w:rsid w:val="000D4856"/>
    <w:rsid w:val="000E04DF"/>
    <w:rsid w:val="000F205C"/>
    <w:rsid w:val="000F409E"/>
    <w:rsid w:val="000F5238"/>
    <w:rsid w:val="001117D9"/>
    <w:rsid w:val="00112C8E"/>
    <w:rsid w:val="00112FF9"/>
    <w:rsid w:val="00125209"/>
    <w:rsid w:val="001266E1"/>
    <w:rsid w:val="00126B7A"/>
    <w:rsid w:val="001313DF"/>
    <w:rsid w:val="00131B6E"/>
    <w:rsid w:val="00132A20"/>
    <w:rsid w:val="00142F0B"/>
    <w:rsid w:val="00144917"/>
    <w:rsid w:val="001469C8"/>
    <w:rsid w:val="00151796"/>
    <w:rsid w:val="001608FF"/>
    <w:rsid w:val="0016520C"/>
    <w:rsid w:val="001671A9"/>
    <w:rsid w:val="00172674"/>
    <w:rsid w:val="00174BB5"/>
    <w:rsid w:val="00176881"/>
    <w:rsid w:val="0018388B"/>
    <w:rsid w:val="001845F9"/>
    <w:rsid w:val="00187D85"/>
    <w:rsid w:val="001903CB"/>
    <w:rsid w:val="001913B1"/>
    <w:rsid w:val="00191498"/>
    <w:rsid w:val="00191C86"/>
    <w:rsid w:val="001925DA"/>
    <w:rsid w:val="001A2648"/>
    <w:rsid w:val="001B7235"/>
    <w:rsid w:val="001C05B1"/>
    <w:rsid w:val="001E0B88"/>
    <w:rsid w:val="001E0F3B"/>
    <w:rsid w:val="001E45FE"/>
    <w:rsid w:val="001E5E31"/>
    <w:rsid w:val="001E6BB8"/>
    <w:rsid w:val="001F0193"/>
    <w:rsid w:val="001F7C94"/>
    <w:rsid w:val="00200BA5"/>
    <w:rsid w:val="00202B81"/>
    <w:rsid w:val="002065D8"/>
    <w:rsid w:val="0021368F"/>
    <w:rsid w:val="0021730E"/>
    <w:rsid w:val="00217435"/>
    <w:rsid w:val="0022134E"/>
    <w:rsid w:val="00223286"/>
    <w:rsid w:val="00227250"/>
    <w:rsid w:val="00227D3A"/>
    <w:rsid w:val="00230C73"/>
    <w:rsid w:val="0024062B"/>
    <w:rsid w:val="0024238F"/>
    <w:rsid w:val="0024597C"/>
    <w:rsid w:val="002547C3"/>
    <w:rsid w:val="0025683F"/>
    <w:rsid w:val="002654B4"/>
    <w:rsid w:val="00267805"/>
    <w:rsid w:val="00271250"/>
    <w:rsid w:val="00273777"/>
    <w:rsid w:val="00293F7E"/>
    <w:rsid w:val="002A1EA8"/>
    <w:rsid w:val="002A23B0"/>
    <w:rsid w:val="002A6EC7"/>
    <w:rsid w:val="002B4C6C"/>
    <w:rsid w:val="002C4C76"/>
    <w:rsid w:val="002D163D"/>
    <w:rsid w:val="002E0970"/>
    <w:rsid w:val="002E5DB8"/>
    <w:rsid w:val="002F0211"/>
    <w:rsid w:val="002F0FE5"/>
    <w:rsid w:val="002F136A"/>
    <w:rsid w:val="002F48D6"/>
    <w:rsid w:val="00304398"/>
    <w:rsid w:val="00316D33"/>
    <w:rsid w:val="00320613"/>
    <w:rsid w:val="003247EA"/>
    <w:rsid w:val="00324B41"/>
    <w:rsid w:val="00325584"/>
    <w:rsid w:val="003259EE"/>
    <w:rsid w:val="00326631"/>
    <w:rsid w:val="00331CB7"/>
    <w:rsid w:val="00333886"/>
    <w:rsid w:val="00335004"/>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161D5"/>
    <w:rsid w:val="00427E70"/>
    <w:rsid w:val="00434371"/>
    <w:rsid w:val="0043437B"/>
    <w:rsid w:val="004425AA"/>
    <w:rsid w:val="00456038"/>
    <w:rsid w:val="00462748"/>
    <w:rsid w:val="00467B80"/>
    <w:rsid w:val="0047120C"/>
    <w:rsid w:val="00471618"/>
    <w:rsid w:val="00474B1B"/>
    <w:rsid w:val="0048541F"/>
    <w:rsid w:val="0048550F"/>
    <w:rsid w:val="00490B47"/>
    <w:rsid w:val="0049313F"/>
    <w:rsid w:val="00494700"/>
    <w:rsid w:val="004A1210"/>
    <w:rsid w:val="004A32E6"/>
    <w:rsid w:val="004A494B"/>
    <w:rsid w:val="004B05D1"/>
    <w:rsid w:val="004B753E"/>
    <w:rsid w:val="004C4F99"/>
    <w:rsid w:val="004C62F9"/>
    <w:rsid w:val="004C723A"/>
    <w:rsid w:val="004C7C75"/>
    <w:rsid w:val="004D41ED"/>
    <w:rsid w:val="004E0408"/>
    <w:rsid w:val="004E2D7C"/>
    <w:rsid w:val="004E6600"/>
    <w:rsid w:val="004E7EF1"/>
    <w:rsid w:val="00502B9A"/>
    <w:rsid w:val="00505334"/>
    <w:rsid w:val="005065E6"/>
    <w:rsid w:val="0051385E"/>
    <w:rsid w:val="00516447"/>
    <w:rsid w:val="00516E57"/>
    <w:rsid w:val="0052537F"/>
    <w:rsid w:val="00527A18"/>
    <w:rsid w:val="00531F87"/>
    <w:rsid w:val="00533642"/>
    <w:rsid w:val="0053544D"/>
    <w:rsid w:val="0054263B"/>
    <w:rsid w:val="00545C38"/>
    <w:rsid w:val="00547D97"/>
    <w:rsid w:val="00550AFD"/>
    <w:rsid w:val="00554664"/>
    <w:rsid w:val="00555862"/>
    <w:rsid w:val="00557FCC"/>
    <w:rsid w:val="005648EF"/>
    <w:rsid w:val="0057771F"/>
    <w:rsid w:val="00587651"/>
    <w:rsid w:val="0059349F"/>
    <w:rsid w:val="00596FC7"/>
    <w:rsid w:val="005A22A6"/>
    <w:rsid w:val="005A2B4F"/>
    <w:rsid w:val="005A7611"/>
    <w:rsid w:val="005B3A78"/>
    <w:rsid w:val="005B7CCD"/>
    <w:rsid w:val="005C56C9"/>
    <w:rsid w:val="005C5CCB"/>
    <w:rsid w:val="005D140F"/>
    <w:rsid w:val="005D1AD3"/>
    <w:rsid w:val="005D3156"/>
    <w:rsid w:val="005E4C8A"/>
    <w:rsid w:val="005E6C63"/>
    <w:rsid w:val="005E712D"/>
    <w:rsid w:val="005F1017"/>
    <w:rsid w:val="005F19FD"/>
    <w:rsid w:val="005F5A94"/>
    <w:rsid w:val="006007E3"/>
    <w:rsid w:val="00604D21"/>
    <w:rsid w:val="00612588"/>
    <w:rsid w:val="00625AED"/>
    <w:rsid w:val="006272FE"/>
    <w:rsid w:val="0064333B"/>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5497"/>
    <w:rsid w:val="006E62F0"/>
    <w:rsid w:val="006F7581"/>
    <w:rsid w:val="006F7DC0"/>
    <w:rsid w:val="00702B5A"/>
    <w:rsid w:val="0070752A"/>
    <w:rsid w:val="007119D8"/>
    <w:rsid w:val="0071225B"/>
    <w:rsid w:val="00713866"/>
    <w:rsid w:val="007160FB"/>
    <w:rsid w:val="00716F96"/>
    <w:rsid w:val="007216DA"/>
    <w:rsid w:val="00723366"/>
    <w:rsid w:val="00724230"/>
    <w:rsid w:val="00725E78"/>
    <w:rsid w:val="007340B5"/>
    <w:rsid w:val="007532AB"/>
    <w:rsid w:val="00757BDC"/>
    <w:rsid w:val="00766F81"/>
    <w:rsid w:val="007670EA"/>
    <w:rsid w:val="0076741C"/>
    <w:rsid w:val="00770FFC"/>
    <w:rsid w:val="00784814"/>
    <w:rsid w:val="00787065"/>
    <w:rsid w:val="00792028"/>
    <w:rsid w:val="0079308B"/>
    <w:rsid w:val="007A3A0E"/>
    <w:rsid w:val="007A612E"/>
    <w:rsid w:val="007B1633"/>
    <w:rsid w:val="007B79AF"/>
    <w:rsid w:val="007C48A2"/>
    <w:rsid w:val="007C5538"/>
    <w:rsid w:val="007C67FF"/>
    <w:rsid w:val="007D168F"/>
    <w:rsid w:val="007D198E"/>
    <w:rsid w:val="007D2BCE"/>
    <w:rsid w:val="007D39CC"/>
    <w:rsid w:val="007E110F"/>
    <w:rsid w:val="007E1675"/>
    <w:rsid w:val="007F5255"/>
    <w:rsid w:val="007F7129"/>
    <w:rsid w:val="00801691"/>
    <w:rsid w:val="00806282"/>
    <w:rsid w:val="00813845"/>
    <w:rsid w:val="00813A6B"/>
    <w:rsid w:val="0082168C"/>
    <w:rsid w:val="00825755"/>
    <w:rsid w:val="0083254A"/>
    <w:rsid w:val="0083264A"/>
    <w:rsid w:val="00832DB4"/>
    <w:rsid w:val="0083763B"/>
    <w:rsid w:val="00837F81"/>
    <w:rsid w:val="00842826"/>
    <w:rsid w:val="00845F81"/>
    <w:rsid w:val="00850A48"/>
    <w:rsid w:val="00853ECF"/>
    <w:rsid w:val="008557E1"/>
    <w:rsid w:val="0086735A"/>
    <w:rsid w:val="008703EF"/>
    <w:rsid w:val="00875064"/>
    <w:rsid w:val="008812A8"/>
    <w:rsid w:val="00881431"/>
    <w:rsid w:val="00883AED"/>
    <w:rsid w:val="008927FB"/>
    <w:rsid w:val="00895065"/>
    <w:rsid w:val="00896FB2"/>
    <w:rsid w:val="008A475A"/>
    <w:rsid w:val="008A6339"/>
    <w:rsid w:val="008A637B"/>
    <w:rsid w:val="008B1617"/>
    <w:rsid w:val="008C1739"/>
    <w:rsid w:val="008C447D"/>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26D8C"/>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833D4"/>
    <w:rsid w:val="0099023D"/>
    <w:rsid w:val="009902F2"/>
    <w:rsid w:val="009926AB"/>
    <w:rsid w:val="009931B9"/>
    <w:rsid w:val="009A1405"/>
    <w:rsid w:val="009A5AA6"/>
    <w:rsid w:val="009B6746"/>
    <w:rsid w:val="009C0C3F"/>
    <w:rsid w:val="009E20C7"/>
    <w:rsid w:val="009E3DA4"/>
    <w:rsid w:val="009E724C"/>
    <w:rsid w:val="009F581C"/>
    <w:rsid w:val="009F6291"/>
    <w:rsid w:val="00A005E6"/>
    <w:rsid w:val="00A10F3D"/>
    <w:rsid w:val="00A110C7"/>
    <w:rsid w:val="00A36457"/>
    <w:rsid w:val="00A50F20"/>
    <w:rsid w:val="00A632A0"/>
    <w:rsid w:val="00A73AE6"/>
    <w:rsid w:val="00A74751"/>
    <w:rsid w:val="00A76341"/>
    <w:rsid w:val="00A80C10"/>
    <w:rsid w:val="00A82D0A"/>
    <w:rsid w:val="00A85AAA"/>
    <w:rsid w:val="00A92C18"/>
    <w:rsid w:val="00AA5B0D"/>
    <w:rsid w:val="00AB2019"/>
    <w:rsid w:val="00AB426C"/>
    <w:rsid w:val="00AB71A7"/>
    <w:rsid w:val="00AB7418"/>
    <w:rsid w:val="00AC78F7"/>
    <w:rsid w:val="00AD01DB"/>
    <w:rsid w:val="00AD130E"/>
    <w:rsid w:val="00AD4B56"/>
    <w:rsid w:val="00AE2612"/>
    <w:rsid w:val="00AF7D47"/>
    <w:rsid w:val="00B0264D"/>
    <w:rsid w:val="00B02AED"/>
    <w:rsid w:val="00B04954"/>
    <w:rsid w:val="00B168D1"/>
    <w:rsid w:val="00B24AA0"/>
    <w:rsid w:val="00B25D71"/>
    <w:rsid w:val="00B32E46"/>
    <w:rsid w:val="00B338E2"/>
    <w:rsid w:val="00B35185"/>
    <w:rsid w:val="00B37722"/>
    <w:rsid w:val="00B5310D"/>
    <w:rsid w:val="00B567C1"/>
    <w:rsid w:val="00B579DF"/>
    <w:rsid w:val="00B6275E"/>
    <w:rsid w:val="00B63233"/>
    <w:rsid w:val="00B70D68"/>
    <w:rsid w:val="00B70E47"/>
    <w:rsid w:val="00B719C2"/>
    <w:rsid w:val="00B72D6B"/>
    <w:rsid w:val="00B80FD1"/>
    <w:rsid w:val="00B937E4"/>
    <w:rsid w:val="00B97801"/>
    <w:rsid w:val="00B97DB5"/>
    <w:rsid w:val="00BA2389"/>
    <w:rsid w:val="00BA27A8"/>
    <w:rsid w:val="00BA510E"/>
    <w:rsid w:val="00BA5BB7"/>
    <w:rsid w:val="00BB344E"/>
    <w:rsid w:val="00BC49BF"/>
    <w:rsid w:val="00BC65EF"/>
    <w:rsid w:val="00BD1292"/>
    <w:rsid w:val="00BD1E79"/>
    <w:rsid w:val="00BE2B09"/>
    <w:rsid w:val="00BE654D"/>
    <w:rsid w:val="00BE6634"/>
    <w:rsid w:val="00BF5DF3"/>
    <w:rsid w:val="00C007AC"/>
    <w:rsid w:val="00C048C3"/>
    <w:rsid w:val="00C11341"/>
    <w:rsid w:val="00C17C98"/>
    <w:rsid w:val="00C21D93"/>
    <w:rsid w:val="00C225C9"/>
    <w:rsid w:val="00C26751"/>
    <w:rsid w:val="00C31A49"/>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B3564"/>
    <w:rsid w:val="00CB6EAA"/>
    <w:rsid w:val="00CC0502"/>
    <w:rsid w:val="00CC1AC8"/>
    <w:rsid w:val="00CC6A95"/>
    <w:rsid w:val="00CC7E17"/>
    <w:rsid w:val="00CD4A7D"/>
    <w:rsid w:val="00CD6F5F"/>
    <w:rsid w:val="00CE593D"/>
    <w:rsid w:val="00CF07F1"/>
    <w:rsid w:val="00D00330"/>
    <w:rsid w:val="00D0050C"/>
    <w:rsid w:val="00D014AE"/>
    <w:rsid w:val="00D05926"/>
    <w:rsid w:val="00D06D8D"/>
    <w:rsid w:val="00D12116"/>
    <w:rsid w:val="00D16901"/>
    <w:rsid w:val="00D23BD0"/>
    <w:rsid w:val="00D333AA"/>
    <w:rsid w:val="00D347CA"/>
    <w:rsid w:val="00D51A7E"/>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0E2E"/>
    <w:rsid w:val="00E111AA"/>
    <w:rsid w:val="00E172C8"/>
    <w:rsid w:val="00E17336"/>
    <w:rsid w:val="00E21120"/>
    <w:rsid w:val="00E24E10"/>
    <w:rsid w:val="00E27B77"/>
    <w:rsid w:val="00E3662C"/>
    <w:rsid w:val="00E47DDD"/>
    <w:rsid w:val="00E50187"/>
    <w:rsid w:val="00E53725"/>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D780A"/>
    <w:rsid w:val="00EE1CDB"/>
    <w:rsid w:val="00EF0ECC"/>
    <w:rsid w:val="00EF1E2D"/>
    <w:rsid w:val="00EF4043"/>
    <w:rsid w:val="00F0146C"/>
    <w:rsid w:val="00F022D4"/>
    <w:rsid w:val="00F062A4"/>
    <w:rsid w:val="00F2256F"/>
    <w:rsid w:val="00F23FB1"/>
    <w:rsid w:val="00F25E27"/>
    <w:rsid w:val="00F32824"/>
    <w:rsid w:val="00F32AA4"/>
    <w:rsid w:val="00F32CBF"/>
    <w:rsid w:val="00F35933"/>
    <w:rsid w:val="00F573CF"/>
    <w:rsid w:val="00F57A2B"/>
    <w:rsid w:val="00F658E5"/>
    <w:rsid w:val="00F6690F"/>
    <w:rsid w:val="00F73B39"/>
    <w:rsid w:val="00F764F4"/>
    <w:rsid w:val="00F86F49"/>
    <w:rsid w:val="00F93FB6"/>
    <w:rsid w:val="00FA333E"/>
    <w:rsid w:val="00FA7B76"/>
    <w:rsid w:val="00FB4FCB"/>
    <w:rsid w:val="00FD2DF4"/>
    <w:rsid w:val="00FD7D4E"/>
    <w:rsid w:val="00FE00D7"/>
    <w:rsid w:val="00FE156B"/>
    <w:rsid w:val="00FE243C"/>
    <w:rsid w:val="00FE5645"/>
    <w:rsid w:val="00FE62E1"/>
    <w:rsid w:val="00FF171F"/>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F256488"/>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 w:type="paragraph" w:styleId="Revision">
    <w:name w:val="Revision"/>
    <w:hidden/>
    <w:uiPriority w:val="99"/>
    <w:semiHidden/>
    <w:rsid w:val="009E724C"/>
    <w:rPr>
      <w:sz w:val="22"/>
      <w:szCs w:val="26"/>
    </w:rPr>
  </w:style>
  <w:style w:type="character" w:styleId="Emphasis">
    <w:name w:val="Emphasis"/>
    <w:basedOn w:val="DefaultParagraphFont"/>
    <w:uiPriority w:val="20"/>
    <w:qFormat/>
    <w:rsid w:val="006E5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1718622">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5118</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2026-02-22T18:27:00Z</dcterms:created>
  <dcterms:modified xsi:type="dcterms:W3CDTF">2026-02-22T18:27:00Z</dcterms:modified>
</cp:coreProperties>
</file>