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9CB9" w14:textId="26B6FEB1" w:rsidR="00E01A1E" w:rsidRPr="00914128" w:rsidRDefault="00771A51" w:rsidP="00E01A1E">
      <w:pPr>
        <w:pStyle w:val="Heading1"/>
      </w:pPr>
      <w:bookmarkStart w:id="0" w:name="_Hlk122443531"/>
      <w:r>
        <w:t>CHAPTER 8</w:t>
      </w:r>
    </w:p>
    <w:bookmarkEnd w:id="0"/>
    <w:p w14:paraId="0D223C21" w14:textId="77777777" w:rsidR="00E01A1E" w:rsidRPr="00914128" w:rsidRDefault="00771A51" w:rsidP="00E01A1E">
      <w:pPr>
        <w:pStyle w:val="Heading1"/>
      </w:pPr>
      <w:r w:rsidRPr="00C26751">
        <w:t>LIABILITY BASED ON AGENCY AND RESPONDEAT SUPERIOR</w:t>
      </w:r>
    </w:p>
    <w:p w14:paraId="75696612" w14:textId="77777777" w:rsidR="00E01A1E" w:rsidRPr="009B6746" w:rsidRDefault="00771A51" w:rsidP="00E01A1E">
      <w:pPr>
        <w:pStyle w:val="Heading1"/>
        <w:jc w:val="left"/>
        <w:rPr>
          <w:b w:val="0"/>
        </w:rPr>
      </w:pPr>
      <w:r w:rsidRPr="009B6746">
        <w:rPr>
          <w:b w:val="0"/>
        </w:rPr>
        <w:t xml:space="preserve">A. </w:t>
      </w:r>
      <w:r w:rsidRPr="00C26751">
        <w:rPr>
          <w:b w:val="0"/>
        </w:rPr>
        <w:t>DEFINITIONS</w:t>
      </w:r>
    </w:p>
    <w:p w14:paraId="677DC78F" w14:textId="77777777" w:rsidR="00E01A1E" w:rsidRDefault="00771A51" w:rsidP="00E01A1E">
      <w:pPr>
        <w:pStyle w:val="ToC"/>
      </w:pPr>
      <w:hyperlink w:anchor="a8_1" w:history="1">
        <w:r w:rsidRPr="0006367C">
          <w:rPr>
            <w:rStyle w:val="Hyperlink"/>
          </w:rPr>
          <w:t>8:1</w:t>
        </w:r>
      </w:hyperlink>
      <w:r w:rsidRPr="0006367C">
        <w:t xml:space="preserve"> </w:t>
      </w:r>
      <w:r w:rsidRPr="0006367C">
        <w:tab/>
        <w:t>Agency Relationship — Defined</w:t>
      </w:r>
    </w:p>
    <w:p w14:paraId="5F5D9F13" w14:textId="6573016C" w:rsidR="00E01A1E" w:rsidRDefault="00771A51" w:rsidP="00E01A1E">
      <w:pPr>
        <w:pStyle w:val="ToC"/>
      </w:pPr>
      <w:hyperlink w:anchor="a8_2" w:history="1">
        <w:r w:rsidRPr="0006367C">
          <w:rPr>
            <w:rStyle w:val="Hyperlink"/>
          </w:rPr>
          <w:t>8:2</w:t>
        </w:r>
      </w:hyperlink>
      <w:r w:rsidRPr="0006367C">
        <w:t xml:space="preserve"> </w:t>
      </w:r>
      <w:r w:rsidRPr="0006367C">
        <w:tab/>
        <w:t xml:space="preserve">Disclosed </w:t>
      </w:r>
      <w:r>
        <w:t xml:space="preserve">or </w:t>
      </w:r>
      <w:r w:rsidRPr="0006367C">
        <w:t>Unidentified Principal — Defined</w:t>
      </w:r>
    </w:p>
    <w:p w14:paraId="25AC8BD9" w14:textId="77777777" w:rsidR="00E01A1E" w:rsidRDefault="00771A51" w:rsidP="00E01A1E">
      <w:pPr>
        <w:pStyle w:val="ToC"/>
      </w:pPr>
      <w:hyperlink w:anchor="a8_3" w:history="1">
        <w:r w:rsidRPr="0006367C">
          <w:rPr>
            <w:rStyle w:val="Hyperlink"/>
          </w:rPr>
          <w:t>8:3</w:t>
        </w:r>
      </w:hyperlink>
      <w:r w:rsidRPr="0006367C">
        <w:t xml:space="preserve"> </w:t>
      </w:r>
      <w:r w:rsidRPr="0006367C">
        <w:tab/>
        <w:t>Undisclosed Principal — Defined</w:t>
      </w:r>
    </w:p>
    <w:p w14:paraId="677DC58B" w14:textId="77777777" w:rsidR="00E01A1E" w:rsidRDefault="00771A51" w:rsidP="00E01A1E">
      <w:pPr>
        <w:pStyle w:val="ToC"/>
      </w:pPr>
      <w:hyperlink w:anchor="a8_4" w:history="1">
        <w:r w:rsidRPr="0006367C">
          <w:rPr>
            <w:rStyle w:val="Hyperlink"/>
          </w:rPr>
          <w:t>8:4</w:t>
        </w:r>
      </w:hyperlink>
      <w:r w:rsidRPr="0006367C">
        <w:t xml:space="preserve"> </w:t>
      </w:r>
      <w:r w:rsidRPr="0006367C">
        <w:tab/>
        <w:t xml:space="preserve">Employer </w:t>
      </w:r>
      <w:r>
        <w:t>and</w:t>
      </w:r>
      <w:r w:rsidRPr="0006367C">
        <w:t xml:space="preserve"> Employee — Defined</w:t>
      </w:r>
    </w:p>
    <w:p w14:paraId="5F104ACC" w14:textId="77777777" w:rsidR="00E01A1E" w:rsidRDefault="00771A51" w:rsidP="00E01A1E">
      <w:pPr>
        <w:pStyle w:val="ToC"/>
      </w:pPr>
      <w:hyperlink w:anchor="a8_5" w:history="1">
        <w:r w:rsidRPr="00474B1B">
          <w:rPr>
            <w:rStyle w:val="Hyperlink"/>
          </w:rPr>
          <w:t>8:5</w:t>
        </w:r>
      </w:hyperlink>
      <w:r w:rsidRPr="00474B1B">
        <w:t xml:space="preserve"> </w:t>
      </w:r>
      <w:r w:rsidRPr="00474B1B">
        <w:tab/>
        <w:t>Independent Contractor — Definition</w:t>
      </w:r>
    </w:p>
    <w:p w14:paraId="0F126421" w14:textId="77777777" w:rsidR="00E01A1E" w:rsidRDefault="00771A51" w:rsidP="00E01A1E">
      <w:pPr>
        <w:pStyle w:val="ToC"/>
      </w:pPr>
      <w:hyperlink w:anchor="a8_6" w:history="1">
        <w:r w:rsidRPr="006F7DC0">
          <w:rPr>
            <w:rStyle w:val="Hyperlink"/>
          </w:rPr>
          <w:t>8:6</w:t>
        </w:r>
      </w:hyperlink>
      <w:r w:rsidRPr="006F7DC0">
        <w:t xml:space="preserve"> </w:t>
      </w:r>
      <w:r w:rsidRPr="006F7DC0">
        <w:tab/>
        <w:t>Loaned Employee</w:t>
      </w:r>
    </w:p>
    <w:p w14:paraId="4F980EAB" w14:textId="77777777" w:rsidR="00E01A1E" w:rsidRDefault="00771A51" w:rsidP="00E01A1E">
      <w:pPr>
        <w:pStyle w:val="ToC"/>
      </w:pPr>
      <w:hyperlink w:anchor="a8_7" w:history="1">
        <w:r w:rsidRPr="006F7DC0">
          <w:rPr>
            <w:rStyle w:val="Hyperlink"/>
          </w:rPr>
          <w:t>8:7</w:t>
        </w:r>
      </w:hyperlink>
      <w:r w:rsidRPr="006F7DC0">
        <w:tab/>
        <w:t>Loaned Employee ― Determination</w:t>
      </w:r>
    </w:p>
    <w:p w14:paraId="1777974E" w14:textId="77777777" w:rsidR="00E01A1E" w:rsidRDefault="00771A51" w:rsidP="00E01A1E">
      <w:pPr>
        <w:pStyle w:val="ToC"/>
      </w:pPr>
      <w:hyperlink w:anchor="a8_8" w:history="1">
        <w:r w:rsidRPr="006F7DC0">
          <w:rPr>
            <w:rStyle w:val="Hyperlink"/>
          </w:rPr>
          <w:t>8:8</w:t>
        </w:r>
      </w:hyperlink>
      <w:r w:rsidRPr="006F7DC0">
        <w:t xml:space="preserve"> </w:t>
      </w:r>
      <w:r w:rsidRPr="006F7DC0">
        <w:tab/>
        <w:t xml:space="preserve">Scope </w:t>
      </w:r>
      <w:r>
        <w:t>of</w:t>
      </w:r>
      <w:r w:rsidRPr="006F7DC0">
        <w:t xml:space="preserve"> Employment </w:t>
      </w:r>
      <w:r>
        <w:t>of</w:t>
      </w:r>
      <w:r w:rsidRPr="006F7DC0">
        <w:t xml:space="preserve"> Employee — Defined</w:t>
      </w:r>
    </w:p>
    <w:p w14:paraId="61F4555D" w14:textId="77777777" w:rsidR="00E01A1E" w:rsidRDefault="00771A51" w:rsidP="00E01A1E">
      <w:pPr>
        <w:pStyle w:val="ToC"/>
      </w:pPr>
      <w:hyperlink w:anchor="a8_9" w:history="1">
        <w:r w:rsidRPr="00273777">
          <w:rPr>
            <w:rStyle w:val="Hyperlink"/>
          </w:rPr>
          <w:t>8:9</w:t>
        </w:r>
      </w:hyperlink>
      <w:r w:rsidRPr="00273777">
        <w:t xml:space="preserve"> </w:t>
      </w:r>
      <w:r w:rsidRPr="00273777">
        <w:tab/>
        <w:t xml:space="preserve">Scope </w:t>
      </w:r>
      <w:r>
        <w:t>of</w:t>
      </w:r>
      <w:r w:rsidRPr="00273777">
        <w:t xml:space="preserve"> Authority </w:t>
      </w:r>
      <w:r>
        <w:t>of</w:t>
      </w:r>
      <w:r w:rsidRPr="00273777">
        <w:t xml:space="preserve"> Agent — Defined</w:t>
      </w:r>
    </w:p>
    <w:p w14:paraId="757BBC4E" w14:textId="7265680A" w:rsidR="00E01A1E" w:rsidRDefault="00771A51" w:rsidP="00E01A1E">
      <w:pPr>
        <w:pStyle w:val="ToC"/>
      </w:pPr>
      <w:hyperlink w:anchor="a8_9A" w:history="1">
        <w:r w:rsidRPr="00273777">
          <w:rPr>
            <w:rStyle w:val="Hyperlink"/>
          </w:rPr>
          <w:t>8:9</w:t>
        </w:r>
        <w:r>
          <w:rPr>
            <w:rStyle w:val="Hyperlink"/>
          </w:rPr>
          <w:t>A</w:t>
        </w:r>
      </w:hyperlink>
      <w:r w:rsidRPr="00273777">
        <w:tab/>
        <w:t>Actual Authority</w:t>
      </w:r>
      <w:r w:rsidR="00431B98" w:rsidRPr="00273777">
        <w:t xml:space="preserve"> — Defined</w:t>
      </w:r>
    </w:p>
    <w:p w14:paraId="26F3EF47" w14:textId="6D2BFECF" w:rsidR="00E01A1E" w:rsidRDefault="00771A51" w:rsidP="00E01A1E">
      <w:pPr>
        <w:pStyle w:val="ToC"/>
      </w:pPr>
      <w:hyperlink w:anchor="a8_9B" w:history="1">
        <w:r w:rsidRPr="00273777">
          <w:rPr>
            <w:rStyle w:val="Hyperlink"/>
          </w:rPr>
          <w:t>8:9</w:t>
        </w:r>
        <w:r>
          <w:rPr>
            <w:rStyle w:val="Hyperlink"/>
          </w:rPr>
          <w:t>B</w:t>
        </w:r>
      </w:hyperlink>
      <w:r>
        <w:tab/>
      </w:r>
      <w:r w:rsidRPr="00273777">
        <w:t>Express Authority</w:t>
      </w:r>
      <w:r w:rsidR="00DA3154" w:rsidRPr="00273777">
        <w:t xml:space="preserve"> — Defined</w:t>
      </w:r>
    </w:p>
    <w:p w14:paraId="772F42D8" w14:textId="77777777" w:rsidR="00E01A1E" w:rsidRDefault="00771A51" w:rsidP="00E01A1E">
      <w:pPr>
        <w:pStyle w:val="ToC"/>
      </w:pPr>
      <w:hyperlink w:anchor="a8_10" w:history="1">
        <w:r w:rsidRPr="00273777">
          <w:rPr>
            <w:rStyle w:val="Hyperlink"/>
          </w:rPr>
          <w:t>8:10</w:t>
        </w:r>
      </w:hyperlink>
      <w:r w:rsidRPr="00273777">
        <w:t xml:space="preserve"> </w:t>
      </w:r>
      <w:r w:rsidRPr="00273777">
        <w:tab/>
        <w:t>Incidental Authority — Defined</w:t>
      </w:r>
    </w:p>
    <w:p w14:paraId="6B244051" w14:textId="77777777" w:rsidR="00E01A1E" w:rsidRDefault="00771A51" w:rsidP="00E01A1E">
      <w:pPr>
        <w:pStyle w:val="ToC"/>
      </w:pPr>
      <w:hyperlink w:anchor="a8_11" w:history="1">
        <w:r w:rsidRPr="00273777">
          <w:rPr>
            <w:rStyle w:val="Hyperlink"/>
          </w:rPr>
          <w:t>8:11</w:t>
        </w:r>
      </w:hyperlink>
      <w:r w:rsidRPr="00273777">
        <w:t xml:space="preserve"> </w:t>
      </w:r>
      <w:r w:rsidRPr="00273777">
        <w:tab/>
        <w:t>Implied Authority — Defined</w:t>
      </w:r>
    </w:p>
    <w:p w14:paraId="68C45A56" w14:textId="77777777" w:rsidR="00E01A1E" w:rsidRDefault="00771A51" w:rsidP="00E01A1E">
      <w:pPr>
        <w:pStyle w:val="ToC"/>
      </w:pPr>
      <w:hyperlink w:anchor="a8_12" w:history="1">
        <w:r w:rsidRPr="00273777">
          <w:rPr>
            <w:rStyle w:val="Hyperlink"/>
          </w:rPr>
          <w:t>8:12</w:t>
        </w:r>
      </w:hyperlink>
      <w:r w:rsidRPr="00273777">
        <w:t xml:space="preserve"> </w:t>
      </w:r>
      <w:r w:rsidRPr="00273777">
        <w:tab/>
        <w:t xml:space="preserve">Apparent Authority (Agency </w:t>
      </w:r>
      <w:r>
        <w:t>b</w:t>
      </w:r>
      <w:r w:rsidRPr="00273777">
        <w:t xml:space="preserve">y Estoppel) — Definition </w:t>
      </w:r>
      <w:r>
        <w:t>and</w:t>
      </w:r>
      <w:r w:rsidRPr="00273777">
        <w:t xml:space="preserve"> Effect</w:t>
      </w:r>
    </w:p>
    <w:p w14:paraId="4FCA7945" w14:textId="77777777" w:rsidR="00E01A1E" w:rsidRDefault="00771A51" w:rsidP="00E01A1E">
      <w:pPr>
        <w:pStyle w:val="ToC"/>
      </w:pPr>
      <w:hyperlink w:anchor="a8_13" w:history="1">
        <w:r w:rsidRPr="00273777">
          <w:rPr>
            <w:rStyle w:val="Hyperlink"/>
          </w:rPr>
          <w:t>8:13</w:t>
        </w:r>
      </w:hyperlink>
      <w:r w:rsidRPr="00273777">
        <w:t xml:space="preserve"> </w:t>
      </w:r>
      <w:r w:rsidRPr="00273777">
        <w:tab/>
        <w:t xml:space="preserve">Scope </w:t>
      </w:r>
      <w:r>
        <w:t>of</w:t>
      </w:r>
      <w:r w:rsidRPr="00273777">
        <w:t xml:space="preserve"> Authority </w:t>
      </w:r>
      <w:r>
        <w:t xml:space="preserve">or </w:t>
      </w:r>
      <w:r w:rsidRPr="00273777">
        <w:t>Employment — Departure</w:t>
      </w:r>
    </w:p>
    <w:p w14:paraId="259B38B7" w14:textId="77777777" w:rsidR="00E01A1E" w:rsidRDefault="00771A51" w:rsidP="00E01A1E">
      <w:pPr>
        <w:pStyle w:val="ToC"/>
      </w:pPr>
      <w:hyperlink w:anchor="a8_14" w:history="1">
        <w:r w:rsidRPr="00273777">
          <w:rPr>
            <w:rStyle w:val="Hyperlink"/>
          </w:rPr>
          <w:t>8:14</w:t>
        </w:r>
      </w:hyperlink>
      <w:r w:rsidRPr="00273777">
        <w:t xml:space="preserve"> </w:t>
      </w:r>
      <w:r w:rsidRPr="00273777">
        <w:tab/>
        <w:t xml:space="preserve">Ratification — Definition </w:t>
      </w:r>
      <w:r>
        <w:t>and</w:t>
      </w:r>
      <w:r w:rsidRPr="00273777">
        <w:t xml:space="preserve"> Effect</w:t>
      </w:r>
    </w:p>
    <w:p w14:paraId="4EDB867E" w14:textId="77777777" w:rsidR="00E01A1E" w:rsidRDefault="00771A51" w:rsidP="00E01A1E">
      <w:pPr>
        <w:pStyle w:val="ToC"/>
      </w:pPr>
      <w:hyperlink w:anchor="a8_15" w:history="1">
        <w:r w:rsidRPr="00273777">
          <w:rPr>
            <w:rStyle w:val="Hyperlink"/>
          </w:rPr>
          <w:t>8:15</w:t>
        </w:r>
      </w:hyperlink>
      <w:r w:rsidRPr="00273777">
        <w:t xml:space="preserve"> </w:t>
      </w:r>
      <w:r w:rsidRPr="00273777">
        <w:tab/>
        <w:t xml:space="preserve">Knowledge </w:t>
      </w:r>
      <w:r>
        <w:t>of</w:t>
      </w:r>
      <w:r w:rsidRPr="00273777">
        <w:t xml:space="preserve"> Agent Imputable </w:t>
      </w:r>
      <w:r>
        <w:t>to</w:t>
      </w:r>
      <w:r w:rsidRPr="00273777">
        <w:t xml:space="preserve"> Principal</w:t>
      </w:r>
    </w:p>
    <w:p w14:paraId="56C36A96" w14:textId="77777777" w:rsidR="00E01A1E" w:rsidRDefault="00771A51" w:rsidP="00E01A1E">
      <w:pPr>
        <w:pStyle w:val="ToC"/>
      </w:pPr>
      <w:hyperlink w:anchor="a8_16" w:history="1">
        <w:r w:rsidRPr="00273777">
          <w:rPr>
            <w:rStyle w:val="Hyperlink"/>
          </w:rPr>
          <w:t>8:16</w:t>
        </w:r>
      </w:hyperlink>
      <w:r w:rsidRPr="00273777">
        <w:t xml:space="preserve"> </w:t>
      </w:r>
      <w:r w:rsidRPr="00273777">
        <w:tab/>
        <w:t xml:space="preserve">Termination </w:t>
      </w:r>
      <w:r>
        <w:t>of</w:t>
      </w:r>
      <w:r w:rsidRPr="00273777">
        <w:t xml:space="preserve"> Agent’s Authority</w:t>
      </w:r>
    </w:p>
    <w:p w14:paraId="21DCDC07" w14:textId="77777777" w:rsidR="00E01A1E" w:rsidRDefault="00771A51" w:rsidP="00E01A1E">
      <w:pPr>
        <w:pStyle w:val="ToC"/>
      </w:pPr>
      <w:hyperlink w:anchor="a8_17" w:history="1">
        <w:r w:rsidRPr="00273777">
          <w:rPr>
            <w:rStyle w:val="Hyperlink"/>
          </w:rPr>
          <w:t>8:17</w:t>
        </w:r>
      </w:hyperlink>
      <w:r w:rsidRPr="00273777">
        <w:t xml:space="preserve"> </w:t>
      </w:r>
      <w:r w:rsidRPr="00273777">
        <w:tab/>
        <w:t xml:space="preserve">Termination </w:t>
      </w:r>
      <w:r>
        <w:t>of</w:t>
      </w:r>
      <w:r w:rsidRPr="00273777">
        <w:t xml:space="preserve"> Agent’s Authority — Notice </w:t>
      </w:r>
      <w:r>
        <w:t>to</w:t>
      </w:r>
      <w:r w:rsidRPr="00273777">
        <w:t xml:space="preserve"> Third Parties</w:t>
      </w:r>
    </w:p>
    <w:p w14:paraId="30F1C2B9" w14:textId="77777777" w:rsidR="00E01A1E" w:rsidRDefault="00E01A1E" w:rsidP="00E01A1E">
      <w:pPr>
        <w:pStyle w:val="ToC"/>
      </w:pPr>
    </w:p>
    <w:p w14:paraId="45C8064D" w14:textId="77777777" w:rsidR="00E01A1E" w:rsidRPr="009B6746" w:rsidRDefault="00771A51" w:rsidP="00E01A1E">
      <w:pPr>
        <w:pStyle w:val="Heading1"/>
        <w:jc w:val="left"/>
        <w:rPr>
          <w:b w:val="0"/>
        </w:rPr>
      </w:pPr>
      <w:r w:rsidRPr="00973884">
        <w:rPr>
          <w:b w:val="0"/>
        </w:rPr>
        <w:t xml:space="preserve">B. </w:t>
      </w:r>
      <w:r w:rsidRPr="00C26751">
        <w:rPr>
          <w:b w:val="0"/>
        </w:rPr>
        <w:t>LIABILITY ARISING FROM AGENCY</w:t>
      </w:r>
    </w:p>
    <w:p w14:paraId="25A6A2AC" w14:textId="77777777" w:rsidR="00CA7F33" w:rsidRDefault="00CA7F33" w:rsidP="00CA7F33">
      <w:pPr>
        <w:pStyle w:val="ToC"/>
      </w:pPr>
      <w:hyperlink w:anchor="a8_IntroB" w:history="1">
        <w:r w:rsidRPr="00CA7F33">
          <w:rPr>
            <w:rStyle w:val="Hyperlink"/>
          </w:rPr>
          <w:t>Introductory Note</w:t>
        </w:r>
      </w:hyperlink>
    </w:p>
    <w:p w14:paraId="04BB6D24" w14:textId="77777777" w:rsidR="00E01A1E" w:rsidRDefault="00771A51" w:rsidP="00E01A1E">
      <w:pPr>
        <w:pStyle w:val="ToC"/>
      </w:pPr>
      <w:hyperlink w:anchor="a8_18" w:history="1">
        <w:r w:rsidRPr="00273777">
          <w:rPr>
            <w:rStyle w:val="Hyperlink"/>
          </w:rPr>
          <w:t>8:18</w:t>
        </w:r>
      </w:hyperlink>
      <w:r w:rsidRPr="00273777">
        <w:t xml:space="preserve"> </w:t>
      </w:r>
      <w:r w:rsidRPr="00273777">
        <w:tab/>
        <w:t xml:space="preserve">Principal </w:t>
      </w:r>
      <w:r>
        <w:t>and</w:t>
      </w:r>
      <w:r w:rsidRPr="00273777">
        <w:t xml:space="preserve"> Agent — Both Parties Sued — Issue </w:t>
      </w:r>
      <w:r>
        <w:t>as</w:t>
      </w:r>
      <w:r w:rsidRPr="00273777">
        <w:t xml:space="preserve"> </w:t>
      </w:r>
      <w:r>
        <w:t>to</w:t>
      </w:r>
      <w:r w:rsidRPr="00273777">
        <w:t xml:space="preserve"> Relationship </w:t>
      </w:r>
      <w:r>
        <w:t>and/or</w:t>
      </w:r>
      <w:r w:rsidRPr="00273777">
        <w:t xml:space="preserve"> Scope </w:t>
      </w:r>
      <w:r>
        <w:t>of</w:t>
      </w:r>
      <w:r w:rsidRPr="00273777">
        <w:t xml:space="preserve"> Authority</w:t>
      </w:r>
    </w:p>
    <w:p w14:paraId="2556AA96" w14:textId="77777777" w:rsidR="00E01A1E" w:rsidRDefault="00771A51" w:rsidP="00E01A1E">
      <w:pPr>
        <w:pStyle w:val="ToC"/>
      </w:pPr>
      <w:hyperlink w:anchor="a8_19" w:history="1">
        <w:r w:rsidRPr="00CC1E15">
          <w:rPr>
            <w:rStyle w:val="Hyperlink"/>
          </w:rPr>
          <w:t>8:19</w:t>
        </w:r>
      </w:hyperlink>
      <w:r w:rsidRPr="00273777">
        <w:t xml:space="preserve"> </w:t>
      </w:r>
      <w:r w:rsidRPr="00273777">
        <w:tab/>
        <w:t xml:space="preserve">Principal </w:t>
      </w:r>
      <w:r>
        <w:t>and</w:t>
      </w:r>
      <w:r w:rsidRPr="00273777">
        <w:t xml:space="preserve"> Agent — </w:t>
      </w:r>
      <w:r>
        <w:t>Both Parties</w:t>
      </w:r>
      <w:r w:rsidRPr="00273777">
        <w:t xml:space="preserve"> Sued — No Issue </w:t>
      </w:r>
      <w:r>
        <w:t>as</w:t>
      </w:r>
      <w:r w:rsidRPr="00273777">
        <w:t xml:space="preserve"> </w:t>
      </w:r>
      <w:r>
        <w:t>to</w:t>
      </w:r>
      <w:r w:rsidRPr="00273777">
        <w:t xml:space="preserve"> Relationship</w:t>
      </w:r>
      <w:r>
        <w:t xml:space="preserve"> and Scope of Authority</w:t>
      </w:r>
    </w:p>
    <w:p w14:paraId="08DB124A" w14:textId="77777777" w:rsidR="00E01A1E" w:rsidRDefault="00771A51" w:rsidP="00E01A1E">
      <w:pPr>
        <w:pStyle w:val="ToC"/>
      </w:pPr>
      <w:hyperlink w:anchor="a8_20" w:history="1">
        <w:r w:rsidRPr="001F6414">
          <w:rPr>
            <w:rStyle w:val="Hyperlink"/>
          </w:rPr>
          <w:t>8:20</w:t>
        </w:r>
      </w:hyperlink>
      <w:r w:rsidRPr="00273777">
        <w:t xml:space="preserve"> </w:t>
      </w:r>
      <w:r w:rsidRPr="00273777">
        <w:tab/>
        <w:t xml:space="preserve">Principal </w:t>
      </w:r>
      <w:r>
        <w:t>and</w:t>
      </w:r>
      <w:r w:rsidRPr="00273777">
        <w:t xml:space="preserve"> Agent — Only Principal Sued — Issue </w:t>
      </w:r>
      <w:r>
        <w:t>as</w:t>
      </w:r>
      <w:r w:rsidRPr="00273777">
        <w:t xml:space="preserve"> </w:t>
      </w:r>
      <w:r>
        <w:t>to</w:t>
      </w:r>
      <w:r w:rsidRPr="00273777">
        <w:t xml:space="preserve"> Relationship </w:t>
      </w:r>
      <w:r>
        <w:t>and</w:t>
      </w:r>
      <w:r w:rsidRPr="00273777">
        <w:t>/</w:t>
      </w:r>
      <w:r>
        <w:t xml:space="preserve">or </w:t>
      </w:r>
      <w:r w:rsidRPr="00273777">
        <w:t xml:space="preserve">Scope </w:t>
      </w:r>
      <w:r>
        <w:t>of</w:t>
      </w:r>
      <w:r w:rsidRPr="00273777">
        <w:t xml:space="preserve"> Authority</w:t>
      </w:r>
    </w:p>
    <w:p w14:paraId="57595389" w14:textId="77777777" w:rsidR="00E01A1E" w:rsidRDefault="00771A51" w:rsidP="00E01A1E">
      <w:pPr>
        <w:pStyle w:val="ToC"/>
      </w:pPr>
      <w:hyperlink w:anchor="a8_21" w:history="1">
        <w:r w:rsidRPr="001F6414">
          <w:rPr>
            <w:rStyle w:val="Hyperlink"/>
          </w:rPr>
          <w:t>8:21</w:t>
        </w:r>
      </w:hyperlink>
      <w:r w:rsidRPr="00273777">
        <w:t xml:space="preserve"> </w:t>
      </w:r>
      <w:r w:rsidRPr="00273777">
        <w:tab/>
        <w:t xml:space="preserve">Principal </w:t>
      </w:r>
      <w:r>
        <w:t>and</w:t>
      </w:r>
      <w:r w:rsidRPr="00273777">
        <w:t xml:space="preserve"> Agent — </w:t>
      </w:r>
      <w:r>
        <w:t>Only Principal</w:t>
      </w:r>
      <w:r w:rsidRPr="00273777">
        <w:t xml:space="preserve"> Sued —No Issue </w:t>
      </w:r>
      <w:r>
        <w:t>as</w:t>
      </w:r>
      <w:r w:rsidRPr="00273777">
        <w:t xml:space="preserve"> </w:t>
      </w:r>
      <w:r>
        <w:t>to</w:t>
      </w:r>
      <w:r w:rsidRPr="00273777">
        <w:t xml:space="preserve"> Relationship </w:t>
      </w:r>
      <w:r>
        <w:t xml:space="preserve">and </w:t>
      </w:r>
      <w:r w:rsidRPr="00273777">
        <w:t xml:space="preserve">Scope </w:t>
      </w:r>
      <w:r>
        <w:t>of</w:t>
      </w:r>
      <w:r w:rsidRPr="00273777">
        <w:t xml:space="preserve"> Authority</w:t>
      </w:r>
    </w:p>
    <w:p w14:paraId="18E68085" w14:textId="77777777" w:rsidR="00E01A1E" w:rsidRDefault="00E01A1E" w:rsidP="00E01A1E">
      <w:pPr>
        <w:pStyle w:val="ToC"/>
      </w:pPr>
    </w:p>
    <w:p w14:paraId="5DDD284F" w14:textId="77777777" w:rsidR="00E01A1E" w:rsidRDefault="00771A51" w:rsidP="00E01A1E">
      <w:pPr>
        <w:pStyle w:val="ToC"/>
        <w:keepNext/>
        <w:spacing w:after="240"/>
      </w:pPr>
      <w:r>
        <w:lastRenderedPageBreak/>
        <w:t>C</w:t>
      </w:r>
      <w:r w:rsidRPr="00973884">
        <w:t xml:space="preserve">. </w:t>
      </w:r>
      <w:r w:rsidRPr="00C26751">
        <w:t xml:space="preserve">LIABILITY </w:t>
      </w:r>
      <w:r>
        <w:t>ARISING FROM RESPONDEAT SUPERIOR</w:t>
      </w:r>
    </w:p>
    <w:p w14:paraId="08604F2C" w14:textId="77777777" w:rsidR="00E01A1E" w:rsidRDefault="00771A51" w:rsidP="00E01A1E">
      <w:pPr>
        <w:pStyle w:val="ToC"/>
      </w:pPr>
      <w:hyperlink w:anchor="a8_22" w:history="1">
        <w:r w:rsidRPr="001F6414">
          <w:rPr>
            <w:rStyle w:val="Hyperlink"/>
          </w:rPr>
          <w:t>8:22</w:t>
        </w:r>
      </w:hyperlink>
      <w:r w:rsidRPr="00273777">
        <w:tab/>
      </w:r>
      <w:r>
        <w:t xml:space="preserve">Employer and Employee </w:t>
      </w:r>
      <w:r w:rsidRPr="00273777">
        <w:t xml:space="preserve">— Both Parties Sued — Issue </w:t>
      </w:r>
      <w:r>
        <w:t>as</w:t>
      </w:r>
      <w:r w:rsidRPr="00273777">
        <w:t xml:space="preserve"> </w:t>
      </w:r>
      <w:r>
        <w:t>to</w:t>
      </w:r>
      <w:r w:rsidRPr="00273777">
        <w:t xml:space="preserve"> Relationship </w:t>
      </w:r>
      <w:r>
        <w:t>and/or</w:t>
      </w:r>
      <w:r w:rsidRPr="00273777">
        <w:t xml:space="preserve"> Scope </w:t>
      </w:r>
      <w:r>
        <w:t>of Employment</w:t>
      </w:r>
    </w:p>
    <w:p w14:paraId="71C9F0BF" w14:textId="77777777" w:rsidR="00E01A1E" w:rsidRDefault="00771A51" w:rsidP="00E01A1E">
      <w:pPr>
        <w:pStyle w:val="ToC"/>
      </w:pPr>
      <w:hyperlink w:anchor="a8_23" w:history="1">
        <w:r w:rsidRPr="001F6414">
          <w:rPr>
            <w:rStyle w:val="Hyperlink"/>
          </w:rPr>
          <w:t>8:23</w:t>
        </w:r>
      </w:hyperlink>
      <w:r w:rsidRPr="00273777">
        <w:t xml:space="preserve"> </w:t>
      </w:r>
      <w:r w:rsidRPr="00273777">
        <w:tab/>
      </w:r>
      <w:r>
        <w:t>Employer and Employee</w:t>
      </w:r>
      <w:r w:rsidRPr="00273777">
        <w:t xml:space="preserve"> — Both Parties Sued — No Issue </w:t>
      </w:r>
      <w:r>
        <w:t>as</w:t>
      </w:r>
      <w:r w:rsidRPr="00273777">
        <w:t xml:space="preserve"> </w:t>
      </w:r>
      <w:r>
        <w:t>to</w:t>
      </w:r>
      <w:r w:rsidRPr="00273777">
        <w:t xml:space="preserve"> Relationship </w:t>
      </w:r>
      <w:r>
        <w:t>and Scope of Employment</w:t>
      </w:r>
    </w:p>
    <w:p w14:paraId="6B25BE34" w14:textId="77777777" w:rsidR="00E01A1E" w:rsidRDefault="00771A51" w:rsidP="00E01A1E">
      <w:pPr>
        <w:pStyle w:val="ToC"/>
      </w:pPr>
      <w:hyperlink w:anchor="a8_24" w:history="1">
        <w:r w:rsidRPr="001F6414">
          <w:rPr>
            <w:rStyle w:val="Hyperlink"/>
          </w:rPr>
          <w:t>8:24</w:t>
        </w:r>
      </w:hyperlink>
      <w:r w:rsidRPr="00273777">
        <w:t xml:space="preserve"> </w:t>
      </w:r>
      <w:r w:rsidRPr="00273777">
        <w:tab/>
      </w:r>
      <w:r>
        <w:t>Employer and Employee — Only Employer</w:t>
      </w:r>
      <w:r w:rsidRPr="00273777">
        <w:t xml:space="preserve"> Sued — Issue </w:t>
      </w:r>
      <w:r>
        <w:t>as</w:t>
      </w:r>
      <w:r w:rsidRPr="00273777">
        <w:t xml:space="preserve"> </w:t>
      </w:r>
      <w:r>
        <w:t>to</w:t>
      </w:r>
      <w:r w:rsidRPr="00273777">
        <w:t xml:space="preserve"> Relationship </w:t>
      </w:r>
      <w:r>
        <w:t>and</w:t>
      </w:r>
      <w:r w:rsidRPr="00273777">
        <w:t>/</w:t>
      </w:r>
      <w:r>
        <w:t xml:space="preserve">or </w:t>
      </w:r>
      <w:r w:rsidRPr="00273777">
        <w:t xml:space="preserve">Scope </w:t>
      </w:r>
      <w:r>
        <w:t>of Employment</w:t>
      </w:r>
    </w:p>
    <w:p w14:paraId="21FEC39C" w14:textId="77777777" w:rsidR="00E01A1E" w:rsidRDefault="00771A51" w:rsidP="00E01A1E">
      <w:pPr>
        <w:pStyle w:val="ToC"/>
      </w:pPr>
      <w:hyperlink w:anchor="a8_25" w:history="1">
        <w:r w:rsidRPr="001F6414">
          <w:rPr>
            <w:rStyle w:val="Hyperlink"/>
          </w:rPr>
          <w:t>8:25</w:t>
        </w:r>
      </w:hyperlink>
      <w:r w:rsidRPr="00273777">
        <w:t xml:space="preserve"> </w:t>
      </w:r>
      <w:r w:rsidRPr="00273777">
        <w:tab/>
      </w:r>
      <w:r>
        <w:t>Employer and Employee</w:t>
      </w:r>
      <w:r w:rsidRPr="00273777">
        <w:t xml:space="preserve"> — Only </w:t>
      </w:r>
      <w:r>
        <w:t>Employer</w:t>
      </w:r>
      <w:r w:rsidRPr="00273777">
        <w:t xml:space="preserve"> Sued — No Issue </w:t>
      </w:r>
      <w:r>
        <w:t>as</w:t>
      </w:r>
      <w:r w:rsidRPr="00273777">
        <w:t xml:space="preserve"> </w:t>
      </w:r>
      <w:r>
        <w:t>to</w:t>
      </w:r>
      <w:r w:rsidRPr="00273777">
        <w:t xml:space="preserve"> Relationship </w:t>
      </w:r>
      <w:r>
        <w:t>and Scope of Employment</w:t>
      </w:r>
    </w:p>
    <w:p w14:paraId="45A2EEBF" w14:textId="77777777" w:rsidR="00E01A1E" w:rsidRPr="00352111" w:rsidRDefault="00771A51">
      <w:pPr>
        <w:rPr>
          <w:rFonts w:eastAsia="Times New Roman"/>
          <w:sz w:val="24"/>
          <w:szCs w:val="24"/>
        </w:rPr>
      </w:pPr>
      <w:r w:rsidRPr="00352111">
        <w:rPr>
          <w:rFonts w:eastAsia="Times New Roman"/>
          <w:sz w:val="24"/>
          <w:szCs w:val="24"/>
        </w:rPr>
        <w:br w:type="page"/>
      </w:r>
    </w:p>
    <w:p w14:paraId="16ADDC46" w14:textId="77777777" w:rsidR="00E01A1E" w:rsidRDefault="00771A51" w:rsidP="00E01A1E">
      <w:pPr>
        <w:spacing w:after="240"/>
        <w:jc w:val="center"/>
        <w:rPr>
          <w:rFonts w:eastAsia="Times New Roman"/>
          <w:b/>
          <w:sz w:val="24"/>
          <w:szCs w:val="24"/>
        </w:rPr>
      </w:pPr>
      <w:r w:rsidRPr="00C26751">
        <w:rPr>
          <w:rFonts w:eastAsia="Times New Roman"/>
          <w:b/>
          <w:sz w:val="24"/>
          <w:szCs w:val="24"/>
        </w:rPr>
        <w:lastRenderedPageBreak/>
        <w:t>A. DEFINITIONS</w:t>
      </w:r>
    </w:p>
    <w:p w14:paraId="26E81677" w14:textId="77777777" w:rsidR="00E01A1E" w:rsidRPr="009E3DA4" w:rsidRDefault="00771A51" w:rsidP="00E01A1E">
      <w:pPr>
        <w:spacing w:after="240"/>
        <w:ind w:left="720" w:hanging="720"/>
        <w:rPr>
          <w:rFonts w:eastAsia="Times New Roman"/>
          <w:b/>
          <w:sz w:val="24"/>
          <w:szCs w:val="24"/>
        </w:rPr>
      </w:pPr>
      <w:bookmarkStart w:id="1" w:name="a8_1"/>
      <w:bookmarkEnd w:id="1"/>
      <w:r w:rsidRPr="00C26751">
        <w:rPr>
          <w:rFonts w:eastAsia="Times New Roman"/>
          <w:b/>
          <w:sz w:val="24"/>
          <w:szCs w:val="24"/>
        </w:rPr>
        <w:t xml:space="preserve">8:1 </w:t>
      </w:r>
      <w:r w:rsidRPr="00C26751">
        <w:rPr>
          <w:rFonts w:eastAsia="Times New Roman"/>
          <w:b/>
          <w:sz w:val="24"/>
          <w:szCs w:val="24"/>
        </w:rPr>
        <w:tab/>
        <w:t>AGENCY RELATIONSHIP — DEFINED</w:t>
      </w:r>
    </w:p>
    <w:p w14:paraId="30B28D14" w14:textId="77777777" w:rsidR="00E01A1E" w:rsidRPr="00C26751" w:rsidRDefault="00771A51" w:rsidP="00E01A1E">
      <w:pPr>
        <w:spacing w:after="240"/>
        <w:ind w:firstLine="720"/>
        <w:rPr>
          <w:rFonts w:eastAsia="Times New Roman"/>
          <w:b/>
          <w:sz w:val="24"/>
          <w:szCs w:val="24"/>
        </w:rPr>
      </w:pPr>
      <w:r w:rsidRPr="00C26751">
        <w:rPr>
          <w:rFonts w:eastAsia="Times New Roman"/>
          <w:b/>
          <w:sz w:val="24"/>
          <w:szCs w:val="24"/>
        </w:rPr>
        <w:t>An agency relationship is created when an agreement, written or oral, express or implied, between two persons establishes that one of them is to act on behalf of and subject to the control of the other. The person who agrees to act on behalf of another is called the agent, and the other is called the principal.</w:t>
      </w:r>
    </w:p>
    <w:p w14:paraId="4CDAF46F" w14:textId="77777777" w:rsidR="00E01A1E" w:rsidRDefault="00E01A1E" w:rsidP="00E01A1E">
      <w:pPr>
        <w:jc w:val="center"/>
        <w:rPr>
          <w:rFonts w:eastAsia="Times New Roman"/>
          <w:sz w:val="24"/>
          <w:szCs w:val="24"/>
        </w:rPr>
      </w:pPr>
    </w:p>
    <w:p w14:paraId="06E01AB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E6CE65E" w14:textId="39FF27A4" w:rsidR="00E01A1E" w:rsidRPr="00C26751" w:rsidRDefault="00771A51" w:rsidP="00E01A1E">
      <w:pPr>
        <w:spacing w:after="240"/>
        <w:ind w:firstLine="720"/>
        <w:rPr>
          <w:rFonts w:eastAsia="Times New Roman"/>
          <w:sz w:val="24"/>
          <w:szCs w:val="24"/>
        </w:rPr>
      </w:pPr>
      <w:r w:rsidRPr="00AD62E0">
        <w:rPr>
          <w:rFonts w:eastAsia="Times New Roman"/>
          <w:sz w:val="24"/>
          <w:szCs w:val="24"/>
        </w:rPr>
        <w:t xml:space="preserve">Whether an agency relationship exists is ordinarily a question of fact. </w:t>
      </w:r>
      <w:r w:rsidR="00C5367C">
        <w:rPr>
          <w:rFonts w:eastAsia="Times New Roman"/>
          <w:b/>
          <w:bCs/>
          <w:sz w:val="24"/>
          <w:szCs w:val="24"/>
        </w:rPr>
        <w:t>Fresquez v. Trinidad Inn, Inc.</w:t>
      </w:r>
      <w:r w:rsidR="00C5367C">
        <w:rPr>
          <w:rFonts w:eastAsia="Times New Roman"/>
          <w:sz w:val="24"/>
          <w:szCs w:val="24"/>
        </w:rPr>
        <w:t>, 2022 COA 96, ¶ 14</w:t>
      </w:r>
      <w:r w:rsidR="0000701C">
        <w:rPr>
          <w:rFonts w:eastAsia="Times New Roman"/>
          <w:sz w:val="24"/>
          <w:szCs w:val="24"/>
        </w:rPr>
        <w:t>, 521 P.3d 399</w:t>
      </w:r>
      <w:r w:rsidR="00C5367C">
        <w:rPr>
          <w:rFonts w:eastAsia="Times New Roman"/>
          <w:sz w:val="24"/>
          <w:szCs w:val="24"/>
        </w:rPr>
        <w:t>;</w:t>
      </w:r>
      <w:r w:rsidR="00C5367C">
        <w:rPr>
          <w:rFonts w:eastAsia="Times New Roman"/>
          <w:b/>
          <w:bCs/>
          <w:sz w:val="24"/>
          <w:szCs w:val="24"/>
        </w:rPr>
        <w:t xml:space="preserve"> </w:t>
      </w:r>
      <w:r w:rsidRPr="00AD62E0">
        <w:rPr>
          <w:rFonts w:eastAsia="Times New Roman"/>
          <w:b/>
          <w:sz w:val="24"/>
          <w:szCs w:val="24"/>
        </w:rPr>
        <w:t>Digital Landscape Inc. v. Media Kings LLC</w:t>
      </w:r>
      <w:r w:rsidRPr="00AD62E0">
        <w:rPr>
          <w:rFonts w:eastAsia="Times New Roman"/>
          <w:sz w:val="24"/>
          <w:szCs w:val="24"/>
        </w:rPr>
        <w:t>, 2018 COA 142, ¶ 81, 440 P.3d 1200;</w:t>
      </w:r>
      <w:r>
        <w:rPr>
          <w:rFonts w:eastAsia="Times New Roman"/>
          <w:sz w:val="24"/>
          <w:szCs w:val="24"/>
        </w:rPr>
        <w:t xml:space="preserve"> </w:t>
      </w:r>
      <w:r w:rsidRPr="00C26751">
        <w:rPr>
          <w:rFonts w:eastAsia="Times New Roman"/>
          <w:b/>
          <w:sz w:val="24"/>
          <w:szCs w:val="24"/>
        </w:rPr>
        <w:t>Christoph v. Colo. Commc’ns Corp.</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946 P.2d 519 (Colo. App. 1997);</w:t>
      </w:r>
      <w:r w:rsidRPr="00C26751">
        <w:rPr>
          <w:rFonts w:eastAsia="Times New Roman"/>
          <w:i/>
          <w:sz w:val="24"/>
          <w:szCs w:val="24"/>
        </w:rPr>
        <w:t xml:space="preserve"> see also </w:t>
      </w:r>
      <w:r w:rsidRPr="00353044">
        <w:rPr>
          <w:rFonts w:eastAsia="Times New Roman"/>
          <w:smallCaps/>
          <w:sz w:val="24"/>
          <w:szCs w:val="24"/>
        </w:rPr>
        <w:t>Restatement (Third) of Agency</w:t>
      </w:r>
      <w:r w:rsidRPr="00C26751">
        <w:rPr>
          <w:rFonts w:eastAsia="Times New Roman"/>
          <w:sz w:val="24"/>
          <w:szCs w:val="24"/>
        </w:rPr>
        <w:t xml:space="preserve"> § 1.02 (2006) (whether relationship is characterized as agency in agreement between parties or in context of industry or popular usage is not controlling). However, if evidence as to an agent’s authority is undisputed, or if only one reasonable and logical inference could be drawn from the evidence, the question of the existence of the agency relationship is one of law to be determined by the trial court. </w:t>
      </w:r>
      <w:r w:rsidRPr="00645071">
        <w:rPr>
          <w:rFonts w:eastAsia="Times New Roman"/>
          <w:b/>
          <w:sz w:val="24"/>
          <w:szCs w:val="24"/>
        </w:rPr>
        <w:t>Olsen v. Vail Assocs. Real Estate, Inc.</w:t>
      </w:r>
      <w:r w:rsidRPr="00645071">
        <w:rPr>
          <w:rFonts w:eastAsia="Times New Roman"/>
          <w:sz w:val="24"/>
          <w:szCs w:val="24"/>
        </w:rPr>
        <w:t>, 935 P.2d 975 (Colo. 1997)</w:t>
      </w:r>
      <w:r w:rsidRPr="00C26751">
        <w:rPr>
          <w:rFonts w:eastAsia="Times New Roman"/>
          <w:sz w:val="24"/>
          <w:szCs w:val="24"/>
        </w:rPr>
        <w:t>;</w:t>
      </w:r>
      <w:r w:rsidRPr="00C26751">
        <w:rPr>
          <w:rFonts w:eastAsia="Times New Roman"/>
          <w:b/>
          <w:sz w:val="24"/>
          <w:szCs w:val="24"/>
        </w:rPr>
        <w:t xml:space="preserve"> </w:t>
      </w:r>
      <w:r w:rsidR="005840CD">
        <w:rPr>
          <w:rFonts w:eastAsia="Times New Roman"/>
          <w:b/>
          <w:sz w:val="24"/>
          <w:szCs w:val="24"/>
        </w:rPr>
        <w:t>Fresquez</w:t>
      </w:r>
      <w:r w:rsidR="005840CD">
        <w:rPr>
          <w:rFonts w:eastAsia="Times New Roman"/>
          <w:bCs/>
          <w:sz w:val="24"/>
          <w:szCs w:val="24"/>
        </w:rPr>
        <w:t xml:space="preserve">, ¶ 14; </w:t>
      </w:r>
      <w:r w:rsidRPr="00C26751">
        <w:rPr>
          <w:rFonts w:eastAsia="Times New Roman"/>
          <w:b/>
          <w:sz w:val="24"/>
          <w:szCs w:val="24"/>
        </w:rPr>
        <w:t>Johnson Realty v. Bender</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39 P.3d 1215 (Colo. App. 2001); </w:t>
      </w:r>
      <w:r w:rsidRPr="00C26751">
        <w:rPr>
          <w:rFonts w:eastAsia="Times New Roman"/>
          <w:b/>
          <w:sz w:val="24"/>
          <w:szCs w:val="24"/>
        </w:rPr>
        <w:t>Filho</w:t>
      </w:r>
      <w:r>
        <w:rPr>
          <w:rFonts w:eastAsia="Times New Roman"/>
          <w:b/>
          <w:sz w:val="24"/>
          <w:szCs w:val="24"/>
        </w:rPr>
        <w:t xml:space="preserve"> v. Rodriguez</w:t>
      </w:r>
      <w:r w:rsidRPr="00C26751">
        <w:rPr>
          <w:rFonts w:eastAsia="Times New Roman"/>
          <w:sz w:val="24"/>
          <w:szCs w:val="24"/>
        </w:rPr>
        <w:t xml:space="preserve">, 36 P.3d </w:t>
      </w:r>
      <w:r>
        <w:rPr>
          <w:rFonts w:eastAsia="Times New Roman"/>
          <w:sz w:val="24"/>
          <w:szCs w:val="24"/>
        </w:rPr>
        <w:t xml:space="preserve">199 (Colo. App. 2001); </w:t>
      </w:r>
      <w:r w:rsidRPr="00C26751">
        <w:rPr>
          <w:rFonts w:eastAsia="Times New Roman"/>
          <w:b/>
          <w:sz w:val="24"/>
          <w:szCs w:val="24"/>
        </w:rPr>
        <w:t>Victorio Realty Grp</w:t>
      </w:r>
      <w:r>
        <w:rPr>
          <w:rFonts w:eastAsia="Times New Roman"/>
          <w:b/>
          <w:sz w:val="24"/>
          <w:szCs w:val="24"/>
        </w:rPr>
        <w:t>.</w:t>
      </w:r>
      <w:r w:rsidRPr="00C26751">
        <w:rPr>
          <w:rFonts w:eastAsia="Times New Roman"/>
          <w:b/>
          <w:sz w:val="24"/>
          <w:szCs w:val="24"/>
        </w:rPr>
        <w:t>, Inc. v. Ironwood IX</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713 P.2d 424 (Colo. App. 1985).</w:t>
      </w:r>
    </w:p>
    <w:p w14:paraId="12CE9DD6"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1B89CD9F" w14:textId="13250ADD" w:rsidR="00E01A1E" w:rsidRPr="00C26751" w:rsidRDefault="00771A51" w:rsidP="00E01A1E">
      <w:pPr>
        <w:spacing w:after="240"/>
        <w:ind w:firstLine="720"/>
        <w:rPr>
          <w:rFonts w:eastAsia="Times New Roman"/>
          <w:sz w:val="24"/>
          <w:szCs w:val="24"/>
        </w:rPr>
      </w:pPr>
      <w:r w:rsidRPr="00C26751">
        <w:rPr>
          <w:rFonts w:eastAsia="Times New Roman"/>
          <w:sz w:val="24"/>
          <w:szCs w:val="24"/>
        </w:rPr>
        <w:t xml:space="preserve">1. This instruction is supported by </w:t>
      </w:r>
      <w:r w:rsidRPr="00C26751">
        <w:rPr>
          <w:rFonts w:eastAsia="Times New Roman"/>
          <w:b/>
          <w:sz w:val="24"/>
          <w:szCs w:val="24"/>
        </w:rPr>
        <w:t>City of Aurora v. Colorado State Engineer</w:t>
      </w:r>
      <w:r w:rsidRPr="00C26751">
        <w:rPr>
          <w:rFonts w:eastAsia="Times New Roman"/>
          <w:sz w:val="24"/>
          <w:szCs w:val="24"/>
        </w:rPr>
        <w:t xml:space="preserve">, 105 P.3d 595 (Colo. 2005) (agency is a consensual relationship); </w:t>
      </w:r>
      <w:r w:rsidRPr="00C26751">
        <w:rPr>
          <w:rFonts w:eastAsia="Times New Roman"/>
          <w:b/>
          <w:sz w:val="24"/>
          <w:szCs w:val="24"/>
        </w:rPr>
        <w:t>City &amp; County of Denver v. Fey Concert Co.</w:t>
      </w:r>
      <w:r w:rsidRPr="00C26751">
        <w:rPr>
          <w:rFonts w:eastAsia="Times New Roman"/>
          <w:sz w:val="24"/>
          <w:szCs w:val="24"/>
        </w:rPr>
        <w:t xml:space="preserve">, 960 P.2d 657 (Colo. 1998) (agency results from consensual arrangement in which one person consents to act on behalf of another and be subject to other’s control); </w:t>
      </w:r>
      <w:r>
        <w:rPr>
          <w:rFonts w:eastAsia="Times New Roman"/>
          <w:sz w:val="24"/>
          <w:szCs w:val="24"/>
        </w:rPr>
        <w:t xml:space="preserve">and </w:t>
      </w:r>
      <w:r w:rsidRPr="00C26751">
        <w:rPr>
          <w:rFonts w:eastAsia="Times New Roman"/>
          <w:b/>
          <w:sz w:val="24"/>
          <w:szCs w:val="24"/>
        </w:rPr>
        <w:t>Stortroen v. Beneficial Finance Co.</w:t>
      </w:r>
      <w:r w:rsidRPr="00C26751">
        <w:rPr>
          <w:rFonts w:eastAsia="Times New Roman"/>
          <w:sz w:val="24"/>
          <w:szCs w:val="24"/>
        </w:rPr>
        <w:t>, 736 P.2d 391, 395 (Colo. 1987) (“Agency is the fiduciary relation which results from the manifestation of consent by one person to another that the other shall act on his behalf and subject to his control, and consent by the other so to act.”)</w:t>
      </w:r>
      <w:r>
        <w:rPr>
          <w:rFonts w:eastAsia="Times New Roman"/>
          <w:sz w:val="24"/>
          <w:szCs w:val="24"/>
        </w:rPr>
        <w:t>.</w:t>
      </w:r>
      <w:r w:rsidRPr="00C26751">
        <w:rPr>
          <w:rFonts w:eastAsia="Times New Roman"/>
          <w:b/>
          <w:sz w:val="24"/>
          <w:szCs w:val="24"/>
        </w:rPr>
        <w:t xml:space="preserve"> </w:t>
      </w:r>
      <w:r w:rsidRPr="00F40C8E">
        <w:rPr>
          <w:rFonts w:eastAsia="Times New Roman"/>
          <w:i/>
          <w:sz w:val="24"/>
          <w:szCs w:val="24"/>
        </w:rPr>
        <w:t>See also</w:t>
      </w:r>
      <w:r>
        <w:rPr>
          <w:rFonts w:eastAsia="Times New Roman"/>
          <w:b/>
          <w:sz w:val="24"/>
          <w:szCs w:val="24"/>
        </w:rPr>
        <w:t xml:space="preserve"> </w:t>
      </w:r>
      <w:r w:rsidRPr="00C26751">
        <w:rPr>
          <w:rFonts w:eastAsia="Times New Roman"/>
          <w:b/>
          <w:sz w:val="24"/>
          <w:szCs w:val="24"/>
        </w:rPr>
        <w:t>Rohauer v. Little</w:t>
      </w:r>
      <w:r w:rsidRPr="00C26751">
        <w:rPr>
          <w:rFonts w:eastAsia="Times New Roman"/>
          <w:sz w:val="24"/>
          <w:szCs w:val="24"/>
        </w:rPr>
        <w:t>, 736 P.2d 403 (Colo. 1987) (in a multiple listing real estate transaction</w:t>
      </w:r>
      <w:r>
        <w:rPr>
          <w:rFonts w:eastAsia="Times New Roman"/>
          <w:sz w:val="24"/>
          <w:szCs w:val="24"/>
        </w:rPr>
        <w:t xml:space="preserve"> involving residential property</w:t>
      </w:r>
      <w:r w:rsidRPr="00C26751">
        <w:rPr>
          <w:rFonts w:eastAsia="Times New Roman"/>
          <w:sz w:val="24"/>
          <w:szCs w:val="24"/>
        </w:rPr>
        <w:t xml:space="preserve">, the selling broker or salesperson </w:t>
      </w:r>
      <w:r>
        <w:rPr>
          <w:rFonts w:eastAsia="Times New Roman"/>
          <w:sz w:val="24"/>
          <w:szCs w:val="24"/>
        </w:rPr>
        <w:t>is an</w:t>
      </w:r>
      <w:r w:rsidRPr="00C26751">
        <w:rPr>
          <w:rFonts w:eastAsia="Times New Roman"/>
          <w:sz w:val="24"/>
          <w:szCs w:val="24"/>
        </w:rPr>
        <w:t xml:space="preserve"> agent of the listing broker and consequently </w:t>
      </w:r>
      <w:r>
        <w:rPr>
          <w:rFonts w:eastAsia="Times New Roman"/>
          <w:sz w:val="24"/>
          <w:szCs w:val="24"/>
        </w:rPr>
        <w:t xml:space="preserve">stands </w:t>
      </w:r>
      <w:r w:rsidRPr="00C26751">
        <w:rPr>
          <w:rFonts w:eastAsia="Times New Roman"/>
          <w:sz w:val="24"/>
          <w:szCs w:val="24"/>
        </w:rPr>
        <w:t>in a</w:t>
      </w:r>
      <w:r>
        <w:rPr>
          <w:rFonts w:eastAsia="Times New Roman"/>
          <w:sz w:val="24"/>
          <w:szCs w:val="24"/>
        </w:rPr>
        <w:t>n</w:t>
      </w:r>
      <w:r w:rsidRPr="00C26751">
        <w:rPr>
          <w:rFonts w:eastAsia="Times New Roman"/>
          <w:sz w:val="24"/>
          <w:szCs w:val="24"/>
        </w:rPr>
        <w:t xml:space="preserve"> agency relationship with the seller</w:t>
      </w:r>
      <w:r>
        <w:rPr>
          <w:rFonts w:eastAsia="Times New Roman"/>
          <w:sz w:val="24"/>
          <w:szCs w:val="24"/>
        </w:rPr>
        <w:t>, but</w:t>
      </w:r>
      <w:r w:rsidRPr="00C26751">
        <w:rPr>
          <w:rFonts w:eastAsia="Times New Roman"/>
          <w:sz w:val="24"/>
          <w:szCs w:val="24"/>
        </w:rPr>
        <w:t xml:space="preserve"> the selling broker is not an agent of the buyer); </w:t>
      </w:r>
      <w:r w:rsidR="00D43091">
        <w:rPr>
          <w:rFonts w:eastAsia="Times New Roman"/>
          <w:b/>
          <w:bCs/>
          <w:sz w:val="24"/>
          <w:szCs w:val="24"/>
        </w:rPr>
        <w:t>Craig Hosp. v. Blue Cross Blue Shield</w:t>
      </w:r>
      <w:r w:rsidR="00D43091">
        <w:rPr>
          <w:rFonts w:eastAsia="Times New Roman"/>
          <w:sz w:val="24"/>
          <w:szCs w:val="24"/>
        </w:rPr>
        <w:t>, 2024 COA 74, ¶ 27</w:t>
      </w:r>
      <w:r w:rsidR="00C37D33">
        <w:rPr>
          <w:rFonts w:eastAsia="Times New Roman"/>
          <w:sz w:val="24"/>
          <w:szCs w:val="24"/>
        </w:rPr>
        <w:t>, 557 P.3d 820, 828</w:t>
      </w:r>
      <w:r w:rsidR="00D43091">
        <w:rPr>
          <w:rFonts w:eastAsia="Times New Roman"/>
          <w:sz w:val="24"/>
          <w:szCs w:val="24"/>
        </w:rPr>
        <w:t xml:space="preserve"> (“</w:t>
      </w:r>
      <w:r w:rsidR="00D43091" w:rsidRPr="00CA0E05">
        <w:rPr>
          <w:rFonts w:eastAsia="Times New Roman"/>
          <w:sz w:val="24"/>
          <w:szCs w:val="24"/>
        </w:rPr>
        <w:t>In determining whether a principal-agent relationship exists, evidence that the principal exercised control over the agent is paramount.</w:t>
      </w:r>
      <w:r w:rsidR="00D43091">
        <w:rPr>
          <w:rFonts w:eastAsia="Times New Roman"/>
          <w:sz w:val="24"/>
          <w:szCs w:val="24"/>
        </w:rPr>
        <w:t>”);</w:t>
      </w:r>
      <w:r w:rsidR="00D43091">
        <w:rPr>
          <w:rFonts w:eastAsia="Times New Roman"/>
          <w:b/>
          <w:bCs/>
          <w:sz w:val="24"/>
          <w:szCs w:val="24"/>
        </w:rPr>
        <w:t xml:space="preserve"> </w:t>
      </w:r>
      <w:r w:rsidRPr="00C26751">
        <w:rPr>
          <w:rFonts w:eastAsia="Times New Roman"/>
          <w:b/>
          <w:sz w:val="24"/>
          <w:szCs w:val="24"/>
        </w:rPr>
        <w:t>Villalpando v. Denver Health &amp; Hosp</w:t>
      </w:r>
      <w:r>
        <w:rPr>
          <w:rFonts w:eastAsia="Times New Roman"/>
          <w:b/>
          <w:sz w:val="24"/>
          <w:szCs w:val="24"/>
        </w:rPr>
        <w:t>.</w:t>
      </w:r>
      <w:r w:rsidRPr="00C26751">
        <w:rPr>
          <w:rFonts w:eastAsia="Times New Roman"/>
          <w:b/>
          <w:sz w:val="24"/>
          <w:szCs w:val="24"/>
        </w:rPr>
        <w:t xml:space="preserve"> Auth</w:t>
      </w:r>
      <w:r>
        <w:rPr>
          <w:rFonts w:eastAsia="Times New Roman"/>
          <w:b/>
          <w:sz w:val="24"/>
          <w:szCs w:val="24"/>
        </w:rPr>
        <w:t>.</w:t>
      </w:r>
      <w:r w:rsidRPr="00C26751">
        <w:rPr>
          <w:rFonts w:eastAsia="Times New Roman"/>
          <w:sz w:val="24"/>
          <w:szCs w:val="24"/>
        </w:rPr>
        <w:t xml:space="preserve">, 181 P.3d 357 (Colo. App. 2007); </w:t>
      </w:r>
      <w:r w:rsidRPr="00C26751">
        <w:rPr>
          <w:rFonts w:eastAsia="Times New Roman"/>
          <w:b/>
          <w:sz w:val="24"/>
          <w:szCs w:val="24"/>
        </w:rPr>
        <w:t>Rush Creek Sols</w:t>
      </w:r>
      <w:r>
        <w:rPr>
          <w:rFonts w:eastAsia="Times New Roman"/>
          <w:b/>
          <w:sz w:val="24"/>
          <w:szCs w:val="24"/>
        </w:rPr>
        <w:t>.</w:t>
      </w:r>
      <w:r w:rsidRPr="00C26751">
        <w:rPr>
          <w:rFonts w:eastAsia="Times New Roman"/>
          <w:b/>
          <w:sz w:val="24"/>
          <w:szCs w:val="24"/>
        </w:rPr>
        <w:t>, Inc. v. Ute Mountain Ute Tribe</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107 P.3d 402 (Colo. App. 2004); </w:t>
      </w:r>
      <w:r w:rsidRPr="00C26751">
        <w:rPr>
          <w:rFonts w:eastAsia="Times New Roman"/>
          <w:b/>
          <w:sz w:val="24"/>
          <w:szCs w:val="24"/>
        </w:rPr>
        <w:t>Filho</w:t>
      </w:r>
      <w:r w:rsidRPr="00C26751">
        <w:rPr>
          <w:rFonts w:eastAsia="Times New Roman"/>
          <w:sz w:val="24"/>
          <w:szCs w:val="24"/>
        </w:rPr>
        <w:t xml:space="preserve">, 36 P.3d </w:t>
      </w:r>
      <w:r>
        <w:rPr>
          <w:rFonts w:eastAsia="Times New Roman"/>
          <w:sz w:val="24"/>
          <w:szCs w:val="24"/>
        </w:rPr>
        <w:t>at 200</w:t>
      </w:r>
      <w:r w:rsidRPr="00C26751">
        <w:rPr>
          <w:rFonts w:eastAsia="Times New Roman"/>
          <w:sz w:val="24"/>
          <w:szCs w:val="24"/>
        </w:rPr>
        <w:t xml:space="preserve">; </w:t>
      </w:r>
      <w:r w:rsidRPr="00C26751">
        <w:rPr>
          <w:rFonts w:eastAsia="Times New Roman"/>
          <w:b/>
          <w:sz w:val="24"/>
          <w:szCs w:val="24"/>
        </w:rPr>
        <w:t>In re Marriage of Robbins</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8 P.3d 625 (Colo. App. 2000); </w:t>
      </w:r>
      <w:r w:rsidRPr="00C26751">
        <w:rPr>
          <w:rFonts w:eastAsia="Times New Roman"/>
          <w:b/>
          <w:sz w:val="24"/>
          <w:szCs w:val="24"/>
        </w:rPr>
        <w:t>Gorsich v. Double B Trading Co.</w:t>
      </w:r>
      <w:r w:rsidRPr="00C26751">
        <w:rPr>
          <w:rFonts w:eastAsia="Times New Roman"/>
          <w:sz w:val="24"/>
          <w:szCs w:val="24"/>
        </w:rPr>
        <w:t xml:space="preserve">, 893 P.2d 1357 (Colo. App. 1994); </w:t>
      </w:r>
      <w:r w:rsidRPr="00C26751">
        <w:rPr>
          <w:rFonts w:eastAsia="Times New Roman"/>
          <w:b/>
          <w:sz w:val="24"/>
          <w:szCs w:val="24"/>
        </w:rPr>
        <w:t>Winston Fin</w:t>
      </w:r>
      <w:r>
        <w:rPr>
          <w:rFonts w:eastAsia="Times New Roman"/>
          <w:b/>
          <w:sz w:val="24"/>
          <w:szCs w:val="24"/>
        </w:rPr>
        <w:t>.</w:t>
      </w:r>
      <w:r w:rsidRPr="00C26751">
        <w:rPr>
          <w:rFonts w:eastAsia="Times New Roman"/>
          <w:b/>
          <w:sz w:val="24"/>
          <w:szCs w:val="24"/>
        </w:rPr>
        <w:t xml:space="preserve"> Grp</w:t>
      </w:r>
      <w:r>
        <w:rPr>
          <w:rFonts w:eastAsia="Times New Roman"/>
          <w:b/>
          <w:sz w:val="24"/>
          <w:szCs w:val="24"/>
        </w:rPr>
        <w:t>.</w:t>
      </w:r>
      <w:r w:rsidRPr="00C26751">
        <w:rPr>
          <w:rFonts w:eastAsia="Times New Roman"/>
          <w:b/>
          <w:sz w:val="24"/>
          <w:szCs w:val="24"/>
        </w:rPr>
        <w:t>, Inc. v. Fults Mgmt., Inc.</w:t>
      </w:r>
      <w:r w:rsidRPr="00C26751">
        <w:rPr>
          <w:rFonts w:eastAsia="Times New Roman"/>
          <w:sz w:val="24"/>
          <w:szCs w:val="24"/>
        </w:rPr>
        <w:t xml:space="preserve">, 872 P.2d 1356 (Colo. App. 1994) (cooperating broker was sub-agent of lessor in commercial leasing context); </w:t>
      </w:r>
      <w:r w:rsidRPr="00C26751">
        <w:rPr>
          <w:rFonts w:eastAsia="Times New Roman"/>
          <w:b/>
          <w:sz w:val="24"/>
          <w:szCs w:val="24"/>
        </w:rPr>
        <w:t>Cole v. Jennings</w:t>
      </w:r>
      <w:r w:rsidRPr="00C26751">
        <w:rPr>
          <w:rFonts w:eastAsia="Times New Roman"/>
          <w:sz w:val="24"/>
          <w:szCs w:val="24"/>
        </w:rPr>
        <w:t xml:space="preserve">, 847 P.2d 200 (Colo. App. 1992); </w:t>
      </w:r>
      <w:r w:rsidRPr="00C26751">
        <w:rPr>
          <w:rFonts w:eastAsia="Times New Roman"/>
          <w:b/>
          <w:sz w:val="24"/>
          <w:szCs w:val="24"/>
        </w:rPr>
        <w:t>Governor’s Ranch Prof</w:t>
      </w:r>
      <w:r>
        <w:rPr>
          <w:rFonts w:eastAsia="Times New Roman"/>
          <w:b/>
          <w:sz w:val="24"/>
          <w:szCs w:val="24"/>
        </w:rPr>
        <w:t>’</w:t>
      </w:r>
      <w:r w:rsidRPr="00C26751">
        <w:rPr>
          <w:rFonts w:eastAsia="Times New Roman"/>
          <w:b/>
          <w:sz w:val="24"/>
          <w:szCs w:val="24"/>
        </w:rPr>
        <w:t>l Ctr</w:t>
      </w:r>
      <w:r>
        <w:rPr>
          <w:rFonts w:eastAsia="Times New Roman"/>
          <w:b/>
          <w:sz w:val="24"/>
          <w:szCs w:val="24"/>
        </w:rPr>
        <w:t>.</w:t>
      </w:r>
      <w:r w:rsidRPr="00C26751">
        <w:rPr>
          <w:rFonts w:eastAsia="Times New Roman"/>
          <w:b/>
          <w:sz w:val="24"/>
          <w:szCs w:val="24"/>
        </w:rPr>
        <w:t>, Ltd. v. Mercy of Colorado, Inc.</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793 P.2d 648 (Colo. App. 1990) (agent is one who has the authority to act for or in place of another, or one who is entrusted with the business of another); </w:t>
      </w:r>
      <w:r w:rsidRPr="00C26751">
        <w:rPr>
          <w:rFonts w:eastAsia="Times New Roman"/>
          <w:b/>
          <w:sz w:val="24"/>
          <w:szCs w:val="24"/>
        </w:rPr>
        <w:t>Montano v. Land Title Guar</w:t>
      </w:r>
      <w:r>
        <w:rPr>
          <w:rFonts w:eastAsia="Times New Roman"/>
          <w:b/>
          <w:sz w:val="24"/>
          <w:szCs w:val="24"/>
        </w:rPr>
        <w:t>.</w:t>
      </w:r>
      <w:r w:rsidRPr="00C26751">
        <w:rPr>
          <w:rFonts w:eastAsia="Times New Roman"/>
          <w:b/>
          <w:sz w:val="24"/>
          <w:szCs w:val="24"/>
        </w:rPr>
        <w:t xml:space="preserve"> Co.</w:t>
      </w:r>
      <w:r w:rsidRPr="00C26751">
        <w:rPr>
          <w:rFonts w:eastAsia="Times New Roman"/>
          <w:sz w:val="24"/>
          <w:szCs w:val="24"/>
        </w:rPr>
        <w:t xml:space="preserve">, 778 P.2d 328, 331 </w:t>
      </w:r>
      <w:r w:rsidRPr="00C26751">
        <w:rPr>
          <w:rFonts w:eastAsia="Times New Roman"/>
          <w:sz w:val="24"/>
          <w:szCs w:val="24"/>
        </w:rPr>
        <w:lastRenderedPageBreak/>
        <w:t xml:space="preserve">(Colo. App. 1989) (“Agency is a fiduciary relation which results from the manifestation of consent by one person to another that the other shall act on his behalf and subject to his control, and consent by the other to so act.”); </w:t>
      </w:r>
      <w:r w:rsidRPr="00C26751">
        <w:rPr>
          <w:rFonts w:eastAsia="Times New Roman"/>
          <w:b/>
          <w:sz w:val="24"/>
          <w:szCs w:val="24"/>
        </w:rPr>
        <w:t>Real Equity Diversification, Inc. v. Coville</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744 P.2d 756 (Colo. App. 1987) (</w:t>
      </w:r>
      <w:r>
        <w:rPr>
          <w:rFonts w:eastAsia="Times New Roman"/>
          <w:sz w:val="24"/>
          <w:szCs w:val="24"/>
        </w:rPr>
        <w:t xml:space="preserve">mere </w:t>
      </w:r>
      <w:r w:rsidRPr="00C26751">
        <w:rPr>
          <w:rFonts w:eastAsia="Times New Roman"/>
          <w:sz w:val="24"/>
          <w:szCs w:val="24"/>
        </w:rPr>
        <w:t xml:space="preserve">existence of an agreement between a seller’s broker and a buyer’s broker to share a real estate commission does not make the buyer’s broker an agent of the seller); </w:t>
      </w:r>
      <w:r w:rsidRPr="00C26751">
        <w:rPr>
          <w:rFonts w:eastAsia="Times New Roman"/>
          <w:b/>
          <w:sz w:val="24"/>
          <w:szCs w:val="24"/>
        </w:rPr>
        <w:t>Victorio Realty Grp</w:t>
      </w:r>
      <w:r>
        <w:rPr>
          <w:rFonts w:eastAsia="Times New Roman"/>
          <w:b/>
          <w:sz w:val="24"/>
          <w:szCs w:val="24"/>
        </w:rPr>
        <w:t>.</w:t>
      </w:r>
      <w:r w:rsidRPr="00C26751">
        <w:rPr>
          <w:rFonts w:eastAsia="Times New Roman"/>
          <w:sz w:val="24"/>
          <w:szCs w:val="24"/>
        </w:rPr>
        <w:t>,</w:t>
      </w:r>
      <w:r w:rsidRPr="00C26751">
        <w:rPr>
          <w:rFonts w:eastAsia="Times New Roman"/>
          <w:b/>
          <w:sz w:val="24"/>
          <w:szCs w:val="24"/>
        </w:rPr>
        <w:t xml:space="preserve"> </w:t>
      </w:r>
      <w:r w:rsidRPr="00C26751">
        <w:rPr>
          <w:rFonts w:eastAsia="Times New Roman"/>
          <w:sz w:val="24"/>
          <w:szCs w:val="24"/>
        </w:rPr>
        <w:t xml:space="preserve">713 P.2d </w:t>
      </w:r>
      <w:r>
        <w:rPr>
          <w:rFonts w:eastAsia="Times New Roman"/>
          <w:sz w:val="24"/>
          <w:szCs w:val="24"/>
        </w:rPr>
        <w:t xml:space="preserve">at </w:t>
      </w:r>
      <w:r w:rsidRPr="00C26751">
        <w:rPr>
          <w:rFonts w:eastAsia="Times New Roman"/>
          <w:sz w:val="24"/>
          <w:szCs w:val="24"/>
        </w:rPr>
        <w:t>42</w:t>
      </w:r>
      <w:r>
        <w:rPr>
          <w:rFonts w:eastAsia="Times New Roman"/>
          <w:sz w:val="24"/>
          <w:szCs w:val="24"/>
        </w:rPr>
        <w:t>5</w:t>
      </w:r>
      <w:r w:rsidRPr="00C26751">
        <w:rPr>
          <w:rFonts w:eastAsia="Times New Roman"/>
          <w:sz w:val="24"/>
          <w:szCs w:val="24"/>
        </w:rPr>
        <w:t xml:space="preserve"> (agency</w:t>
      </w:r>
      <w:r>
        <w:rPr>
          <w:rFonts w:eastAsia="Times New Roman"/>
          <w:sz w:val="24"/>
          <w:szCs w:val="24"/>
        </w:rPr>
        <w:t>’s existence</w:t>
      </w:r>
      <w:r w:rsidRPr="00C26751">
        <w:rPr>
          <w:rFonts w:eastAsia="Times New Roman"/>
          <w:sz w:val="24"/>
          <w:szCs w:val="24"/>
        </w:rPr>
        <w:t xml:space="preserve"> may be established by the conduct of the parties); </w:t>
      </w:r>
      <w:r w:rsidRPr="00C26751">
        <w:rPr>
          <w:rFonts w:eastAsia="Times New Roman"/>
          <w:b/>
          <w:sz w:val="24"/>
          <w:szCs w:val="24"/>
        </w:rPr>
        <w:t>Hart v. Colo</w:t>
      </w:r>
      <w:r>
        <w:rPr>
          <w:rFonts w:eastAsia="Times New Roman"/>
          <w:b/>
          <w:sz w:val="24"/>
          <w:szCs w:val="24"/>
        </w:rPr>
        <w:t>.</w:t>
      </w:r>
      <w:r w:rsidRPr="00C26751">
        <w:rPr>
          <w:rFonts w:eastAsia="Times New Roman"/>
          <w:b/>
          <w:sz w:val="24"/>
          <w:szCs w:val="24"/>
        </w:rPr>
        <w:t xml:space="preserve"> Real Estate Comm</w:t>
      </w:r>
      <w:r>
        <w:rPr>
          <w:rFonts w:eastAsia="Times New Roman"/>
          <w:b/>
          <w:sz w:val="24"/>
          <w:szCs w:val="24"/>
        </w:rPr>
        <w:t>’</w:t>
      </w:r>
      <w:r w:rsidRPr="00C26751">
        <w:rPr>
          <w:rFonts w:eastAsia="Times New Roman"/>
          <w:b/>
          <w:sz w:val="24"/>
          <w:szCs w:val="24"/>
        </w:rPr>
        <w:t>n</w:t>
      </w:r>
      <w:r w:rsidRPr="00C26751">
        <w:rPr>
          <w:rFonts w:eastAsia="Times New Roman"/>
          <w:sz w:val="24"/>
          <w:szCs w:val="24"/>
        </w:rPr>
        <w:t xml:space="preserve">, 702 P.2d 763 (Colo. App. 1985); </w:t>
      </w:r>
      <w:r w:rsidRPr="00C26751">
        <w:rPr>
          <w:rFonts w:eastAsia="Times New Roman"/>
          <w:b/>
          <w:sz w:val="24"/>
          <w:szCs w:val="24"/>
        </w:rPr>
        <w:t>Cheney v. Hailey</w:t>
      </w:r>
      <w:r w:rsidRPr="00C26751">
        <w:rPr>
          <w:rFonts w:eastAsia="Times New Roman"/>
          <w:sz w:val="24"/>
          <w:szCs w:val="24"/>
        </w:rPr>
        <w:t xml:space="preserve">, 686 P.2d 808 (Colo. App. 1984) (citing </w:t>
      </w:r>
      <w:r>
        <w:rPr>
          <w:rFonts w:eastAsia="Times New Roman"/>
          <w:sz w:val="24"/>
          <w:szCs w:val="24"/>
        </w:rPr>
        <w:t xml:space="preserve">former version of </w:t>
      </w:r>
      <w:r w:rsidRPr="00C26751">
        <w:rPr>
          <w:rFonts w:eastAsia="Times New Roman"/>
          <w:sz w:val="24"/>
          <w:szCs w:val="24"/>
        </w:rPr>
        <w:t xml:space="preserve">this instruction); </w:t>
      </w:r>
      <w:r w:rsidRPr="00C26751">
        <w:rPr>
          <w:rFonts w:eastAsia="Times New Roman"/>
          <w:b/>
          <w:sz w:val="24"/>
          <w:szCs w:val="24"/>
        </w:rPr>
        <w:t>Shriver v. Carter</w:t>
      </w:r>
      <w:r w:rsidRPr="00C26751">
        <w:rPr>
          <w:rFonts w:eastAsia="Times New Roman"/>
          <w:sz w:val="24"/>
          <w:szCs w:val="24"/>
        </w:rPr>
        <w:t xml:space="preserve">, 651 P.2d 436 (Colo. App. 1982); </w:t>
      </w:r>
      <w:r w:rsidRPr="00FD2DF4">
        <w:rPr>
          <w:rFonts w:eastAsia="Times New Roman"/>
          <w:smallCaps/>
          <w:sz w:val="24"/>
          <w:szCs w:val="24"/>
        </w:rPr>
        <w:t>Restatement (Third) of Agency</w:t>
      </w:r>
      <w:r w:rsidRPr="00C26751">
        <w:rPr>
          <w:rFonts w:eastAsia="Times New Roman"/>
          <w:sz w:val="24"/>
          <w:szCs w:val="24"/>
        </w:rPr>
        <w:t xml:space="preserve"> § 1.01 (2006) (defining agency).</w:t>
      </w:r>
    </w:p>
    <w:p w14:paraId="10A20D0E" w14:textId="77777777" w:rsidR="00E01A1E" w:rsidRPr="00C26751" w:rsidRDefault="00771A51" w:rsidP="00E01A1E">
      <w:pPr>
        <w:shd w:val="clear" w:color="auto" w:fill="FFFFFF"/>
        <w:spacing w:after="240"/>
        <w:ind w:firstLine="720"/>
        <w:rPr>
          <w:rFonts w:eastAsia="Times New Roman"/>
          <w:sz w:val="24"/>
          <w:szCs w:val="24"/>
        </w:rPr>
      </w:pPr>
      <w:r w:rsidRPr="00AD62E0">
        <w:rPr>
          <w:rFonts w:eastAsia="Times New Roman"/>
          <w:sz w:val="24"/>
          <w:szCs w:val="24"/>
        </w:rPr>
        <w:t xml:space="preserve">2. Three types of agency relationships exist. The first is a principal-agent relationship, where the agent has contractually agreed to work for the principal’s benefit. The second is an employer-employee relationship (formerly referred to as master and servant), where the employer has the right to direct the manner in which the work is performed and the employee has a correlative duty to perform the work in the manner directed. The third is an employer-independent contractor, where the employer does not control the physical activities of the contractor and is concerned only with the result achieved. </w:t>
      </w:r>
      <w:r w:rsidRPr="00AD62E0">
        <w:rPr>
          <w:rFonts w:eastAsia="Times New Roman"/>
          <w:i/>
          <w:sz w:val="24"/>
          <w:szCs w:val="24"/>
        </w:rPr>
        <w:t>See</w:t>
      </w:r>
      <w:r w:rsidRPr="00AD62E0">
        <w:rPr>
          <w:rFonts w:eastAsia="Times New Roman"/>
          <w:sz w:val="24"/>
          <w:szCs w:val="24"/>
        </w:rPr>
        <w:t xml:space="preserve"> </w:t>
      </w:r>
      <w:r w:rsidRPr="00AD62E0">
        <w:rPr>
          <w:rFonts w:eastAsia="Times New Roman"/>
          <w:b/>
          <w:sz w:val="24"/>
          <w:szCs w:val="24"/>
        </w:rPr>
        <w:t>Grease Monkey Int’l, Inc. v. Montoya</w:t>
      </w:r>
      <w:r w:rsidRPr="00AD62E0">
        <w:rPr>
          <w:rFonts w:eastAsia="Times New Roman"/>
          <w:sz w:val="24"/>
          <w:szCs w:val="24"/>
        </w:rPr>
        <w:t>, 904 P.2d 468 (Colo. 1995).</w:t>
      </w:r>
    </w:p>
    <w:p w14:paraId="33DB7FB8" w14:textId="77777777" w:rsidR="00E01A1E" w:rsidRPr="00C26751" w:rsidRDefault="00771A51" w:rsidP="00E01A1E">
      <w:pPr>
        <w:spacing w:after="240"/>
        <w:ind w:firstLine="720"/>
        <w:rPr>
          <w:rFonts w:eastAsia="Times New Roman"/>
          <w:sz w:val="24"/>
          <w:szCs w:val="24"/>
        </w:rPr>
      </w:pPr>
      <w:r w:rsidRPr="00C26751">
        <w:rPr>
          <w:rFonts w:eastAsia="Times New Roman"/>
          <w:sz w:val="24"/>
          <w:szCs w:val="24"/>
        </w:rPr>
        <w:t xml:space="preserve">3. </w:t>
      </w:r>
      <w:r w:rsidRPr="00A829CA">
        <w:rPr>
          <w:rFonts w:eastAsia="Times New Roman"/>
          <w:sz w:val="24"/>
          <w:szCs w:val="24"/>
        </w:rPr>
        <w:t xml:space="preserve">In determining whether an agency relationship exists, the most important factor is the right to control, not the fact of control. </w:t>
      </w:r>
      <w:r w:rsidRPr="00A829CA">
        <w:rPr>
          <w:rFonts w:eastAsia="Times New Roman"/>
          <w:b/>
          <w:sz w:val="24"/>
          <w:szCs w:val="24"/>
        </w:rPr>
        <w:t>Moses v. Diocese of Colo.</w:t>
      </w:r>
      <w:r w:rsidRPr="00A829CA">
        <w:rPr>
          <w:rFonts w:eastAsia="Times New Roman"/>
          <w:sz w:val="24"/>
          <w:szCs w:val="24"/>
        </w:rPr>
        <w:t>, 863 P.2d 310 (Colo. 1993);</w:t>
      </w:r>
      <w:r w:rsidRPr="00C26751">
        <w:rPr>
          <w:rFonts w:eastAsia="Times New Roman"/>
          <w:sz w:val="24"/>
          <w:szCs w:val="24"/>
        </w:rPr>
        <w:t xml:space="preserve"> </w:t>
      </w:r>
      <w:r w:rsidRPr="00C26751">
        <w:rPr>
          <w:rFonts w:eastAsia="Times New Roman"/>
          <w:b/>
          <w:sz w:val="24"/>
          <w:szCs w:val="24"/>
        </w:rPr>
        <w:t>W. Fire Truck, Inc. v. Emergency One, Inc.</w:t>
      </w:r>
      <w:r w:rsidRPr="00C26751">
        <w:rPr>
          <w:rFonts w:eastAsia="Times New Roman"/>
          <w:sz w:val="24"/>
          <w:szCs w:val="24"/>
        </w:rPr>
        <w:t xml:space="preserve">, 134 P.3d 570, 575 (Colo. App. 2006) (“The control a principal exercises over the agent’s work performance is evidence that an agency relationship exists.”); </w:t>
      </w:r>
      <w:r w:rsidRPr="00C26751">
        <w:rPr>
          <w:rFonts w:eastAsia="Times New Roman"/>
          <w:b/>
          <w:sz w:val="24"/>
          <w:szCs w:val="24"/>
        </w:rPr>
        <w:t>Gorsich</w:t>
      </w:r>
      <w:r w:rsidRPr="00C26751">
        <w:rPr>
          <w:rFonts w:eastAsia="Times New Roman"/>
          <w:sz w:val="24"/>
          <w:szCs w:val="24"/>
        </w:rPr>
        <w:t>, 893 P.2d at 1361.</w:t>
      </w:r>
    </w:p>
    <w:p w14:paraId="06BF8113" w14:textId="77777777" w:rsidR="00E01A1E" w:rsidRPr="00C26751" w:rsidRDefault="00771A51" w:rsidP="00E01A1E">
      <w:pPr>
        <w:spacing w:after="240"/>
        <w:ind w:firstLine="720"/>
        <w:rPr>
          <w:rFonts w:eastAsia="Times New Roman"/>
          <w:sz w:val="24"/>
          <w:szCs w:val="24"/>
        </w:rPr>
      </w:pPr>
      <w:r w:rsidRPr="00C26751">
        <w:rPr>
          <w:rFonts w:eastAsia="Times New Roman"/>
          <w:sz w:val="24"/>
          <w:szCs w:val="24"/>
        </w:rPr>
        <w:t xml:space="preserve">4. An agency relationship can exist even where the parties “do not subjectively intend that legal consequences flow from their relation. The critical determination is whether the parties materially agreed to enter into a particular relation to which the law of agency attached.” </w:t>
      </w:r>
      <w:r w:rsidRPr="00C26751">
        <w:rPr>
          <w:rFonts w:eastAsia="Times New Roman"/>
          <w:b/>
          <w:sz w:val="24"/>
          <w:szCs w:val="24"/>
        </w:rPr>
        <w:t>W. Fire Truck, Inc.</w:t>
      </w:r>
      <w:r w:rsidRPr="00C26751">
        <w:rPr>
          <w:rFonts w:eastAsia="Times New Roman"/>
          <w:sz w:val="24"/>
          <w:szCs w:val="24"/>
        </w:rPr>
        <w:t>, 134 P.3d at 576</w:t>
      </w:r>
      <w:r>
        <w:rPr>
          <w:rFonts w:eastAsia="Times New Roman"/>
          <w:sz w:val="24"/>
          <w:szCs w:val="24"/>
        </w:rPr>
        <w:t xml:space="preserve">; </w:t>
      </w:r>
      <w:r w:rsidRPr="00602DE7">
        <w:rPr>
          <w:rFonts w:eastAsia="Times New Roman"/>
          <w:i/>
          <w:color w:val="000000"/>
          <w:sz w:val="24"/>
          <w:szCs w:val="24"/>
        </w:rPr>
        <w:t>see</w:t>
      </w:r>
      <w:r w:rsidRPr="00602DE7">
        <w:rPr>
          <w:rFonts w:eastAsia="Times New Roman"/>
          <w:color w:val="000000"/>
          <w:sz w:val="24"/>
          <w:szCs w:val="24"/>
        </w:rPr>
        <w:t xml:space="preserve"> </w:t>
      </w:r>
      <w:r w:rsidRPr="00602DE7">
        <w:rPr>
          <w:rFonts w:eastAsia="Times New Roman"/>
          <w:b/>
          <w:iCs/>
          <w:color w:val="000000"/>
          <w:sz w:val="24"/>
          <w:szCs w:val="24"/>
        </w:rPr>
        <w:t>Stortroen</w:t>
      </w:r>
      <w:r w:rsidRPr="00B33387">
        <w:rPr>
          <w:rFonts w:eastAsia="Times New Roman"/>
          <w:iCs/>
          <w:color w:val="000000"/>
          <w:sz w:val="24"/>
          <w:szCs w:val="24"/>
        </w:rPr>
        <w:t>,</w:t>
      </w:r>
      <w:r w:rsidRPr="00602DE7">
        <w:rPr>
          <w:rFonts w:eastAsia="Times New Roman"/>
          <w:color w:val="000000"/>
          <w:sz w:val="24"/>
          <w:szCs w:val="24"/>
        </w:rPr>
        <w:t xml:space="preserve"> 736 P.2d at 395; </w:t>
      </w:r>
      <w:r w:rsidRPr="00602DE7">
        <w:rPr>
          <w:rFonts w:eastAsia="Times New Roman"/>
          <w:b/>
          <w:color w:val="000000"/>
          <w:sz w:val="24"/>
          <w:szCs w:val="24"/>
        </w:rPr>
        <w:t>Cole</w:t>
      </w:r>
      <w:r w:rsidRPr="00602DE7">
        <w:rPr>
          <w:rFonts w:eastAsia="Times New Roman"/>
          <w:color w:val="000000"/>
          <w:sz w:val="24"/>
          <w:szCs w:val="24"/>
        </w:rPr>
        <w:t>, 847 P.2d at 203 (“An agency relationship may exist absent a contract and absent acknowledgment by the parties that an agency is intended if there is evidence that the parties did materially agree to enter into a relation to which the law attaches the legal consequences of agency.”)</w:t>
      </w:r>
      <w:r w:rsidRPr="00602DE7">
        <w:rPr>
          <w:rFonts w:eastAsia="Times New Roman"/>
          <w:sz w:val="24"/>
          <w:szCs w:val="24"/>
        </w:rPr>
        <w:t>.</w:t>
      </w:r>
    </w:p>
    <w:p w14:paraId="7BC77776" w14:textId="77777777" w:rsidR="00E01A1E" w:rsidRPr="00C26751" w:rsidRDefault="00771A51" w:rsidP="00E01A1E">
      <w:pPr>
        <w:spacing w:after="240"/>
        <w:ind w:firstLine="720"/>
        <w:rPr>
          <w:rFonts w:eastAsia="Times New Roman"/>
          <w:sz w:val="24"/>
          <w:szCs w:val="24"/>
        </w:rPr>
      </w:pPr>
      <w:r>
        <w:rPr>
          <w:rFonts w:eastAsia="Times New Roman"/>
          <w:sz w:val="24"/>
          <w:szCs w:val="24"/>
        </w:rPr>
        <w:t>5</w:t>
      </w:r>
      <w:r w:rsidRPr="00C26751">
        <w:rPr>
          <w:rFonts w:eastAsia="Times New Roman"/>
          <w:sz w:val="24"/>
          <w:szCs w:val="24"/>
        </w:rPr>
        <w:t xml:space="preserve">. Generally, an agent is entitled to indemnification from the principal for losses incurred because of the agency relationship if such losses should </w:t>
      </w:r>
      <w:r>
        <w:rPr>
          <w:rFonts w:eastAsia="Times New Roman"/>
          <w:sz w:val="24"/>
          <w:szCs w:val="24"/>
        </w:rPr>
        <w:t xml:space="preserve">fairly </w:t>
      </w:r>
      <w:r w:rsidRPr="00C26751">
        <w:rPr>
          <w:rFonts w:eastAsia="Times New Roman"/>
          <w:sz w:val="24"/>
          <w:szCs w:val="24"/>
        </w:rPr>
        <w:t xml:space="preserve">be borne by the principal. </w:t>
      </w:r>
      <w:r w:rsidRPr="00C26751">
        <w:rPr>
          <w:rFonts w:eastAsia="Times New Roman"/>
          <w:b/>
          <w:sz w:val="24"/>
          <w:szCs w:val="24"/>
        </w:rPr>
        <w:t>Johnson Realty</w:t>
      </w:r>
      <w:r w:rsidRPr="00C26751">
        <w:rPr>
          <w:rFonts w:eastAsia="Times New Roman"/>
          <w:sz w:val="24"/>
          <w:szCs w:val="24"/>
        </w:rPr>
        <w:t>, 39 P.3d at 1218.</w:t>
      </w:r>
    </w:p>
    <w:p w14:paraId="2E3EE799" w14:textId="77777777" w:rsidR="00E01A1E" w:rsidRDefault="00771A51" w:rsidP="00E01A1E">
      <w:pPr>
        <w:spacing w:after="240"/>
        <w:ind w:firstLine="720"/>
        <w:rPr>
          <w:rFonts w:eastAsia="Times New Roman"/>
          <w:sz w:val="24"/>
          <w:szCs w:val="24"/>
        </w:rPr>
      </w:pPr>
      <w:r>
        <w:rPr>
          <w:rFonts w:eastAsia="Times New Roman"/>
          <w:sz w:val="24"/>
          <w:szCs w:val="24"/>
        </w:rPr>
        <w:t>6</w:t>
      </w:r>
      <w:r w:rsidRPr="00C26751">
        <w:rPr>
          <w:rFonts w:eastAsia="Times New Roman"/>
          <w:sz w:val="24"/>
          <w:szCs w:val="24"/>
        </w:rPr>
        <w:t xml:space="preserve">. In most circumstances, an agent owes a fiduciary duty to the principal. </w:t>
      </w:r>
      <w:r w:rsidRPr="00A33351">
        <w:rPr>
          <w:rFonts w:eastAsia="Times New Roman"/>
          <w:i/>
          <w:sz w:val="24"/>
          <w:szCs w:val="24"/>
        </w:rPr>
        <w:t>See</w:t>
      </w:r>
      <w:r w:rsidRPr="00A33351">
        <w:rPr>
          <w:rFonts w:eastAsia="Times New Roman"/>
          <w:sz w:val="24"/>
          <w:szCs w:val="24"/>
        </w:rPr>
        <w:t xml:space="preserve"> </w:t>
      </w:r>
      <w:r w:rsidRPr="00A33351">
        <w:rPr>
          <w:rFonts w:eastAsia="Times New Roman"/>
          <w:b/>
          <w:sz w:val="24"/>
          <w:szCs w:val="24"/>
        </w:rPr>
        <w:t>Digital Landscape</w:t>
      </w:r>
      <w:r w:rsidRPr="00A33351">
        <w:rPr>
          <w:rFonts w:eastAsia="Times New Roman"/>
          <w:sz w:val="24"/>
          <w:szCs w:val="24"/>
        </w:rPr>
        <w:t xml:space="preserve">, 2018 COA 142, ¶ 76, 440 P.3d </w:t>
      </w:r>
      <w:r>
        <w:rPr>
          <w:rFonts w:eastAsia="Times New Roman"/>
          <w:sz w:val="24"/>
          <w:szCs w:val="24"/>
        </w:rPr>
        <w:t xml:space="preserve">at </w:t>
      </w:r>
      <w:r w:rsidRPr="00A33351">
        <w:rPr>
          <w:rFonts w:eastAsia="Times New Roman"/>
          <w:sz w:val="24"/>
          <w:szCs w:val="24"/>
        </w:rPr>
        <w:t>12</w:t>
      </w:r>
      <w:r>
        <w:rPr>
          <w:rFonts w:eastAsia="Times New Roman"/>
          <w:sz w:val="24"/>
          <w:szCs w:val="24"/>
        </w:rPr>
        <w:t>12</w:t>
      </w:r>
      <w:r w:rsidRPr="00AD62E0">
        <w:rPr>
          <w:rFonts w:eastAsia="Times New Roman"/>
          <w:sz w:val="24"/>
          <w:szCs w:val="24"/>
        </w:rPr>
        <w:t xml:space="preserve"> (</w:t>
      </w:r>
      <w:r w:rsidRPr="00A33351">
        <w:rPr>
          <w:rFonts w:eastAsia="Times New Roman"/>
          <w:sz w:val="24"/>
          <w:szCs w:val="24"/>
        </w:rPr>
        <w:t>duty of loyalty to not compete with the principal concerning the agency’s subject matter);</w:t>
      </w:r>
      <w:r>
        <w:rPr>
          <w:rFonts w:eastAsia="Times New Roman"/>
          <w:sz w:val="24"/>
          <w:szCs w:val="24"/>
        </w:rPr>
        <w:t xml:space="preserve"> </w:t>
      </w:r>
      <w:r w:rsidRPr="00C26751">
        <w:rPr>
          <w:rFonts w:eastAsia="Times New Roman"/>
          <w:b/>
          <w:sz w:val="24"/>
          <w:szCs w:val="24"/>
        </w:rPr>
        <w:t>DA Mountain Rentals, LLC v. Lodge at Lionshead Phase III Condo. Ass’n</w:t>
      </w:r>
      <w:r w:rsidRPr="00C26751">
        <w:rPr>
          <w:rFonts w:eastAsia="Times New Roman"/>
          <w:sz w:val="24"/>
          <w:szCs w:val="24"/>
        </w:rPr>
        <w:t>, 2016 COA 141, ¶ 43</w:t>
      </w:r>
      <w:r>
        <w:rPr>
          <w:rFonts w:eastAsia="Times New Roman"/>
          <w:sz w:val="24"/>
          <w:szCs w:val="24"/>
        </w:rPr>
        <w:t>, 409 P.3d 564</w:t>
      </w:r>
      <w:r w:rsidRPr="00C26751">
        <w:rPr>
          <w:rFonts w:eastAsia="Times New Roman"/>
          <w:sz w:val="24"/>
          <w:szCs w:val="24"/>
        </w:rPr>
        <w:t xml:space="preserve"> (in context of homeowner’s association and homeowners); </w:t>
      </w:r>
      <w:r w:rsidRPr="00C26751">
        <w:rPr>
          <w:rFonts w:eastAsia="Times New Roman"/>
          <w:b/>
          <w:sz w:val="24"/>
          <w:szCs w:val="24"/>
        </w:rPr>
        <w:t>Smith v. Mehaffy</w:t>
      </w:r>
      <w:r w:rsidRPr="00C26751">
        <w:rPr>
          <w:rFonts w:eastAsia="Times New Roman"/>
          <w:sz w:val="24"/>
          <w:szCs w:val="24"/>
        </w:rPr>
        <w:t>, 30 P.3d 727 (Colo. App. 2000) (in context of attorney-client relationship). For breach of fiduciary duty jury instructions, see Chapter 26.</w:t>
      </w:r>
    </w:p>
    <w:p w14:paraId="3E47AAA1" w14:textId="77777777" w:rsidR="00E01A1E" w:rsidRDefault="00771A51" w:rsidP="00E01A1E">
      <w:pPr>
        <w:spacing w:after="240"/>
        <w:ind w:firstLine="720"/>
        <w:rPr>
          <w:rFonts w:eastAsia="Times New Roman"/>
          <w:sz w:val="24"/>
          <w:szCs w:val="24"/>
        </w:rPr>
      </w:pPr>
      <w:r>
        <w:rPr>
          <w:sz w:val="24"/>
          <w:szCs w:val="24"/>
        </w:rPr>
        <w:lastRenderedPageBreak/>
        <w:t>7.</w:t>
      </w:r>
      <w:r w:rsidRPr="006B061D">
        <w:t xml:space="preserve"> </w:t>
      </w:r>
      <w:r w:rsidRPr="006B061D">
        <w:rPr>
          <w:sz w:val="24"/>
          <w:szCs w:val="24"/>
        </w:rPr>
        <w:t xml:space="preserve">“An independent contractor is not an agent if ‘he is not a fiduciary, has no power to make the one employing him a party to a transaction, and is subject to no control over his conduct.’” </w:t>
      </w:r>
      <w:r w:rsidRPr="006B061D">
        <w:rPr>
          <w:b/>
          <w:sz w:val="24"/>
          <w:szCs w:val="24"/>
        </w:rPr>
        <w:t>Digital Landscape</w:t>
      </w:r>
      <w:r w:rsidRPr="006B061D">
        <w:rPr>
          <w:sz w:val="24"/>
          <w:szCs w:val="24"/>
        </w:rPr>
        <w:t xml:space="preserve">, 2018 COA 142, ¶ 79, 440 P.3d </w:t>
      </w:r>
      <w:r>
        <w:rPr>
          <w:sz w:val="24"/>
          <w:szCs w:val="24"/>
        </w:rPr>
        <w:t>at</w:t>
      </w:r>
      <w:r w:rsidRPr="006B061D">
        <w:rPr>
          <w:sz w:val="24"/>
          <w:szCs w:val="24"/>
        </w:rPr>
        <w:t xml:space="preserve"> 1212 (quoting </w:t>
      </w:r>
      <w:r>
        <w:rPr>
          <w:smallCaps/>
          <w:sz w:val="24"/>
          <w:szCs w:val="24"/>
        </w:rPr>
        <w:t>Restatement (Second) of Agency</w:t>
      </w:r>
      <w:r>
        <w:rPr>
          <w:sz w:val="24"/>
          <w:szCs w:val="24"/>
        </w:rPr>
        <w:t xml:space="preserve"> § 2(3) cmt. b (1958)).</w:t>
      </w:r>
      <w:r>
        <w:rPr>
          <w:rFonts w:eastAsia="Times New Roman"/>
          <w:sz w:val="24"/>
          <w:szCs w:val="24"/>
        </w:rPr>
        <w:br w:type="page"/>
      </w:r>
    </w:p>
    <w:p w14:paraId="5E69B85B" w14:textId="77777777" w:rsidR="00E01A1E" w:rsidRPr="009E3DA4" w:rsidRDefault="00771A51" w:rsidP="00E01A1E">
      <w:pPr>
        <w:spacing w:after="240"/>
        <w:ind w:left="720" w:hanging="720"/>
        <w:rPr>
          <w:rFonts w:eastAsia="Times New Roman"/>
          <w:b/>
          <w:sz w:val="24"/>
          <w:szCs w:val="24"/>
        </w:rPr>
      </w:pPr>
      <w:bookmarkStart w:id="2" w:name="a8_2"/>
      <w:bookmarkEnd w:id="2"/>
      <w:r w:rsidRPr="00E24E10">
        <w:rPr>
          <w:rFonts w:eastAsia="Times New Roman"/>
          <w:b/>
          <w:sz w:val="24"/>
          <w:szCs w:val="24"/>
        </w:rPr>
        <w:lastRenderedPageBreak/>
        <w:t xml:space="preserve">8:2 </w:t>
      </w:r>
      <w:r w:rsidRPr="00E24E10">
        <w:rPr>
          <w:rFonts w:eastAsia="Times New Roman"/>
          <w:b/>
          <w:sz w:val="24"/>
          <w:szCs w:val="24"/>
        </w:rPr>
        <w:tab/>
        <w:t>DISCLOSED OR UNIDENTIFIED PRINCIPAL — DEFINED</w:t>
      </w:r>
    </w:p>
    <w:p w14:paraId="18D25B0B" w14:textId="73106A8B" w:rsidR="00E01A1E" w:rsidRPr="00E24E10" w:rsidRDefault="00771A51" w:rsidP="00E01A1E">
      <w:pPr>
        <w:spacing w:after="240"/>
        <w:ind w:firstLine="720"/>
        <w:rPr>
          <w:rFonts w:eastAsia="Times New Roman"/>
          <w:b/>
          <w:sz w:val="24"/>
          <w:szCs w:val="24"/>
        </w:rPr>
      </w:pPr>
      <w:r w:rsidRPr="00E24E10">
        <w:rPr>
          <w:rFonts w:eastAsia="Times New Roman"/>
          <w:b/>
          <w:sz w:val="24"/>
          <w:szCs w:val="24"/>
        </w:rPr>
        <w:t xml:space="preserve">When a person knows or has notice that </w:t>
      </w:r>
      <w:r w:rsidR="003E686C" w:rsidRPr="003E686C">
        <w:rPr>
          <w:rFonts w:eastAsia="Times New Roman"/>
          <w:bCs/>
          <w:i/>
          <w:iCs/>
          <w:sz w:val="24"/>
          <w:szCs w:val="24"/>
        </w:rPr>
        <w:t>(insert applicable pronoun)</w:t>
      </w:r>
      <w:r w:rsidRPr="00E24E10">
        <w:rPr>
          <w:rFonts w:eastAsia="Times New Roman"/>
          <w:b/>
          <w:sz w:val="24"/>
          <w:szCs w:val="24"/>
        </w:rPr>
        <w:t xml:space="preserve"> is dealing with the agent of a principal and knows or has notice of who the principal is, the principal is a “disclosed principal.”</w:t>
      </w:r>
    </w:p>
    <w:p w14:paraId="58FB829F" w14:textId="7A78E4A2" w:rsidR="00E01A1E" w:rsidRDefault="00771A51" w:rsidP="00E01A1E">
      <w:pPr>
        <w:spacing w:after="240"/>
        <w:ind w:firstLine="720"/>
        <w:rPr>
          <w:rFonts w:eastAsia="Times New Roman"/>
          <w:b/>
          <w:sz w:val="24"/>
          <w:szCs w:val="24"/>
        </w:rPr>
      </w:pPr>
      <w:r w:rsidRPr="00E24E10">
        <w:rPr>
          <w:rFonts w:eastAsia="Times New Roman"/>
          <w:b/>
          <w:sz w:val="24"/>
          <w:szCs w:val="24"/>
        </w:rPr>
        <w:t xml:space="preserve">When a person knows or has notice that </w:t>
      </w:r>
      <w:r w:rsidR="003E686C" w:rsidRPr="003E686C">
        <w:rPr>
          <w:rFonts w:eastAsia="Times New Roman"/>
          <w:bCs/>
          <w:i/>
          <w:iCs/>
          <w:sz w:val="24"/>
          <w:szCs w:val="24"/>
        </w:rPr>
        <w:t>(insert applicable pronoun)</w:t>
      </w:r>
      <w:r w:rsidRPr="00E24E10">
        <w:rPr>
          <w:rFonts w:eastAsia="Times New Roman"/>
          <w:b/>
          <w:sz w:val="24"/>
          <w:szCs w:val="24"/>
        </w:rPr>
        <w:t xml:space="preserve"> is dealing with the agent of a principal, but does not know who the principal is, the principal is an “unidentified principal.”</w:t>
      </w:r>
    </w:p>
    <w:p w14:paraId="43CEEE7F" w14:textId="77777777" w:rsidR="00E01A1E" w:rsidRPr="00E24E10" w:rsidRDefault="00771A51" w:rsidP="00E01A1E">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74A044B7" w14:textId="77777777" w:rsidR="00E01A1E" w:rsidRDefault="00E01A1E" w:rsidP="00E01A1E">
      <w:pPr>
        <w:jc w:val="center"/>
        <w:rPr>
          <w:rFonts w:eastAsia="Times New Roman"/>
          <w:sz w:val="24"/>
          <w:szCs w:val="24"/>
        </w:rPr>
      </w:pPr>
    </w:p>
    <w:p w14:paraId="437924BB"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982E457"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1. Either one or both paragraphs of this instruction may be used as necessary.</w:t>
      </w:r>
    </w:p>
    <w:p w14:paraId="4D7E9F3E" w14:textId="77777777" w:rsidR="00E01A1E" w:rsidRDefault="00771A51" w:rsidP="00E01A1E">
      <w:pPr>
        <w:spacing w:after="240"/>
        <w:ind w:firstLine="720"/>
        <w:rPr>
          <w:rFonts w:eastAsia="Times New Roman"/>
          <w:sz w:val="24"/>
          <w:szCs w:val="24"/>
        </w:rPr>
      </w:pPr>
      <w:r w:rsidRPr="00E24E10">
        <w:rPr>
          <w:rFonts w:eastAsia="Times New Roman"/>
          <w:sz w:val="24"/>
          <w:szCs w:val="24"/>
        </w:rPr>
        <w:t xml:space="preserve">2. As a result of the </w:t>
      </w:r>
      <w:r>
        <w:rPr>
          <w:rFonts w:eastAsia="Times New Roman"/>
          <w:sz w:val="24"/>
          <w:szCs w:val="24"/>
        </w:rPr>
        <w:t>publication</w:t>
      </w:r>
      <w:r w:rsidRPr="00E24E10">
        <w:rPr>
          <w:rFonts w:eastAsia="Times New Roman"/>
          <w:sz w:val="24"/>
          <w:szCs w:val="24"/>
        </w:rPr>
        <w:t xml:space="preserve"> of the </w:t>
      </w:r>
      <w:r w:rsidRPr="00E24E10">
        <w:rPr>
          <w:rFonts w:eastAsia="Times New Roman"/>
          <w:smallCaps/>
          <w:sz w:val="24"/>
          <w:szCs w:val="24"/>
        </w:rPr>
        <w:t>Restatement (Third) of Agency</w:t>
      </w:r>
      <w:r w:rsidRPr="00E24E10">
        <w:rPr>
          <w:rFonts w:eastAsia="Times New Roman"/>
          <w:sz w:val="24"/>
          <w:szCs w:val="24"/>
        </w:rPr>
        <w:t>, the phrase “unidentified principal” replaces the phrase “partially disclosed principal” formerly appearing in the second paragraph.</w:t>
      </w:r>
    </w:p>
    <w:p w14:paraId="0DAFEBDD" w14:textId="77777777" w:rsidR="00E01A1E" w:rsidRPr="00E24E10" w:rsidRDefault="00771A51" w:rsidP="00E01A1E">
      <w:pPr>
        <w:spacing w:after="240"/>
        <w:ind w:firstLine="720"/>
        <w:rPr>
          <w:rFonts w:eastAsia="Times New Roman"/>
          <w:sz w:val="24"/>
          <w:szCs w:val="24"/>
        </w:rPr>
      </w:pPr>
      <w:r>
        <w:rPr>
          <w:rFonts w:eastAsia="Times New Roman"/>
          <w:sz w:val="24"/>
          <w:szCs w:val="24"/>
        </w:rPr>
        <w:t>3</w:t>
      </w:r>
      <w:r w:rsidRPr="00E24E10">
        <w:rPr>
          <w:rFonts w:eastAsia="Times New Roman"/>
          <w:sz w:val="24"/>
          <w:szCs w:val="24"/>
        </w:rPr>
        <w:t>. Whether</w:t>
      </w:r>
      <w:r>
        <w:rPr>
          <w:rFonts w:eastAsia="Times New Roman"/>
          <w:sz w:val="24"/>
          <w:szCs w:val="24"/>
        </w:rPr>
        <w:t xml:space="preserve"> a</w:t>
      </w:r>
      <w:r w:rsidRPr="00E24E10">
        <w:rPr>
          <w:rFonts w:eastAsia="Times New Roman"/>
          <w:sz w:val="24"/>
          <w:szCs w:val="24"/>
        </w:rPr>
        <w:t xml:space="preserve"> principal is partially or completely disclosed is </w:t>
      </w:r>
      <w:r>
        <w:rPr>
          <w:rFonts w:eastAsia="Times New Roman"/>
          <w:sz w:val="24"/>
          <w:szCs w:val="24"/>
        </w:rPr>
        <w:t xml:space="preserve">a </w:t>
      </w:r>
      <w:r w:rsidRPr="00E24E10">
        <w:rPr>
          <w:rFonts w:eastAsia="Times New Roman"/>
          <w:sz w:val="24"/>
          <w:szCs w:val="24"/>
        </w:rPr>
        <w:t xml:space="preserve">question of fact. </w:t>
      </w:r>
      <w:r w:rsidRPr="00E24E10">
        <w:rPr>
          <w:rFonts w:eastAsia="Times New Roman"/>
          <w:b/>
          <w:sz w:val="24"/>
          <w:szCs w:val="24"/>
        </w:rPr>
        <w:t>Water, Waste &amp; Land, Inc. v. Lanham</w:t>
      </w:r>
      <w:r w:rsidRPr="00E24E10">
        <w:rPr>
          <w:rFonts w:eastAsia="Times New Roman"/>
          <w:sz w:val="24"/>
          <w:szCs w:val="24"/>
        </w:rPr>
        <w:t>, 955 P.2d 997 (Colo. 1998).</w:t>
      </w:r>
    </w:p>
    <w:p w14:paraId="30F824B3"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AA4AF55"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 xml:space="preserve">Rocky Mountain Exploration, Inc. v. Davis Graham &amp; Stubbs LLP,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30, 420 P.3d 223, 230</w:t>
      </w:r>
      <w:r w:rsidRPr="00E24E10">
        <w:rPr>
          <w:rFonts w:eastAsia="Times New Roman"/>
          <w:sz w:val="24"/>
          <w:szCs w:val="24"/>
        </w:rPr>
        <w:t xml:space="preserve"> (a</w:t>
      </w:r>
      <w:r>
        <w:rPr>
          <w:rFonts w:eastAsia="Times New Roman"/>
          <w:sz w:val="24"/>
          <w:szCs w:val="24"/>
        </w:rPr>
        <w:t>pplying</w:t>
      </w:r>
      <w:r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 and stating principal is </w:t>
      </w:r>
      <w:r>
        <w:rPr>
          <w:rFonts w:eastAsia="Times New Roman"/>
          <w:sz w:val="24"/>
          <w:szCs w:val="24"/>
        </w:rPr>
        <w:t xml:space="preserve">disclosed “if a third party has notice that the agent with whom it is interacting is acting for a principal and if the third party has notice of the principal’s identity” and is </w:t>
      </w:r>
      <w:r w:rsidRPr="00E24E10">
        <w:rPr>
          <w:rFonts w:eastAsia="Times New Roman"/>
          <w:sz w:val="24"/>
          <w:szCs w:val="24"/>
        </w:rPr>
        <w:t>unidentified</w:t>
      </w:r>
      <w:r>
        <w:rPr>
          <w:rFonts w:eastAsia="Times New Roman"/>
          <w:sz w:val="24"/>
          <w:szCs w:val="24"/>
        </w:rPr>
        <w:t xml:space="preserve"> “if the third party has notice that the agent is acting for a principal but does not have notice of the principal’s identity”</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w:t>
      </w:r>
      <w:r w:rsidRPr="00E24E10">
        <w:rPr>
          <w:rFonts w:eastAsia="Times New Roman"/>
          <w:sz w:val="24"/>
          <w:szCs w:val="24"/>
        </w:rPr>
        <w:t xml:space="preserve"> § 1.04(2)</w:t>
      </w:r>
      <w:r>
        <w:rPr>
          <w:rFonts w:eastAsia="Times New Roman"/>
          <w:sz w:val="24"/>
          <w:szCs w:val="24"/>
        </w:rPr>
        <w:t xml:space="preserve"> and applying </w:t>
      </w:r>
      <w:r w:rsidRPr="00CD581C">
        <w:rPr>
          <w:smallCaps/>
          <w:sz w:val="24"/>
          <w:szCs w:val="24"/>
        </w:rPr>
        <w:t>Restatement (Third) of Agency</w:t>
      </w:r>
      <w:r w:rsidRPr="00CD581C">
        <w:rPr>
          <w:sz w:val="24"/>
          <w:szCs w:val="24"/>
        </w:rPr>
        <w:t xml:space="preserve"> § 1.04(4) </w:t>
      </w:r>
      <w:r>
        <w:rPr>
          <w:sz w:val="24"/>
          <w:szCs w:val="24"/>
        </w:rPr>
        <w:t>(</w:t>
      </w:r>
      <w:r w:rsidRPr="00CD581C">
        <w:rPr>
          <w:sz w:val="24"/>
          <w:szCs w:val="24"/>
        </w:rPr>
        <w:t>notice definition)</w:t>
      </w:r>
      <w:r w:rsidRPr="00E24E10">
        <w:rPr>
          <w:rFonts w:eastAsia="Times New Roman"/>
          <w:sz w:val="24"/>
          <w:szCs w:val="24"/>
        </w:rPr>
        <w:t>)</w:t>
      </w:r>
      <w:r>
        <w:rPr>
          <w:rFonts w:eastAsia="Times New Roman"/>
          <w:sz w:val="24"/>
          <w:szCs w:val="24"/>
        </w:rPr>
        <w:t>)</w:t>
      </w:r>
      <w:r w:rsidRPr="00E24E10">
        <w:rPr>
          <w:rFonts w:eastAsia="Times New Roman"/>
          <w:sz w:val="24"/>
          <w:szCs w:val="24"/>
        </w:rPr>
        <w:t xml:space="preserve">. </w:t>
      </w:r>
      <w:r w:rsidRPr="00E24E10">
        <w:rPr>
          <w:rFonts w:eastAsia="Times New Roman"/>
          <w:i/>
          <w:sz w:val="24"/>
          <w:szCs w:val="24"/>
        </w:rPr>
        <w:t>See</w:t>
      </w:r>
      <w:r w:rsidRPr="00444232">
        <w:rPr>
          <w:rFonts w:eastAsia="Times New Roman"/>
          <w:smallCaps/>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1.04(2)(a), (c) (2006) (defining disclosed and unidentified principals); </w:t>
      </w:r>
      <w:r w:rsidRPr="00E24E10">
        <w:rPr>
          <w:rFonts w:eastAsia="Times New Roman"/>
          <w:smallCaps/>
          <w:sz w:val="24"/>
          <w:szCs w:val="24"/>
        </w:rPr>
        <w:t>Restatement (Second) of Agency</w:t>
      </w:r>
      <w:r w:rsidRPr="00E24E10">
        <w:rPr>
          <w:rFonts w:eastAsia="Times New Roman"/>
          <w:sz w:val="24"/>
          <w:szCs w:val="24"/>
        </w:rPr>
        <w:t xml:space="preserve"> § 4 (1958)</w:t>
      </w:r>
      <w:r>
        <w:rPr>
          <w:rFonts w:eastAsia="Times New Roman"/>
          <w:sz w:val="24"/>
          <w:szCs w:val="24"/>
        </w:rPr>
        <w:t xml:space="preserve"> (defining disclosed, partially disclosed, and undisclosed principals)</w:t>
      </w:r>
      <w:r w:rsidRPr="00E24E10">
        <w:rPr>
          <w:rFonts w:eastAsia="Times New Roman"/>
          <w:sz w:val="24"/>
          <w:szCs w:val="24"/>
        </w:rPr>
        <w:t xml:space="preserve">; </w:t>
      </w:r>
      <w:r w:rsidRPr="00FA5507">
        <w:rPr>
          <w:rFonts w:eastAsia="Times New Roman"/>
          <w:i/>
          <w:sz w:val="24"/>
          <w:szCs w:val="24"/>
        </w:rPr>
        <w:t>see also</w:t>
      </w:r>
      <w:r>
        <w:rPr>
          <w:rFonts w:eastAsia="Times New Roman"/>
          <w:sz w:val="24"/>
          <w:szCs w:val="24"/>
        </w:rPr>
        <w:t xml:space="preserve"> </w:t>
      </w:r>
      <w:r w:rsidRPr="00E24E10">
        <w:rPr>
          <w:rFonts w:eastAsia="Times New Roman"/>
          <w:b/>
          <w:sz w:val="24"/>
          <w:szCs w:val="24"/>
        </w:rPr>
        <w:t>Beneficial Fin. Co. v. Bach</w:t>
      </w:r>
      <w:r w:rsidRPr="00E24E10">
        <w:rPr>
          <w:rFonts w:eastAsia="Times New Roman"/>
          <w:sz w:val="24"/>
          <w:szCs w:val="24"/>
        </w:rPr>
        <w:t>,</w:t>
      </w:r>
      <w:r w:rsidRPr="00E24E10">
        <w:rPr>
          <w:rFonts w:eastAsia="Times New Roman"/>
          <w:b/>
          <w:sz w:val="24"/>
          <w:szCs w:val="24"/>
        </w:rPr>
        <w:t xml:space="preserve"> </w:t>
      </w:r>
      <w:r w:rsidRPr="00E24E10">
        <w:rPr>
          <w:rFonts w:eastAsia="Times New Roman"/>
          <w:sz w:val="24"/>
          <w:szCs w:val="24"/>
        </w:rPr>
        <w:t>665 P.2d 1034 (Colo.</w:t>
      </w:r>
      <w:r>
        <w:rPr>
          <w:rFonts w:eastAsia="Times New Roman"/>
          <w:sz w:val="24"/>
          <w:szCs w:val="24"/>
        </w:rPr>
        <w:t xml:space="preserve"> </w:t>
      </w:r>
      <w:r w:rsidRPr="00E24E10">
        <w:rPr>
          <w:rFonts w:eastAsia="Times New Roman"/>
          <w:sz w:val="24"/>
          <w:szCs w:val="24"/>
        </w:rPr>
        <w:t>App. 1983) (agent</w:t>
      </w:r>
      <w:r>
        <w:rPr>
          <w:rFonts w:eastAsia="Times New Roman"/>
          <w:sz w:val="24"/>
          <w:szCs w:val="24"/>
        </w:rPr>
        <w:t xml:space="preserve"> is not liable on contract signed on behalf of </w:t>
      </w:r>
      <w:r w:rsidRPr="00E24E10">
        <w:rPr>
          <w:rFonts w:eastAsia="Times New Roman"/>
          <w:sz w:val="24"/>
          <w:szCs w:val="24"/>
        </w:rPr>
        <w:t xml:space="preserve">disclosed principal); </w:t>
      </w:r>
      <w:r w:rsidRPr="00E24E10">
        <w:rPr>
          <w:rFonts w:eastAsia="Times New Roman"/>
          <w:b/>
          <w:sz w:val="24"/>
          <w:szCs w:val="24"/>
        </w:rPr>
        <w:t>Bidwell v. Jolly</w:t>
      </w:r>
      <w:r w:rsidRPr="00E24E10">
        <w:rPr>
          <w:rFonts w:eastAsia="Times New Roman"/>
          <w:sz w:val="24"/>
          <w:szCs w:val="24"/>
        </w:rPr>
        <w:t>, 716 P.2d 481 (Colo.</w:t>
      </w:r>
      <w:r>
        <w:rPr>
          <w:rFonts w:eastAsia="Times New Roman"/>
          <w:sz w:val="24"/>
          <w:szCs w:val="24"/>
        </w:rPr>
        <w:t xml:space="preserve"> </w:t>
      </w:r>
      <w:r w:rsidRPr="00E24E10">
        <w:rPr>
          <w:rFonts w:eastAsia="Times New Roman"/>
          <w:sz w:val="24"/>
          <w:szCs w:val="24"/>
        </w:rPr>
        <w:t>App. 1986) (same)</w:t>
      </w:r>
      <w:r>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(agent </w:t>
      </w:r>
      <w:r>
        <w:rPr>
          <w:rFonts w:eastAsia="Times New Roman"/>
          <w:sz w:val="24"/>
          <w:szCs w:val="24"/>
        </w:rPr>
        <w:t>is individually liable on a contract if acting for an undisclosed principal</w:t>
      </w:r>
      <w:r w:rsidRPr="00E24E10">
        <w:rPr>
          <w:rFonts w:eastAsia="Times New Roman"/>
          <w:sz w:val="24"/>
          <w:szCs w:val="24"/>
        </w:rPr>
        <w:t xml:space="preserve">).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5AE73495" w14:textId="77777777" w:rsidR="00E01A1E" w:rsidRPr="00E24E10" w:rsidRDefault="00771A51" w:rsidP="00E01A1E">
      <w:pPr>
        <w:spacing w:after="240"/>
        <w:ind w:firstLine="720"/>
        <w:rPr>
          <w:rFonts w:eastAsia="Times New Roman"/>
          <w:sz w:val="24"/>
          <w:szCs w:val="24"/>
        </w:rPr>
      </w:pPr>
      <w:r>
        <w:rPr>
          <w:rFonts w:eastAsia="Times New Roman"/>
          <w:sz w:val="24"/>
          <w:szCs w:val="24"/>
        </w:rPr>
        <w:t>2</w:t>
      </w:r>
      <w:r w:rsidRPr="00E24E10">
        <w:rPr>
          <w:rFonts w:eastAsia="Times New Roman"/>
          <w:sz w:val="24"/>
          <w:szCs w:val="24"/>
        </w:rPr>
        <w:t xml:space="preserve">. An officer of a corporation is not individually liable for debts of the corporation unless the corporate principal is undisclosed. </w:t>
      </w:r>
      <w:r w:rsidRPr="00E24E10">
        <w:rPr>
          <w:rFonts w:eastAsia="Times New Roman"/>
          <w:b/>
          <w:sz w:val="24"/>
          <w:szCs w:val="24"/>
        </w:rPr>
        <w:t>Mountain States Commercial Collections, Inc. v. 99¢ Liquidators, Inc.</w:t>
      </w:r>
      <w:r w:rsidRPr="00E24E10">
        <w:rPr>
          <w:rFonts w:eastAsia="Times New Roman"/>
          <w:sz w:val="24"/>
          <w:szCs w:val="24"/>
        </w:rPr>
        <w:t>, 940 P.2d 934 (Colo.</w:t>
      </w:r>
      <w:r>
        <w:rPr>
          <w:rFonts w:eastAsia="Times New Roman"/>
          <w:sz w:val="24"/>
          <w:szCs w:val="24"/>
        </w:rPr>
        <w:t xml:space="preserve"> </w:t>
      </w:r>
      <w:r w:rsidRPr="00E24E10">
        <w:rPr>
          <w:rFonts w:eastAsia="Times New Roman"/>
          <w:sz w:val="24"/>
          <w:szCs w:val="24"/>
        </w:rPr>
        <w:t>App. 1996).</w:t>
      </w:r>
    </w:p>
    <w:p w14:paraId="72D916C3" w14:textId="0C1F50B9" w:rsidR="00E01A1E" w:rsidRPr="00E24E10" w:rsidRDefault="00771A51" w:rsidP="00E01A1E">
      <w:pPr>
        <w:spacing w:after="240"/>
        <w:ind w:firstLine="720"/>
        <w:rPr>
          <w:rFonts w:eastAsia="Times New Roman"/>
          <w:sz w:val="24"/>
          <w:szCs w:val="24"/>
        </w:rPr>
      </w:pPr>
      <w:r>
        <w:rPr>
          <w:rFonts w:eastAsia="Times New Roman"/>
          <w:sz w:val="24"/>
          <w:szCs w:val="24"/>
        </w:rPr>
        <w:lastRenderedPageBreak/>
        <w:t>3</w:t>
      </w:r>
      <w:r w:rsidRPr="00E24E10">
        <w:rPr>
          <w:rFonts w:eastAsia="Times New Roman"/>
          <w:sz w:val="24"/>
          <w:szCs w:val="24"/>
        </w:rPr>
        <w:t xml:space="preserve">. A person who contracts with an agent acting with authority from a disclosed or partially disclosed principal (now referred to as unidentified) is liable to the principal on the contract unless the principal is excluded by the contract. </w:t>
      </w:r>
      <w:r w:rsidRPr="00E24E10">
        <w:rPr>
          <w:rFonts w:eastAsia="Times New Roman"/>
          <w:b/>
          <w:sz w:val="24"/>
          <w:szCs w:val="24"/>
        </w:rPr>
        <w:t>Filho v. Rodriguez</w:t>
      </w:r>
      <w:r w:rsidRPr="00E24E10">
        <w:rPr>
          <w:rFonts w:eastAsia="Times New Roman"/>
          <w:sz w:val="24"/>
          <w:szCs w:val="24"/>
        </w:rPr>
        <w:t>, 36 P.3d 199 (Colo.</w:t>
      </w:r>
      <w:r>
        <w:rPr>
          <w:rFonts w:eastAsia="Times New Roman"/>
          <w:sz w:val="24"/>
          <w:szCs w:val="24"/>
        </w:rPr>
        <w:t xml:space="preserve"> </w:t>
      </w:r>
      <w:r w:rsidRPr="00E24E10">
        <w:rPr>
          <w:rFonts w:eastAsia="Times New Roman"/>
          <w:sz w:val="24"/>
          <w:szCs w:val="24"/>
        </w:rPr>
        <w:t xml:space="preserve">App. 2001); </w:t>
      </w:r>
      <w:r w:rsidRPr="00E24E10">
        <w:rPr>
          <w:rFonts w:eastAsia="Times New Roman"/>
          <w:i/>
          <w:sz w:val="24"/>
          <w:szCs w:val="24"/>
        </w:rPr>
        <w:t xml:space="preserve">see also </w:t>
      </w:r>
      <w:r w:rsidRPr="00E24E10">
        <w:rPr>
          <w:rFonts w:eastAsia="Times New Roman"/>
          <w:b/>
          <w:sz w:val="24"/>
          <w:szCs w:val="24"/>
        </w:rPr>
        <w:t>Rocky Mountain Expl., Inc.</w:t>
      </w:r>
      <w:r w:rsidRPr="00E24E10">
        <w:rPr>
          <w:rFonts w:eastAsia="Times New Roman"/>
          <w:sz w:val="24"/>
          <w:szCs w:val="24"/>
        </w:rPr>
        <w:t xml:space="preserve">, ¶ </w:t>
      </w:r>
      <w:r>
        <w:rPr>
          <w:rFonts w:eastAsia="Times New Roman"/>
          <w:sz w:val="24"/>
          <w:szCs w:val="24"/>
        </w:rPr>
        <w:t>33</w:t>
      </w:r>
      <w:r w:rsidR="0090551B">
        <w:rPr>
          <w:rFonts w:eastAsia="Times New Roman"/>
          <w:sz w:val="24"/>
          <w:szCs w:val="24"/>
        </w:rPr>
        <w:t>, 420 P.3d at 230-31</w:t>
      </w:r>
      <w:r w:rsidRPr="00E24E10">
        <w:rPr>
          <w:rFonts w:eastAsia="Times New Roman"/>
          <w:sz w:val="24"/>
          <w:szCs w:val="24"/>
        </w:rPr>
        <w:t xml:space="preserve"> (stating that narrow exception set forth in </w:t>
      </w:r>
      <w:r w:rsidRPr="00E24E10">
        <w:rPr>
          <w:rFonts w:eastAsia="Times New Roman"/>
          <w:smallCaps/>
          <w:sz w:val="24"/>
          <w:szCs w:val="24"/>
        </w:rPr>
        <w:t>Restatement (Third) of Agency</w:t>
      </w:r>
      <w:r w:rsidRPr="00E24E10">
        <w:rPr>
          <w:rFonts w:eastAsia="Times New Roman"/>
          <w:sz w:val="24"/>
          <w:szCs w:val="24"/>
        </w:rPr>
        <w:t xml:space="preserve"> § 6.11(4) for false representations made concerning undisclosed principals does not apply to unidentified principals).</w:t>
      </w:r>
    </w:p>
    <w:p w14:paraId="0D4B207E" w14:textId="77777777" w:rsidR="00E01A1E" w:rsidRDefault="00771A51">
      <w:pPr>
        <w:rPr>
          <w:rFonts w:eastAsia="Times New Roman"/>
          <w:sz w:val="24"/>
          <w:szCs w:val="24"/>
        </w:rPr>
      </w:pPr>
      <w:r>
        <w:rPr>
          <w:rFonts w:eastAsia="Times New Roman"/>
          <w:sz w:val="24"/>
          <w:szCs w:val="24"/>
        </w:rPr>
        <w:br w:type="page"/>
      </w:r>
    </w:p>
    <w:p w14:paraId="162A39BF" w14:textId="77777777" w:rsidR="00E01A1E" w:rsidRPr="009E3DA4" w:rsidRDefault="00771A51" w:rsidP="00E01A1E">
      <w:pPr>
        <w:spacing w:after="240"/>
        <w:ind w:left="720" w:hanging="720"/>
        <w:rPr>
          <w:rFonts w:eastAsia="Times New Roman"/>
          <w:b/>
          <w:sz w:val="24"/>
          <w:szCs w:val="24"/>
        </w:rPr>
      </w:pPr>
      <w:bookmarkStart w:id="3" w:name="a8_3"/>
      <w:bookmarkEnd w:id="3"/>
      <w:r w:rsidRPr="00E24E10">
        <w:rPr>
          <w:rFonts w:eastAsia="Times New Roman"/>
          <w:b/>
          <w:sz w:val="24"/>
          <w:szCs w:val="24"/>
        </w:rPr>
        <w:lastRenderedPageBreak/>
        <w:t xml:space="preserve">8:3 </w:t>
      </w:r>
      <w:r w:rsidRPr="00E24E10">
        <w:rPr>
          <w:rFonts w:eastAsia="Times New Roman"/>
          <w:b/>
          <w:sz w:val="24"/>
          <w:szCs w:val="24"/>
        </w:rPr>
        <w:tab/>
        <w:t>UNDISCLOSED PRINCIPAL — DEFINED</w:t>
      </w:r>
    </w:p>
    <w:p w14:paraId="6CF62229" w14:textId="51CA679D" w:rsidR="00E01A1E" w:rsidRDefault="00771A51" w:rsidP="00E01A1E">
      <w:pPr>
        <w:spacing w:after="240"/>
        <w:ind w:firstLine="720"/>
        <w:rPr>
          <w:rFonts w:eastAsia="Times New Roman"/>
          <w:b/>
          <w:sz w:val="24"/>
          <w:szCs w:val="24"/>
        </w:rPr>
      </w:pPr>
      <w:r w:rsidRPr="00E24E10">
        <w:rPr>
          <w:rFonts w:eastAsia="Times New Roman"/>
          <w:b/>
          <w:sz w:val="24"/>
          <w:szCs w:val="24"/>
        </w:rPr>
        <w:t xml:space="preserve">When a person does not know or have notice that </w:t>
      </w:r>
      <w:r w:rsidR="003E686C" w:rsidRPr="003E686C">
        <w:rPr>
          <w:rFonts w:eastAsia="Times New Roman"/>
          <w:bCs/>
          <w:i/>
          <w:iCs/>
          <w:sz w:val="24"/>
          <w:szCs w:val="24"/>
        </w:rPr>
        <w:t>(insert applicable pronoun)</w:t>
      </w:r>
      <w:r w:rsidRPr="00E24E10">
        <w:rPr>
          <w:rFonts w:eastAsia="Times New Roman"/>
          <w:b/>
          <w:sz w:val="24"/>
          <w:szCs w:val="24"/>
        </w:rPr>
        <w:t xml:space="preserve"> is dealing with an agent for a principal, the principal is an “undisclosed principal.”</w:t>
      </w:r>
    </w:p>
    <w:p w14:paraId="39896D90" w14:textId="77777777" w:rsidR="00E01A1E" w:rsidRPr="00E24E10" w:rsidRDefault="00771A51" w:rsidP="00E01A1E">
      <w:pPr>
        <w:spacing w:after="240"/>
        <w:ind w:firstLine="720"/>
        <w:rPr>
          <w:rFonts w:eastAsia="Times New Roman"/>
          <w:b/>
          <w:sz w:val="24"/>
          <w:szCs w:val="24"/>
        </w:rPr>
      </w:pPr>
      <w:r w:rsidRPr="00245A23">
        <w:rPr>
          <w:rFonts w:eastAsia="Times New Roman"/>
          <w:b/>
          <w:sz w:val="24"/>
          <w:szCs w:val="24"/>
        </w:rPr>
        <w:t>A person has notice of a fact if the person knows the fact, has reason to know the fact, has received an effective notification of the fact, or should know the fact to fulfill a duty owed to another person.</w:t>
      </w:r>
    </w:p>
    <w:p w14:paraId="683D1217" w14:textId="77777777" w:rsidR="00E01A1E" w:rsidRDefault="00E01A1E" w:rsidP="00E01A1E">
      <w:pPr>
        <w:jc w:val="center"/>
        <w:rPr>
          <w:rFonts w:eastAsia="Times New Roman"/>
          <w:sz w:val="24"/>
          <w:szCs w:val="24"/>
        </w:rPr>
      </w:pPr>
    </w:p>
    <w:p w14:paraId="09EBE1F6"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39485988"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None. </w:t>
      </w:r>
    </w:p>
    <w:p w14:paraId="279F94F8"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022AA6A"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1. This instruction is supported by </w:t>
      </w:r>
      <w:r w:rsidRPr="00E24E10">
        <w:rPr>
          <w:rFonts w:eastAsia="Times New Roman"/>
          <w:b/>
          <w:sz w:val="24"/>
          <w:szCs w:val="24"/>
        </w:rPr>
        <w:t>Rocky Mountain Exploration, Inc. v. Davis Graham &amp; Stubbs LLP</w:t>
      </w:r>
      <w:r w:rsidRPr="00E24E10">
        <w:rPr>
          <w:rFonts w:eastAsia="Times New Roman"/>
          <w:sz w:val="24"/>
          <w:szCs w:val="24"/>
        </w:rPr>
        <w:t xml:space="preserve">, </w:t>
      </w:r>
      <w:r>
        <w:rPr>
          <w:rFonts w:eastAsia="Times New Roman"/>
          <w:sz w:val="24"/>
          <w:szCs w:val="24"/>
        </w:rPr>
        <w:t>2018 CO 54</w:t>
      </w:r>
      <w:r w:rsidRPr="00E24E10">
        <w:rPr>
          <w:rFonts w:eastAsia="Times New Roman"/>
          <w:sz w:val="24"/>
          <w:szCs w:val="24"/>
        </w:rPr>
        <w:t xml:space="preserve">, ¶ </w:t>
      </w:r>
      <w:r>
        <w:rPr>
          <w:rFonts w:eastAsia="Times New Roman"/>
          <w:sz w:val="24"/>
          <w:szCs w:val="24"/>
        </w:rPr>
        <w:t xml:space="preserve">30, 420 P.3d 223, 230 </w:t>
      </w:r>
      <w:r w:rsidRPr="00E24E10">
        <w:rPr>
          <w:rFonts w:eastAsia="Times New Roman"/>
          <w:sz w:val="24"/>
          <w:szCs w:val="24"/>
        </w:rPr>
        <w:t>(“A principal is undisclosed if</w:t>
      </w:r>
      <w:r>
        <w:rPr>
          <w:rFonts w:eastAsia="Times New Roman"/>
          <w:sz w:val="24"/>
          <w:szCs w:val="24"/>
        </w:rPr>
        <w:t xml:space="preserve"> the third party has no notice that the agent is acting for a principal.”</w:t>
      </w:r>
      <w:r w:rsidRPr="00E24E10">
        <w:rPr>
          <w:rFonts w:eastAsia="Times New Roman"/>
          <w:sz w:val="24"/>
          <w:szCs w:val="24"/>
        </w:rPr>
        <w:t xml:space="preserve"> (</w:t>
      </w:r>
      <w:r>
        <w:rPr>
          <w:rFonts w:eastAsia="Times New Roman"/>
          <w:sz w:val="24"/>
          <w:szCs w:val="24"/>
        </w:rPr>
        <w:t>citing</w:t>
      </w:r>
      <w:r w:rsidRPr="00E24E10">
        <w:rPr>
          <w:rFonts w:eastAsia="Times New Roman"/>
          <w:sz w:val="24"/>
          <w:szCs w:val="24"/>
        </w:rPr>
        <w:t xml:space="preserve"> </w:t>
      </w:r>
      <w:r w:rsidRPr="00E24E10">
        <w:rPr>
          <w:rFonts w:eastAsia="Times New Roman"/>
          <w:smallCaps/>
          <w:sz w:val="24"/>
          <w:szCs w:val="24"/>
        </w:rPr>
        <w:t>Restatement (Third) of Agency</w:t>
      </w:r>
      <w:r w:rsidRPr="00E24E10">
        <w:rPr>
          <w:rFonts w:eastAsia="Times New Roman"/>
          <w:sz w:val="24"/>
          <w:szCs w:val="24"/>
        </w:rPr>
        <w:t xml:space="preserve"> § 1.04(2) (2006)</w:t>
      </w:r>
      <w:r>
        <w:rPr>
          <w:rFonts w:eastAsia="Times New Roman"/>
          <w:sz w:val="24"/>
          <w:szCs w:val="24"/>
        </w:rPr>
        <w:t xml:space="preserve"> and applying </w:t>
      </w:r>
      <w:r w:rsidRPr="00CD581C">
        <w:rPr>
          <w:smallCaps/>
          <w:sz w:val="24"/>
          <w:szCs w:val="24"/>
        </w:rPr>
        <w:t>Restatement (Third) of Agency</w:t>
      </w:r>
      <w:r w:rsidRPr="00CD581C">
        <w:rPr>
          <w:sz w:val="24"/>
          <w:szCs w:val="24"/>
        </w:rPr>
        <w:t xml:space="preserve"> § 1.04(4) </w:t>
      </w:r>
      <w:r>
        <w:rPr>
          <w:sz w:val="24"/>
          <w:szCs w:val="24"/>
        </w:rPr>
        <w:t>(</w:t>
      </w:r>
      <w:r w:rsidRPr="00CD581C">
        <w:rPr>
          <w:sz w:val="24"/>
          <w:szCs w:val="24"/>
        </w:rPr>
        <w:t>notice definition</w:t>
      </w:r>
      <w:r w:rsidRPr="00E24E10">
        <w:rPr>
          <w:rFonts w:eastAsia="Times New Roman"/>
          <w:sz w:val="24"/>
          <w:szCs w:val="24"/>
        </w:rPr>
        <w:t>))</w:t>
      </w:r>
      <w:r>
        <w:rPr>
          <w:rFonts w:eastAsia="Times New Roman"/>
          <w:sz w:val="24"/>
          <w:szCs w:val="24"/>
        </w:rPr>
        <w:t>)</w:t>
      </w:r>
      <w:r w:rsidRPr="00E24E10">
        <w:rPr>
          <w:rFonts w:eastAsia="Times New Roman"/>
          <w:sz w:val="24"/>
          <w:szCs w:val="24"/>
        </w:rPr>
        <w:t xml:space="preserve">; and </w:t>
      </w:r>
      <w:r w:rsidRPr="00E24E10">
        <w:rPr>
          <w:rFonts w:eastAsia="Times New Roman"/>
          <w:smallCaps/>
          <w:sz w:val="24"/>
          <w:szCs w:val="24"/>
        </w:rPr>
        <w:t>Restatement (Third) of Agency</w:t>
      </w:r>
      <w:r w:rsidRPr="00E24E10">
        <w:rPr>
          <w:rFonts w:eastAsia="Times New Roman"/>
          <w:sz w:val="24"/>
          <w:szCs w:val="24"/>
        </w:rPr>
        <w:t xml:space="preserve"> § 1.04(2)(b) (2006) (defining undisclosed principal). </w:t>
      </w:r>
      <w:r w:rsidRPr="00E24E10">
        <w:rPr>
          <w:rFonts w:eastAsia="Times New Roman"/>
          <w:i/>
          <w:sz w:val="24"/>
          <w:szCs w:val="24"/>
        </w:rPr>
        <w:t>See also</w:t>
      </w:r>
      <w:r w:rsidRPr="00E24E10">
        <w:rPr>
          <w:rFonts w:eastAsia="Times New Roman"/>
          <w:sz w:val="24"/>
          <w:szCs w:val="24"/>
        </w:rPr>
        <w:t xml:space="preserve"> </w:t>
      </w:r>
      <w:r w:rsidRPr="00E24E10">
        <w:rPr>
          <w:rFonts w:eastAsia="Times New Roman"/>
          <w:b/>
          <w:sz w:val="24"/>
          <w:szCs w:val="24"/>
        </w:rPr>
        <w:t>Mackey v. Briggs</w:t>
      </w:r>
      <w:r w:rsidRPr="00E24E10">
        <w:rPr>
          <w:rFonts w:eastAsia="Times New Roman"/>
          <w:sz w:val="24"/>
          <w:szCs w:val="24"/>
        </w:rPr>
        <w:t>, 16 Colo. 143, 26 P. 131 (1891)</w:t>
      </w:r>
      <w:r>
        <w:rPr>
          <w:rFonts w:eastAsia="Times New Roman"/>
          <w:sz w:val="24"/>
          <w:szCs w:val="24"/>
        </w:rPr>
        <w:t xml:space="preserve">; </w:t>
      </w:r>
      <w:r w:rsidRPr="00E24E10">
        <w:rPr>
          <w:rFonts w:eastAsia="Times New Roman"/>
          <w:b/>
          <w:sz w:val="24"/>
          <w:szCs w:val="24"/>
        </w:rPr>
        <w:t>Flatiron Paving Co. v. Wilkin</w:t>
      </w:r>
      <w:r w:rsidRPr="00E24E10">
        <w:rPr>
          <w:rFonts w:eastAsia="Times New Roman"/>
          <w:sz w:val="24"/>
          <w:szCs w:val="24"/>
        </w:rPr>
        <w:t>, 725 P.2d 103 (Colo.</w:t>
      </w:r>
      <w:r>
        <w:rPr>
          <w:rFonts w:eastAsia="Times New Roman"/>
          <w:sz w:val="24"/>
          <w:szCs w:val="24"/>
        </w:rPr>
        <w:t xml:space="preserve"> </w:t>
      </w:r>
      <w:r w:rsidRPr="00E24E10">
        <w:rPr>
          <w:rFonts w:eastAsia="Times New Roman"/>
          <w:sz w:val="24"/>
          <w:szCs w:val="24"/>
        </w:rPr>
        <w:t xml:space="preserve">App. 1986); </w:t>
      </w:r>
      <w:r w:rsidRPr="00E24E10">
        <w:rPr>
          <w:rFonts w:eastAsia="Times New Roman"/>
          <w:b/>
          <w:sz w:val="24"/>
          <w:szCs w:val="24"/>
        </w:rPr>
        <w:t>Hott v. Tillotson-Lewis Constr. Co.</w:t>
      </w:r>
      <w:r w:rsidRPr="00E24E10">
        <w:rPr>
          <w:rFonts w:eastAsia="Times New Roman"/>
          <w:sz w:val="24"/>
          <w:szCs w:val="24"/>
        </w:rPr>
        <w:t>, 682 P.2d 1220 (Colo.</w:t>
      </w:r>
      <w:r>
        <w:rPr>
          <w:rFonts w:eastAsia="Times New Roman"/>
          <w:sz w:val="24"/>
          <w:szCs w:val="24"/>
        </w:rPr>
        <w:t xml:space="preserve"> </w:t>
      </w:r>
      <w:r w:rsidRPr="00E24E10">
        <w:rPr>
          <w:rFonts w:eastAsia="Times New Roman"/>
          <w:sz w:val="24"/>
          <w:szCs w:val="24"/>
        </w:rPr>
        <w:t xml:space="preserve">App. 1983) (agent who enters into a contract for an undisclosed principal may be held personally liable on the contract); </w:t>
      </w:r>
      <w:r w:rsidRPr="00E24E10">
        <w:rPr>
          <w:rFonts w:eastAsia="Times New Roman"/>
          <w:b/>
          <w:sz w:val="24"/>
          <w:szCs w:val="24"/>
        </w:rPr>
        <w:t>Conner v. Steel, Inc.</w:t>
      </w:r>
      <w:r w:rsidRPr="00E24E10">
        <w:rPr>
          <w:rFonts w:eastAsia="Times New Roman"/>
          <w:sz w:val="24"/>
          <w:szCs w:val="24"/>
        </w:rPr>
        <w:t>, 28 Colo.</w:t>
      </w:r>
      <w:r>
        <w:rPr>
          <w:rFonts w:eastAsia="Times New Roman"/>
          <w:sz w:val="24"/>
          <w:szCs w:val="24"/>
        </w:rPr>
        <w:t xml:space="preserve"> </w:t>
      </w:r>
      <w:r w:rsidRPr="00E24E10">
        <w:rPr>
          <w:rFonts w:eastAsia="Times New Roman"/>
          <w:sz w:val="24"/>
          <w:szCs w:val="24"/>
        </w:rPr>
        <w:t>App. 1, 470 P.2d 71 (1970)</w:t>
      </w:r>
      <w:r>
        <w:rPr>
          <w:rFonts w:eastAsia="Times New Roman"/>
          <w:sz w:val="24"/>
          <w:szCs w:val="24"/>
        </w:rPr>
        <w:t>;</w:t>
      </w:r>
      <w:r w:rsidRPr="003D4122">
        <w:rPr>
          <w:rFonts w:eastAsia="Times New Roman"/>
          <w:smallCaps/>
          <w:sz w:val="24"/>
          <w:szCs w:val="24"/>
        </w:rPr>
        <w:t xml:space="preserve"> </w:t>
      </w:r>
      <w:r w:rsidRPr="00E24E10">
        <w:rPr>
          <w:rFonts w:eastAsia="Times New Roman"/>
          <w:smallCaps/>
          <w:sz w:val="24"/>
          <w:szCs w:val="24"/>
        </w:rPr>
        <w:t>Restatement (Second) of Agency</w:t>
      </w:r>
      <w:r w:rsidRPr="00E24E10">
        <w:rPr>
          <w:rFonts w:eastAsia="Times New Roman"/>
          <w:sz w:val="24"/>
          <w:szCs w:val="24"/>
        </w:rPr>
        <w:t xml:space="preserve"> § 4(3) (1958). For historical discussion of definitions, see </w:t>
      </w:r>
      <w:r w:rsidRPr="00E24E10">
        <w:rPr>
          <w:rFonts w:eastAsia="Times New Roman"/>
          <w:smallCaps/>
          <w:sz w:val="24"/>
          <w:szCs w:val="24"/>
        </w:rPr>
        <w:t>W. Seavey, Agency</w:t>
      </w:r>
      <w:r w:rsidRPr="00E24E10">
        <w:rPr>
          <w:rFonts w:eastAsia="Times New Roman"/>
          <w:sz w:val="24"/>
          <w:szCs w:val="24"/>
        </w:rPr>
        <w:t xml:space="preserve"> § 4 (1964).</w:t>
      </w:r>
    </w:p>
    <w:p w14:paraId="3CF06073" w14:textId="4ABDC02B"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2. Agents routinely act on behalf of undisclosed principals, and an agent’s purchase on behalf of an undisclosed principal is a legal method of dealing with a hold-out seller. </w:t>
      </w:r>
      <w:r w:rsidRPr="00E24E10">
        <w:rPr>
          <w:rFonts w:eastAsia="Times New Roman"/>
          <w:b/>
          <w:sz w:val="24"/>
          <w:szCs w:val="24"/>
        </w:rPr>
        <w:t>Rocky Mountain Expl., Inc.</w:t>
      </w:r>
      <w:r w:rsidRPr="00E24E10">
        <w:rPr>
          <w:rFonts w:eastAsia="Times New Roman"/>
          <w:sz w:val="24"/>
          <w:szCs w:val="24"/>
        </w:rPr>
        <w:t xml:space="preserve">, ¶¶ </w:t>
      </w:r>
      <w:r>
        <w:rPr>
          <w:rFonts w:eastAsia="Times New Roman"/>
          <w:sz w:val="24"/>
          <w:szCs w:val="24"/>
        </w:rPr>
        <w:t>31-33</w:t>
      </w:r>
      <w:r w:rsidR="0090551B">
        <w:rPr>
          <w:rFonts w:eastAsia="Times New Roman"/>
          <w:sz w:val="24"/>
          <w:szCs w:val="24"/>
        </w:rPr>
        <w:t>, 420 P.3d at 230</w:t>
      </w:r>
      <w:r w:rsidRPr="00E24E10">
        <w:rPr>
          <w:rFonts w:eastAsia="Times New Roman"/>
          <w:sz w:val="24"/>
          <w:szCs w:val="24"/>
        </w:rPr>
        <w:t>.</w:t>
      </w:r>
    </w:p>
    <w:p w14:paraId="6CB1019A" w14:textId="77777777" w:rsidR="00E01A1E" w:rsidRPr="00E24E10" w:rsidRDefault="00771A51" w:rsidP="00E01A1E">
      <w:pPr>
        <w:spacing w:after="240"/>
        <w:ind w:firstLine="720"/>
        <w:rPr>
          <w:rFonts w:eastAsia="Times New Roman"/>
          <w:sz w:val="24"/>
          <w:szCs w:val="24"/>
        </w:rPr>
      </w:pPr>
      <w:r w:rsidRPr="00E24E10">
        <w:rPr>
          <w:rFonts w:eastAsia="Times New Roman"/>
          <w:sz w:val="24"/>
          <w:szCs w:val="24"/>
        </w:rPr>
        <w:t xml:space="preserve">3. A third party who contracts with an agent acting with authority from an undisclosed principal is liable to the principal on the contract unless the principal is excluded by the contract, the principal’s existence is fraudulently concealed, or there is a setoff or similar defense against the agent. </w:t>
      </w:r>
      <w:r w:rsidRPr="00E24E10">
        <w:rPr>
          <w:rFonts w:eastAsia="Times New Roman"/>
          <w:b/>
          <w:sz w:val="24"/>
          <w:szCs w:val="24"/>
        </w:rPr>
        <w:t>Filho v. Rodriguez</w:t>
      </w:r>
      <w:r w:rsidRPr="00E24E10">
        <w:rPr>
          <w:rFonts w:eastAsia="Times New Roman"/>
          <w:sz w:val="24"/>
          <w:szCs w:val="24"/>
        </w:rPr>
        <w:t>, 36 P.3d 199 (Colo.</w:t>
      </w:r>
      <w:r>
        <w:rPr>
          <w:rFonts w:eastAsia="Times New Roman"/>
          <w:sz w:val="24"/>
          <w:szCs w:val="24"/>
        </w:rPr>
        <w:t xml:space="preserve"> </w:t>
      </w:r>
      <w:r w:rsidRPr="00E24E10">
        <w:rPr>
          <w:rFonts w:eastAsia="Times New Roman"/>
          <w:sz w:val="24"/>
          <w:szCs w:val="24"/>
        </w:rPr>
        <w:t xml:space="preserve">App. 2001); </w:t>
      </w:r>
      <w:r w:rsidRPr="00E24E10">
        <w:rPr>
          <w:rFonts w:eastAsia="Times New Roman"/>
          <w:i/>
          <w:sz w:val="24"/>
          <w:szCs w:val="24"/>
        </w:rPr>
        <w:t xml:space="preserve">see also </w:t>
      </w:r>
      <w:r w:rsidRPr="00E24E10">
        <w:rPr>
          <w:rFonts w:eastAsia="Times New Roman"/>
          <w:smallCaps/>
          <w:sz w:val="24"/>
          <w:szCs w:val="24"/>
        </w:rPr>
        <w:t>Restatement (Third) of Agency</w:t>
      </w:r>
      <w:r w:rsidRPr="00E24E10">
        <w:rPr>
          <w:rFonts w:eastAsia="Times New Roman"/>
          <w:sz w:val="24"/>
          <w:szCs w:val="24"/>
        </w:rPr>
        <w:t xml:space="preserve"> § 6.03 (2006) (setting forth parties to contract where agent acting with actual authority makes contract on behalf of undisclosed principal).</w:t>
      </w:r>
    </w:p>
    <w:p w14:paraId="5D976B60" w14:textId="564BC507" w:rsidR="00E01A1E" w:rsidRDefault="00771A51" w:rsidP="00E01A1E">
      <w:pPr>
        <w:spacing w:after="240"/>
        <w:ind w:firstLine="720"/>
        <w:rPr>
          <w:rFonts w:eastAsia="Times New Roman"/>
          <w:sz w:val="24"/>
          <w:szCs w:val="24"/>
        </w:rPr>
      </w:pPr>
      <w:r w:rsidRPr="00E24E10">
        <w:rPr>
          <w:rFonts w:eastAsia="Times New Roman"/>
          <w:sz w:val="24"/>
          <w:szCs w:val="24"/>
        </w:rPr>
        <w:t xml:space="preserve">4. A narrow exception to the rule set forth in paragraph 3 applies where (1) the agent falsely represents </w:t>
      </w:r>
      <w:r>
        <w:rPr>
          <w:rFonts w:eastAsia="Times New Roman"/>
          <w:sz w:val="24"/>
          <w:szCs w:val="24"/>
        </w:rPr>
        <w:t xml:space="preserve">to the third party </w:t>
      </w:r>
      <w:r w:rsidRPr="00E24E10">
        <w:rPr>
          <w:rFonts w:eastAsia="Times New Roman"/>
          <w:sz w:val="24"/>
          <w:szCs w:val="24"/>
        </w:rPr>
        <w:t xml:space="preserve">that it does not act on behalf of a principal and (2) the principal or agent had notice that the third party would not have dealt with the principal. </w:t>
      </w:r>
      <w:r w:rsidRPr="00E24E10">
        <w:rPr>
          <w:rFonts w:eastAsia="Times New Roman"/>
          <w:b/>
          <w:sz w:val="24"/>
          <w:szCs w:val="24"/>
        </w:rPr>
        <w:t>Rocky Mountain Expl., Inc.</w:t>
      </w:r>
      <w:r w:rsidRPr="00431B98">
        <w:rPr>
          <w:rFonts w:eastAsia="Times New Roman"/>
          <w:sz w:val="24"/>
          <w:szCs w:val="24"/>
        </w:rPr>
        <w:t xml:space="preserve">, </w:t>
      </w:r>
      <w:r w:rsidRPr="00E24E10">
        <w:rPr>
          <w:rFonts w:eastAsia="Times New Roman"/>
          <w:sz w:val="24"/>
          <w:szCs w:val="24"/>
        </w:rPr>
        <w:t>¶</w:t>
      </w:r>
      <w:r>
        <w:rPr>
          <w:rFonts w:eastAsia="Times New Roman"/>
          <w:sz w:val="24"/>
          <w:szCs w:val="24"/>
        </w:rPr>
        <w:t xml:space="preserve"> 33</w:t>
      </w:r>
      <w:r w:rsidR="0090551B">
        <w:rPr>
          <w:rFonts w:eastAsia="Times New Roman"/>
          <w:sz w:val="24"/>
          <w:szCs w:val="24"/>
        </w:rPr>
        <w:t>, 420 P.3d at 230</w:t>
      </w:r>
      <w:r w:rsidRPr="00E24E10">
        <w:rPr>
          <w:rFonts w:eastAsia="Times New Roman"/>
          <w:sz w:val="24"/>
          <w:szCs w:val="24"/>
        </w:rPr>
        <w:t xml:space="preserve"> (citing </w:t>
      </w:r>
      <w:r w:rsidRPr="00E24E10">
        <w:rPr>
          <w:rFonts w:eastAsia="Times New Roman"/>
          <w:smallCaps/>
          <w:sz w:val="24"/>
          <w:szCs w:val="24"/>
        </w:rPr>
        <w:t>Restatement (Third) of Agency</w:t>
      </w:r>
      <w:r w:rsidRPr="00E24E10">
        <w:rPr>
          <w:rFonts w:eastAsia="Times New Roman"/>
          <w:sz w:val="24"/>
          <w:szCs w:val="24"/>
        </w:rPr>
        <w:t xml:space="preserve"> § 6.11(4) (2006)). Under these circumstances, the third party may avoid, or rescind, the contract. </w:t>
      </w:r>
      <w:r w:rsidRPr="00E24E10">
        <w:rPr>
          <w:rFonts w:eastAsia="Times New Roman"/>
          <w:i/>
          <w:sz w:val="24"/>
          <w:szCs w:val="24"/>
        </w:rPr>
        <w:t>Id</w:t>
      </w:r>
      <w:r w:rsidRPr="00E24E10">
        <w:rPr>
          <w:rFonts w:eastAsia="Times New Roman"/>
          <w:sz w:val="24"/>
          <w:szCs w:val="24"/>
        </w:rPr>
        <w:t>.</w:t>
      </w:r>
    </w:p>
    <w:p w14:paraId="14FF3A96" w14:textId="77777777" w:rsidR="00E01A1E" w:rsidRDefault="00771A51">
      <w:pPr>
        <w:rPr>
          <w:rFonts w:eastAsia="Times New Roman"/>
          <w:sz w:val="24"/>
          <w:szCs w:val="24"/>
        </w:rPr>
      </w:pPr>
      <w:r>
        <w:rPr>
          <w:rFonts w:eastAsia="Times New Roman"/>
          <w:sz w:val="24"/>
          <w:szCs w:val="24"/>
        </w:rPr>
        <w:br w:type="page"/>
      </w:r>
    </w:p>
    <w:p w14:paraId="1E7757DF" w14:textId="77777777" w:rsidR="00E01A1E" w:rsidRPr="009E3DA4" w:rsidRDefault="00771A51" w:rsidP="00E01A1E">
      <w:pPr>
        <w:spacing w:after="240"/>
        <w:ind w:left="720" w:hanging="720"/>
        <w:rPr>
          <w:rFonts w:eastAsia="Times New Roman"/>
          <w:b/>
          <w:sz w:val="24"/>
          <w:szCs w:val="24"/>
        </w:rPr>
      </w:pPr>
      <w:bookmarkStart w:id="4" w:name="a8_4"/>
      <w:bookmarkEnd w:id="4"/>
      <w:r w:rsidRPr="00E7526A">
        <w:rPr>
          <w:rFonts w:eastAsia="Times New Roman"/>
          <w:b/>
          <w:sz w:val="24"/>
          <w:szCs w:val="24"/>
        </w:rPr>
        <w:lastRenderedPageBreak/>
        <w:t xml:space="preserve">8:4 </w:t>
      </w:r>
      <w:r w:rsidRPr="00E7526A">
        <w:rPr>
          <w:rFonts w:eastAsia="Times New Roman"/>
          <w:b/>
          <w:sz w:val="24"/>
          <w:szCs w:val="24"/>
        </w:rPr>
        <w:tab/>
        <w:t>EMPLOYER AND EMPLOYEE — DEFINED</w:t>
      </w:r>
    </w:p>
    <w:p w14:paraId="6372D582"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The terms “employer” and “employee” refer to the relationship that exists when one (person) </w:t>
      </w:r>
      <w:r w:rsidRPr="00E7526A">
        <w:rPr>
          <w:rFonts w:eastAsia="Times New Roman"/>
          <w:i/>
          <w:sz w:val="24"/>
          <w:szCs w:val="24"/>
        </w:rPr>
        <w:t>(insert appropriate description of entity)</w:t>
      </w:r>
      <w:r w:rsidRPr="00E7526A">
        <w:rPr>
          <w:rFonts w:eastAsia="Times New Roman"/>
          <w:b/>
          <w:sz w:val="24"/>
          <w:szCs w:val="24"/>
        </w:rPr>
        <w:t>, the employer, employs another, the employee, to do certain work.</w:t>
      </w:r>
    </w:p>
    <w:p w14:paraId="4775D1B7"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In determining whether the relationship exists you should consider whether </w:t>
      </w:r>
      <w:r w:rsidRPr="00E7526A">
        <w:rPr>
          <w:rFonts w:eastAsia="Times New Roman"/>
          <w:i/>
          <w:sz w:val="24"/>
          <w:szCs w:val="24"/>
        </w:rPr>
        <w:t>(name of alleged employer)</w:t>
      </w:r>
      <w:r w:rsidRPr="00E7526A">
        <w:rPr>
          <w:rFonts w:eastAsia="Times New Roman"/>
          <w:b/>
          <w:sz w:val="24"/>
          <w:szCs w:val="24"/>
        </w:rPr>
        <w:t xml:space="preserve"> selected or employed </w:t>
      </w:r>
      <w:r w:rsidRPr="00E7526A">
        <w:rPr>
          <w:rFonts w:eastAsia="Times New Roman"/>
          <w:i/>
          <w:sz w:val="24"/>
          <w:szCs w:val="24"/>
        </w:rPr>
        <w:t>(name of alleged employee)</w:t>
      </w:r>
      <w:r w:rsidRPr="00E7526A">
        <w:rPr>
          <w:rFonts w:eastAsia="Times New Roman"/>
          <w:b/>
          <w:sz w:val="24"/>
          <w:szCs w:val="24"/>
        </w:rPr>
        <w:t xml:space="preserve">; whether </w:t>
      </w:r>
      <w:r w:rsidRPr="00E7526A">
        <w:rPr>
          <w:rFonts w:eastAsia="Times New Roman"/>
          <w:i/>
          <w:sz w:val="24"/>
          <w:szCs w:val="24"/>
        </w:rPr>
        <w:t xml:space="preserve">(name of alleged employer) </w:t>
      </w:r>
      <w:r w:rsidRPr="00E7526A">
        <w:rPr>
          <w:rFonts w:eastAsia="Times New Roman"/>
          <w:b/>
          <w:sz w:val="24"/>
          <w:szCs w:val="24"/>
        </w:rPr>
        <w:t xml:space="preserve">was to pay </w:t>
      </w:r>
      <w:r w:rsidRPr="00E7526A">
        <w:rPr>
          <w:rFonts w:eastAsia="Times New Roman"/>
          <w:i/>
          <w:sz w:val="24"/>
          <w:szCs w:val="24"/>
        </w:rPr>
        <w:t>(name of alleged employee)</w:t>
      </w:r>
      <w:r w:rsidRPr="00E7526A">
        <w:rPr>
          <w:rFonts w:eastAsia="Times New Roman"/>
          <w:sz w:val="24"/>
          <w:szCs w:val="24"/>
        </w:rPr>
        <w:t xml:space="preserve"> </w:t>
      </w:r>
      <w:r w:rsidRPr="00E7526A">
        <w:rPr>
          <w:rFonts w:eastAsia="Times New Roman"/>
          <w:b/>
          <w:sz w:val="24"/>
          <w:szCs w:val="24"/>
        </w:rPr>
        <w:t xml:space="preserve">or paid </w:t>
      </w:r>
      <w:r w:rsidRPr="00E7526A">
        <w:rPr>
          <w:rFonts w:eastAsia="Times New Roman"/>
          <w:i/>
          <w:sz w:val="24"/>
          <w:szCs w:val="24"/>
        </w:rPr>
        <w:t xml:space="preserve">(name of alleged employee) </w:t>
      </w:r>
      <w:r w:rsidRPr="00E7526A">
        <w:rPr>
          <w:rFonts w:eastAsia="Times New Roman"/>
          <w:b/>
          <w:sz w:val="24"/>
          <w:szCs w:val="24"/>
        </w:rPr>
        <w:t xml:space="preserve">wages or other consideration; whether </w:t>
      </w:r>
      <w:r w:rsidRPr="00E7526A">
        <w:rPr>
          <w:rFonts w:eastAsia="Times New Roman"/>
          <w:i/>
          <w:sz w:val="24"/>
          <w:szCs w:val="24"/>
        </w:rPr>
        <w:t>(name of alleged employer)</w:t>
      </w:r>
      <w:r w:rsidRPr="00E7526A">
        <w:rPr>
          <w:rFonts w:eastAsia="Times New Roman"/>
          <w:b/>
          <w:sz w:val="24"/>
          <w:szCs w:val="24"/>
        </w:rPr>
        <w:t xml:space="preserve"> had the power or right to dismiss and the right to control </w:t>
      </w:r>
      <w:r w:rsidRPr="00E7526A">
        <w:rPr>
          <w:rFonts w:eastAsia="Times New Roman"/>
          <w:i/>
          <w:sz w:val="24"/>
          <w:szCs w:val="24"/>
        </w:rPr>
        <w:t>(name of alleged employee)</w:t>
      </w:r>
      <w:r w:rsidRPr="00E7526A">
        <w:rPr>
          <w:rFonts w:eastAsia="Times New Roman"/>
          <w:b/>
          <w:sz w:val="24"/>
          <w:szCs w:val="24"/>
        </w:rPr>
        <w:t>.</w:t>
      </w:r>
    </w:p>
    <w:p w14:paraId="0DFB2C21" w14:textId="1CC68636"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The central element is the right to control the details of performance. It does not matter whether </w:t>
      </w:r>
      <w:r w:rsidRPr="00E7526A">
        <w:rPr>
          <w:rFonts w:eastAsia="Times New Roman"/>
          <w:i/>
          <w:sz w:val="24"/>
          <w:szCs w:val="24"/>
        </w:rPr>
        <w:t xml:space="preserve">(name of alleged employer) </w:t>
      </w:r>
      <w:r w:rsidRPr="00E7526A">
        <w:rPr>
          <w:rFonts w:eastAsia="Times New Roman"/>
          <w:b/>
          <w:sz w:val="24"/>
          <w:szCs w:val="24"/>
        </w:rPr>
        <w:t xml:space="preserve">actually exercised any right to control </w:t>
      </w:r>
      <w:r w:rsidRPr="00E7526A">
        <w:rPr>
          <w:rFonts w:eastAsia="Times New Roman"/>
          <w:i/>
          <w:sz w:val="24"/>
          <w:szCs w:val="24"/>
        </w:rPr>
        <w:t>(name of alleged employee)</w:t>
      </w:r>
      <w:r w:rsidRPr="00E7526A">
        <w:rPr>
          <w:rFonts w:eastAsia="Times New Roman"/>
          <w:b/>
          <w:sz w:val="24"/>
          <w:szCs w:val="24"/>
        </w:rPr>
        <w:t xml:space="preserve"> </w:t>
      </w:r>
      <w:r w:rsidR="003E686C" w:rsidRPr="003E686C">
        <w:rPr>
          <w:rFonts w:eastAsia="Times New Roman"/>
          <w:bCs/>
          <w:i/>
          <w:iCs/>
          <w:sz w:val="24"/>
          <w:szCs w:val="24"/>
        </w:rPr>
        <w:t>(insert applicable pronoun)</w:t>
      </w:r>
      <w:r w:rsidRPr="00E7526A">
        <w:rPr>
          <w:rFonts w:eastAsia="Times New Roman"/>
          <w:b/>
          <w:sz w:val="24"/>
          <w:szCs w:val="24"/>
        </w:rPr>
        <w:t xml:space="preserve"> may have had.</w:t>
      </w:r>
    </w:p>
    <w:p w14:paraId="77D8AEE0" w14:textId="77777777" w:rsidR="00E01A1E" w:rsidRDefault="00E01A1E" w:rsidP="00E01A1E">
      <w:pPr>
        <w:jc w:val="center"/>
        <w:rPr>
          <w:rFonts w:eastAsia="Times New Roman"/>
          <w:sz w:val="24"/>
          <w:szCs w:val="24"/>
        </w:rPr>
      </w:pPr>
    </w:p>
    <w:p w14:paraId="4EB9ACC1"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42538D0"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1. When an employee of one person has been loaned to another and the issue is whose employee that employee was at a particular time, Instructions 8:6 and 8:7 should also be given.</w:t>
      </w:r>
    </w:p>
    <w:p w14:paraId="63014F17" w14:textId="77777777" w:rsidR="00E01A1E" w:rsidRDefault="00771A51" w:rsidP="00E01A1E">
      <w:pPr>
        <w:spacing w:after="240"/>
        <w:ind w:firstLine="720"/>
        <w:rPr>
          <w:rFonts w:eastAsia="Times New Roman"/>
          <w:sz w:val="24"/>
          <w:szCs w:val="24"/>
        </w:rPr>
      </w:pPr>
      <w:r w:rsidRPr="00E7526A">
        <w:rPr>
          <w:rFonts w:eastAsia="Times New Roman"/>
          <w:sz w:val="24"/>
          <w:szCs w:val="24"/>
        </w:rPr>
        <w:t>2. When the issue is whether the person employed is an employee or independent contractor, Instruction 8:5 should also be given.</w:t>
      </w:r>
    </w:p>
    <w:p w14:paraId="444402CB" w14:textId="77777777" w:rsidR="00E01A1E" w:rsidRDefault="00771A51" w:rsidP="00E01A1E">
      <w:pPr>
        <w:ind w:firstLine="720"/>
        <w:rPr>
          <w:sz w:val="24"/>
          <w:szCs w:val="24"/>
        </w:rPr>
      </w:pPr>
      <w:r>
        <w:rPr>
          <w:rFonts w:eastAsia="Times New Roman"/>
          <w:sz w:val="24"/>
          <w:szCs w:val="24"/>
        </w:rPr>
        <w:t xml:space="preserve">3. These definitions of employee and employer differ from those used in the Colorado Revised Statutes. </w:t>
      </w:r>
      <w:r w:rsidRPr="00171264">
        <w:rPr>
          <w:rFonts w:eastAsia="Times New Roman"/>
          <w:i/>
          <w:sz w:val="24"/>
          <w:szCs w:val="24"/>
        </w:rPr>
        <w:t>See</w:t>
      </w:r>
      <w:r w:rsidRPr="002B2CBC">
        <w:rPr>
          <w:rFonts w:eastAsia="Times New Roman"/>
          <w:i/>
          <w:sz w:val="24"/>
          <w:szCs w:val="24"/>
        </w:rPr>
        <w:t xml:space="preserve">, </w:t>
      </w:r>
      <w:r w:rsidRPr="00171264">
        <w:rPr>
          <w:rFonts w:eastAsia="Times New Roman"/>
          <w:i/>
          <w:sz w:val="24"/>
          <w:szCs w:val="24"/>
        </w:rPr>
        <w:t>e.g.</w:t>
      </w:r>
      <w:r>
        <w:rPr>
          <w:rFonts w:eastAsia="Times New Roman"/>
          <w:sz w:val="24"/>
          <w:szCs w:val="24"/>
        </w:rPr>
        <w:t>, Colorado Wage Act, §§ 8-4-101 to -123, C.R.S.; Colorado Wage Equality Regardless of Sex Act, §§ 8-5-101 to -105, C.R.S.;</w:t>
      </w:r>
      <w:r w:rsidRPr="00171264">
        <w:rPr>
          <w:sz w:val="24"/>
          <w:szCs w:val="24"/>
        </w:rPr>
        <w:t xml:space="preserve"> </w:t>
      </w:r>
      <w:r>
        <w:rPr>
          <w:sz w:val="24"/>
          <w:szCs w:val="24"/>
        </w:rPr>
        <w:t xml:space="preserve">Workers’ Compensation Act of Colorado, §§ 8-40-101 to -302, C.R.S.; Colorado Employment Security Act, §§ 8-70-101 to -143, C.R.S.; </w:t>
      </w:r>
      <w:r>
        <w:rPr>
          <w:rFonts w:eastAsia="Times New Roman"/>
          <w:sz w:val="24"/>
          <w:szCs w:val="24"/>
        </w:rPr>
        <w:t>Colorado Anti-Discrimination Act, §§ 24-34-401 to -403, C.R.S.</w:t>
      </w:r>
    </w:p>
    <w:p w14:paraId="002BECA2" w14:textId="77777777" w:rsidR="00E01A1E" w:rsidRPr="00E7526A" w:rsidRDefault="00E01A1E" w:rsidP="00E01A1E">
      <w:pPr>
        <w:spacing w:after="240"/>
        <w:ind w:firstLine="720"/>
        <w:rPr>
          <w:rFonts w:eastAsia="Times New Roman"/>
          <w:sz w:val="24"/>
          <w:szCs w:val="24"/>
        </w:rPr>
      </w:pPr>
    </w:p>
    <w:p w14:paraId="3021AFE2"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17655150" w14:textId="77777777" w:rsidR="00E01A1E" w:rsidRDefault="00771A51" w:rsidP="00E01A1E">
      <w:pPr>
        <w:spacing w:after="240"/>
        <w:ind w:firstLine="720"/>
        <w:rPr>
          <w:rFonts w:eastAsia="Times New Roman"/>
          <w:sz w:val="24"/>
          <w:szCs w:val="24"/>
        </w:rPr>
      </w:pPr>
      <w:r w:rsidRPr="00E7526A">
        <w:rPr>
          <w:rFonts w:eastAsia="Times New Roman"/>
          <w:sz w:val="24"/>
          <w:szCs w:val="24"/>
        </w:rPr>
        <w:t xml:space="preserve">1. This instruction is supported by </w:t>
      </w:r>
      <w:r w:rsidRPr="00E7526A">
        <w:rPr>
          <w:rFonts w:eastAsia="Times New Roman"/>
          <w:b/>
          <w:sz w:val="24"/>
          <w:szCs w:val="24"/>
        </w:rPr>
        <w:t>Norton v. Gilman</w:t>
      </w:r>
      <w:r w:rsidRPr="00E7526A">
        <w:rPr>
          <w:rFonts w:eastAsia="Times New Roman"/>
          <w:sz w:val="24"/>
          <w:szCs w:val="24"/>
        </w:rPr>
        <w:t xml:space="preserve">, 949 P.2d 565 (Colo. 1997) (most important factor in determining whether employment relationship exists is whether alleged employer had right to control details of performance); </w:t>
      </w:r>
      <w:r w:rsidRPr="00E7526A">
        <w:rPr>
          <w:rFonts w:eastAsia="Times New Roman"/>
          <w:b/>
          <w:sz w:val="24"/>
          <w:szCs w:val="24"/>
        </w:rPr>
        <w:t>Moses v. Diocese of Colorado</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863 P.2d 310</w:t>
      </w:r>
      <w:r>
        <w:rPr>
          <w:rFonts w:eastAsia="Times New Roman"/>
          <w:sz w:val="24"/>
          <w:szCs w:val="24"/>
        </w:rPr>
        <w:t>, 325</w:t>
      </w:r>
      <w:r w:rsidRPr="00E7526A">
        <w:rPr>
          <w:rFonts w:eastAsia="Times New Roman"/>
          <w:sz w:val="24"/>
          <w:szCs w:val="24"/>
        </w:rPr>
        <w:t xml:space="preserve"> (Colo. 1993) (</w:t>
      </w:r>
      <w:r>
        <w:rPr>
          <w:rFonts w:eastAsia="Times New Roman"/>
          <w:sz w:val="24"/>
          <w:szCs w:val="24"/>
        </w:rPr>
        <w:t>Bishop and Diocese “h</w:t>
      </w:r>
      <w:r w:rsidRPr="00544684">
        <w:rPr>
          <w:rFonts w:eastAsia="Times New Roman"/>
          <w:color w:val="000000"/>
          <w:sz w:val="24"/>
          <w:szCs w:val="24"/>
        </w:rPr>
        <w:t>ad and exercised the right of control over the manner of work performed by a priest as well as the hiring, compensation, counseling performed by the priest and discipline of the priest</w:t>
      </w:r>
      <w:r>
        <w:rPr>
          <w:rFonts w:eastAsia="Times New Roman"/>
          <w:color w:val="000000"/>
          <w:sz w:val="24"/>
          <w:szCs w:val="24"/>
        </w:rPr>
        <w:t>.”</w:t>
      </w:r>
      <w:r w:rsidRPr="00E7526A">
        <w:rPr>
          <w:rFonts w:eastAsia="Times New Roman"/>
          <w:sz w:val="24"/>
          <w:szCs w:val="24"/>
        </w:rPr>
        <w:t xml:space="preserve">); </w:t>
      </w:r>
      <w:r w:rsidRPr="00E7526A">
        <w:rPr>
          <w:rFonts w:eastAsia="Times New Roman"/>
          <w:b/>
          <w:sz w:val="24"/>
          <w:szCs w:val="24"/>
        </w:rPr>
        <w:t>Jacobson v. Doan</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136 Colo. 496, 319 P.2d 975 (1957); </w:t>
      </w:r>
      <w:r w:rsidRPr="00E7526A">
        <w:rPr>
          <w:rFonts w:eastAsia="Times New Roman"/>
          <w:b/>
          <w:sz w:val="24"/>
          <w:szCs w:val="24"/>
        </w:rPr>
        <w:t>Colorado Compensation Insurance Authority v. Jones</w:t>
      </w:r>
      <w:r w:rsidRPr="00E7526A">
        <w:rPr>
          <w:rFonts w:eastAsia="Times New Roman"/>
          <w:sz w:val="24"/>
          <w:szCs w:val="24"/>
        </w:rPr>
        <w:t xml:space="preserve">, 131 P.3d 1074 (Colo. App. 2005) (unpaid person can be an employee where there is a right to control); </w:t>
      </w:r>
      <w:r w:rsidRPr="00E7526A">
        <w:rPr>
          <w:rFonts w:eastAsia="Times New Roman"/>
          <w:b/>
          <w:sz w:val="24"/>
          <w:szCs w:val="24"/>
        </w:rPr>
        <w:t>Tunget v. Board of County Commissioners</w:t>
      </w:r>
      <w:r w:rsidRPr="00E7526A">
        <w:rPr>
          <w:rFonts w:eastAsia="Times New Roman"/>
          <w:sz w:val="24"/>
          <w:szCs w:val="24"/>
        </w:rPr>
        <w:t xml:space="preserve">, 992 P.2d 650 (Colo. App. 1999) (right to control is determinative factor in deciding whether employer-employee relationship exists); </w:t>
      </w:r>
      <w:r w:rsidRPr="00E7526A">
        <w:rPr>
          <w:rFonts w:eastAsia="Times New Roman"/>
          <w:b/>
          <w:sz w:val="24"/>
          <w:szCs w:val="24"/>
        </w:rPr>
        <w:t>Veintimilla v. Dobyanski</w:t>
      </w:r>
      <w:r w:rsidRPr="00E7526A">
        <w:rPr>
          <w:rFonts w:eastAsia="Times New Roman"/>
          <w:sz w:val="24"/>
          <w:szCs w:val="24"/>
        </w:rPr>
        <w:t>,</w:t>
      </w:r>
      <w:r w:rsidRPr="00E7526A">
        <w:rPr>
          <w:rFonts w:eastAsia="Times New Roman"/>
          <w:b/>
          <w:sz w:val="24"/>
          <w:szCs w:val="24"/>
        </w:rPr>
        <w:t xml:space="preserve"> </w:t>
      </w:r>
      <w:r w:rsidRPr="00E7526A">
        <w:rPr>
          <w:rFonts w:eastAsia="Times New Roman"/>
          <w:sz w:val="24"/>
          <w:szCs w:val="24"/>
        </w:rPr>
        <w:t xml:space="preserve">975 P.2d 1122 (Colo. App. 1997) (in determining whether employer-employee relationship exists, which party furnishes necessary tools is relevant); </w:t>
      </w:r>
      <w:r w:rsidRPr="00E7526A">
        <w:rPr>
          <w:rFonts w:eastAsia="Times New Roman"/>
          <w:b/>
          <w:sz w:val="24"/>
          <w:szCs w:val="24"/>
        </w:rPr>
        <w:t>Perkins v. Regional Transportation District</w:t>
      </w:r>
      <w:r w:rsidRPr="00E7526A">
        <w:rPr>
          <w:rFonts w:eastAsia="Times New Roman"/>
          <w:sz w:val="24"/>
          <w:szCs w:val="24"/>
        </w:rPr>
        <w:t xml:space="preserve">, 907 P.2d 672 (Colo. App. 1995); and </w:t>
      </w:r>
      <w:r w:rsidRPr="00E7526A">
        <w:rPr>
          <w:rFonts w:eastAsia="Times New Roman"/>
          <w:b/>
          <w:sz w:val="24"/>
          <w:szCs w:val="24"/>
        </w:rPr>
        <w:t>Koontz v. Rosener</w:t>
      </w:r>
      <w:r w:rsidRPr="00E7526A">
        <w:rPr>
          <w:rFonts w:eastAsia="Times New Roman"/>
          <w:sz w:val="24"/>
          <w:szCs w:val="24"/>
        </w:rPr>
        <w:t xml:space="preserve">, 787 P.2d 192 (Colo. App. 1989) (dismissing the lost compensation claims of employees of a licensed real estate brokerage </w:t>
      </w:r>
      <w:r w:rsidRPr="00E7526A">
        <w:rPr>
          <w:rFonts w:eastAsia="Times New Roman"/>
          <w:sz w:val="24"/>
          <w:szCs w:val="24"/>
        </w:rPr>
        <w:lastRenderedPageBreak/>
        <w:t xml:space="preserve">against the majority shareholder of the brokerage because the employees’ claims lay against the brokerage as the employer). </w:t>
      </w:r>
      <w:r w:rsidRPr="00E7526A">
        <w:rPr>
          <w:rFonts w:eastAsia="Times New Roman"/>
          <w:i/>
          <w:sz w:val="24"/>
          <w:szCs w:val="24"/>
        </w:rPr>
        <w:t>See</w:t>
      </w:r>
      <w:r w:rsidRPr="00E7526A">
        <w:rPr>
          <w:rFonts w:eastAsia="Times New Roman"/>
          <w:b/>
          <w:i/>
          <w:sz w:val="24"/>
          <w:szCs w:val="24"/>
        </w:rPr>
        <w:t xml:space="preserve"> </w:t>
      </w:r>
      <w:r w:rsidRPr="00E7526A">
        <w:rPr>
          <w:rFonts w:eastAsia="Times New Roman"/>
          <w:b/>
          <w:sz w:val="24"/>
          <w:szCs w:val="24"/>
        </w:rPr>
        <w:t>Mulberger v. People</w:t>
      </w:r>
      <w:r w:rsidRPr="00E7526A">
        <w:rPr>
          <w:rFonts w:eastAsia="Times New Roman"/>
          <w:sz w:val="24"/>
          <w:szCs w:val="24"/>
        </w:rPr>
        <w:t xml:space="preserve">, 2016 CO 10, ¶ 15, 366 P.3d 143 (using definition of employee to interpret section 16-10-103(1)(k), C.R.S. (requiring court to sustain challenge for cause where potential juror is “compensated employee of a public law enforcement agency or public defender’s office”)); </w:t>
      </w:r>
      <w:r w:rsidRPr="00E7526A">
        <w:rPr>
          <w:rFonts w:eastAsia="Times New Roman"/>
          <w:smallCaps/>
          <w:sz w:val="24"/>
          <w:szCs w:val="24"/>
        </w:rPr>
        <w:t>Restatement (Third) of Agency</w:t>
      </w:r>
      <w:r w:rsidRPr="00E7526A">
        <w:rPr>
          <w:rFonts w:eastAsia="Times New Roman"/>
          <w:sz w:val="24"/>
          <w:szCs w:val="24"/>
        </w:rPr>
        <w:t xml:space="preserve"> § 7.07(3)(a) (2006) (defining employee).</w:t>
      </w:r>
    </w:p>
    <w:p w14:paraId="24ED349E"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2. Because of the control the statute requires a licensed real estate broker to retain over the broker’s licensed real estate salespersons, such persons are, as a matter of law, the employees of the broker for whom they work. </w:t>
      </w:r>
      <w:r w:rsidRPr="00E7526A">
        <w:rPr>
          <w:rFonts w:eastAsia="Times New Roman"/>
          <w:b/>
          <w:sz w:val="24"/>
          <w:szCs w:val="24"/>
        </w:rPr>
        <w:t>Olsen v. Bondurant &amp; Co.</w:t>
      </w:r>
      <w:r w:rsidRPr="00E7526A">
        <w:rPr>
          <w:rFonts w:eastAsia="Times New Roman"/>
          <w:sz w:val="24"/>
          <w:szCs w:val="24"/>
        </w:rPr>
        <w:t>, 759 P.2d 861 (Colo. App. 1988).</w:t>
      </w:r>
    </w:p>
    <w:p w14:paraId="3B0860F9" w14:textId="77777777" w:rsidR="00E01A1E" w:rsidRPr="00AB140A" w:rsidRDefault="00E01A1E" w:rsidP="00E01A1E">
      <w:pPr>
        <w:spacing w:after="240"/>
        <w:ind w:firstLine="720"/>
        <w:rPr>
          <w:rFonts w:eastAsia="Times New Roman"/>
          <w:sz w:val="24"/>
          <w:szCs w:val="24"/>
        </w:rPr>
      </w:pPr>
    </w:p>
    <w:p w14:paraId="4B7D068D" w14:textId="77777777" w:rsidR="00E01A1E" w:rsidRDefault="00771A51">
      <w:pPr>
        <w:rPr>
          <w:rFonts w:eastAsia="Times New Roman"/>
          <w:sz w:val="24"/>
          <w:szCs w:val="24"/>
        </w:rPr>
      </w:pPr>
      <w:r>
        <w:rPr>
          <w:rFonts w:eastAsia="Times New Roman"/>
          <w:sz w:val="24"/>
          <w:szCs w:val="24"/>
        </w:rPr>
        <w:br w:type="page"/>
      </w:r>
    </w:p>
    <w:p w14:paraId="16711DC0" w14:textId="77777777" w:rsidR="00E01A1E" w:rsidRPr="009E3DA4" w:rsidRDefault="00771A51" w:rsidP="00E01A1E">
      <w:pPr>
        <w:spacing w:after="240"/>
        <w:ind w:left="720" w:hanging="720"/>
        <w:rPr>
          <w:rFonts w:eastAsia="Times New Roman"/>
          <w:b/>
          <w:sz w:val="24"/>
          <w:szCs w:val="24"/>
        </w:rPr>
      </w:pPr>
      <w:bookmarkStart w:id="5" w:name="a8_5"/>
      <w:bookmarkEnd w:id="5"/>
      <w:r w:rsidRPr="00E7526A">
        <w:rPr>
          <w:rFonts w:eastAsia="Times New Roman"/>
          <w:b/>
          <w:sz w:val="24"/>
          <w:szCs w:val="24"/>
        </w:rPr>
        <w:lastRenderedPageBreak/>
        <w:t xml:space="preserve">8:5 </w:t>
      </w:r>
      <w:r w:rsidRPr="00E7526A">
        <w:rPr>
          <w:rFonts w:eastAsia="Times New Roman"/>
          <w:b/>
          <w:sz w:val="24"/>
          <w:szCs w:val="24"/>
        </w:rPr>
        <w:tab/>
        <w:t>INDEPENDENT CONTRACTOR — DEFINITION</w:t>
      </w:r>
    </w:p>
    <w:p w14:paraId="0C8F1004" w14:textId="65462902"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An independent contractor is (a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contracts with another to accomplish a result using </w:t>
      </w:r>
      <w:r w:rsidR="003E686C" w:rsidRPr="003E686C">
        <w:rPr>
          <w:rFonts w:eastAsia="Times New Roman"/>
          <w:bCs/>
          <w:i/>
          <w:iCs/>
          <w:sz w:val="24"/>
          <w:szCs w:val="24"/>
        </w:rPr>
        <w:t>(insert applicable pronoun)</w:t>
      </w:r>
      <w:r w:rsidRPr="00E7526A">
        <w:rPr>
          <w:rFonts w:eastAsia="Times New Roman"/>
          <w:b/>
          <w:sz w:val="24"/>
          <w:szCs w:val="24"/>
        </w:rPr>
        <w:t xml:space="preserve"> own, rather than the other’s, methods with respect to the physical conduct involved in the performance of the work, and, except as to the result of the work, is not subject to the control of the (person who) </w:t>
      </w:r>
      <w:r w:rsidRPr="00E7526A">
        <w:rPr>
          <w:rFonts w:eastAsia="Times New Roman"/>
          <w:i/>
          <w:sz w:val="24"/>
          <w:szCs w:val="24"/>
        </w:rPr>
        <w:t xml:space="preserve">(insert appropriate description of entity </w:t>
      </w:r>
      <w:r w:rsidRPr="00E7526A">
        <w:rPr>
          <w:rFonts w:eastAsia="Times New Roman"/>
          <w:b/>
          <w:sz w:val="24"/>
          <w:szCs w:val="24"/>
        </w:rPr>
        <w:t>that</w:t>
      </w:r>
      <w:r w:rsidRPr="00E7526A">
        <w:rPr>
          <w:rFonts w:eastAsia="Times New Roman"/>
          <w:i/>
          <w:sz w:val="24"/>
          <w:szCs w:val="24"/>
        </w:rPr>
        <w:t>)</w:t>
      </w:r>
      <w:r w:rsidRPr="00E7526A">
        <w:rPr>
          <w:rFonts w:eastAsia="Times New Roman"/>
          <w:b/>
          <w:sz w:val="24"/>
          <w:szCs w:val="24"/>
        </w:rPr>
        <w:t xml:space="preserve"> engaged </w:t>
      </w:r>
      <w:r w:rsidR="003E686C" w:rsidRPr="003E686C">
        <w:rPr>
          <w:rFonts w:eastAsia="Times New Roman"/>
          <w:bCs/>
          <w:i/>
          <w:iCs/>
          <w:sz w:val="24"/>
          <w:szCs w:val="24"/>
        </w:rPr>
        <w:t>(insert applicable pronoun)</w:t>
      </w:r>
      <w:r w:rsidRPr="00E7526A">
        <w:rPr>
          <w:rFonts w:eastAsia="Times New Roman"/>
          <w:b/>
          <w:sz w:val="24"/>
          <w:szCs w:val="24"/>
        </w:rPr>
        <w:t>.</w:t>
      </w:r>
    </w:p>
    <w:p w14:paraId="676624F2"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In determining whether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b/>
          <w:sz w:val="24"/>
          <w:szCs w:val="24"/>
        </w:rPr>
        <w:t xml:space="preserve"> was an independent contractor or an employee, you should consider whether or not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Pr>
          <w:rFonts w:eastAsia="Times New Roman"/>
          <w:sz w:val="24"/>
          <w:szCs w:val="24"/>
        </w:rPr>
        <w:t>,</w:t>
      </w:r>
      <w:r w:rsidRPr="00E7526A">
        <w:rPr>
          <w:rFonts w:eastAsia="Times New Roman"/>
          <w:i/>
          <w:sz w:val="24"/>
          <w:szCs w:val="24"/>
        </w:rPr>
        <w:t xml:space="preserve"> </w:t>
      </w:r>
      <w:r w:rsidRPr="00E7526A">
        <w:rPr>
          <w:rFonts w:eastAsia="Times New Roman"/>
          <w:b/>
          <w:sz w:val="24"/>
          <w:szCs w:val="24"/>
        </w:rPr>
        <w:t xml:space="preserve">in engaging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sz w:val="24"/>
          <w:szCs w:val="24"/>
        </w:rPr>
        <w:t>,</w:t>
      </w:r>
      <w:r w:rsidRPr="00E7526A">
        <w:rPr>
          <w:rFonts w:eastAsia="Times New Roman"/>
          <w:b/>
          <w:sz w:val="24"/>
          <w:szCs w:val="24"/>
        </w:rPr>
        <w:t xml:space="preserve"> had the right to control not only the result of the work, but also the manner in which it was to be performed. </w:t>
      </w:r>
    </w:p>
    <w:p w14:paraId="54A43A4B" w14:textId="77777777" w:rsidR="00E01A1E" w:rsidRPr="00E7526A" w:rsidRDefault="00771A51" w:rsidP="00E01A1E">
      <w:pPr>
        <w:spacing w:after="240"/>
        <w:ind w:firstLine="720"/>
        <w:rPr>
          <w:rFonts w:eastAsia="Times New Roman"/>
          <w:b/>
          <w:sz w:val="24"/>
          <w:szCs w:val="24"/>
        </w:rPr>
      </w:pPr>
      <w:r w:rsidRPr="00E7526A">
        <w:rPr>
          <w:rFonts w:eastAsia="Times New Roman"/>
          <w:b/>
          <w:sz w:val="24"/>
          <w:szCs w:val="24"/>
        </w:rPr>
        <w:t xml:space="preserve">You may consider: the terms of the contract between the parties; the nature of the parties’ business or occupation; which party furnished the instrumentality or tools for the work; the place of the work; the length of time of the engagement; the method of payment; the right, if any, of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to summarily discharge </w:t>
      </w:r>
      <w:r w:rsidRPr="00E7526A">
        <w:rPr>
          <w:rFonts w:eastAsia="Times New Roman"/>
          <w:i/>
          <w:sz w:val="24"/>
          <w:szCs w:val="24"/>
        </w:rPr>
        <w:t>(</w:t>
      </w:r>
      <w:r>
        <w:rPr>
          <w:rFonts w:eastAsia="Times New Roman"/>
          <w:i/>
          <w:sz w:val="24"/>
          <w:szCs w:val="24"/>
        </w:rPr>
        <w:t xml:space="preserve">alleged contractor </w:t>
      </w:r>
      <w:r w:rsidRPr="00E7526A">
        <w:rPr>
          <w:rFonts w:eastAsia="Times New Roman"/>
          <w:i/>
          <w:sz w:val="24"/>
          <w:szCs w:val="24"/>
        </w:rPr>
        <w:t>name)</w:t>
      </w:r>
      <w:r w:rsidRPr="00E7526A">
        <w:rPr>
          <w:rFonts w:eastAsia="Times New Roman"/>
          <w:b/>
          <w:sz w:val="24"/>
          <w:szCs w:val="24"/>
        </w:rPr>
        <w:t xml:space="preserve">; the extent to which </w:t>
      </w:r>
      <w:r w:rsidRPr="00E7526A">
        <w:rPr>
          <w:rFonts w:eastAsia="Times New Roman"/>
          <w:i/>
          <w:sz w:val="24"/>
          <w:szCs w:val="24"/>
        </w:rPr>
        <w:t>(</w:t>
      </w:r>
      <w:r>
        <w:rPr>
          <w:rFonts w:eastAsia="Times New Roman"/>
          <w:i/>
          <w:sz w:val="24"/>
          <w:szCs w:val="24"/>
        </w:rPr>
        <w:t xml:space="preserve">contracting party </w:t>
      </w:r>
      <w:r w:rsidRPr="00E7526A">
        <w:rPr>
          <w:rFonts w:eastAsia="Times New Roman"/>
          <w:i/>
          <w:sz w:val="24"/>
          <w:szCs w:val="24"/>
        </w:rPr>
        <w:t>name)</w:t>
      </w:r>
      <w:r w:rsidRPr="00E7526A">
        <w:rPr>
          <w:rFonts w:eastAsia="Times New Roman"/>
          <w:b/>
          <w:sz w:val="24"/>
          <w:szCs w:val="24"/>
        </w:rPr>
        <w:t xml:space="preserve"> exercised supervision over the work, if any; and any and all of the circumstances surrounding the relationship.</w:t>
      </w:r>
    </w:p>
    <w:p w14:paraId="3B5D3C0B" w14:textId="77777777" w:rsidR="00E01A1E" w:rsidRDefault="00E01A1E" w:rsidP="00E01A1E">
      <w:pPr>
        <w:jc w:val="center"/>
        <w:rPr>
          <w:rFonts w:eastAsia="Times New Roman"/>
          <w:sz w:val="24"/>
          <w:szCs w:val="24"/>
        </w:rPr>
      </w:pPr>
    </w:p>
    <w:p w14:paraId="02D541F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A4FB37C"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1. </w:t>
      </w:r>
      <w:r>
        <w:rPr>
          <w:rFonts w:eastAsia="Times New Roman"/>
          <w:sz w:val="24"/>
          <w:szCs w:val="24"/>
        </w:rPr>
        <w:t>The factors</w:t>
      </w:r>
      <w:r w:rsidRPr="00E7526A">
        <w:rPr>
          <w:rFonts w:eastAsia="Times New Roman"/>
          <w:sz w:val="24"/>
          <w:szCs w:val="24"/>
        </w:rPr>
        <w:t xml:space="preserve"> </w:t>
      </w:r>
      <w:r>
        <w:rPr>
          <w:rFonts w:eastAsia="Times New Roman"/>
          <w:sz w:val="24"/>
          <w:szCs w:val="24"/>
        </w:rPr>
        <w:t>listed</w:t>
      </w:r>
      <w:r w:rsidRPr="00E7526A">
        <w:rPr>
          <w:rFonts w:eastAsia="Times New Roman"/>
          <w:sz w:val="24"/>
          <w:szCs w:val="24"/>
        </w:rPr>
        <w:t xml:space="preserve"> in the second </w:t>
      </w:r>
      <w:r>
        <w:rPr>
          <w:rFonts w:eastAsia="Times New Roman"/>
          <w:sz w:val="24"/>
          <w:szCs w:val="24"/>
        </w:rPr>
        <w:t xml:space="preserve">and third </w:t>
      </w:r>
      <w:r w:rsidRPr="00E7526A">
        <w:rPr>
          <w:rFonts w:eastAsia="Times New Roman"/>
          <w:sz w:val="24"/>
          <w:szCs w:val="24"/>
        </w:rPr>
        <w:t>paragraph</w:t>
      </w:r>
      <w:r>
        <w:rPr>
          <w:rFonts w:eastAsia="Times New Roman"/>
          <w:sz w:val="24"/>
          <w:szCs w:val="24"/>
        </w:rPr>
        <w:t>s</w:t>
      </w:r>
      <w:r w:rsidRPr="00E7526A">
        <w:rPr>
          <w:rFonts w:eastAsia="Times New Roman"/>
          <w:sz w:val="24"/>
          <w:szCs w:val="24"/>
        </w:rPr>
        <w:t xml:space="preserve"> should be omitted where </w:t>
      </w:r>
      <w:r>
        <w:rPr>
          <w:rFonts w:eastAsia="Times New Roman"/>
          <w:sz w:val="24"/>
          <w:szCs w:val="24"/>
        </w:rPr>
        <w:t>the</w:t>
      </w:r>
      <w:r w:rsidRPr="00E7526A">
        <w:rPr>
          <w:rFonts w:eastAsia="Times New Roman"/>
          <w:sz w:val="24"/>
          <w:szCs w:val="24"/>
        </w:rPr>
        <w:t xml:space="preserve"> evidence </w:t>
      </w:r>
      <w:r>
        <w:rPr>
          <w:rFonts w:eastAsia="Times New Roman"/>
          <w:sz w:val="24"/>
          <w:szCs w:val="24"/>
        </w:rPr>
        <w:t>does not support</w:t>
      </w:r>
      <w:r w:rsidRPr="00E7526A">
        <w:rPr>
          <w:rFonts w:eastAsia="Times New Roman"/>
          <w:sz w:val="24"/>
          <w:szCs w:val="24"/>
        </w:rPr>
        <w:t xml:space="preserve"> including them in the instruction.</w:t>
      </w:r>
    </w:p>
    <w:p w14:paraId="6EA57C54"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2. When this instruction is given, Instruction 8:4 should also be given.</w:t>
      </w:r>
    </w:p>
    <w:p w14:paraId="5D9FA304"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503DBE13"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1. </w:t>
      </w:r>
      <w:r w:rsidRPr="003D4122">
        <w:rPr>
          <w:rFonts w:eastAsia="Times New Roman"/>
          <w:sz w:val="24"/>
          <w:szCs w:val="24"/>
        </w:rPr>
        <w:t xml:space="preserve">This instruction is supported by </w:t>
      </w:r>
      <w:r w:rsidRPr="003D4122">
        <w:rPr>
          <w:rFonts w:eastAsia="Times New Roman"/>
          <w:b/>
          <w:sz w:val="24"/>
          <w:szCs w:val="24"/>
        </w:rPr>
        <w:t>Digital Landscape Inc. v. Media Kings LLC</w:t>
      </w:r>
      <w:r w:rsidRPr="003D4122">
        <w:rPr>
          <w:rFonts w:eastAsia="Times New Roman"/>
          <w:sz w:val="24"/>
          <w:szCs w:val="24"/>
        </w:rPr>
        <w:t>, 2018 COA 142, ¶ 78, 440 P.3d 1200 (an independent contractor engages to perform services for another utilizing his or her own methods and free from direction and control of the employer, and is accountable only for the result to be accomplished);</w:t>
      </w:r>
      <w:r w:rsidRPr="00E7526A">
        <w:rPr>
          <w:rFonts w:eastAsia="Times New Roman"/>
          <w:b/>
          <w:sz w:val="24"/>
          <w:szCs w:val="24"/>
        </w:rPr>
        <w:t xml:space="preserve"> Dumont v. Teets</w:t>
      </w:r>
      <w:r w:rsidRPr="00E7526A">
        <w:rPr>
          <w:rFonts w:eastAsia="Times New Roman"/>
          <w:sz w:val="24"/>
          <w:szCs w:val="24"/>
        </w:rPr>
        <w:t xml:space="preserve">, 128 Colo. 395, 262 P.2d 734 (1953); </w:t>
      </w:r>
      <w:r w:rsidRPr="00E7526A">
        <w:rPr>
          <w:rFonts w:eastAsia="Times New Roman"/>
          <w:b/>
          <w:sz w:val="24"/>
          <w:szCs w:val="24"/>
        </w:rPr>
        <w:t>Farmers’ Reservoir &amp; Irrig</w:t>
      </w:r>
      <w:r>
        <w:rPr>
          <w:rFonts w:eastAsia="Times New Roman"/>
          <w:b/>
          <w:sz w:val="24"/>
          <w:szCs w:val="24"/>
        </w:rPr>
        <w:t>ation</w:t>
      </w:r>
      <w:r w:rsidRPr="00E7526A">
        <w:rPr>
          <w:rFonts w:eastAsia="Times New Roman"/>
          <w:b/>
          <w:sz w:val="24"/>
          <w:szCs w:val="24"/>
        </w:rPr>
        <w:t xml:space="preserve"> Co. v. Fulton Inv. Co.</w:t>
      </w:r>
      <w:r w:rsidRPr="00E7526A">
        <w:rPr>
          <w:rFonts w:eastAsia="Times New Roman"/>
          <w:sz w:val="24"/>
          <w:szCs w:val="24"/>
        </w:rPr>
        <w:t xml:space="preserve">, 81 Colo. 69, 255 P. 449 (1927); </w:t>
      </w:r>
      <w:r w:rsidRPr="00E7526A">
        <w:rPr>
          <w:rFonts w:eastAsia="Times New Roman"/>
          <w:b/>
          <w:sz w:val="24"/>
          <w:szCs w:val="24"/>
        </w:rPr>
        <w:t>Arnold v. Lawrence</w:t>
      </w:r>
      <w:r w:rsidRPr="00E7526A">
        <w:rPr>
          <w:rFonts w:eastAsia="Times New Roman"/>
          <w:sz w:val="24"/>
          <w:szCs w:val="24"/>
        </w:rPr>
        <w:t xml:space="preserve">, 72 Colo. 528, 213 P. 129 (1923); </w:t>
      </w:r>
      <w:r w:rsidRPr="00E7526A">
        <w:rPr>
          <w:rFonts w:eastAsia="Times New Roman"/>
          <w:b/>
          <w:sz w:val="24"/>
          <w:szCs w:val="24"/>
        </w:rPr>
        <w:t>Dana’s Housekeeping v. Butterfield</w:t>
      </w:r>
      <w:r w:rsidRPr="00E7526A">
        <w:rPr>
          <w:rFonts w:eastAsia="Times New Roman"/>
          <w:sz w:val="24"/>
          <w:szCs w:val="24"/>
        </w:rPr>
        <w:t xml:space="preserve">, 807 P.2d 1218 (Colo. App. 1990); </w:t>
      </w:r>
      <w:r w:rsidRPr="00881431">
        <w:rPr>
          <w:rFonts w:eastAsia="Times New Roman"/>
          <w:smallCaps/>
          <w:sz w:val="24"/>
          <w:szCs w:val="24"/>
        </w:rPr>
        <w:t>Restatement (Second) of Agency</w:t>
      </w:r>
      <w:r w:rsidRPr="00E7526A">
        <w:rPr>
          <w:rFonts w:eastAsia="Times New Roman"/>
          <w:sz w:val="24"/>
          <w:szCs w:val="24"/>
        </w:rPr>
        <w:t xml:space="preserve"> § 220</w:t>
      </w:r>
      <w:r>
        <w:rPr>
          <w:rFonts w:eastAsia="Times New Roman"/>
          <w:sz w:val="24"/>
          <w:szCs w:val="24"/>
        </w:rPr>
        <w:t>(2)</w:t>
      </w:r>
      <w:r w:rsidRPr="00E7526A">
        <w:rPr>
          <w:rFonts w:eastAsia="Times New Roman"/>
          <w:sz w:val="24"/>
          <w:szCs w:val="24"/>
        </w:rPr>
        <w:t xml:space="preserve"> (1958). </w:t>
      </w:r>
      <w:r w:rsidRPr="00E7526A">
        <w:rPr>
          <w:rFonts w:eastAsia="Times New Roman"/>
          <w:i/>
          <w:sz w:val="24"/>
          <w:szCs w:val="24"/>
        </w:rPr>
        <w:t>See also</w:t>
      </w:r>
      <w:r w:rsidRPr="00E7526A">
        <w:rPr>
          <w:rFonts w:eastAsia="Times New Roman"/>
          <w:sz w:val="24"/>
          <w:szCs w:val="24"/>
        </w:rPr>
        <w:t xml:space="preserve"> </w:t>
      </w:r>
      <w:r w:rsidRPr="00E7526A">
        <w:rPr>
          <w:rFonts w:eastAsia="Times New Roman"/>
          <w:b/>
          <w:sz w:val="24"/>
          <w:szCs w:val="24"/>
        </w:rPr>
        <w:t>Brush Hay &amp; Mill Co. v. Small</w:t>
      </w:r>
      <w:r w:rsidRPr="00E7526A">
        <w:rPr>
          <w:rFonts w:eastAsia="Times New Roman"/>
          <w:sz w:val="24"/>
          <w:szCs w:val="24"/>
        </w:rPr>
        <w:t>, 154 Colo. 11, 388 P.2d 84 (1963)</w:t>
      </w:r>
      <w:r>
        <w:rPr>
          <w:rFonts w:eastAsia="Times New Roman"/>
          <w:sz w:val="24"/>
          <w:szCs w:val="24"/>
        </w:rPr>
        <w:t xml:space="preserve">; </w:t>
      </w:r>
      <w:r w:rsidRPr="00881431">
        <w:rPr>
          <w:rFonts w:eastAsia="Times New Roman"/>
          <w:smallCaps/>
          <w:sz w:val="24"/>
          <w:szCs w:val="24"/>
        </w:rPr>
        <w:t>Restatement (Third) of Agency</w:t>
      </w:r>
      <w:r w:rsidRPr="00E7526A">
        <w:rPr>
          <w:rFonts w:eastAsia="Times New Roman"/>
          <w:sz w:val="24"/>
          <w:szCs w:val="24"/>
        </w:rPr>
        <w:t xml:space="preserve"> § 7.07(3)(a) (2006) (defining employee).</w:t>
      </w:r>
    </w:p>
    <w:p w14:paraId="6BB1AEC6"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2. The key fact in determining whether a person engaged to do work for another is an independent contractor or an employee depends on the control over the work to be done. If the power to control, whether exercised or not, </w:t>
      </w:r>
      <w:r>
        <w:rPr>
          <w:rFonts w:eastAsia="Times New Roman"/>
          <w:sz w:val="24"/>
          <w:szCs w:val="24"/>
        </w:rPr>
        <w:t>includes</w:t>
      </w:r>
      <w:r w:rsidRPr="00E7526A">
        <w:rPr>
          <w:rFonts w:eastAsia="Times New Roman"/>
          <w:sz w:val="24"/>
          <w:szCs w:val="24"/>
        </w:rPr>
        <w:t xml:space="preserve"> control</w:t>
      </w:r>
      <w:r>
        <w:rPr>
          <w:rFonts w:eastAsia="Times New Roman"/>
          <w:sz w:val="24"/>
          <w:szCs w:val="24"/>
        </w:rPr>
        <w:t>ling</w:t>
      </w:r>
      <w:r w:rsidRPr="00E7526A">
        <w:rPr>
          <w:rFonts w:eastAsia="Times New Roman"/>
          <w:sz w:val="24"/>
          <w:szCs w:val="24"/>
        </w:rPr>
        <w:t xml:space="preserve"> the details of how the work will be done, that is, the “means as well as the end,” then the person engaged is an employee</w:t>
      </w:r>
      <w:r w:rsidRPr="0085365B">
        <w:rPr>
          <w:rFonts w:eastAsia="Times New Roman"/>
          <w:sz w:val="24"/>
          <w:szCs w:val="24"/>
        </w:rPr>
        <w:t xml:space="preserve">. </w:t>
      </w:r>
      <w:r w:rsidRPr="0085365B">
        <w:rPr>
          <w:rFonts w:eastAsia="Times New Roman"/>
          <w:b/>
          <w:sz w:val="24"/>
          <w:szCs w:val="24"/>
        </w:rPr>
        <w:t>Perkins v. Reg'l Transp. Dist.</w:t>
      </w:r>
      <w:r w:rsidRPr="0085365B">
        <w:rPr>
          <w:rFonts w:eastAsia="Times New Roman"/>
          <w:sz w:val="24"/>
          <w:szCs w:val="24"/>
        </w:rPr>
        <w:t>, 907 P.2d 672, 675 (Colo. App. 1995) (“control over the means and methods of accomplishing the contracted-for result is inconsistent with ‘independent contractor’ status”).</w:t>
      </w:r>
      <w:r>
        <w:rPr>
          <w:rFonts w:eastAsia="Times New Roman"/>
          <w:sz w:val="24"/>
          <w:szCs w:val="24"/>
        </w:rPr>
        <w:t xml:space="preserve"> </w:t>
      </w:r>
      <w:r w:rsidRPr="00E7526A">
        <w:rPr>
          <w:rFonts w:eastAsia="Times New Roman"/>
          <w:sz w:val="24"/>
          <w:szCs w:val="24"/>
        </w:rPr>
        <w:t xml:space="preserve">On the other hand, if the person engaged has the right to control the manner in which </w:t>
      </w:r>
      <w:r w:rsidRPr="00E7526A">
        <w:rPr>
          <w:rFonts w:eastAsia="Times New Roman"/>
          <w:sz w:val="24"/>
          <w:szCs w:val="24"/>
        </w:rPr>
        <w:lastRenderedPageBreak/>
        <w:t xml:space="preserve">the work will be done and is subject to the control of the other essentially only in terms of being responsible for a certain end product or result, then the person engaged is an independent contractor. </w:t>
      </w:r>
      <w:r w:rsidRPr="00E7526A">
        <w:rPr>
          <w:rFonts w:eastAsia="Times New Roman"/>
          <w:b/>
          <w:sz w:val="24"/>
          <w:szCs w:val="24"/>
        </w:rPr>
        <w:t>Dumont</w:t>
      </w:r>
      <w:r w:rsidRPr="00E7526A">
        <w:rPr>
          <w:rFonts w:eastAsia="Times New Roman"/>
          <w:sz w:val="24"/>
          <w:szCs w:val="24"/>
        </w:rPr>
        <w:t xml:space="preserve">, 128 Colo. </w:t>
      </w:r>
      <w:r>
        <w:rPr>
          <w:rFonts w:eastAsia="Times New Roman"/>
          <w:sz w:val="24"/>
          <w:szCs w:val="24"/>
        </w:rPr>
        <w:t xml:space="preserve">at </w:t>
      </w:r>
      <w:r w:rsidRPr="00E7526A">
        <w:rPr>
          <w:rFonts w:eastAsia="Times New Roman"/>
          <w:sz w:val="24"/>
          <w:szCs w:val="24"/>
        </w:rPr>
        <w:t>39</w:t>
      </w:r>
      <w:r>
        <w:rPr>
          <w:rFonts w:eastAsia="Times New Roman"/>
          <w:sz w:val="24"/>
          <w:szCs w:val="24"/>
        </w:rPr>
        <w:t>7</w:t>
      </w:r>
      <w:r w:rsidRPr="00E7526A">
        <w:rPr>
          <w:rFonts w:eastAsia="Times New Roman"/>
          <w:sz w:val="24"/>
          <w:szCs w:val="24"/>
        </w:rPr>
        <w:t xml:space="preserve">, 262 P.2d </w:t>
      </w:r>
      <w:r>
        <w:rPr>
          <w:rFonts w:eastAsia="Times New Roman"/>
          <w:sz w:val="24"/>
          <w:szCs w:val="24"/>
        </w:rPr>
        <w:t xml:space="preserve">at </w:t>
      </w:r>
      <w:r w:rsidRPr="00E7526A">
        <w:rPr>
          <w:rFonts w:eastAsia="Times New Roman"/>
          <w:sz w:val="24"/>
          <w:szCs w:val="24"/>
        </w:rPr>
        <w:t>73</w:t>
      </w:r>
      <w:r>
        <w:rPr>
          <w:rFonts w:eastAsia="Times New Roman"/>
          <w:sz w:val="24"/>
          <w:szCs w:val="24"/>
        </w:rPr>
        <w:t>5</w:t>
      </w:r>
      <w:r w:rsidRPr="00E7526A">
        <w:rPr>
          <w:rFonts w:eastAsia="Times New Roman"/>
          <w:sz w:val="24"/>
          <w:szCs w:val="24"/>
        </w:rPr>
        <w:t xml:space="preserve">; </w:t>
      </w:r>
      <w:r w:rsidRPr="00E7526A">
        <w:rPr>
          <w:rFonts w:eastAsia="Times New Roman"/>
          <w:b/>
          <w:sz w:val="24"/>
          <w:szCs w:val="24"/>
        </w:rPr>
        <w:t>Farmers’ Reservoir &amp; Irrig</w:t>
      </w:r>
      <w:r>
        <w:rPr>
          <w:rFonts w:eastAsia="Times New Roman"/>
          <w:b/>
          <w:sz w:val="24"/>
          <w:szCs w:val="24"/>
        </w:rPr>
        <w:t>ation</w:t>
      </w:r>
      <w:r w:rsidRPr="00E7526A">
        <w:rPr>
          <w:rFonts w:eastAsia="Times New Roman"/>
          <w:b/>
          <w:sz w:val="24"/>
          <w:szCs w:val="24"/>
        </w:rPr>
        <w:t xml:space="preserve"> Co.</w:t>
      </w:r>
      <w:r w:rsidRPr="00E7526A">
        <w:rPr>
          <w:rFonts w:eastAsia="Times New Roman"/>
          <w:sz w:val="24"/>
          <w:szCs w:val="24"/>
        </w:rPr>
        <w:t xml:space="preserve">, 81 Colo. </w:t>
      </w:r>
      <w:r>
        <w:rPr>
          <w:rFonts w:eastAsia="Times New Roman"/>
          <w:sz w:val="24"/>
          <w:szCs w:val="24"/>
        </w:rPr>
        <w:t>at 71-72</w:t>
      </w:r>
      <w:r w:rsidRPr="00E7526A">
        <w:rPr>
          <w:rFonts w:eastAsia="Times New Roman"/>
          <w:sz w:val="24"/>
          <w:szCs w:val="24"/>
        </w:rPr>
        <w:t xml:space="preserve">, 255 P. </w:t>
      </w:r>
      <w:r>
        <w:rPr>
          <w:rFonts w:eastAsia="Times New Roman"/>
          <w:sz w:val="24"/>
          <w:szCs w:val="24"/>
        </w:rPr>
        <w:t xml:space="preserve">at </w:t>
      </w:r>
      <w:r w:rsidRPr="00E7526A">
        <w:rPr>
          <w:rFonts w:eastAsia="Times New Roman"/>
          <w:sz w:val="24"/>
          <w:szCs w:val="24"/>
        </w:rPr>
        <w:t>449</w:t>
      </w:r>
      <w:r>
        <w:rPr>
          <w:rFonts w:eastAsia="Times New Roman"/>
          <w:sz w:val="24"/>
          <w:szCs w:val="24"/>
        </w:rPr>
        <w:t>-50</w:t>
      </w:r>
      <w:r w:rsidRPr="00E7526A">
        <w:rPr>
          <w:rFonts w:eastAsia="Times New Roman"/>
          <w:sz w:val="24"/>
          <w:szCs w:val="24"/>
        </w:rPr>
        <w:t xml:space="preserve">; </w:t>
      </w:r>
      <w:r w:rsidRPr="00E7526A">
        <w:rPr>
          <w:rFonts w:eastAsia="Times New Roman"/>
          <w:b/>
          <w:sz w:val="24"/>
          <w:szCs w:val="24"/>
        </w:rPr>
        <w:t>Dana’s Housekeeping</w:t>
      </w:r>
      <w:r w:rsidRPr="00E7526A">
        <w:rPr>
          <w:rFonts w:eastAsia="Times New Roman"/>
          <w:sz w:val="24"/>
          <w:szCs w:val="24"/>
        </w:rPr>
        <w:t xml:space="preserve">, 807 P.2d </w:t>
      </w:r>
      <w:r>
        <w:rPr>
          <w:rFonts w:eastAsia="Times New Roman"/>
          <w:sz w:val="24"/>
          <w:szCs w:val="24"/>
        </w:rPr>
        <w:t xml:space="preserve">at </w:t>
      </w:r>
      <w:r w:rsidRPr="00E7526A">
        <w:rPr>
          <w:rFonts w:eastAsia="Times New Roman"/>
          <w:sz w:val="24"/>
          <w:szCs w:val="24"/>
        </w:rPr>
        <w:t>12</w:t>
      </w:r>
      <w:r>
        <w:rPr>
          <w:rFonts w:eastAsia="Times New Roman"/>
          <w:sz w:val="24"/>
          <w:szCs w:val="24"/>
        </w:rPr>
        <w:t>20</w:t>
      </w:r>
      <w:r w:rsidRPr="00E7526A">
        <w:rPr>
          <w:rFonts w:eastAsia="Times New Roman"/>
          <w:sz w:val="24"/>
          <w:szCs w:val="24"/>
        </w:rPr>
        <w:t xml:space="preserve"> (while no one factor is determinative as to whether a person is an employee as opposed to an independent contractor, the most important factor to consider is the right to control, not the fact of control); </w:t>
      </w:r>
      <w:r w:rsidRPr="00881431">
        <w:rPr>
          <w:rFonts w:eastAsia="Times New Roman"/>
          <w:smallCaps/>
          <w:sz w:val="24"/>
          <w:szCs w:val="24"/>
        </w:rPr>
        <w:t>Restatement (Second) of Agency</w:t>
      </w:r>
      <w:r w:rsidRPr="00E7526A">
        <w:rPr>
          <w:rFonts w:eastAsia="Times New Roman"/>
          <w:sz w:val="24"/>
          <w:szCs w:val="24"/>
        </w:rPr>
        <w:t xml:space="preserve"> § 2 (1958)</w:t>
      </w:r>
      <w:r>
        <w:rPr>
          <w:rFonts w:eastAsia="Times New Roman"/>
          <w:sz w:val="24"/>
          <w:szCs w:val="24"/>
        </w:rPr>
        <w:t xml:space="preserve"> (defining master, servant, and independent contractor)</w:t>
      </w:r>
      <w:r w:rsidRPr="00E7526A">
        <w:rPr>
          <w:rFonts w:eastAsia="Times New Roman"/>
          <w:sz w:val="24"/>
          <w:szCs w:val="24"/>
        </w:rPr>
        <w:t xml:space="preserve">; </w:t>
      </w:r>
      <w:r w:rsidRPr="00E7526A">
        <w:rPr>
          <w:rFonts w:eastAsia="Times New Roman"/>
          <w:i/>
          <w:sz w:val="24"/>
          <w:szCs w:val="24"/>
        </w:rPr>
        <w:t xml:space="preserve">see also </w:t>
      </w:r>
      <w:r w:rsidRPr="00881431">
        <w:rPr>
          <w:rFonts w:eastAsia="Times New Roman"/>
          <w:smallCaps/>
          <w:sz w:val="24"/>
          <w:szCs w:val="24"/>
        </w:rPr>
        <w:t>Restatement (Third) of Agency</w:t>
      </w:r>
      <w:r w:rsidRPr="00E7526A">
        <w:rPr>
          <w:rFonts w:eastAsia="Times New Roman"/>
          <w:sz w:val="24"/>
          <w:szCs w:val="24"/>
        </w:rPr>
        <w:t xml:space="preserve"> §§ 1.01 cmt. c &amp; 7.07(3) (2006).</w:t>
      </w:r>
    </w:p>
    <w:p w14:paraId="1A8AD3E6"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3. The </w:t>
      </w:r>
      <w:r>
        <w:rPr>
          <w:rFonts w:eastAsia="Times New Roman"/>
          <w:sz w:val="24"/>
          <w:szCs w:val="24"/>
        </w:rPr>
        <w:t>factors</w:t>
      </w:r>
      <w:r w:rsidRPr="00E7526A">
        <w:rPr>
          <w:rFonts w:eastAsia="Times New Roman"/>
          <w:sz w:val="24"/>
          <w:szCs w:val="24"/>
        </w:rPr>
        <w:t xml:space="preserve"> for determining the nature of the relationship </w:t>
      </w:r>
      <w:r>
        <w:rPr>
          <w:rFonts w:eastAsia="Times New Roman"/>
          <w:sz w:val="24"/>
          <w:szCs w:val="24"/>
        </w:rPr>
        <w:t>listed</w:t>
      </w:r>
      <w:r w:rsidRPr="00E7526A">
        <w:rPr>
          <w:rFonts w:eastAsia="Times New Roman"/>
          <w:sz w:val="24"/>
          <w:szCs w:val="24"/>
        </w:rPr>
        <w:t xml:space="preserve"> in the </w:t>
      </w:r>
      <w:r>
        <w:rPr>
          <w:rFonts w:eastAsia="Times New Roman"/>
          <w:sz w:val="24"/>
          <w:szCs w:val="24"/>
        </w:rPr>
        <w:t>third</w:t>
      </w:r>
      <w:r w:rsidRPr="00E7526A">
        <w:rPr>
          <w:rFonts w:eastAsia="Times New Roman"/>
          <w:sz w:val="24"/>
          <w:szCs w:val="24"/>
        </w:rPr>
        <w:t xml:space="preserve"> paragraph are based on </w:t>
      </w:r>
      <w:r w:rsidRPr="00881431">
        <w:rPr>
          <w:rFonts w:eastAsia="Times New Roman"/>
          <w:smallCaps/>
          <w:sz w:val="24"/>
          <w:szCs w:val="24"/>
        </w:rPr>
        <w:t>Restatement (Second) of Agency</w:t>
      </w:r>
      <w:r w:rsidRPr="00E7526A">
        <w:rPr>
          <w:rFonts w:eastAsia="Times New Roman"/>
          <w:sz w:val="24"/>
          <w:szCs w:val="24"/>
        </w:rPr>
        <w:t xml:space="preserve"> § 220</w:t>
      </w:r>
      <w:r>
        <w:rPr>
          <w:rFonts w:eastAsia="Times New Roman"/>
          <w:sz w:val="24"/>
          <w:szCs w:val="24"/>
        </w:rPr>
        <w:t>(2)</w:t>
      </w:r>
      <w:r w:rsidRPr="00E7526A">
        <w:rPr>
          <w:rFonts w:eastAsia="Times New Roman"/>
          <w:sz w:val="24"/>
          <w:szCs w:val="24"/>
        </w:rPr>
        <w:t xml:space="preserve"> (1958). </w:t>
      </w:r>
      <w:r w:rsidRPr="00E7526A">
        <w:rPr>
          <w:rFonts w:eastAsia="Times New Roman"/>
          <w:i/>
          <w:sz w:val="24"/>
          <w:szCs w:val="24"/>
        </w:rPr>
        <w:t>See also</w:t>
      </w:r>
      <w:r w:rsidRPr="00E7526A">
        <w:rPr>
          <w:rFonts w:eastAsia="Times New Roman"/>
          <w:sz w:val="24"/>
          <w:szCs w:val="24"/>
        </w:rPr>
        <w:t xml:space="preserve"> </w:t>
      </w:r>
      <w:r w:rsidRPr="00E7526A">
        <w:rPr>
          <w:rFonts w:eastAsia="Times New Roman"/>
          <w:b/>
          <w:sz w:val="24"/>
          <w:szCs w:val="24"/>
        </w:rPr>
        <w:t>Arnold</w:t>
      </w:r>
      <w:r w:rsidRPr="00E7526A">
        <w:rPr>
          <w:rFonts w:eastAsia="Times New Roman"/>
          <w:sz w:val="24"/>
          <w:szCs w:val="24"/>
        </w:rPr>
        <w:t xml:space="preserve">, 72 Colo. </w:t>
      </w:r>
      <w:r>
        <w:rPr>
          <w:rFonts w:eastAsia="Times New Roman"/>
          <w:sz w:val="24"/>
          <w:szCs w:val="24"/>
        </w:rPr>
        <w:t xml:space="preserve">at </w:t>
      </w:r>
      <w:r w:rsidRPr="00E7526A">
        <w:rPr>
          <w:rFonts w:eastAsia="Times New Roman"/>
          <w:sz w:val="24"/>
          <w:szCs w:val="24"/>
        </w:rPr>
        <w:t>5</w:t>
      </w:r>
      <w:r>
        <w:rPr>
          <w:rFonts w:eastAsia="Times New Roman"/>
          <w:sz w:val="24"/>
          <w:szCs w:val="24"/>
        </w:rPr>
        <w:t>30</w:t>
      </w:r>
      <w:r w:rsidRPr="00E7526A">
        <w:rPr>
          <w:rFonts w:eastAsia="Times New Roman"/>
          <w:sz w:val="24"/>
          <w:szCs w:val="24"/>
        </w:rPr>
        <w:t xml:space="preserve">, 213 P. </w:t>
      </w:r>
      <w:r>
        <w:rPr>
          <w:rFonts w:eastAsia="Times New Roman"/>
          <w:sz w:val="24"/>
          <w:szCs w:val="24"/>
        </w:rPr>
        <w:t xml:space="preserve">at </w:t>
      </w:r>
      <w:r w:rsidRPr="00E7526A">
        <w:rPr>
          <w:rFonts w:eastAsia="Times New Roman"/>
          <w:sz w:val="24"/>
          <w:szCs w:val="24"/>
        </w:rPr>
        <w:t>1</w:t>
      </w:r>
      <w:r>
        <w:rPr>
          <w:rFonts w:eastAsia="Times New Roman"/>
          <w:sz w:val="24"/>
          <w:szCs w:val="24"/>
        </w:rPr>
        <w:t>30</w:t>
      </w:r>
      <w:r w:rsidRPr="00E7526A">
        <w:rPr>
          <w:rFonts w:eastAsia="Times New Roman"/>
          <w:sz w:val="24"/>
          <w:szCs w:val="24"/>
        </w:rPr>
        <w:t>.</w:t>
      </w:r>
    </w:p>
    <w:p w14:paraId="5AEFDCAB"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4. </w:t>
      </w:r>
      <w:r w:rsidRPr="00CC559B">
        <w:rPr>
          <w:sz w:val="24"/>
          <w:szCs w:val="24"/>
        </w:rPr>
        <w:t>A</w:t>
      </w:r>
      <w:r>
        <w:rPr>
          <w:sz w:val="24"/>
          <w:szCs w:val="24"/>
        </w:rPr>
        <w:t>n employer</w:t>
      </w:r>
      <w:r w:rsidRPr="00CC559B">
        <w:rPr>
          <w:sz w:val="24"/>
          <w:szCs w:val="24"/>
        </w:rPr>
        <w:t xml:space="preserve"> is generally not liable for the torts of a non-agent independent contractor</w:t>
      </w:r>
      <w:r w:rsidRPr="00D80FC7">
        <w:rPr>
          <w:sz w:val="24"/>
          <w:szCs w:val="24"/>
        </w:rPr>
        <w:t xml:space="preserve">, except in limited circumstances. </w:t>
      </w:r>
      <w:r w:rsidRPr="00D80FC7">
        <w:rPr>
          <w:i/>
          <w:iCs/>
          <w:sz w:val="24"/>
          <w:szCs w:val="24"/>
        </w:rPr>
        <w:t>See</w:t>
      </w:r>
      <w:r>
        <w:rPr>
          <w:iCs/>
          <w:sz w:val="24"/>
          <w:szCs w:val="24"/>
        </w:rPr>
        <w:t xml:space="preserve"> </w:t>
      </w:r>
      <w:r w:rsidRPr="00D80FC7">
        <w:rPr>
          <w:b/>
          <w:bCs/>
          <w:sz w:val="24"/>
          <w:szCs w:val="24"/>
        </w:rPr>
        <w:t>Springer v. City &amp; Cty. of Denver</w:t>
      </w:r>
      <w:r w:rsidRPr="00D80FC7">
        <w:rPr>
          <w:sz w:val="24"/>
          <w:szCs w:val="24"/>
        </w:rPr>
        <w:t>, 13 P.3d 794 (Colo. 2000) (nondelegable duty under Premises Liability Act);</w:t>
      </w:r>
      <w:r w:rsidRPr="00D80FC7">
        <w:rPr>
          <w:b/>
          <w:bCs/>
          <w:sz w:val="24"/>
          <w:szCs w:val="24"/>
        </w:rPr>
        <w:t xml:space="preserve"> Huddleston v. Union Rural Elec. Ass’n</w:t>
      </w:r>
      <w:r w:rsidRPr="00D80FC7">
        <w:rPr>
          <w:sz w:val="24"/>
          <w:szCs w:val="24"/>
        </w:rPr>
        <w:t xml:space="preserve">, 841 P.2d 282 (Colo. 1992) (inherently dangerous activities); </w:t>
      </w:r>
      <w:r w:rsidRPr="00D80FC7">
        <w:rPr>
          <w:b/>
          <w:bCs/>
          <w:sz w:val="24"/>
          <w:szCs w:val="24"/>
        </w:rPr>
        <w:t>Garden of the Gods Vill., Inc. v. Hellman</w:t>
      </w:r>
      <w:r w:rsidRPr="00D80FC7">
        <w:rPr>
          <w:sz w:val="24"/>
          <w:szCs w:val="24"/>
        </w:rPr>
        <w:t>, 133 Colo. 286, 294 P.2d 597</w:t>
      </w:r>
      <w:r>
        <w:rPr>
          <w:sz w:val="24"/>
          <w:szCs w:val="24"/>
        </w:rPr>
        <w:t xml:space="preserve"> (1956)</w:t>
      </w:r>
      <w:r w:rsidRPr="00D80FC7">
        <w:rPr>
          <w:sz w:val="24"/>
          <w:szCs w:val="24"/>
        </w:rPr>
        <w:t xml:space="preserve"> (ultrahazardous</w:t>
      </w:r>
      <w:r w:rsidR="00541166">
        <w:rPr>
          <w:sz w:val="24"/>
          <w:szCs w:val="24"/>
        </w:rPr>
        <w:t xml:space="preserve"> activities</w:t>
      </w:r>
      <w:r w:rsidRPr="00D80FC7">
        <w:rPr>
          <w:sz w:val="24"/>
          <w:szCs w:val="24"/>
        </w:rPr>
        <w:t>).</w:t>
      </w:r>
      <w:r w:rsidRPr="00E7526A">
        <w:rPr>
          <w:rFonts w:eastAsia="Times New Roman"/>
          <w:sz w:val="24"/>
          <w:szCs w:val="24"/>
        </w:rPr>
        <w:t xml:space="preserve"> </w:t>
      </w:r>
    </w:p>
    <w:p w14:paraId="3EF17C37"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5. An employer may also be liable for negligence if it fails to follow the recommendations of its independent contractors. </w:t>
      </w:r>
      <w:r w:rsidRPr="00E7526A">
        <w:rPr>
          <w:rFonts w:eastAsia="Times New Roman"/>
          <w:b/>
          <w:sz w:val="24"/>
          <w:szCs w:val="24"/>
        </w:rPr>
        <w:t>Hildebrand v. New Vista Homes II, LLC</w:t>
      </w:r>
      <w:r w:rsidRPr="00E7526A">
        <w:rPr>
          <w:rFonts w:eastAsia="Times New Roman"/>
          <w:sz w:val="24"/>
          <w:szCs w:val="24"/>
        </w:rPr>
        <w:t>, 252 P.3d 1159 (Colo. App. 2010).</w:t>
      </w:r>
    </w:p>
    <w:p w14:paraId="513719A1" w14:textId="77777777"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6. One may be personally liable for negligence for failing to use due care when selecting an independent contractor. </w:t>
      </w:r>
      <w:r w:rsidRPr="00E7526A">
        <w:rPr>
          <w:rFonts w:eastAsia="Times New Roman"/>
          <w:b/>
          <w:sz w:val="24"/>
          <w:szCs w:val="24"/>
        </w:rPr>
        <w:t>W</w:t>
      </w:r>
      <w:r>
        <w:rPr>
          <w:rFonts w:eastAsia="Times New Roman"/>
          <w:b/>
          <w:sz w:val="24"/>
          <w:szCs w:val="24"/>
        </w:rPr>
        <w:t>.</w:t>
      </w:r>
      <w:r w:rsidRPr="00E7526A">
        <w:rPr>
          <w:rFonts w:eastAsia="Times New Roman"/>
          <w:b/>
          <w:sz w:val="24"/>
          <w:szCs w:val="24"/>
        </w:rPr>
        <w:t xml:space="preserve"> Stock Ctr., Inc. v. Sevit, Inc.</w:t>
      </w:r>
      <w:r w:rsidRPr="00E7526A">
        <w:rPr>
          <w:rFonts w:eastAsia="Times New Roman"/>
          <w:sz w:val="24"/>
          <w:szCs w:val="24"/>
        </w:rPr>
        <w:t>, 195 Colo. 372, 578 P.2d 1045 (1978).</w:t>
      </w:r>
    </w:p>
    <w:p w14:paraId="49DF128D" w14:textId="7BF38FA6" w:rsidR="00E01A1E" w:rsidRPr="00E7526A" w:rsidRDefault="00771A51" w:rsidP="00E01A1E">
      <w:pPr>
        <w:spacing w:after="240"/>
        <w:ind w:firstLine="720"/>
        <w:rPr>
          <w:rFonts w:eastAsia="Times New Roman"/>
          <w:sz w:val="24"/>
          <w:szCs w:val="24"/>
        </w:rPr>
      </w:pPr>
      <w:r w:rsidRPr="00E7526A">
        <w:rPr>
          <w:rFonts w:eastAsia="Times New Roman"/>
          <w:sz w:val="24"/>
          <w:szCs w:val="24"/>
        </w:rPr>
        <w:t xml:space="preserve">7. </w:t>
      </w:r>
      <w:r w:rsidRPr="00421454">
        <w:rPr>
          <w:rFonts w:eastAsia="Times New Roman"/>
          <w:sz w:val="24"/>
          <w:szCs w:val="24"/>
        </w:rPr>
        <w:t xml:space="preserve">An independent contractor may also be an agent, and the person engaging such agent may be held vicariously liable for torts committed by the agent within the scope of the agency. </w:t>
      </w:r>
      <w:r w:rsidRPr="00421454">
        <w:rPr>
          <w:rFonts w:eastAsia="Times New Roman"/>
          <w:b/>
          <w:sz w:val="24"/>
          <w:szCs w:val="24"/>
        </w:rPr>
        <w:t>Cheney v. Hailey</w:t>
      </w:r>
      <w:r w:rsidRPr="00421454">
        <w:rPr>
          <w:rFonts w:eastAsia="Times New Roman"/>
          <w:sz w:val="24"/>
          <w:szCs w:val="24"/>
        </w:rPr>
        <w:t xml:space="preserve">, 686 P.2d 808 (Colo. App. 1984) (“Because an agency relationship existed, [the principal] was vicariously liable whether or not [the agent] was in fact an independent contractor.”); </w:t>
      </w:r>
      <w:r w:rsidRPr="00421454">
        <w:rPr>
          <w:rFonts w:eastAsia="Times New Roman"/>
          <w:i/>
          <w:sz w:val="24"/>
          <w:szCs w:val="24"/>
        </w:rPr>
        <w:t>see</w:t>
      </w:r>
      <w:r w:rsidRPr="00421454">
        <w:rPr>
          <w:rFonts w:eastAsia="Times New Roman"/>
          <w:sz w:val="24"/>
          <w:szCs w:val="24"/>
        </w:rPr>
        <w:t xml:space="preserve"> </w:t>
      </w:r>
      <w:r w:rsidRPr="00D754A1">
        <w:rPr>
          <w:rFonts w:eastAsia="Times New Roman"/>
          <w:smallCaps/>
          <w:sz w:val="24"/>
          <w:szCs w:val="24"/>
        </w:rPr>
        <w:t>Restatement (Second) of Agency</w:t>
      </w:r>
      <w:r w:rsidRPr="00421454">
        <w:rPr>
          <w:rFonts w:eastAsia="Times New Roman"/>
          <w:sz w:val="24"/>
          <w:szCs w:val="24"/>
        </w:rPr>
        <w:t xml:space="preserve"> § 14N (1958). “An independent contractor is not an agent if ‘he is not a fiduciary, has no power to make the one employing him a party to a transaction, and is subject to no control over his conduct.’” </w:t>
      </w:r>
      <w:r w:rsidRPr="00421454">
        <w:rPr>
          <w:rFonts w:eastAsia="Times New Roman"/>
          <w:b/>
          <w:sz w:val="24"/>
          <w:szCs w:val="24"/>
        </w:rPr>
        <w:t>Digital Landscape</w:t>
      </w:r>
      <w:r w:rsidRPr="00421454">
        <w:rPr>
          <w:rFonts w:eastAsia="Times New Roman"/>
          <w:sz w:val="24"/>
          <w:szCs w:val="24"/>
        </w:rPr>
        <w:t xml:space="preserve">, ¶ 79, 440 P.3d </w:t>
      </w:r>
      <w:r>
        <w:rPr>
          <w:rFonts w:eastAsia="Times New Roman"/>
          <w:sz w:val="24"/>
          <w:szCs w:val="24"/>
        </w:rPr>
        <w:t xml:space="preserve">at </w:t>
      </w:r>
      <w:r w:rsidRPr="00421454">
        <w:rPr>
          <w:rFonts w:eastAsia="Times New Roman"/>
          <w:sz w:val="24"/>
          <w:szCs w:val="24"/>
        </w:rPr>
        <w:t xml:space="preserve">1212 (quoting </w:t>
      </w:r>
      <w:r w:rsidRPr="00D754A1">
        <w:rPr>
          <w:rFonts w:eastAsia="Times New Roman"/>
          <w:smallCaps/>
          <w:sz w:val="24"/>
          <w:szCs w:val="24"/>
        </w:rPr>
        <w:t xml:space="preserve">Restatement (Second) </w:t>
      </w:r>
      <w:r>
        <w:rPr>
          <w:rFonts w:eastAsia="Times New Roman"/>
          <w:smallCaps/>
          <w:sz w:val="24"/>
          <w:szCs w:val="24"/>
        </w:rPr>
        <w:t>o</w:t>
      </w:r>
      <w:r w:rsidRPr="00D754A1">
        <w:rPr>
          <w:rFonts w:eastAsia="Times New Roman"/>
          <w:smallCaps/>
          <w:sz w:val="24"/>
          <w:szCs w:val="24"/>
        </w:rPr>
        <w:t>f Agency</w:t>
      </w:r>
      <w:r w:rsidRPr="00421454">
        <w:rPr>
          <w:rFonts w:eastAsia="Times New Roman"/>
          <w:sz w:val="24"/>
          <w:szCs w:val="24"/>
        </w:rPr>
        <w:t xml:space="preserve"> § </w:t>
      </w:r>
      <w:r>
        <w:rPr>
          <w:rFonts w:eastAsia="Times New Roman"/>
          <w:sz w:val="24"/>
          <w:szCs w:val="24"/>
        </w:rPr>
        <w:t>2(3)</w:t>
      </w:r>
      <w:r w:rsidRPr="00421454">
        <w:rPr>
          <w:rFonts w:eastAsia="Times New Roman"/>
          <w:sz w:val="24"/>
          <w:szCs w:val="24"/>
        </w:rPr>
        <w:t xml:space="preserve"> cmt. b (1958))</w:t>
      </w:r>
      <w:r>
        <w:rPr>
          <w:rFonts w:eastAsia="Times New Roman"/>
          <w:sz w:val="24"/>
          <w:szCs w:val="24"/>
        </w:rPr>
        <w:t>.</w:t>
      </w:r>
    </w:p>
    <w:p w14:paraId="0DD775A1" w14:textId="77777777" w:rsidR="00E01A1E" w:rsidRDefault="00771A51">
      <w:pPr>
        <w:rPr>
          <w:rFonts w:eastAsia="Times New Roman"/>
          <w:sz w:val="24"/>
          <w:szCs w:val="24"/>
        </w:rPr>
      </w:pPr>
      <w:r>
        <w:rPr>
          <w:rFonts w:eastAsia="Times New Roman"/>
          <w:sz w:val="24"/>
          <w:szCs w:val="24"/>
        </w:rPr>
        <w:br w:type="page"/>
      </w:r>
    </w:p>
    <w:p w14:paraId="1DC86321" w14:textId="77777777" w:rsidR="00E01A1E" w:rsidRPr="009E3DA4" w:rsidRDefault="00771A51" w:rsidP="00E01A1E">
      <w:pPr>
        <w:spacing w:after="240"/>
        <w:ind w:left="720" w:hanging="720"/>
        <w:rPr>
          <w:rFonts w:eastAsia="Times New Roman"/>
          <w:b/>
          <w:sz w:val="24"/>
          <w:szCs w:val="24"/>
        </w:rPr>
      </w:pPr>
      <w:bookmarkStart w:id="6" w:name="a8_6"/>
      <w:bookmarkEnd w:id="6"/>
      <w:r w:rsidRPr="00AB71A7">
        <w:rPr>
          <w:rFonts w:eastAsia="Times New Roman"/>
          <w:b/>
          <w:sz w:val="24"/>
          <w:szCs w:val="24"/>
        </w:rPr>
        <w:lastRenderedPageBreak/>
        <w:t xml:space="preserve">8:6 </w:t>
      </w:r>
      <w:r w:rsidRPr="00AB71A7">
        <w:rPr>
          <w:rFonts w:eastAsia="Times New Roman"/>
          <w:b/>
          <w:sz w:val="24"/>
          <w:szCs w:val="24"/>
        </w:rPr>
        <w:tab/>
        <w:t>LOANED EMPLOYEE</w:t>
      </w:r>
    </w:p>
    <w:p w14:paraId="2B8FA0F6" w14:textId="425B43C0" w:rsidR="00E01A1E" w:rsidRPr="00AB71A7" w:rsidRDefault="00771A51" w:rsidP="00E01A1E">
      <w:pPr>
        <w:spacing w:after="240"/>
        <w:ind w:firstLine="720"/>
        <w:rPr>
          <w:rFonts w:eastAsia="Times New Roman"/>
          <w:b/>
          <w:sz w:val="24"/>
          <w:szCs w:val="24"/>
        </w:rPr>
      </w:pPr>
      <w:r w:rsidRPr="00AB71A7">
        <w:rPr>
          <w:rFonts w:eastAsia="Times New Roman"/>
          <w:b/>
          <w:sz w:val="24"/>
          <w:szCs w:val="24"/>
        </w:rPr>
        <w:t xml:space="preserve">When an employee is loaned out by </w:t>
      </w:r>
      <w:r w:rsidR="003E686C" w:rsidRPr="003E686C">
        <w:rPr>
          <w:rFonts w:eastAsia="Times New Roman"/>
          <w:bCs/>
          <w:i/>
          <w:iCs/>
          <w:sz w:val="24"/>
          <w:szCs w:val="24"/>
        </w:rPr>
        <w:t>(insert applicable pronoun)</w:t>
      </w:r>
      <w:r w:rsidRPr="00AB71A7">
        <w:rPr>
          <w:rFonts w:eastAsia="Times New Roman"/>
          <w:b/>
          <w:sz w:val="24"/>
          <w:szCs w:val="24"/>
        </w:rPr>
        <w:t xml:space="preserve"> employer to another person for some special service or project and the other person has the exclusive right to control the employee, the employee becomes the employee of that other person.</w:t>
      </w:r>
    </w:p>
    <w:p w14:paraId="401ECB25" w14:textId="77777777" w:rsidR="00E01A1E" w:rsidRDefault="00E01A1E" w:rsidP="00E01A1E">
      <w:pPr>
        <w:jc w:val="center"/>
        <w:rPr>
          <w:rFonts w:eastAsia="Times New Roman"/>
          <w:sz w:val="24"/>
          <w:szCs w:val="24"/>
        </w:rPr>
      </w:pPr>
    </w:p>
    <w:p w14:paraId="786412BE"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32300E17" w14:textId="77777777" w:rsidR="00E01A1E" w:rsidRPr="00AB71A7" w:rsidRDefault="00771A51" w:rsidP="00E01A1E">
      <w:pPr>
        <w:spacing w:after="240"/>
        <w:ind w:firstLine="720"/>
        <w:rPr>
          <w:rFonts w:eastAsia="Times New Roman"/>
          <w:sz w:val="24"/>
          <w:szCs w:val="24"/>
        </w:rPr>
      </w:pPr>
      <w:r w:rsidRPr="00AB71A7">
        <w:rPr>
          <w:rFonts w:eastAsia="Times New Roman"/>
          <w:sz w:val="24"/>
          <w:szCs w:val="24"/>
        </w:rPr>
        <w:t>1. This instruction is to be used in appropriate cases as an introductory instruction to Instruction 8:7.</w:t>
      </w:r>
    </w:p>
    <w:p w14:paraId="789966FD" w14:textId="77777777" w:rsidR="00E01A1E" w:rsidRPr="00AB71A7" w:rsidRDefault="00771A51" w:rsidP="00E01A1E">
      <w:pPr>
        <w:spacing w:after="240"/>
        <w:ind w:firstLine="720"/>
        <w:rPr>
          <w:rFonts w:eastAsia="Times New Roman"/>
          <w:sz w:val="24"/>
          <w:szCs w:val="24"/>
        </w:rPr>
      </w:pPr>
      <w:r w:rsidRPr="00AB71A7">
        <w:rPr>
          <w:rFonts w:eastAsia="Times New Roman"/>
          <w:sz w:val="24"/>
          <w:szCs w:val="24"/>
        </w:rPr>
        <w:t xml:space="preserve">2. When necessary, Instruction 8:4 </w:t>
      </w:r>
      <w:r>
        <w:rPr>
          <w:rFonts w:eastAsia="Times New Roman"/>
          <w:sz w:val="24"/>
          <w:szCs w:val="24"/>
        </w:rPr>
        <w:t xml:space="preserve">(defining employer and employee) </w:t>
      </w:r>
      <w:r w:rsidRPr="00AB71A7">
        <w:rPr>
          <w:rFonts w:eastAsia="Times New Roman"/>
          <w:sz w:val="24"/>
          <w:szCs w:val="24"/>
        </w:rPr>
        <w:t>should be given with this instruction.</w:t>
      </w:r>
    </w:p>
    <w:p w14:paraId="3010E18F" w14:textId="77777777" w:rsidR="00E01A1E" w:rsidRPr="00AB71A7" w:rsidRDefault="00771A51" w:rsidP="00E01A1E">
      <w:pPr>
        <w:spacing w:after="240"/>
        <w:ind w:firstLine="720"/>
        <w:rPr>
          <w:rFonts w:eastAsia="Times New Roman"/>
          <w:sz w:val="24"/>
          <w:szCs w:val="24"/>
        </w:rPr>
      </w:pPr>
      <w:r w:rsidRPr="00AB71A7">
        <w:rPr>
          <w:rFonts w:eastAsia="Times New Roman"/>
          <w:sz w:val="24"/>
          <w:szCs w:val="24"/>
        </w:rPr>
        <w:t xml:space="preserve">3. When appropriate to the evidence, a more suitable word, </w:t>
      </w:r>
      <w:r>
        <w:rPr>
          <w:rFonts w:eastAsia="Times New Roman"/>
          <w:sz w:val="24"/>
          <w:szCs w:val="24"/>
        </w:rPr>
        <w:t>for example</w:t>
      </w:r>
      <w:r w:rsidRPr="00AB71A7">
        <w:rPr>
          <w:rFonts w:eastAsia="Times New Roman"/>
          <w:sz w:val="24"/>
          <w:szCs w:val="24"/>
        </w:rPr>
        <w:t>, “corporation,” may be substituted for the word “person.”</w:t>
      </w:r>
    </w:p>
    <w:p w14:paraId="12AA0949"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2033034C" w14:textId="77777777" w:rsidR="00E01A1E" w:rsidRDefault="00771A51" w:rsidP="00E01A1E">
      <w:pPr>
        <w:spacing w:after="240"/>
        <w:ind w:firstLine="720"/>
        <w:rPr>
          <w:rFonts w:eastAsia="Times New Roman"/>
          <w:sz w:val="24"/>
          <w:szCs w:val="24"/>
        </w:rPr>
      </w:pPr>
      <w:r>
        <w:rPr>
          <w:rFonts w:eastAsia="Times New Roman"/>
          <w:sz w:val="24"/>
          <w:szCs w:val="24"/>
        </w:rPr>
        <w:t>T</w:t>
      </w:r>
      <w:r w:rsidRPr="00AB71A7">
        <w:rPr>
          <w:rFonts w:eastAsia="Times New Roman"/>
          <w:sz w:val="24"/>
          <w:szCs w:val="24"/>
        </w:rPr>
        <w:t>his instruction is supported by</w:t>
      </w:r>
      <w:r w:rsidRPr="00AB71A7">
        <w:rPr>
          <w:rFonts w:eastAsia="Times New Roman"/>
          <w:b/>
          <w:sz w:val="24"/>
          <w:szCs w:val="24"/>
        </w:rPr>
        <w:t xml:space="preserve"> Bernardi v. C</w:t>
      </w:r>
      <w:r>
        <w:rPr>
          <w:rFonts w:eastAsia="Times New Roman"/>
          <w:b/>
          <w:sz w:val="24"/>
          <w:szCs w:val="24"/>
        </w:rPr>
        <w:t>om</w:t>
      </w:r>
      <w:r w:rsidRPr="00AB71A7">
        <w:rPr>
          <w:rFonts w:eastAsia="Times New Roman"/>
          <w:b/>
          <w:sz w:val="24"/>
          <w:szCs w:val="24"/>
        </w:rPr>
        <w:t>m</w:t>
      </w:r>
      <w:r>
        <w:rPr>
          <w:rFonts w:eastAsia="Times New Roman"/>
          <w:b/>
          <w:sz w:val="24"/>
          <w:szCs w:val="24"/>
        </w:rPr>
        <w:t>uni</w:t>
      </w:r>
      <w:r w:rsidRPr="00AB71A7">
        <w:rPr>
          <w:rFonts w:eastAsia="Times New Roman"/>
          <w:b/>
          <w:sz w:val="24"/>
          <w:szCs w:val="24"/>
        </w:rPr>
        <w:t>ty Hosp</w:t>
      </w:r>
      <w:r>
        <w:rPr>
          <w:rFonts w:eastAsia="Times New Roman"/>
          <w:b/>
          <w:sz w:val="24"/>
          <w:szCs w:val="24"/>
        </w:rPr>
        <w:t>ital</w:t>
      </w:r>
      <w:r w:rsidRPr="00AB71A7">
        <w:rPr>
          <w:rFonts w:eastAsia="Times New Roman"/>
          <w:b/>
          <w:sz w:val="24"/>
          <w:szCs w:val="24"/>
        </w:rPr>
        <w:t xml:space="preserve"> Ass’n</w:t>
      </w:r>
      <w:r w:rsidRPr="00AB71A7">
        <w:rPr>
          <w:rFonts w:eastAsia="Times New Roman"/>
          <w:sz w:val="24"/>
          <w:szCs w:val="24"/>
        </w:rPr>
        <w:t xml:space="preserve">, 166 Colo. 280, 443 P.2d 708 (1968); </w:t>
      </w:r>
      <w:r w:rsidRPr="00AB71A7">
        <w:rPr>
          <w:rFonts w:eastAsia="Times New Roman"/>
          <w:b/>
          <w:sz w:val="24"/>
          <w:szCs w:val="24"/>
        </w:rPr>
        <w:t>Chartier v. Winslow Crane Serv</w:t>
      </w:r>
      <w:r>
        <w:rPr>
          <w:rFonts w:eastAsia="Times New Roman"/>
          <w:b/>
          <w:sz w:val="24"/>
          <w:szCs w:val="24"/>
        </w:rPr>
        <w:t>ice</w:t>
      </w:r>
      <w:r w:rsidRPr="00AB71A7">
        <w:rPr>
          <w:rFonts w:eastAsia="Times New Roman"/>
          <w:b/>
          <w:sz w:val="24"/>
          <w:szCs w:val="24"/>
        </w:rPr>
        <w:t xml:space="preserve"> Co.</w:t>
      </w:r>
      <w:r w:rsidRPr="00AB71A7">
        <w:rPr>
          <w:rFonts w:eastAsia="Times New Roman"/>
          <w:sz w:val="24"/>
          <w:szCs w:val="24"/>
        </w:rPr>
        <w:t xml:space="preserve">, 142 Colo. 294, 350 P.2d 1044 (1960); </w:t>
      </w:r>
      <w:r w:rsidRPr="00AB71A7">
        <w:rPr>
          <w:rFonts w:eastAsia="Times New Roman"/>
          <w:b/>
          <w:sz w:val="24"/>
          <w:szCs w:val="24"/>
        </w:rPr>
        <w:t>Landis v. McGowan</w:t>
      </w:r>
      <w:r w:rsidRPr="00AB71A7">
        <w:rPr>
          <w:rFonts w:eastAsia="Times New Roman"/>
          <w:sz w:val="24"/>
          <w:szCs w:val="24"/>
        </w:rPr>
        <w:t>,</w:t>
      </w:r>
      <w:r w:rsidRPr="00AB71A7">
        <w:rPr>
          <w:rFonts w:eastAsia="Times New Roman"/>
          <w:b/>
          <w:sz w:val="24"/>
          <w:szCs w:val="24"/>
        </w:rPr>
        <w:t xml:space="preserve"> </w:t>
      </w:r>
      <w:r w:rsidRPr="00AB71A7">
        <w:rPr>
          <w:rFonts w:eastAsia="Times New Roman"/>
          <w:sz w:val="24"/>
          <w:szCs w:val="24"/>
        </w:rPr>
        <w:t xml:space="preserve">114 Colo. 355, 165 P.2d 180 (1946); </w:t>
      </w:r>
      <w:r w:rsidRPr="00AB71A7">
        <w:rPr>
          <w:rFonts w:eastAsia="Times New Roman"/>
          <w:b/>
          <w:sz w:val="24"/>
          <w:szCs w:val="24"/>
        </w:rPr>
        <w:t>Thayer v. Kirchhof</w:t>
      </w:r>
      <w:r w:rsidRPr="00AB71A7">
        <w:rPr>
          <w:rFonts w:eastAsia="Times New Roman"/>
          <w:sz w:val="24"/>
          <w:szCs w:val="24"/>
        </w:rPr>
        <w:t>, 83 Colo. 480, 266 P. 225 (1928)</w:t>
      </w:r>
      <w:r>
        <w:rPr>
          <w:rFonts w:eastAsia="Times New Roman"/>
          <w:sz w:val="24"/>
          <w:szCs w:val="24"/>
        </w:rPr>
        <w:t xml:space="preserve">; and </w:t>
      </w:r>
      <w:r>
        <w:rPr>
          <w:rFonts w:eastAsia="Times New Roman"/>
          <w:b/>
          <w:sz w:val="24"/>
          <w:szCs w:val="24"/>
        </w:rPr>
        <w:t>Settle v. Basinger</w:t>
      </w:r>
      <w:r w:rsidRPr="0069285D">
        <w:rPr>
          <w:rFonts w:eastAsia="Times New Roman"/>
          <w:sz w:val="24"/>
          <w:szCs w:val="24"/>
        </w:rPr>
        <w:t>, 2013 COA</w:t>
      </w:r>
      <w:r>
        <w:rPr>
          <w:rFonts w:eastAsia="Times New Roman"/>
          <w:sz w:val="24"/>
          <w:szCs w:val="24"/>
        </w:rPr>
        <w:t xml:space="preserve"> </w:t>
      </w:r>
      <w:r w:rsidRPr="0069285D">
        <w:rPr>
          <w:rFonts w:eastAsia="Times New Roman"/>
          <w:sz w:val="24"/>
          <w:szCs w:val="24"/>
        </w:rPr>
        <w:t>18, ¶ 33, 411 P.3d 717</w:t>
      </w:r>
      <w:r w:rsidRPr="00AB71A7">
        <w:rPr>
          <w:rFonts w:eastAsia="Times New Roman"/>
          <w:sz w:val="24"/>
          <w:szCs w:val="24"/>
        </w:rPr>
        <w:t xml:space="preserve">. </w:t>
      </w:r>
      <w:r w:rsidRPr="00D0016D">
        <w:rPr>
          <w:rFonts w:eastAsia="Times New Roman"/>
          <w:i/>
          <w:sz w:val="24"/>
          <w:szCs w:val="24"/>
        </w:rPr>
        <w:t>See also</w:t>
      </w:r>
      <w:r w:rsidRPr="00D0016D">
        <w:rPr>
          <w:rFonts w:eastAsia="Times New Roman"/>
          <w:b/>
          <w:sz w:val="24"/>
          <w:szCs w:val="24"/>
        </w:rPr>
        <w:t xml:space="preserve"> </w:t>
      </w:r>
      <w:r w:rsidRPr="00AB71A7">
        <w:rPr>
          <w:rFonts w:eastAsia="Times New Roman"/>
          <w:b/>
          <w:sz w:val="24"/>
          <w:szCs w:val="24"/>
        </w:rPr>
        <w:t>Kiefer Concrete, Inc. v. Hoffman</w:t>
      </w:r>
      <w:r w:rsidRPr="00AB71A7">
        <w:rPr>
          <w:rFonts w:eastAsia="Times New Roman"/>
          <w:sz w:val="24"/>
          <w:szCs w:val="24"/>
        </w:rPr>
        <w:t>, 193 Colo. 15, 562 P.2d 745 (1977)</w:t>
      </w:r>
      <w:r>
        <w:rPr>
          <w:rFonts w:eastAsia="Times New Roman"/>
          <w:sz w:val="24"/>
          <w:szCs w:val="24"/>
        </w:rPr>
        <w:t xml:space="preserve">; </w:t>
      </w:r>
      <w:r w:rsidRPr="00AB71A7">
        <w:rPr>
          <w:rFonts w:eastAsia="Times New Roman"/>
          <w:b/>
          <w:sz w:val="24"/>
          <w:szCs w:val="24"/>
        </w:rPr>
        <w:t>Jacobson v. Doan</w:t>
      </w:r>
      <w:r w:rsidRPr="00AB71A7">
        <w:rPr>
          <w:rFonts w:eastAsia="Times New Roman"/>
          <w:sz w:val="24"/>
          <w:szCs w:val="24"/>
        </w:rPr>
        <w:t xml:space="preserve">, 136 Colo. 496, 319 P.2d 975 (1957); </w:t>
      </w:r>
      <w:r w:rsidRPr="00AB71A7">
        <w:rPr>
          <w:rFonts w:eastAsia="Times New Roman"/>
          <w:b/>
          <w:sz w:val="24"/>
          <w:szCs w:val="24"/>
        </w:rPr>
        <w:t>Morphew v. Ridge Crane Serv</w:t>
      </w:r>
      <w:r w:rsidRPr="00AB71A7">
        <w:rPr>
          <w:rFonts w:eastAsia="Times New Roman"/>
          <w:i/>
          <w:sz w:val="24"/>
          <w:szCs w:val="24"/>
        </w:rPr>
        <w:t>.</w:t>
      </w:r>
      <w:r w:rsidRPr="00AB71A7">
        <w:rPr>
          <w:rFonts w:eastAsia="Times New Roman"/>
          <w:sz w:val="24"/>
          <w:szCs w:val="24"/>
        </w:rPr>
        <w:t>, 902 P.2d 848 (Colo.</w:t>
      </w:r>
      <w:r>
        <w:rPr>
          <w:rFonts w:eastAsia="Times New Roman"/>
          <w:sz w:val="24"/>
          <w:szCs w:val="24"/>
        </w:rPr>
        <w:t xml:space="preserve"> </w:t>
      </w:r>
      <w:r w:rsidRPr="00AB71A7">
        <w:rPr>
          <w:rFonts w:eastAsia="Times New Roman"/>
          <w:sz w:val="24"/>
          <w:szCs w:val="24"/>
        </w:rPr>
        <w:t>App. 1995)</w:t>
      </w:r>
      <w:r>
        <w:rPr>
          <w:rFonts w:eastAsia="Times New Roman"/>
          <w:sz w:val="24"/>
          <w:szCs w:val="24"/>
        </w:rPr>
        <w:t>;</w:t>
      </w:r>
      <w:r w:rsidRPr="00AB71A7">
        <w:rPr>
          <w:rFonts w:eastAsia="Times New Roman"/>
          <w:i/>
          <w:sz w:val="24"/>
          <w:szCs w:val="24"/>
        </w:rPr>
        <w:t xml:space="preserve"> </w:t>
      </w:r>
      <w:r w:rsidRPr="00AB71A7">
        <w:rPr>
          <w:rFonts w:eastAsia="Times New Roman"/>
          <w:b/>
          <w:sz w:val="24"/>
          <w:szCs w:val="24"/>
        </w:rPr>
        <w:t>Colwell v. Oatman</w:t>
      </w:r>
      <w:r w:rsidRPr="00AB71A7">
        <w:rPr>
          <w:rFonts w:eastAsia="Times New Roman"/>
          <w:sz w:val="24"/>
          <w:szCs w:val="24"/>
        </w:rPr>
        <w:t>, 32 Colo.</w:t>
      </w:r>
      <w:r>
        <w:rPr>
          <w:rFonts w:eastAsia="Times New Roman"/>
          <w:sz w:val="24"/>
          <w:szCs w:val="24"/>
        </w:rPr>
        <w:t xml:space="preserve"> </w:t>
      </w:r>
      <w:r w:rsidRPr="00AB71A7">
        <w:rPr>
          <w:rFonts w:eastAsia="Times New Roman"/>
          <w:sz w:val="24"/>
          <w:szCs w:val="24"/>
        </w:rPr>
        <w:t xml:space="preserve">App. 171, 510 P.2d 464 (1973); </w:t>
      </w:r>
      <w:r w:rsidRPr="0018388B">
        <w:rPr>
          <w:rFonts w:eastAsia="Times New Roman"/>
          <w:smallCaps/>
          <w:sz w:val="24"/>
          <w:szCs w:val="24"/>
        </w:rPr>
        <w:t>Restatement (Third) of Agency</w:t>
      </w:r>
      <w:r w:rsidRPr="00AB71A7">
        <w:rPr>
          <w:rFonts w:eastAsia="Times New Roman"/>
          <w:sz w:val="24"/>
          <w:szCs w:val="24"/>
        </w:rPr>
        <w:t xml:space="preserve"> § 7.03 cmt. d(2) (2006) (addressing “lent employees” or “borrowed servants”)</w:t>
      </w:r>
      <w:r>
        <w:rPr>
          <w:rFonts w:eastAsia="Times New Roman"/>
          <w:sz w:val="24"/>
          <w:szCs w:val="24"/>
        </w:rPr>
        <w:t xml:space="preserve">; </w:t>
      </w:r>
      <w:r w:rsidRPr="0018388B">
        <w:rPr>
          <w:rFonts w:eastAsia="Times New Roman"/>
          <w:smallCaps/>
          <w:sz w:val="24"/>
          <w:szCs w:val="24"/>
        </w:rPr>
        <w:t>Restatement (Second) of Agency</w:t>
      </w:r>
      <w:r w:rsidRPr="00AB71A7">
        <w:rPr>
          <w:rFonts w:eastAsia="Times New Roman"/>
          <w:sz w:val="24"/>
          <w:szCs w:val="24"/>
        </w:rPr>
        <w:t xml:space="preserve"> § 227 (1958)</w:t>
      </w:r>
      <w:r>
        <w:rPr>
          <w:rFonts w:eastAsia="Times New Roman"/>
          <w:sz w:val="24"/>
          <w:szCs w:val="24"/>
        </w:rPr>
        <w:t>.</w:t>
      </w:r>
    </w:p>
    <w:p w14:paraId="601242EA" w14:textId="77777777" w:rsidR="00E01A1E" w:rsidRDefault="00771A51">
      <w:pPr>
        <w:rPr>
          <w:rFonts w:eastAsia="Times New Roman"/>
          <w:sz w:val="24"/>
          <w:szCs w:val="24"/>
        </w:rPr>
      </w:pPr>
      <w:r>
        <w:rPr>
          <w:rFonts w:eastAsia="Times New Roman"/>
          <w:sz w:val="24"/>
          <w:szCs w:val="24"/>
        </w:rPr>
        <w:br w:type="page"/>
      </w:r>
    </w:p>
    <w:p w14:paraId="379DEFB6" w14:textId="77777777" w:rsidR="00E01A1E" w:rsidRPr="009E3DA4" w:rsidRDefault="00771A51" w:rsidP="00E01A1E">
      <w:pPr>
        <w:spacing w:after="240"/>
        <w:ind w:left="720" w:hanging="720"/>
        <w:rPr>
          <w:rFonts w:eastAsia="Times New Roman"/>
          <w:b/>
          <w:sz w:val="24"/>
          <w:szCs w:val="24"/>
        </w:rPr>
      </w:pPr>
      <w:bookmarkStart w:id="7" w:name="a8_7"/>
      <w:bookmarkEnd w:id="7"/>
      <w:r w:rsidRPr="00E111AA">
        <w:rPr>
          <w:rFonts w:eastAsia="Times New Roman"/>
          <w:b/>
          <w:sz w:val="24"/>
          <w:szCs w:val="24"/>
        </w:rPr>
        <w:lastRenderedPageBreak/>
        <w:t>8:7</w:t>
      </w:r>
      <w:r w:rsidRPr="00E111AA">
        <w:rPr>
          <w:rFonts w:eastAsia="Times New Roman"/>
          <w:b/>
          <w:sz w:val="24"/>
          <w:szCs w:val="24"/>
        </w:rPr>
        <w:tab/>
        <w:t>LOANED EMPLOYEE ― DETERMINATION</w:t>
      </w:r>
    </w:p>
    <w:p w14:paraId="4101F7C0"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loaned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 xml:space="preserve">(name of alleged special employer) </w:t>
      </w:r>
      <w:r w:rsidRPr="00E111AA">
        <w:rPr>
          <w:rFonts w:eastAsia="Times New Roman"/>
          <w:b/>
          <w:sz w:val="24"/>
          <w:szCs w:val="24"/>
        </w:rPr>
        <w:t xml:space="preserve">for a special service or project and that </w:t>
      </w:r>
      <w:r w:rsidRPr="00E111AA">
        <w:rPr>
          <w:rFonts w:eastAsia="Times New Roman"/>
          <w:i/>
          <w:sz w:val="24"/>
          <w:szCs w:val="24"/>
        </w:rPr>
        <w:t>(name of alleged special employer)</w:t>
      </w:r>
      <w:r w:rsidRPr="00E111AA">
        <w:rPr>
          <w:rFonts w:eastAsia="Times New Roman"/>
          <w:b/>
          <w:sz w:val="24"/>
          <w:szCs w:val="24"/>
        </w:rPr>
        <w:t xml:space="preserve"> had the exclusive right to control </w:t>
      </w:r>
      <w:r w:rsidRPr="00E111AA">
        <w:rPr>
          <w:rFonts w:eastAsia="Times New Roman"/>
          <w:i/>
          <w:sz w:val="24"/>
          <w:szCs w:val="24"/>
        </w:rPr>
        <w:t>(name of employee)</w:t>
      </w:r>
      <w:r w:rsidRPr="00E111AA">
        <w:rPr>
          <w:rFonts w:eastAsia="Times New Roman"/>
          <w:b/>
          <w:sz w:val="24"/>
          <w:szCs w:val="24"/>
        </w:rPr>
        <w:t xml:space="preserve"> with respect to that (work) (service) (job), then you must find that </w:t>
      </w:r>
      <w:r w:rsidRPr="00E111AA">
        <w:rPr>
          <w:rFonts w:eastAsia="Times New Roman"/>
          <w:i/>
          <w:sz w:val="24"/>
          <w:szCs w:val="24"/>
        </w:rPr>
        <w:t>(name of employee)</w:t>
      </w:r>
      <w:r w:rsidRPr="00E111AA">
        <w:rPr>
          <w:rFonts w:eastAsia="Times New Roman"/>
          <w:b/>
          <w:sz w:val="24"/>
          <w:szCs w:val="24"/>
        </w:rPr>
        <w:t xml:space="preserve"> was the employee of </w:t>
      </w:r>
      <w:r w:rsidRPr="00E111AA">
        <w:rPr>
          <w:rFonts w:eastAsia="Times New Roman"/>
          <w:i/>
          <w:sz w:val="24"/>
          <w:szCs w:val="24"/>
        </w:rPr>
        <w:t>(name of alleged special employer)</w:t>
      </w:r>
      <w:r w:rsidRPr="00E111AA">
        <w:rPr>
          <w:rFonts w:eastAsia="Times New Roman"/>
          <w:b/>
          <w:sz w:val="24"/>
          <w:szCs w:val="24"/>
        </w:rPr>
        <w:t>.</w:t>
      </w:r>
    </w:p>
    <w:p w14:paraId="038A6A67"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 xml:space="preserve">If you find that </w:t>
      </w:r>
      <w:r w:rsidRPr="00E111AA">
        <w:rPr>
          <w:rFonts w:eastAsia="Times New Roman"/>
          <w:i/>
          <w:sz w:val="24"/>
          <w:szCs w:val="24"/>
        </w:rPr>
        <w:t>(name of general employer)</w:t>
      </w:r>
      <w:r w:rsidRPr="00E111AA">
        <w:rPr>
          <w:rFonts w:eastAsia="Times New Roman"/>
          <w:b/>
          <w:sz w:val="24"/>
          <w:szCs w:val="24"/>
        </w:rPr>
        <w:t xml:space="preserve"> did not loan out </w:t>
      </w:r>
      <w:r w:rsidRPr="00E111AA">
        <w:rPr>
          <w:rFonts w:eastAsia="Times New Roman"/>
          <w:i/>
          <w:sz w:val="24"/>
          <w:szCs w:val="24"/>
        </w:rPr>
        <w:t>(name of employee)</w:t>
      </w:r>
      <w:r w:rsidRPr="00E111AA">
        <w:rPr>
          <w:rFonts w:eastAsia="Times New Roman"/>
          <w:b/>
          <w:sz w:val="24"/>
          <w:szCs w:val="24"/>
        </w:rPr>
        <w:t xml:space="preserve"> to </w:t>
      </w:r>
      <w:r w:rsidRPr="00E111AA">
        <w:rPr>
          <w:rFonts w:eastAsia="Times New Roman"/>
          <w:i/>
          <w:sz w:val="24"/>
          <w:szCs w:val="24"/>
        </w:rPr>
        <w:t>(name of alleged special employer</w:t>
      </w:r>
      <w:r w:rsidRPr="00E111AA">
        <w:rPr>
          <w:rFonts w:eastAsia="Times New Roman"/>
          <w:b/>
          <w:sz w:val="24"/>
          <w:szCs w:val="24"/>
        </w:rPr>
        <w:t xml:space="preserve">) for a special service or project or if </w:t>
      </w:r>
      <w:r w:rsidRPr="00E111AA">
        <w:rPr>
          <w:rFonts w:eastAsia="Times New Roman"/>
          <w:i/>
          <w:sz w:val="24"/>
          <w:szCs w:val="24"/>
        </w:rPr>
        <w:t>(name of alleged special employer)</w:t>
      </w:r>
      <w:r w:rsidRPr="00E111AA">
        <w:rPr>
          <w:rFonts w:eastAsia="Times New Roman"/>
          <w:b/>
          <w:sz w:val="24"/>
          <w:szCs w:val="24"/>
        </w:rPr>
        <w:t xml:space="preserve"> did not have the exclusive right to control </w:t>
      </w:r>
      <w:r w:rsidRPr="00E111AA">
        <w:rPr>
          <w:rFonts w:eastAsia="Times New Roman"/>
          <w:i/>
          <w:sz w:val="24"/>
          <w:szCs w:val="24"/>
        </w:rPr>
        <w:t>(name of employee)</w:t>
      </w:r>
      <w:r w:rsidRPr="00E111AA">
        <w:rPr>
          <w:rFonts w:eastAsia="Times New Roman"/>
          <w:b/>
          <w:sz w:val="24"/>
          <w:szCs w:val="24"/>
        </w:rPr>
        <w:t xml:space="preserve">, then you must find that </w:t>
      </w:r>
      <w:r w:rsidRPr="00E111AA">
        <w:rPr>
          <w:rFonts w:eastAsia="Times New Roman"/>
          <w:i/>
          <w:sz w:val="24"/>
          <w:szCs w:val="24"/>
        </w:rPr>
        <w:t>(name of employee)</w:t>
      </w:r>
      <w:r w:rsidRPr="00E111AA">
        <w:rPr>
          <w:rFonts w:eastAsia="Times New Roman"/>
          <w:b/>
          <w:sz w:val="24"/>
          <w:szCs w:val="24"/>
        </w:rPr>
        <w:t xml:space="preserve"> was not the employee of </w:t>
      </w:r>
      <w:r w:rsidRPr="00E111AA">
        <w:rPr>
          <w:rFonts w:eastAsia="Times New Roman"/>
          <w:i/>
          <w:sz w:val="24"/>
          <w:szCs w:val="24"/>
        </w:rPr>
        <w:t>(name of alleged special employer)</w:t>
      </w:r>
      <w:r w:rsidRPr="00E111AA">
        <w:rPr>
          <w:rFonts w:eastAsia="Times New Roman"/>
          <w:b/>
          <w:sz w:val="24"/>
          <w:szCs w:val="24"/>
        </w:rPr>
        <w:t>.</w:t>
      </w:r>
    </w:p>
    <w:p w14:paraId="7020A93D" w14:textId="77777777" w:rsidR="00E01A1E" w:rsidRDefault="00E01A1E" w:rsidP="00E01A1E">
      <w:pPr>
        <w:jc w:val="center"/>
        <w:rPr>
          <w:rFonts w:eastAsia="Times New Roman"/>
          <w:sz w:val="24"/>
          <w:szCs w:val="24"/>
        </w:rPr>
      </w:pPr>
    </w:p>
    <w:p w14:paraId="30096F5D"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75021355"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1. In appropriate cases, Instruction 8:6 should be given as an introduction to this instruction.</w:t>
      </w:r>
    </w:p>
    <w:p w14:paraId="6BAC87D5"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2. When necessary, Instruction 8:4 </w:t>
      </w:r>
      <w:r>
        <w:rPr>
          <w:rFonts w:eastAsia="Times New Roman"/>
          <w:sz w:val="24"/>
          <w:szCs w:val="24"/>
        </w:rPr>
        <w:t xml:space="preserve">(defining employer and employee) </w:t>
      </w:r>
      <w:r w:rsidRPr="00E111AA">
        <w:rPr>
          <w:rFonts w:eastAsia="Times New Roman"/>
          <w:sz w:val="24"/>
          <w:szCs w:val="24"/>
        </w:rPr>
        <w:t>should be given with this instruction.</w:t>
      </w:r>
    </w:p>
    <w:p w14:paraId="54E3DC35"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3. In the first paragraph, use whichever word, “work,” “service,” or “job,” is most appropriate.</w:t>
      </w:r>
    </w:p>
    <w:p w14:paraId="4483B166"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0B396F39"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1. This instruction is supported by</w:t>
      </w:r>
      <w:r w:rsidRPr="00E111AA">
        <w:rPr>
          <w:rFonts w:eastAsia="Times New Roman"/>
          <w:b/>
          <w:sz w:val="24"/>
          <w:szCs w:val="24"/>
        </w:rPr>
        <w:t xml:space="preserve"> Kiefer Concrete, Inc. v. Hoffman</w:t>
      </w:r>
      <w:r w:rsidRPr="00E111AA">
        <w:rPr>
          <w:rFonts w:eastAsia="Times New Roman"/>
          <w:sz w:val="24"/>
          <w:szCs w:val="24"/>
        </w:rPr>
        <w:t xml:space="preserve">, 193 Colo. 15, 562 P.2d 745 (1977); </w:t>
      </w:r>
      <w:r w:rsidRPr="00E111AA">
        <w:rPr>
          <w:rFonts w:eastAsia="Times New Roman"/>
          <w:b/>
          <w:sz w:val="24"/>
          <w:szCs w:val="24"/>
        </w:rPr>
        <w:t>Bernardi v. C</w:t>
      </w:r>
      <w:r>
        <w:rPr>
          <w:rFonts w:eastAsia="Times New Roman"/>
          <w:b/>
          <w:sz w:val="24"/>
          <w:szCs w:val="24"/>
        </w:rPr>
        <w:t>om</w:t>
      </w:r>
      <w:r w:rsidRPr="00E111AA">
        <w:rPr>
          <w:rFonts w:eastAsia="Times New Roman"/>
          <w:b/>
          <w:sz w:val="24"/>
          <w:szCs w:val="24"/>
        </w:rPr>
        <w:t>m</w:t>
      </w:r>
      <w:r>
        <w:rPr>
          <w:rFonts w:eastAsia="Times New Roman"/>
          <w:b/>
          <w:sz w:val="24"/>
          <w:szCs w:val="24"/>
        </w:rPr>
        <w:t>uni</w:t>
      </w:r>
      <w:r w:rsidRPr="00E111AA">
        <w:rPr>
          <w:rFonts w:eastAsia="Times New Roman"/>
          <w:b/>
          <w:sz w:val="24"/>
          <w:szCs w:val="24"/>
        </w:rPr>
        <w:t>ty Hosp</w:t>
      </w:r>
      <w:r>
        <w:rPr>
          <w:rFonts w:eastAsia="Times New Roman"/>
          <w:b/>
          <w:sz w:val="24"/>
          <w:szCs w:val="24"/>
        </w:rPr>
        <w:t>ital</w:t>
      </w:r>
      <w:r w:rsidRPr="00E111AA">
        <w:rPr>
          <w:rFonts w:eastAsia="Times New Roman"/>
          <w:b/>
          <w:sz w:val="24"/>
          <w:szCs w:val="24"/>
        </w:rPr>
        <w:t xml:space="preserve"> Ass’n</w:t>
      </w:r>
      <w:r w:rsidRPr="00E111AA">
        <w:rPr>
          <w:rFonts w:eastAsia="Times New Roman"/>
          <w:sz w:val="24"/>
          <w:szCs w:val="24"/>
        </w:rPr>
        <w:t xml:space="preserve">, 166 Colo. 280, 443 P.2d 708 (1968); </w:t>
      </w:r>
      <w:r w:rsidRPr="00E111AA">
        <w:rPr>
          <w:rFonts w:eastAsia="Times New Roman"/>
          <w:b/>
          <w:sz w:val="24"/>
          <w:szCs w:val="24"/>
        </w:rPr>
        <w:t>Chartier v. Winslow Crane Serv</w:t>
      </w:r>
      <w:r>
        <w:rPr>
          <w:rFonts w:eastAsia="Times New Roman"/>
          <w:b/>
          <w:sz w:val="24"/>
          <w:szCs w:val="24"/>
        </w:rPr>
        <w:t>ice</w:t>
      </w:r>
      <w:r w:rsidRPr="00E111AA">
        <w:rPr>
          <w:rFonts w:eastAsia="Times New Roman"/>
          <w:b/>
          <w:sz w:val="24"/>
          <w:szCs w:val="24"/>
        </w:rPr>
        <w:t xml:space="preserve"> Co.</w:t>
      </w:r>
      <w:r w:rsidRPr="00E111AA">
        <w:rPr>
          <w:rFonts w:eastAsia="Times New Roman"/>
          <w:sz w:val="24"/>
          <w:szCs w:val="24"/>
        </w:rPr>
        <w:t xml:space="preserve">, 142 Colo. 294, 350 P.2d 1044 (1960); </w:t>
      </w:r>
      <w:r w:rsidRPr="00E111AA">
        <w:rPr>
          <w:rFonts w:eastAsia="Times New Roman"/>
          <w:b/>
          <w:sz w:val="24"/>
          <w:szCs w:val="24"/>
        </w:rPr>
        <w:t>Jacobson v. Doan</w:t>
      </w:r>
      <w:r w:rsidRPr="00E111AA">
        <w:rPr>
          <w:rFonts w:eastAsia="Times New Roman"/>
          <w:sz w:val="24"/>
          <w:szCs w:val="24"/>
        </w:rPr>
        <w:t>, 136 Colo. 496, 319 P.2d 975 (1957)</w:t>
      </w:r>
      <w:r>
        <w:rPr>
          <w:rFonts w:eastAsia="Times New Roman"/>
          <w:sz w:val="24"/>
          <w:szCs w:val="24"/>
        </w:rPr>
        <w:t>;</w:t>
      </w:r>
      <w:r w:rsidRPr="00E111AA">
        <w:rPr>
          <w:rFonts w:eastAsia="Times New Roman"/>
          <w:sz w:val="24"/>
          <w:szCs w:val="24"/>
        </w:rPr>
        <w:t xml:space="preserve"> </w:t>
      </w:r>
      <w:r w:rsidRPr="00E111AA">
        <w:rPr>
          <w:rFonts w:eastAsia="Times New Roman"/>
          <w:b/>
          <w:sz w:val="24"/>
          <w:szCs w:val="24"/>
        </w:rPr>
        <w:t>Landis v. McGowan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114 Colo. 355, 165 P.2d 180 (1946); </w:t>
      </w:r>
      <w:r w:rsidRPr="00E111AA">
        <w:rPr>
          <w:rFonts w:eastAsia="Times New Roman"/>
          <w:b/>
          <w:sz w:val="24"/>
          <w:szCs w:val="24"/>
        </w:rPr>
        <w:t>Thayer v. Kirchhof</w:t>
      </w:r>
      <w:r w:rsidRPr="00E111AA">
        <w:rPr>
          <w:rFonts w:eastAsia="Times New Roman"/>
          <w:sz w:val="24"/>
          <w:szCs w:val="24"/>
        </w:rPr>
        <w:t>, 83 Colo. 480, 266 P. 225 (1928)</w:t>
      </w:r>
      <w:r>
        <w:rPr>
          <w:rFonts w:eastAsia="Times New Roman"/>
          <w:sz w:val="24"/>
          <w:szCs w:val="24"/>
        </w:rPr>
        <w:t>;</w:t>
      </w:r>
      <w:r w:rsidRPr="0069285D">
        <w:rPr>
          <w:rFonts w:eastAsia="Times New Roman"/>
          <w:b/>
          <w:sz w:val="24"/>
          <w:szCs w:val="24"/>
        </w:rPr>
        <w:t xml:space="preserve"> </w:t>
      </w:r>
      <w:r w:rsidRPr="00D0016D">
        <w:rPr>
          <w:rFonts w:eastAsia="Times New Roman"/>
          <w:sz w:val="24"/>
          <w:szCs w:val="24"/>
        </w:rPr>
        <w:t xml:space="preserve">and </w:t>
      </w:r>
      <w:r>
        <w:rPr>
          <w:rFonts w:eastAsia="Times New Roman"/>
          <w:b/>
          <w:sz w:val="24"/>
          <w:szCs w:val="24"/>
        </w:rPr>
        <w:t>Settle v. Basinger</w:t>
      </w:r>
      <w:r w:rsidRPr="0069285D">
        <w:rPr>
          <w:rFonts w:eastAsia="Times New Roman"/>
          <w:sz w:val="24"/>
          <w:szCs w:val="24"/>
        </w:rPr>
        <w:t>, 2013 COA</w:t>
      </w:r>
      <w:r>
        <w:rPr>
          <w:rFonts w:eastAsia="Times New Roman"/>
          <w:sz w:val="24"/>
          <w:szCs w:val="24"/>
        </w:rPr>
        <w:t xml:space="preserve"> </w:t>
      </w:r>
      <w:r w:rsidRPr="0069285D">
        <w:rPr>
          <w:rFonts w:eastAsia="Times New Roman"/>
          <w:sz w:val="24"/>
          <w:szCs w:val="24"/>
        </w:rPr>
        <w:t>18, ¶ 33, 411 P.3d 717</w:t>
      </w:r>
      <w:r w:rsidRPr="00E111AA">
        <w:rPr>
          <w:rFonts w:eastAsia="Times New Roman"/>
          <w:sz w:val="24"/>
          <w:szCs w:val="24"/>
        </w:rPr>
        <w:t xml:space="preserve">. </w:t>
      </w:r>
      <w:r w:rsidRPr="00D0016D">
        <w:rPr>
          <w:rFonts w:eastAsia="Times New Roman"/>
          <w:i/>
          <w:sz w:val="24"/>
          <w:szCs w:val="24"/>
        </w:rPr>
        <w:t>See also</w:t>
      </w:r>
      <w:r>
        <w:rPr>
          <w:rFonts w:eastAsia="Times New Roman"/>
          <w:sz w:val="24"/>
          <w:szCs w:val="24"/>
        </w:rPr>
        <w:t xml:space="preserve"> </w:t>
      </w:r>
      <w:r w:rsidRPr="00E111AA">
        <w:rPr>
          <w:rFonts w:eastAsia="Times New Roman"/>
          <w:b/>
          <w:sz w:val="24"/>
          <w:szCs w:val="24"/>
        </w:rPr>
        <w:t>Morphew v. Ridge Crane Serv</w:t>
      </w:r>
      <w:r w:rsidRPr="00E111AA">
        <w:rPr>
          <w:rFonts w:eastAsia="Times New Roman"/>
          <w:i/>
          <w:sz w:val="24"/>
          <w:szCs w:val="24"/>
        </w:rPr>
        <w:t>.</w:t>
      </w:r>
      <w:r w:rsidRPr="00E111AA">
        <w:rPr>
          <w:rFonts w:eastAsia="Times New Roman"/>
          <w:sz w:val="24"/>
          <w:szCs w:val="24"/>
        </w:rPr>
        <w:t>, 902 P.2d 848 (Colo.</w:t>
      </w:r>
      <w:r>
        <w:rPr>
          <w:rFonts w:eastAsia="Times New Roman"/>
          <w:sz w:val="24"/>
          <w:szCs w:val="24"/>
        </w:rPr>
        <w:t xml:space="preserve"> </w:t>
      </w:r>
      <w:r w:rsidRPr="00E111AA">
        <w:rPr>
          <w:rFonts w:eastAsia="Times New Roman"/>
          <w:sz w:val="24"/>
          <w:szCs w:val="24"/>
        </w:rPr>
        <w:t>App. 1995)</w:t>
      </w:r>
      <w:r>
        <w:rPr>
          <w:rFonts w:eastAsia="Times New Roman"/>
          <w:sz w:val="24"/>
          <w:szCs w:val="24"/>
        </w:rPr>
        <w:t>;</w:t>
      </w:r>
      <w:r w:rsidRPr="00E111AA">
        <w:rPr>
          <w:rFonts w:eastAsia="Times New Roman"/>
          <w:sz w:val="24"/>
          <w:szCs w:val="24"/>
        </w:rPr>
        <w:t xml:space="preserve"> </w:t>
      </w:r>
      <w:r w:rsidRPr="00E111AA">
        <w:rPr>
          <w:rFonts w:eastAsia="Times New Roman"/>
          <w:b/>
          <w:sz w:val="24"/>
          <w:szCs w:val="24"/>
        </w:rPr>
        <w:t>Colwell v. Oatman</w:t>
      </w:r>
      <w:r w:rsidRPr="00E111AA">
        <w:rPr>
          <w:rFonts w:eastAsia="Times New Roman"/>
          <w:sz w:val="24"/>
          <w:szCs w:val="24"/>
        </w:rPr>
        <w:t>, 32 Colo.</w:t>
      </w:r>
      <w:r>
        <w:rPr>
          <w:rFonts w:eastAsia="Times New Roman"/>
          <w:sz w:val="24"/>
          <w:szCs w:val="24"/>
        </w:rPr>
        <w:t xml:space="preserve"> </w:t>
      </w:r>
      <w:r w:rsidRPr="00E111AA">
        <w:rPr>
          <w:rFonts w:eastAsia="Times New Roman"/>
          <w:sz w:val="24"/>
          <w:szCs w:val="24"/>
        </w:rPr>
        <w:t>App. 171, 510 P.2d 464 (1973)</w:t>
      </w:r>
      <w:r>
        <w:rPr>
          <w:rFonts w:eastAsia="Times New Roman"/>
          <w:sz w:val="24"/>
          <w:szCs w:val="24"/>
        </w:rPr>
        <w:t>;</w:t>
      </w:r>
      <w:r w:rsidRPr="00E111AA">
        <w:rPr>
          <w:rFonts w:eastAsia="Times New Roman"/>
          <w:i/>
          <w:sz w:val="24"/>
          <w:szCs w:val="24"/>
        </w:rPr>
        <w:t xml:space="preserve"> </w:t>
      </w:r>
      <w:r w:rsidRPr="00E111AA">
        <w:rPr>
          <w:rFonts w:eastAsia="Times New Roman"/>
          <w:smallCaps/>
          <w:sz w:val="24"/>
          <w:szCs w:val="24"/>
        </w:rPr>
        <w:t>Restatement (Third) of Agency</w:t>
      </w:r>
      <w:r w:rsidRPr="00E111AA">
        <w:rPr>
          <w:rFonts w:eastAsia="Times New Roman"/>
          <w:sz w:val="24"/>
          <w:szCs w:val="24"/>
        </w:rPr>
        <w:t xml:space="preserve"> § 7.03 cmt. d(2) (2006) (addressing “lent employees” or “borrowed servants”).</w:t>
      </w:r>
      <w:r w:rsidRPr="00D0016D">
        <w:rPr>
          <w:rFonts w:eastAsia="Times New Roman"/>
          <w:sz w:val="24"/>
          <w:szCs w:val="24"/>
        </w:rPr>
        <w:t xml:space="preserve"> </w:t>
      </w:r>
      <w:r w:rsidRPr="00E111AA">
        <w:rPr>
          <w:rFonts w:eastAsia="Times New Roman"/>
          <w:sz w:val="24"/>
          <w:szCs w:val="24"/>
        </w:rPr>
        <w:t>Control was found to exist in some, but not all, of the above cases.</w:t>
      </w:r>
    </w:p>
    <w:p w14:paraId="356C9707"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2. “Courts have traditionally considered several criteria to be relevant in the determination whether a loaned employment relationship exists. These include: (1) whether the borrowing employer has the right to control the employee’s conduct; (2) whether the employee is performing the employer’s work; (3) whether there was an agreement between the original and borrowing employer; (4) whether the employee had acquiesced in the arrangement; (5) whether the borrowing employer had the right to terminate the employee; (6) whether the borrowing employer furnished the tools and place for performance; (7) whether the new employment was to be for a considerable length of time; (8) whether the borrowing employer had the obligation to pay the employee; and (9) whether the original employer terminated its relationship with the employee.” </w:t>
      </w:r>
      <w:r w:rsidRPr="00E111AA">
        <w:rPr>
          <w:rFonts w:eastAsia="Times New Roman"/>
          <w:b/>
          <w:sz w:val="24"/>
          <w:szCs w:val="24"/>
        </w:rPr>
        <w:t>Morphew</w:t>
      </w:r>
      <w:r w:rsidRPr="00E111AA">
        <w:rPr>
          <w:rFonts w:eastAsia="Times New Roman"/>
          <w:sz w:val="24"/>
          <w:szCs w:val="24"/>
        </w:rPr>
        <w:t xml:space="preserve">, 902 P.2d </w:t>
      </w:r>
      <w:r>
        <w:rPr>
          <w:rFonts w:eastAsia="Times New Roman"/>
          <w:sz w:val="24"/>
          <w:szCs w:val="24"/>
        </w:rPr>
        <w:t>at</w:t>
      </w:r>
      <w:r w:rsidRPr="00E111AA">
        <w:rPr>
          <w:rFonts w:eastAsia="Times New Roman"/>
          <w:sz w:val="24"/>
          <w:szCs w:val="24"/>
        </w:rPr>
        <w:t xml:space="preserve"> 850.</w:t>
      </w:r>
    </w:p>
    <w:p w14:paraId="21EABFA9" w14:textId="77777777" w:rsidR="00E01A1E" w:rsidRDefault="00771A51" w:rsidP="00E01A1E">
      <w:pPr>
        <w:ind w:firstLine="720"/>
        <w:rPr>
          <w:rFonts w:eastAsia="Times New Roman"/>
          <w:sz w:val="24"/>
          <w:szCs w:val="24"/>
        </w:rPr>
      </w:pPr>
      <w:r w:rsidRPr="00E111AA">
        <w:rPr>
          <w:rFonts w:eastAsia="Times New Roman"/>
          <w:sz w:val="24"/>
          <w:szCs w:val="24"/>
        </w:rPr>
        <w:lastRenderedPageBreak/>
        <w:t xml:space="preserve">3. “The element of control necessary to establish a borrowed employment relationship need not extend to directing the technical details of a skilled employee’s activity. What is essential is the right to control the time and place of services, the person for whom rendered, and the degree and amount of services.” </w:t>
      </w:r>
      <w:r w:rsidRPr="00946BCF">
        <w:rPr>
          <w:rFonts w:eastAsia="Times New Roman"/>
          <w:i/>
          <w:sz w:val="24"/>
          <w:szCs w:val="24"/>
        </w:rPr>
        <w:t>Id.</w:t>
      </w:r>
      <w:r>
        <w:rPr>
          <w:rFonts w:eastAsia="Times New Roman"/>
          <w:sz w:val="24"/>
          <w:szCs w:val="24"/>
        </w:rPr>
        <w:t xml:space="preserve"> at </w:t>
      </w:r>
      <w:r w:rsidRPr="00E111AA">
        <w:rPr>
          <w:rFonts w:eastAsia="Times New Roman"/>
          <w:sz w:val="24"/>
          <w:szCs w:val="24"/>
        </w:rPr>
        <w:t>851.</w:t>
      </w:r>
    </w:p>
    <w:p w14:paraId="45C7813F" w14:textId="77777777" w:rsidR="00E01A1E" w:rsidRDefault="00E01A1E" w:rsidP="00E01A1E">
      <w:pPr>
        <w:ind w:firstLine="720"/>
        <w:rPr>
          <w:rFonts w:eastAsia="Times New Roman"/>
          <w:sz w:val="24"/>
          <w:szCs w:val="24"/>
        </w:rPr>
      </w:pPr>
    </w:p>
    <w:p w14:paraId="11B63956" w14:textId="77777777" w:rsidR="00E01A1E" w:rsidRPr="00E111AA" w:rsidRDefault="00771A51" w:rsidP="00E01A1E">
      <w:pPr>
        <w:spacing w:after="240"/>
        <w:ind w:firstLine="720"/>
        <w:rPr>
          <w:rFonts w:eastAsia="Times New Roman"/>
          <w:sz w:val="24"/>
          <w:szCs w:val="24"/>
        </w:rPr>
      </w:pPr>
      <w:r>
        <w:rPr>
          <w:rFonts w:eastAsia="Times New Roman"/>
          <w:sz w:val="24"/>
          <w:szCs w:val="24"/>
        </w:rPr>
        <w:t xml:space="preserve">4. An employer’s liability for a loaned employee depends on the claim asserted. </w:t>
      </w:r>
      <w:r>
        <w:rPr>
          <w:rFonts w:eastAsia="Times New Roman"/>
          <w:i/>
          <w:sz w:val="24"/>
          <w:szCs w:val="24"/>
        </w:rPr>
        <w:t xml:space="preserve">See </w:t>
      </w:r>
      <w:r>
        <w:rPr>
          <w:rFonts w:eastAsia="Times New Roman"/>
          <w:b/>
          <w:sz w:val="24"/>
          <w:szCs w:val="24"/>
        </w:rPr>
        <w:t>Kiefer Concrete, Inc.</w:t>
      </w:r>
      <w:r>
        <w:rPr>
          <w:rFonts w:eastAsia="Times New Roman"/>
          <w:sz w:val="24"/>
          <w:szCs w:val="24"/>
        </w:rPr>
        <w:t xml:space="preserve">, 193 Colo. at 18, 562 P.2d at 746 (“The employer under whose exclusive control the loaned employee operates may then be held vicariously liable for the acts of the employee under ordinary principles of Respondeat superior.”); </w:t>
      </w:r>
      <w:r>
        <w:rPr>
          <w:rFonts w:eastAsia="Times New Roman"/>
          <w:b/>
          <w:sz w:val="24"/>
          <w:szCs w:val="24"/>
        </w:rPr>
        <w:t>Morphew</w:t>
      </w:r>
      <w:r>
        <w:rPr>
          <w:rFonts w:eastAsia="Times New Roman"/>
          <w:sz w:val="24"/>
          <w:szCs w:val="24"/>
        </w:rPr>
        <w:t xml:space="preserve">, 902 P.2d at 850 (holding, in workers’ compensation claim, that because a loaned employee is considered a co-employee of the employer’s employees, both the loaned employee and the general employer are immune from tort liability where the conditions of loaned employment are met). </w:t>
      </w:r>
    </w:p>
    <w:p w14:paraId="16C25DDA" w14:textId="77777777" w:rsidR="00E01A1E" w:rsidRDefault="00771A51" w:rsidP="00E01A1E">
      <w:pPr>
        <w:ind w:firstLine="720"/>
        <w:rPr>
          <w:rFonts w:eastAsia="Times New Roman"/>
          <w:sz w:val="24"/>
          <w:szCs w:val="24"/>
        </w:rPr>
      </w:pPr>
      <w:r>
        <w:rPr>
          <w:rFonts w:eastAsia="Times New Roman"/>
          <w:sz w:val="24"/>
          <w:szCs w:val="24"/>
        </w:rPr>
        <w:br w:type="page"/>
      </w:r>
    </w:p>
    <w:p w14:paraId="39974438" w14:textId="77777777" w:rsidR="00E01A1E" w:rsidRPr="009E3DA4" w:rsidRDefault="00771A51" w:rsidP="00E01A1E">
      <w:pPr>
        <w:spacing w:after="240"/>
        <w:ind w:left="720" w:hanging="720"/>
        <w:rPr>
          <w:rFonts w:eastAsia="Times New Roman"/>
          <w:b/>
          <w:sz w:val="24"/>
          <w:szCs w:val="24"/>
        </w:rPr>
      </w:pPr>
      <w:bookmarkStart w:id="8" w:name="a8_8"/>
      <w:bookmarkEnd w:id="8"/>
      <w:r w:rsidRPr="00E111AA">
        <w:rPr>
          <w:rFonts w:eastAsia="Times New Roman"/>
          <w:b/>
          <w:sz w:val="24"/>
          <w:szCs w:val="24"/>
        </w:rPr>
        <w:lastRenderedPageBreak/>
        <w:t xml:space="preserve">8:8 </w:t>
      </w:r>
      <w:r w:rsidRPr="00E111AA">
        <w:rPr>
          <w:rFonts w:eastAsia="Times New Roman"/>
          <w:b/>
          <w:sz w:val="24"/>
          <w:szCs w:val="24"/>
        </w:rPr>
        <w:tab/>
        <w:t>SCOPE OF EMPLOYMENT OF EMPLOYEE — DEFINED</w:t>
      </w:r>
    </w:p>
    <w:p w14:paraId="7B20F1E1" w14:textId="69652976"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 xml:space="preserve">An employee is acting within the scope of </w:t>
      </w:r>
      <w:r w:rsidR="003E686C" w:rsidRPr="003E686C">
        <w:rPr>
          <w:rFonts w:eastAsia="Times New Roman"/>
          <w:bCs/>
          <w:i/>
          <w:iCs/>
          <w:sz w:val="24"/>
          <w:szCs w:val="24"/>
        </w:rPr>
        <w:t>(insert applicable pronoun)</w:t>
      </w:r>
      <w:r w:rsidRPr="00E111AA">
        <w:rPr>
          <w:rFonts w:eastAsia="Times New Roman"/>
          <w:b/>
          <w:sz w:val="24"/>
          <w:szCs w:val="24"/>
        </w:rPr>
        <w:t xml:space="preserve"> employment when the employee is doing work that is:</w:t>
      </w:r>
    </w:p>
    <w:p w14:paraId="39EC4744" w14:textId="5F35126A"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 xml:space="preserve">1. Assigned by </w:t>
      </w:r>
      <w:r w:rsidR="003E686C" w:rsidRPr="003E686C">
        <w:rPr>
          <w:rFonts w:eastAsia="Times New Roman"/>
          <w:bCs/>
          <w:i/>
          <w:iCs/>
          <w:sz w:val="24"/>
          <w:szCs w:val="24"/>
        </w:rPr>
        <w:t>(insert applicable pronoun)</w:t>
      </w:r>
      <w:r w:rsidRPr="00E111AA">
        <w:rPr>
          <w:rFonts w:eastAsia="Times New Roman"/>
          <w:b/>
          <w:sz w:val="24"/>
          <w:szCs w:val="24"/>
        </w:rPr>
        <w:t xml:space="preserve"> employer; or</w:t>
      </w:r>
    </w:p>
    <w:p w14:paraId="3876BF5D"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2. Proper, usual, and necessary to accomplish the assigned work; or</w:t>
      </w:r>
    </w:p>
    <w:p w14:paraId="3E982D73" w14:textId="77777777" w:rsidR="00E01A1E" w:rsidRPr="00E111AA" w:rsidRDefault="00771A51" w:rsidP="00E01A1E">
      <w:pPr>
        <w:spacing w:after="240"/>
        <w:ind w:firstLine="720"/>
        <w:rPr>
          <w:rFonts w:eastAsia="Times New Roman"/>
          <w:b/>
          <w:sz w:val="24"/>
          <w:szCs w:val="24"/>
        </w:rPr>
      </w:pPr>
      <w:r w:rsidRPr="00E111AA">
        <w:rPr>
          <w:rFonts w:eastAsia="Times New Roman"/>
          <w:b/>
          <w:sz w:val="24"/>
          <w:szCs w:val="24"/>
        </w:rPr>
        <w:t>3. Customary in the particular trade or business to accomplish the assigned work.</w:t>
      </w:r>
    </w:p>
    <w:p w14:paraId="6F14665F" w14:textId="77777777" w:rsidR="00E01A1E" w:rsidRDefault="00E01A1E" w:rsidP="00E01A1E">
      <w:pPr>
        <w:jc w:val="center"/>
        <w:rPr>
          <w:rFonts w:eastAsia="Times New Roman"/>
          <w:sz w:val="24"/>
          <w:szCs w:val="24"/>
        </w:rPr>
      </w:pPr>
    </w:p>
    <w:p w14:paraId="7CA8434B"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E2A8CF4"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This instruction is to be used in tort cases in which the plaintiff is seeking to hold the defendant liable as an employer under the doctrine of respondeat superior. </w:t>
      </w:r>
      <w:r w:rsidRPr="00E111AA">
        <w:rPr>
          <w:rFonts w:eastAsia="Times New Roman"/>
          <w:i/>
          <w:sz w:val="24"/>
          <w:szCs w:val="24"/>
        </w:rPr>
        <w:t xml:space="preserve">See </w:t>
      </w:r>
      <w:r w:rsidRPr="00E111AA">
        <w:rPr>
          <w:rFonts w:eastAsia="Times New Roman"/>
          <w:sz w:val="24"/>
          <w:szCs w:val="24"/>
        </w:rPr>
        <w:t>Instruction 8:18.</w:t>
      </w:r>
    </w:p>
    <w:p w14:paraId="216E5E75"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22A84F9"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1. This instruction is supported by </w:t>
      </w:r>
      <w:r w:rsidRPr="00E111AA">
        <w:rPr>
          <w:rFonts w:eastAsia="Times New Roman"/>
          <w:b/>
          <w:sz w:val="24"/>
          <w:szCs w:val="24"/>
        </w:rPr>
        <w:t>Lytle v. Kite</w:t>
      </w:r>
      <w:r w:rsidRPr="00E111AA">
        <w:rPr>
          <w:rFonts w:eastAsia="Times New Roman"/>
          <w:sz w:val="24"/>
          <w:szCs w:val="24"/>
        </w:rPr>
        <w:t xml:space="preserve">, 728 P.2d 305 (Colo. 1986); </w:t>
      </w:r>
      <w:r w:rsidRPr="00E111AA">
        <w:rPr>
          <w:rFonts w:eastAsia="Times New Roman"/>
          <w:b/>
          <w:sz w:val="24"/>
          <w:szCs w:val="24"/>
        </w:rPr>
        <w:t>Hynes v. Donaldson</w:t>
      </w:r>
      <w:r w:rsidRPr="00E111AA">
        <w:rPr>
          <w:rFonts w:eastAsia="Times New Roman"/>
          <w:sz w:val="24"/>
          <w:szCs w:val="24"/>
        </w:rPr>
        <w:t>,</w:t>
      </w:r>
      <w:r w:rsidRPr="00E111AA">
        <w:rPr>
          <w:rFonts w:eastAsia="Times New Roman"/>
          <w:b/>
          <w:sz w:val="24"/>
          <w:szCs w:val="24"/>
        </w:rPr>
        <w:t xml:space="preserve"> </w:t>
      </w:r>
      <w:r w:rsidRPr="00E111AA">
        <w:rPr>
          <w:rFonts w:eastAsia="Times New Roman"/>
          <w:sz w:val="24"/>
          <w:szCs w:val="24"/>
        </w:rPr>
        <w:t xml:space="preserve">155 Colo. 456, 395 P.2d 221 (1964); </w:t>
      </w:r>
      <w:r>
        <w:rPr>
          <w:rFonts w:eastAsia="Times New Roman"/>
          <w:sz w:val="24"/>
          <w:szCs w:val="24"/>
        </w:rPr>
        <w:t xml:space="preserve">and </w:t>
      </w:r>
      <w:r w:rsidRPr="00E111AA">
        <w:rPr>
          <w:rFonts w:eastAsia="Times New Roman"/>
          <w:b/>
          <w:sz w:val="24"/>
          <w:szCs w:val="24"/>
        </w:rPr>
        <w:t>Cooley v. Eskridge</w:t>
      </w:r>
      <w:r w:rsidRPr="00E111AA">
        <w:rPr>
          <w:rFonts w:eastAsia="Times New Roman"/>
          <w:sz w:val="24"/>
          <w:szCs w:val="24"/>
        </w:rPr>
        <w:t xml:space="preserve">, 125 Colo. 102, 241 P.2d 851 (1952). </w:t>
      </w:r>
      <w:r w:rsidRPr="00E111AA">
        <w:rPr>
          <w:rFonts w:eastAsia="Times New Roman"/>
          <w:i/>
          <w:sz w:val="24"/>
          <w:szCs w:val="24"/>
        </w:rPr>
        <w:t>See also</w:t>
      </w:r>
      <w:r w:rsidRPr="00E111AA">
        <w:rPr>
          <w:rFonts w:eastAsia="Times New Roman"/>
          <w:sz w:val="24"/>
          <w:szCs w:val="24"/>
        </w:rPr>
        <w:t xml:space="preserve"> </w:t>
      </w:r>
      <w:r w:rsidRPr="00E111AA">
        <w:rPr>
          <w:rFonts w:eastAsia="Times New Roman"/>
          <w:b/>
          <w:sz w:val="24"/>
          <w:szCs w:val="24"/>
        </w:rPr>
        <w:t>Moses v. Diocese of Colo.</w:t>
      </w:r>
      <w:r w:rsidRPr="00E111AA">
        <w:rPr>
          <w:rFonts w:eastAsia="Times New Roman"/>
          <w:sz w:val="24"/>
          <w:szCs w:val="24"/>
        </w:rPr>
        <w:t xml:space="preserve"> 863 P.2d 310 (Colo. 1993) (clergyman was acting outside scope of his employment when he engaged in sex with parishioner); </w:t>
      </w:r>
      <w:r w:rsidRPr="00E111AA">
        <w:rPr>
          <w:rFonts w:eastAsia="Times New Roman"/>
          <w:b/>
          <w:sz w:val="24"/>
          <w:szCs w:val="24"/>
        </w:rPr>
        <w:t>Connes v. Molalla Transp</w:t>
      </w:r>
      <w:r>
        <w:rPr>
          <w:rFonts w:eastAsia="Times New Roman"/>
          <w:b/>
          <w:sz w:val="24"/>
          <w:szCs w:val="24"/>
        </w:rPr>
        <w:t>.</w:t>
      </w:r>
      <w:r w:rsidRPr="00E111AA">
        <w:rPr>
          <w:rFonts w:eastAsia="Times New Roman"/>
          <w:b/>
          <w:sz w:val="24"/>
          <w:szCs w:val="24"/>
        </w:rPr>
        <w:t xml:space="preserve"> Sys., Inc.</w:t>
      </w:r>
      <w:r w:rsidRPr="00E111AA">
        <w:rPr>
          <w:rFonts w:eastAsia="Times New Roman"/>
          <w:sz w:val="24"/>
          <w:szCs w:val="24"/>
        </w:rPr>
        <w:t xml:space="preserve">, 831 P.2d 1316 (Colo. 1992) (intentional tort against customer outside scope of employment); </w:t>
      </w:r>
      <w:r w:rsidRPr="00E111AA">
        <w:rPr>
          <w:rFonts w:eastAsia="Times New Roman"/>
          <w:b/>
          <w:sz w:val="24"/>
          <w:szCs w:val="24"/>
        </w:rPr>
        <w:t>Destefano v. Grabrian</w:t>
      </w:r>
      <w:r w:rsidRPr="00E111AA">
        <w:rPr>
          <w:rFonts w:eastAsia="Times New Roman"/>
          <w:sz w:val="24"/>
          <w:szCs w:val="24"/>
        </w:rPr>
        <w:t xml:space="preserve">, 763 P.2d 275 (Colo. 1988); </w:t>
      </w:r>
      <w:r w:rsidRPr="00E111AA">
        <w:rPr>
          <w:rFonts w:eastAsia="Times New Roman"/>
          <w:b/>
          <w:sz w:val="24"/>
          <w:szCs w:val="24"/>
        </w:rPr>
        <w:t>Spencer v. United Mortg. Co.</w:t>
      </w:r>
      <w:r w:rsidRPr="00E111AA">
        <w:rPr>
          <w:rFonts w:eastAsia="Times New Roman"/>
          <w:sz w:val="24"/>
          <w:szCs w:val="24"/>
        </w:rPr>
        <w:t xml:space="preserve">, 857 P.2d 1342 (Colo. App. 1993) (theft by employee outside scope of employment); </w:t>
      </w:r>
      <w:r w:rsidRPr="00E111AA">
        <w:rPr>
          <w:rFonts w:eastAsia="Times New Roman"/>
          <w:b/>
          <w:sz w:val="24"/>
          <w:szCs w:val="24"/>
        </w:rPr>
        <w:t>Goettman v. North Fork Valley Rest</w:t>
      </w:r>
      <w:r w:rsidRPr="002B303A">
        <w:rPr>
          <w:rFonts w:eastAsia="Times New Roman"/>
          <w:sz w:val="24"/>
          <w:szCs w:val="24"/>
        </w:rPr>
        <w:t>,</w:t>
      </w:r>
      <w:r w:rsidRPr="00FC6C94">
        <w:rPr>
          <w:rFonts w:eastAsia="Times New Roman"/>
          <w:sz w:val="24"/>
          <w:szCs w:val="24"/>
        </w:rPr>
        <w:t xml:space="preserve"> 176 P.3d 60</w:t>
      </w:r>
      <w:r w:rsidRPr="00D81278">
        <w:rPr>
          <w:rFonts w:eastAsia="Times New Roman"/>
          <w:sz w:val="24"/>
          <w:szCs w:val="24"/>
        </w:rPr>
        <w:t>, 70 (Colo. 2007) (“a traveling employee need not be engaged in the actual performance of work to be considered engaged in the course of his employment”</w:t>
      </w:r>
      <w:r w:rsidRPr="00E111AA">
        <w:rPr>
          <w:rFonts w:eastAsia="Times New Roman"/>
          <w:sz w:val="24"/>
          <w:szCs w:val="24"/>
        </w:rPr>
        <w:t xml:space="preserve">). </w:t>
      </w:r>
      <w:r w:rsidRPr="00E111AA">
        <w:rPr>
          <w:rFonts w:eastAsia="Times New Roman"/>
          <w:i/>
          <w:sz w:val="24"/>
          <w:szCs w:val="24"/>
        </w:rPr>
        <w:t xml:space="preserve">See </w:t>
      </w:r>
      <w:r w:rsidRPr="00191C86">
        <w:rPr>
          <w:rFonts w:eastAsia="Times New Roman"/>
          <w:smallCaps/>
          <w:sz w:val="24"/>
          <w:szCs w:val="24"/>
        </w:rPr>
        <w:t>Restatement (Third) of Agency</w:t>
      </w:r>
      <w:r w:rsidRPr="00E111AA">
        <w:rPr>
          <w:rFonts w:eastAsia="Times New Roman"/>
          <w:sz w:val="24"/>
          <w:szCs w:val="24"/>
        </w:rPr>
        <w:t xml:space="preserve"> § 7.07(2) (2006) (defining when employee acts outside of scope).</w:t>
      </w:r>
    </w:p>
    <w:p w14:paraId="543C0F76" w14:textId="77777777" w:rsidR="00E01A1E" w:rsidRPr="00E111AA" w:rsidRDefault="00771A51" w:rsidP="00E01A1E">
      <w:pPr>
        <w:spacing w:after="240"/>
        <w:ind w:firstLine="720"/>
        <w:rPr>
          <w:rFonts w:eastAsia="Times New Roman"/>
          <w:sz w:val="24"/>
          <w:szCs w:val="24"/>
        </w:rPr>
      </w:pPr>
      <w:r w:rsidRPr="00E111AA">
        <w:rPr>
          <w:rFonts w:eastAsia="Times New Roman"/>
          <w:sz w:val="24"/>
          <w:szCs w:val="24"/>
        </w:rPr>
        <w:t xml:space="preserve">2. In determining whether a negligent act or omission of an employee was within the scope of his or her employment, the test is whether the act or omission was done in furtherance of the employer’s business and not whether the manner of performance was authorized by the employer. </w:t>
      </w:r>
      <w:r w:rsidRPr="00E111AA">
        <w:rPr>
          <w:rFonts w:eastAsia="Times New Roman"/>
          <w:b/>
          <w:sz w:val="24"/>
          <w:szCs w:val="24"/>
        </w:rPr>
        <w:t>Pham v. OSP Consultants, Inc.</w:t>
      </w:r>
      <w:r w:rsidRPr="00E111AA">
        <w:rPr>
          <w:rFonts w:eastAsia="Times New Roman"/>
          <w:sz w:val="24"/>
          <w:szCs w:val="24"/>
        </w:rPr>
        <w:t>, 992 P.2d 657 (Colo. App. 1999) (employee on out-of-town work assignment was not acting within scope of employment when involved in automobile collision after leaving bar, where purpose of trip to bar was personal entertainment).</w:t>
      </w:r>
    </w:p>
    <w:p w14:paraId="1F29F4E4" w14:textId="77777777" w:rsidR="00E01A1E" w:rsidRDefault="00771A51" w:rsidP="00E01A1E">
      <w:pPr>
        <w:spacing w:after="240"/>
        <w:ind w:firstLine="720"/>
        <w:rPr>
          <w:rFonts w:eastAsia="Times New Roman"/>
          <w:sz w:val="24"/>
          <w:szCs w:val="24"/>
        </w:rPr>
      </w:pPr>
      <w:r w:rsidRPr="00E111AA">
        <w:rPr>
          <w:rFonts w:eastAsia="Times New Roman"/>
          <w:sz w:val="24"/>
          <w:szCs w:val="24"/>
        </w:rPr>
        <w:t xml:space="preserve">3. “The question of whether an employee is acting within the scope of the employment is a question of fact.” </w:t>
      </w:r>
      <w:r w:rsidRPr="00E111AA">
        <w:rPr>
          <w:rFonts w:eastAsia="Times New Roman"/>
          <w:b/>
          <w:sz w:val="24"/>
          <w:szCs w:val="24"/>
        </w:rPr>
        <w:t>Raleigh v. Performance Plumbing &amp; Heating</w:t>
      </w:r>
      <w:r w:rsidRPr="00E111AA">
        <w:rPr>
          <w:rFonts w:eastAsia="Times New Roman"/>
          <w:sz w:val="24"/>
          <w:szCs w:val="24"/>
        </w:rPr>
        <w:t>, 130 P.3d 1011, 1019 (Colo. 2006).</w:t>
      </w:r>
    </w:p>
    <w:p w14:paraId="27A48C32" w14:textId="413013F3" w:rsidR="00E01A1E" w:rsidRDefault="00771A51" w:rsidP="00E01A1E">
      <w:pPr>
        <w:spacing w:after="240"/>
        <w:ind w:firstLine="720"/>
        <w:rPr>
          <w:rFonts w:eastAsia="Times New Roman"/>
          <w:sz w:val="24"/>
          <w:szCs w:val="24"/>
        </w:rPr>
      </w:pPr>
      <w:r>
        <w:rPr>
          <w:rFonts w:eastAsia="Times New Roman"/>
          <w:sz w:val="24"/>
          <w:szCs w:val="24"/>
        </w:rPr>
        <w:t xml:space="preserve">4. The “going-and-coming rule” defines the scope of the employment relationship when the employee was commuting between work and home or another personal destination at the time of the plaintiff’s injury. </w:t>
      </w:r>
      <w:r>
        <w:rPr>
          <w:rFonts w:eastAsia="Times New Roman"/>
          <w:b/>
          <w:bCs/>
          <w:sz w:val="24"/>
          <w:szCs w:val="24"/>
        </w:rPr>
        <w:t>Suydam v. LFI Fort Pierce, Inc.</w:t>
      </w:r>
      <w:r>
        <w:rPr>
          <w:rFonts w:eastAsia="Times New Roman"/>
          <w:sz w:val="24"/>
          <w:szCs w:val="24"/>
        </w:rPr>
        <w:t>, 2020 COA 144M, ¶¶ 17, 26</w:t>
      </w:r>
      <w:r w:rsidR="0090551B">
        <w:rPr>
          <w:rFonts w:eastAsia="Times New Roman"/>
          <w:sz w:val="24"/>
          <w:szCs w:val="24"/>
        </w:rPr>
        <w:t>, 490 P.3d 930</w:t>
      </w:r>
      <w:r>
        <w:rPr>
          <w:rFonts w:eastAsia="Times New Roman"/>
          <w:sz w:val="24"/>
          <w:szCs w:val="24"/>
        </w:rPr>
        <w:t xml:space="preserve"> (approving this instruction). Colorado’s version of that rule provides that “an employee traveling from . . . work to his home or another personal destination, after completing his day’s work, cannot ordinarily be regarded as acting in the scope of his employment so as to charge the </w:t>
      </w:r>
      <w:r>
        <w:rPr>
          <w:rFonts w:eastAsia="Times New Roman"/>
          <w:sz w:val="24"/>
          <w:szCs w:val="24"/>
        </w:rPr>
        <w:lastRenderedPageBreak/>
        <w:t xml:space="preserve">employer for the employee’s negligence in the operation of the [employee’s] car.” </w:t>
      </w:r>
      <w:r>
        <w:rPr>
          <w:rFonts w:eastAsia="Times New Roman"/>
          <w:i/>
          <w:iCs/>
          <w:sz w:val="24"/>
          <w:szCs w:val="24"/>
        </w:rPr>
        <w:t>Id</w:t>
      </w:r>
      <w:r w:rsidRPr="009B1C79">
        <w:rPr>
          <w:rFonts w:eastAsia="Times New Roman"/>
          <w:i/>
          <w:sz w:val="24"/>
          <w:szCs w:val="24"/>
        </w:rPr>
        <w:t>.</w:t>
      </w:r>
      <w:r>
        <w:rPr>
          <w:rFonts w:eastAsia="Times New Roman"/>
          <w:sz w:val="24"/>
          <w:szCs w:val="24"/>
        </w:rPr>
        <w:t xml:space="preserve"> at ¶ 18 (quoting </w:t>
      </w:r>
      <w:r>
        <w:rPr>
          <w:rFonts w:eastAsia="Times New Roman"/>
          <w:b/>
          <w:bCs/>
          <w:sz w:val="24"/>
          <w:szCs w:val="24"/>
        </w:rPr>
        <w:t>Beeson v. Kelran Constructors, Inc.</w:t>
      </w:r>
      <w:r>
        <w:rPr>
          <w:rFonts w:eastAsia="Times New Roman"/>
          <w:sz w:val="24"/>
          <w:szCs w:val="24"/>
        </w:rPr>
        <w:t xml:space="preserve">, 43 Colo. App. 505, 507, 608 P.2d 369, 371 (1979)). The rule has several exceptions. These include when the employee was engaged in an act connected to his work or was furthering the employer’s interests at the time of the conduct that caused the injury. </w:t>
      </w:r>
      <w:r>
        <w:rPr>
          <w:rFonts w:eastAsia="Times New Roman"/>
          <w:i/>
          <w:iCs/>
          <w:sz w:val="24"/>
          <w:szCs w:val="24"/>
        </w:rPr>
        <w:t>Id</w:t>
      </w:r>
      <w:r w:rsidRPr="009B1C79">
        <w:rPr>
          <w:rFonts w:eastAsia="Times New Roman"/>
          <w:i/>
          <w:sz w:val="24"/>
          <w:szCs w:val="24"/>
        </w:rPr>
        <w:t>.</w:t>
      </w:r>
      <w:r>
        <w:rPr>
          <w:rFonts w:eastAsia="Times New Roman"/>
          <w:sz w:val="24"/>
          <w:szCs w:val="24"/>
        </w:rPr>
        <w:t xml:space="preserve"> at ¶ 19; </w:t>
      </w:r>
      <w:r>
        <w:rPr>
          <w:rFonts w:eastAsia="Times New Roman"/>
          <w:i/>
          <w:iCs/>
          <w:sz w:val="24"/>
          <w:szCs w:val="24"/>
        </w:rPr>
        <w:t xml:space="preserve">see also </w:t>
      </w:r>
      <w:r>
        <w:rPr>
          <w:rFonts w:eastAsia="Times New Roman"/>
          <w:b/>
          <w:bCs/>
          <w:sz w:val="24"/>
          <w:szCs w:val="24"/>
        </w:rPr>
        <w:t>Stokes v. Denver Newspaper Agency, LLP</w:t>
      </w:r>
      <w:r>
        <w:rPr>
          <w:rFonts w:eastAsia="Times New Roman"/>
          <w:sz w:val="24"/>
          <w:szCs w:val="24"/>
        </w:rPr>
        <w:t>, 159 P.3d 691, 693 (Colo. App. 2006).</w:t>
      </w:r>
    </w:p>
    <w:p w14:paraId="6EA32AEF" w14:textId="77777777" w:rsidR="00E01A1E" w:rsidRDefault="00771A51" w:rsidP="00E01A1E">
      <w:pPr>
        <w:spacing w:after="240"/>
        <w:ind w:firstLine="720"/>
        <w:rPr>
          <w:rFonts w:eastAsia="Times New Roman"/>
          <w:sz w:val="24"/>
          <w:szCs w:val="24"/>
        </w:rPr>
      </w:pPr>
      <w:r>
        <w:rPr>
          <w:rFonts w:eastAsia="Times New Roman"/>
          <w:sz w:val="24"/>
          <w:szCs w:val="24"/>
        </w:rPr>
        <w:br w:type="page"/>
      </w:r>
    </w:p>
    <w:p w14:paraId="04B30BB0" w14:textId="77777777" w:rsidR="00E01A1E" w:rsidRPr="009E3DA4" w:rsidRDefault="00771A51" w:rsidP="00E01A1E">
      <w:pPr>
        <w:spacing w:after="240"/>
        <w:ind w:left="720" w:hanging="720"/>
        <w:rPr>
          <w:rFonts w:eastAsia="Times New Roman"/>
          <w:b/>
          <w:sz w:val="24"/>
          <w:szCs w:val="24"/>
        </w:rPr>
      </w:pPr>
      <w:bookmarkStart w:id="9" w:name="a8_9"/>
      <w:bookmarkEnd w:id="9"/>
      <w:r w:rsidRPr="00BA27A8">
        <w:rPr>
          <w:rFonts w:eastAsia="Times New Roman"/>
          <w:b/>
          <w:sz w:val="24"/>
          <w:szCs w:val="24"/>
        </w:rPr>
        <w:lastRenderedPageBreak/>
        <w:t xml:space="preserve">8:9 </w:t>
      </w:r>
      <w:r w:rsidRPr="00BA27A8">
        <w:rPr>
          <w:rFonts w:eastAsia="Times New Roman"/>
          <w:b/>
          <w:sz w:val="24"/>
          <w:szCs w:val="24"/>
        </w:rPr>
        <w:tab/>
        <w:t>SCOPE OF AUTHORITY OF AGENT — DEFINED</w:t>
      </w:r>
    </w:p>
    <w:p w14:paraId="63D411F6" w14:textId="44EFA517" w:rsidR="00E01A1E" w:rsidRPr="00BA27A8" w:rsidRDefault="00771A51" w:rsidP="00E01A1E">
      <w:pPr>
        <w:spacing w:after="240"/>
        <w:ind w:firstLine="720"/>
        <w:rPr>
          <w:rFonts w:eastAsia="Times New Roman"/>
          <w:b/>
          <w:sz w:val="24"/>
          <w:szCs w:val="24"/>
        </w:rPr>
      </w:pPr>
      <w:r w:rsidRPr="00BA27A8">
        <w:rPr>
          <w:rFonts w:eastAsia="Times New Roman"/>
          <w:b/>
          <w:sz w:val="24"/>
          <w:szCs w:val="24"/>
        </w:rPr>
        <w:t xml:space="preserve">An agent is acting within the scope of </w:t>
      </w:r>
      <w:r w:rsidR="003E686C" w:rsidRPr="003E686C">
        <w:rPr>
          <w:rFonts w:eastAsia="Times New Roman"/>
          <w:bCs/>
          <w:i/>
          <w:iCs/>
          <w:sz w:val="24"/>
          <w:szCs w:val="24"/>
        </w:rPr>
        <w:t>(insert applicable pronoun)</w:t>
      </w:r>
      <w:r w:rsidRPr="00BA27A8">
        <w:rPr>
          <w:rFonts w:eastAsia="Times New Roman"/>
          <w:b/>
          <w:sz w:val="24"/>
          <w:szCs w:val="24"/>
        </w:rPr>
        <w:t xml:space="preserve"> authority when the agent is carrying (on business) (out a business transaction) for </w:t>
      </w:r>
      <w:r w:rsidR="003E686C" w:rsidRPr="003E686C">
        <w:rPr>
          <w:rFonts w:eastAsia="Times New Roman"/>
          <w:bCs/>
          <w:i/>
          <w:iCs/>
          <w:sz w:val="24"/>
          <w:szCs w:val="24"/>
        </w:rPr>
        <w:t>(insert applicable pronoun)</w:t>
      </w:r>
      <w:r w:rsidRPr="00BA27A8">
        <w:rPr>
          <w:rFonts w:eastAsia="Times New Roman"/>
          <w:b/>
          <w:sz w:val="24"/>
          <w:szCs w:val="24"/>
        </w:rPr>
        <w:t xml:space="preserve"> principal which the principal has expressly authorized </w:t>
      </w:r>
      <w:r w:rsidR="00627001">
        <w:rPr>
          <w:rFonts w:eastAsia="Times New Roman"/>
          <w:b/>
          <w:sz w:val="24"/>
          <w:szCs w:val="24"/>
        </w:rPr>
        <w:t>[and] [or][</w:t>
      </w:r>
      <w:r w:rsidRPr="00BA27A8">
        <w:rPr>
          <w:rFonts w:eastAsia="Times New Roman"/>
          <w:b/>
          <w:sz w:val="24"/>
          <w:szCs w:val="24"/>
        </w:rPr>
        <w:t>which is within the (incidental) (implied) (apparent) authority of the agent</w:t>
      </w:r>
      <w:r w:rsidR="00627001">
        <w:rPr>
          <w:rFonts w:eastAsia="Times New Roman"/>
          <w:b/>
          <w:sz w:val="24"/>
          <w:szCs w:val="24"/>
        </w:rPr>
        <w:t>]</w:t>
      </w:r>
      <w:r w:rsidRPr="00BA27A8">
        <w:rPr>
          <w:rFonts w:eastAsia="Times New Roman"/>
          <w:b/>
          <w:sz w:val="24"/>
          <w:szCs w:val="24"/>
        </w:rPr>
        <w:t>.</w:t>
      </w:r>
    </w:p>
    <w:p w14:paraId="59C1FEF4" w14:textId="77777777" w:rsidR="00E01A1E" w:rsidRDefault="00E01A1E" w:rsidP="00E01A1E">
      <w:pPr>
        <w:jc w:val="center"/>
        <w:rPr>
          <w:rFonts w:eastAsia="Times New Roman"/>
          <w:sz w:val="24"/>
          <w:szCs w:val="24"/>
        </w:rPr>
      </w:pPr>
    </w:p>
    <w:p w14:paraId="025EC8C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09488675"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1. Use whichever parenthesized words and phrases are appropriate.</w:t>
      </w:r>
    </w:p>
    <w:p w14:paraId="3E5AF107" w14:textId="1294ABD4" w:rsidR="00E01A1E" w:rsidRPr="00BA27A8" w:rsidRDefault="00771A51" w:rsidP="00E01A1E">
      <w:pPr>
        <w:spacing w:after="240"/>
        <w:ind w:firstLine="720"/>
        <w:rPr>
          <w:rFonts w:eastAsia="Times New Roman"/>
          <w:sz w:val="24"/>
          <w:szCs w:val="24"/>
        </w:rPr>
      </w:pPr>
      <w:r w:rsidRPr="00BA27A8">
        <w:rPr>
          <w:rFonts w:eastAsia="Times New Roman"/>
          <w:sz w:val="24"/>
          <w:szCs w:val="24"/>
        </w:rPr>
        <w:t>2. For the definitions of “incidental,” “implied,” and “apparent” authority, see Instructions 8:10, 8:11, and 8:12, respectively.</w:t>
      </w:r>
    </w:p>
    <w:p w14:paraId="41DD5EB1" w14:textId="77777777" w:rsidR="00E01A1E" w:rsidRPr="00BA27A8" w:rsidRDefault="00771A51" w:rsidP="00E01A1E">
      <w:pPr>
        <w:spacing w:after="240"/>
        <w:ind w:firstLine="720"/>
        <w:rPr>
          <w:rFonts w:eastAsia="Times New Roman"/>
          <w:sz w:val="24"/>
          <w:szCs w:val="24"/>
        </w:rPr>
      </w:pPr>
      <w:r w:rsidRPr="003D4122">
        <w:rPr>
          <w:rFonts w:eastAsia="Times New Roman"/>
          <w:sz w:val="24"/>
          <w:szCs w:val="24"/>
        </w:rPr>
        <w:t>3. This instruction is for use in contract cases</w:t>
      </w:r>
      <w:r w:rsidRPr="003D4122">
        <w:t xml:space="preserve"> </w:t>
      </w:r>
      <w:r w:rsidRPr="003D4122">
        <w:rPr>
          <w:rFonts w:eastAsia="Times New Roman"/>
          <w:sz w:val="24"/>
          <w:szCs w:val="24"/>
        </w:rPr>
        <w:t>involving a principal and agent (rather than an employer and employee). When the plaintiff is seeking to hold a defendant</w:t>
      </w:r>
      <w:r>
        <w:rPr>
          <w:rFonts w:eastAsia="Times New Roman"/>
          <w:sz w:val="24"/>
          <w:szCs w:val="24"/>
        </w:rPr>
        <w:t>-</w:t>
      </w:r>
      <w:r w:rsidRPr="003D4122">
        <w:rPr>
          <w:rFonts w:eastAsia="Times New Roman"/>
          <w:sz w:val="24"/>
          <w:szCs w:val="24"/>
        </w:rPr>
        <w:t>employer liable in tort under the doctrine of respondeat superior, Instruction 8:8 should be used.</w:t>
      </w:r>
    </w:p>
    <w:p w14:paraId="64868FF4"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194D73D0"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 xml:space="preserve">1. This instruction is supported by </w:t>
      </w:r>
      <w:r w:rsidRPr="00BA27A8">
        <w:rPr>
          <w:rFonts w:eastAsia="Times New Roman"/>
          <w:b/>
          <w:sz w:val="24"/>
          <w:szCs w:val="24"/>
        </w:rPr>
        <w:t>Willey v. Mayer</w:t>
      </w:r>
      <w:r w:rsidRPr="00BA27A8">
        <w:rPr>
          <w:rFonts w:eastAsia="Times New Roman"/>
          <w:sz w:val="24"/>
          <w:szCs w:val="24"/>
        </w:rPr>
        <w:t xml:space="preserve">, 876 P.2d 1260 (Colo. 1994); </w:t>
      </w:r>
      <w:r w:rsidRPr="00BA27A8">
        <w:rPr>
          <w:rFonts w:eastAsia="Times New Roman"/>
          <w:b/>
          <w:sz w:val="24"/>
          <w:szCs w:val="24"/>
        </w:rPr>
        <w:t>Independence Indem</w:t>
      </w:r>
      <w:r>
        <w:rPr>
          <w:rFonts w:eastAsia="Times New Roman"/>
          <w:b/>
          <w:sz w:val="24"/>
          <w:szCs w:val="24"/>
        </w:rPr>
        <w:t>nity</w:t>
      </w:r>
      <w:r w:rsidRPr="00BA27A8">
        <w:rPr>
          <w:rFonts w:eastAsia="Times New Roman"/>
          <w:b/>
          <w:sz w:val="24"/>
          <w:szCs w:val="24"/>
        </w:rPr>
        <w:t xml:space="preserve"> Co. v. International Trust Co.</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96 Colo. 92, 39 P.2d 780 (1934); </w:t>
      </w:r>
      <w:r w:rsidRPr="00BA27A8">
        <w:rPr>
          <w:rFonts w:eastAsia="Times New Roman"/>
          <w:b/>
          <w:sz w:val="24"/>
          <w:szCs w:val="24"/>
        </w:rPr>
        <w:t>Montoya v. Grease Monkey Holding Corp.</w:t>
      </w:r>
      <w:r w:rsidRPr="00BA27A8">
        <w:rPr>
          <w:rFonts w:eastAsia="Times New Roman"/>
          <w:sz w:val="24"/>
          <w:szCs w:val="24"/>
        </w:rPr>
        <w:t xml:space="preserve">, 883 P.2d 486 (Colo. App. 1994), </w:t>
      </w:r>
      <w:r w:rsidRPr="00BA27A8">
        <w:rPr>
          <w:rFonts w:eastAsia="Times New Roman"/>
          <w:i/>
          <w:sz w:val="24"/>
          <w:szCs w:val="24"/>
        </w:rPr>
        <w:t>aff’d on other grounds sub nom.</w:t>
      </w:r>
      <w:r w:rsidRPr="00BA27A8">
        <w:rPr>
          <w:rFonts w:eastAsia="Times New Roman"/>
          <w:sz w:val="24"/>
          <w:szCs w:val="24"/>
        </w:rPr>
        <w:t xml:space="preserve"> </w:t>
      </w:r>
      <w:r w:rsidRPr="00BA27A8">
        <w:rPr>
          <w:rFonts w:eastAsia="Times New Roman"/>
          <w:b/>
          <w:sz w:val="24"/>
          <w:szCs w:val="24"/>
        </w:rPr>
        <w:t>Grease Monkey Int’l, Inc. v. Montoya</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 xml:space="preserve">904 P.2d 468 (Colo. 1995); </w:t>
      </w:r>
      <w:r>
        <w:rPr>
          <w:rFonts w:eastAsia="Times New Roman"/>
          <w:sz w:val="24"/>
          <w:szCs w:val="24"/>
        </w:rPr>
        <w:t xml:space="preserve">and </w:t>
      </w:r>
      <w:r w:rsidRPr="00BA27A8">
        <w:rPr>
          <w:rFonts w:eastAsia="Times New Roman"/>
          <w:b/>
          <w:sz w:val="24"/>
          <w:szCs w:val="24"/>
        </w:rPr>
        <w:t>Savage v. Pelton</w:t>
      </w:r>
      <w:r w:rsidRPr="00BA27A8">
        <w:rPr>
          <w:rFonts w:eastAsia="Times New Roman"/>
          <w:sz w:val="24"/>
          <w:szCs w:val="24"/>
        </w:rPr>
        <w:t xml:space="preserve">, 1 Colo. App. 148, 27 P. 948 (1891). For additional cases, see </w:t>
      </w:r>
      <w:r>
        <w:rPr>
          <w:rFonts w:eastAsia="Times New Roman"/>
          <w:sz w:val="24"/>
          <w:szCs w:val="24"/>
        </w:rPr>
        <w:t xml:space="preserve">the </w:t>
      </w:r>
      <w:r w:rsidRPr="00BA27A8">
        <w:rPr>
          <w:rFonts w:eastAsia="Times New Roman"/>
          <w:sz w:val="24"/>
          <w:szCs w:val="24"/>
        </w:rPr>
        <w:t xml:space="preserve">Source and Authority to Instruction 8:18. For historical discussion of these principles, see </w:t>
      </w:r>
      <w:r w:rsidRPr="00BA27A8">
        <w:rPr>
          <w:rFonts w:eastAsia="Times New Roman"/>
          <w:smallCaps/>
          <w:sz w:val="24"/>
          <w:szCs w:val="24"/>
        </w:rPr>
        <w:t>H. Reuschlein &amp; W. Gregory, Agency and Partnership</w:t>
      </w:r>
      <w:r w:rsidRPr="00BA27A8">
        <w:rPr>
          <w:rFonts w:eastAsia="Times New Roman"/>
          <w:sz w:val="24"/>
          <w:szCs w:val="24"/>
        </w:rPr>
        <w:t xml:space="preserve"> §§14, 15 (1979); </w:t>
      </w:r>
      <w:r w:rsidRPr="00BA27A8">
        <w:rPr>
          <w:rFonts w:eastAsia="Times New Roman"/>
          <w:smallCaps/>
          <w:sz w:val="24"/>
          <w:szCs w:val="24"/>
        </w:rPr>
        <w:t>W. Seavey, Agency</w:t>
      </w:r>
      <w:r w:rsidRPr="00BA27A8">
        <w:rPr>
          <w:rFonts w:eastAsia="Times New Roman"/>
          <w:sz w:val="24"/>
          <w:szCs w:val="24"/>
        </w:rPr>
        <w:t xml:space="preserve"> § 8 (1964).</w:t>
      </w:r>
    </w:p>
    <w:p w14:paraId="4B60A2D1"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 xml:space="preserve">2. The scope of an agent’s authority depends upon the intent of the parties, and may be general or specific, involving a broad or narrow delegation of authority from principal to agent. </w:t>
      </w:r>
      <w:r w:rsidRPr="00BA27A8">
        <w:rPr>
          <w:rFonts w:eastAsia="Times New Roman"/>
          <w:b/>
          <w:sz w:val="24"/>
          <w:szCs w:val="24"/>
        </w:rPr>
        <w:t>Fey Concert Co. v. City &amp; Cty</w:t>
      </w:r>
      <w:r>
        <w:rPr>
          <w:rFonts w:eastAsia="Times New Roman"/>
          <w:b/>
          <w:sz w:val="24"/>
          <w:szCs w:val="24"/>
        </w:rPr>
        <w:t>.</w:t>
      </w:r>
      <w:r w:rsidRPr="00BA27A8">
        <w:rPr>
          <w:rFonts w:eastAsia="Times New Roman"/>
          <w:b/>
          <w:sz w:val="24"/>
          <w:szCs w:val="24"/>
        </w:rPr>
        <w:t xml:space="preserve"> of Denver</w:t>
      </w:r>
      <w:r w:rsidRPr="00BA27A8">
        <w:rPr>
          <w:rFonts w:eastAsia="Times New Roman"/>
          <w:sz w:val="24"/>
          <w:szCs w:val="24"/>
        </w:rPr>
        <w:t xml:space="preserve">, 940 P.2d 972 (Colo. App. 1996), </w:t>
      </w:r>
      <w:r w:rsidRPr="00BA27A8">
        <w:rPr>
          <w:rFonts w:eastAsia="Times New Roman"/>
          <w:i/>
          <w:sz w:val="24"/>
          <w:szCs w:val="24"/>
        </w:rPr>
        <w:t>rev’d on other grounds</w:t>
      </w:r>
      <w:r w:rsidRPr="00BA27A8">
        <w:rPr>
          <w:rFonts w:eastAsia="Times New Roman"/>
          <w:sz w:val="24"/>
          <w:szCs w:val="24"/>
        </w:rPr>
        <w:t xml:space="preserve">, 960 P.2d 657 (Colo. 1998). An attorney does not have the authority to settle a case without his client’s knowledge and consent. </w:t>
      </w:r>
      <w:r w:rsidRPr="00BA27A8">
        <w:rPr>
          <w:rFonts w:eastAsia="Times New Roman"/>
          <w:b/>
          <w:sz w:val="24"/>
          <w:szCs w:val="24"/>
        </w:rPr>
        <w:t>Siener v. Zeff</w:t>
      </w:r>
      <w:r w:rsidRPr="00BA27A8">
        <w:rPr>
          <w:rFonts w:eastAsia="Times New Roman"/>
          <w:sz w:val="24"/>
          <w:szCs w:val="24"/>
        </w:rPr>
        <w:t>, 194 P.3d 467 (Colo. App. 2008).</w:t>
      </w:r>
    </w:p>
    <w:p w14:paraId="555304DD"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3. Under Colorado law, the use and interpretation of a “power of attorney</w:t>
      </w:r>
      <w:r>
        <w:rPr>
          <w:rFonts w:eastAsia="Times New Roman"/>
          <w:sz w:val="24"/>
          <w:szCs w:val="24"/>
        </w:rPr>
        <w:t>,</w:t>
      </w:r>
      <w:r w:rsidRPr="00BA27A8">
        <w:rPr>
          <w:rFonts w:eastAsia="Times New Roman"/>
          <w:sz w:val="24"/>
          <w:szCs w:val="24"/>
        </w:rPr>
        <w:t xml:space="preserve">” by which a principal confers express authority on an agent, is governed by </w:t>
      </w:r>
      <w:r>
        <w:rPr>
          <w:rFonts w:eastAsia="Times New Roman"/>
          <w:sz w:val="24"/>
          <w:szCs w:val="24"/>
        </w:rPr>
        <w:t>sections</w:t>
      </w:r>
      <w:r w:rsidRPr="00BA27A8">
        <w:rPr>
          <w:rFonts w:eastAsia="Times New Roman"/>
          <w:sz w:val="24"/>
          <w:szCs w:val="24"/>
        </w:rPr>
        <w:t xml:space="preserve"> 15-14-500.3</w:t>
      </w:r>
      <w:r>
        <w:rPr>
          <w:rFonts w:eastAsia="Times New Roman"/>
          <w:sz w:val="24"/>
          <w:szCs w:val="24"/>
        </w:rPr>
        <w:t xml:space="preserve"> to -509</w:t>
      </w:r>
      <w:r w:rsidRPr="00BA27A8">
        <w:rPr>
          <w:rFonts w:eastAsia="Times New Roman"/>
          <w:sz w:val="24"/>
          <w:szCs w:val="24"/>
        </w:rPr>
        <w:t xml:space="preserve">, C.R.S. </w:t>
      </w:r>
      <w:r w:rsidRPr="00135E83">
        <w:rPr>
          <w:rFonts w:eastAsia="Times New Roman"/>
          <w:i/>
          <w:sz w:val="24"/>
          <w:szCs w:val="24"/>
        </w:rPr>
        <w:t>See</w:t>
      </w:r>
      <w:r>
        <w:rPr>
          <w:rFonts w:eastAsia="Times New Roman"/>
          <w:sz w:val="24"/>
          <w:szCs w:val="24"/>
        </w:rPr>
        <w:t xml:space="preserve"> </w:t>
      </w:r>
      <w:r w:rsidRPr="00BA27A8">
        <w:rPr>
          <w:rFonts w:eastAsia="Times New Roman"/>
          <w:b/>
          <w:sz w:val="24"/>
          <w:szCs w:val="24"/>
        </w:rPr>
        <w:t>In re Trust of Franzen</w:t>
      </w:r>
      <w:r w:rsidRPr="00BA27A8">
        <w:rPr>
          <w:rFonts w:eastAsia="Times New Roman"/>
          <w:sz w:val="24"/>
          <w:szCs w:val="24"/>
        </w:rPr>
        <w:t>,</w:t>
      </w:r>
      <w:r w:rsidRPr="00BA27A8">
        <w:rPr>
          <w:rFonts w:eastAsia="Times New Roman"/>
          <w:b/>
          <w:sz w:val="24"/>
          <w:szCs w:val="24"/>
        </w:rPr>
        <w:t xml:space="preserve"> </w:t>
      </w:r>
      <w:r w:rsidRPr="00BA27A8">
        <w:rPr>
          <w:rFonts w:eastAsia="Times New Roman"/>
          <w:sz w:val="24"/>
          <w:szCs w:val="24"/>
        </w:rPr>
        <w:t>955 P.2d 1018 (Colo. 1998)</w:t>
      </w:r>
      <w:r>
        <w:rPr>
          <w:rFonts w:eastAsia="Times New Roman"/>
          <w:sz w:val="24"/>
          <w:szCs w:val="24"/>
        </w:rPr>
        <w:t>;</w:t>
      </w:r>
      <w:r w:rsidRPr="00BA27A8">
        <w:rPr>
          <w:rFonts w:eastAsia="Times New Roman"/>
          <w:sz w:val="24"/>
          <w:szCs w:val="24"/>
        </w:rPr>
        <w:t xml:space="preserve"> </w:t>
      </w:r>
      <w:r>
        <w:rPr>
          <w:rFonts w:eastAsia="Times New Roman"/>
          <w:i/>
          <w:sz w:val="24"/>
          <w:szCs w:val="24"/>
        </w:rPr>
        <w:t>s</w:t>
      </w:r>
      <w:r w:rsidRPr="00BA27A8">
        <w:rPr>
          <w:rFonts w:eastAsia="Times New Roman"/>
          <w:i/>
          <w:sz w:val="24"/>
          <w:szCs w:val="24"/>
        </w:rPr>
        <w:t>ee also</w:t>
      </w:r>
      <w:r w:rsidRPr="00BA27A8">
        <w:rPr>
          <w:rFonts w:eastAsia="Times New Roman"/>
          <w:sz w:val="24"/>
          <w:szCs w:val="24"/>
        </w:rPr>
        <w:t xml:space="preserve"> §§ 15-14-503</w:t>
      </w:r>
      <w:r>
        <w:rPr>
          <w:rFonts w:eastAsia="Times New Roman"/>
          <w:sz w:val="24"/>
          <w:szCs w:val="24"/>
        </w:rPr>
        <w:t xml:space="preserve"> to -509</w:t>
      </w:r>
      <w:r w:rsidRPr="00BA27A8">
        <w:rPr>
          <w:rFonts w:eastAsia="Times New Roman"/>
          <w:sz w:val="24"/>
          <w:szCs w:val="24"/>
        </w:rPr>
        <w:t>, C.R.S. (Colorado Patient Autonomy Act); §§ 15-18.5-10</w:t>
      </w:r>
      <w:r>
        <w:rPr>
          <w:rFonts w:eastAsia="Times New Roman"/>
          <w:sz w:val="24"/>
          <w:szCs w:val="24"/>
        </w:rPr>
        <w:t>1 to -</w:t>
      </w:r>
      <w:r w:rsidRPr="00BA27A8">
        <w:rPr>
          <w:rFonts w:eastAsia="Times New Roman"/>
          <w:sz w:val="24"/>
          <w:szCs w:val="24"/>
        </w:rPr>
        <w:t>10</w:t>
      </w:r>
      <w:r>
        <w:rPr>
          <w:rFonts w:eastAsia="Times New Roman"/>
          <w:sz w:val="24"/>
          <w:szCs w:val="24"/>
        </w:rPr>
        <w:t>5</w:t>
      </w:r>
      <w:r w:rsidRPr="00BA27A8">
        <w:rPr>
          <w:rFonts w:eastAsia="Times New Roman"/>
          <w:sz w:val="24"/>
          <w:szCs w:val="24"/>
        </w:rPr>
        <w:t>, C.R.S. (health care proxy); §§ 15-18-101</w:t>
      </w:r>
      <w:r>
        <w:rPr>
          <w:rFonts w:eastAsia="Times New Roman"/>
          <w:sz w:val="24"/>
          <w:szCs w:val="24"/>
        </w:rPr>
        <w:t xml:space="preserve"> to -112</w:t>
      </w:r>
      <w:r w:rsidRPr="00BA27A8">
        <w:rPr>
          <w:rFonts w:eastAsia="Times New Roman"/>
          <w:sz w:val="24"/>
          <w:szCs w:val="24"/>
        </w:rPr>
        <w:t xml:space="preserve">, C.R.S. (Colorado Medical Treatment Decision Act); </w:t>
      </w:r>
      <w:r w:rsidRPr="00BA27A8">
        <w:rPr>
          <w:rFonts w:eastAsia="Times New Roman"/>
          <w:b/>
          <w:sz w:val="24"/>
          <w:szCs w:val="24"/>
        </w:rPr>
        <w:t>Moffett v. Life Care Ctrs. of Am.</w:t>
      </w:r>
      <w:r w:rsidRPr="00BA27A8">
        <w:rPr>
          <w:rFonts w:eastAsia="Times New Roman"/>
          <w:sz w:val="24"/>
          <w:szCs w:val="24"/>
        </w:rPr>
        <w:t xml:space="preserve">, 219 P.3d 1068 (Colo. 2009) (agent has authority to enter into arbitration agreement as a part of nursing home admission process under written medical durable power of attorney); </w:t>
      </w:r>
      <w:r w:rsidRPr="00BA27A8">
        <w:rPr>
          <w:rFonts w:eastAsia="Times New Roman"/>
          <w:b/>
          <w:sz w:val="24"/>
          <w:szCs w:val="24"/>
        </w:rPr>
        <w:t>Lujan v. Life Care Ctrs. of Am.</w:t>
      </w:r>
      <w:r w:rsidRPr="00BA27A8">
        <w:rPr>
          <w:rFonts w:eastAsia="Times New Roman"/>
          <w:sz w:val="24"/>
          <w:szCs w:val="24"/>
        </w:rPr>
        <w:t>, 222 P.3d 970 (Colo. App. 2009) (power of person acting as health proxy does not include authority to agree to arbitration because that is not a “medical treatment” decision).</w:t>
      </w:r>
    </w:p>
    <w:p w14:paraId="6CEE836D"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t xml:space="preserve">4. An agent may invoke a jury waiver provision in the principal’s contract with a third party. </w:t>
      </w:r>
      <w:r w:rsidRPr="00BA27A8">
        <w:rPr>
          <w:rFonts w:eastAsia="Times New Roman"/>
          <w:b/>
          <w:sz w:val="24"/>
          <w:szCs w:val="24"/>
        </w:rPr>
        <w:t>Colo</w:t>
      </w:r>
      <w:r>
        <w:rPr>
          <w:rFonts w:eastAsia="Times New Roman"/>
          <w:b/>
          <w:sz w:val="24"/>
          <w:szCs w:val="24"/>
        </w:rPr>
        <w:t>.</w:t>
      </w:r>
      <w:r w:rsidRPr="00BA27A8">
        <w:rPr>
          <w:rFonts w:eastAsia="Times New Roman"/>
          <w:b/>
          <w:sz w:val="24"/>
          <w:szCs w:val="24"/>
        </w:rPr>
        <w:t xml:space="preserve"> Coffee Bean, LLC v. Peaberry Coffee Inc.</w:t>
      </w:r>
      <w:r w:rsidRPr="00BA27A8">
        <w:rPr>
          <w:rFonts w:eastAsia="Times New Roman"/>
          <w:sz w:val="24"/>
          <w:szCs w:val="24"/>
        </w:rPr>
        <w:t>, 251 P.3d 9 (Colo. App. 2010).</w:t>
      </w:r>
    </w:p>
    <w:p w14:paraId="1534D114" w14:textId="77777777" w:rsidR="00E01A1E" w:rsidRPr="00BA27A8" w:rsidRDefault="00771A51" w:rsidP="00E01A1E">
      <w:pPr>
        <w:spacing w:after="240"/>
        <w:ind w:firstLine="720"/>
        <w:rPr>
          <w:rFonts w:eastAsia="Times New Roman"/>
          <w:sz w:val="24"/>
          <w:szCs w:val="24"/>
        </w:rPr>
      </w:pPr>
      <w:r w:rsidRPr="00BA27A8">
        <w:rPr>
          <w:rFonts w:eastAsia="Times New Roman"/>
          <w:sz w:val="24"/>
          <w:szCs w:val="24"/>
        </w:rPr>
        <w:lastRenderedPageBreak/>
        <w:t xml:space="preserve">5. Agency principles may not apply where an agent has independent authority to take action. </w:t>
      </w:r>
      <w:r w:rsidRPr="00BA27A8">
        <w:rPr>
          <w:rFonts w:eastAsia="Times New Roman"/>
          <w:b/>
          <w:sz w:val="24"/>
          <w:szCs w:val="24"/>
        </w:rPr>
        <w:t>In re Estate of Sandstead</w:t>
      </w:r>
      <w:r w:rsidRPr="00BA27A8">
        <w:rPr>
          <w:rFonts w:eastAsia="Times New Roman"/>
          <w:sz w:val="24"/>
          <w:szCs w:val="24"/>
        </w:rPr>
        <w:t>, 2016 COA 49, ¶¶ 38-39</w:t>
      </w:r>
      <w:r>
        <w:rPr>
          <w:rFonts w:eastAsia="Times New Roman"/>
          <w:sz w:val="24"/>
          <w:szCs w:val="24"/>
        </w:rPr>
        <w:t>, 412 P.3d 799,</w:t>
      </w:r>
      <w:r w:rsidRPr="00245A23">
        <w:rPr>
          <w:rFonts w:eastAsia="Times New Roman"/>
          <w:i/>
          <w:iCs/>
          <w:sz w:val="24"/>
          <w:szCs w:val="24"/>
        </w:rPr>
        <w:t xml:space="preserve"> </w:t>
      </w:r>
      <w:r w:rsidRPr="00665968">
        <w:rPr>
          <w:rFonts w:eastAsia="Times New Roman"/>
          <w:i/>
          <w:iCs/>
          <w:sz w:val="24"/>
          <w:szCs w:val="24"/>
        </w:rPr>
        <w:t>rev’d on other grounds</w:t>
      </w:r>
      <w:r>
        <w:rPr>
          <w:rFonts w:eastAsia="Times New Roman"/>
          <w:iCs/>
          <w:sz w:val="24"/>
          <w:szCs w:val="24"/>
        </w:rPr>
        <w:t xml:space="preserve"> </w:t>
      </w:r>
      <w:r w:rsidRPr="00665968">
        <w:rPr>
          <w:rFonts w:eastAsia="Times New Roman"/>
          <w:i/>
          <w:iCs/>
          <w:sz w:val="24"/>
          <w:szCs w:val="24"/>
        </w:rPr>
        <w:t>sub nom</w:t>
      </w:r>
      <w:r>
        <w:rPr>
          <w:rFonts w:eastAsia="Times New Roman"/>
          <w:iCs/>
          <w:sz w:val="24"/>
          <w:szCs w:val="24"/>
        </w:rPr>
        <w:t xml:space="preserve">. </w:t>
      </w:r>
      <w:r w:rsidRPr="00665968">
        <w:rPr>
          <w:rFonts w:eastAsia="Times New Roman"/>
          <w:b/>
          <w:iCs/>
          <w:sz w:val="24"/>
          <w:szCs w:val="24"/>
        </w:rPr>
        <w:t>Sandstead-Corona v. Sandstead</w:t>
      </w:r>
      <w:r>
        <w:rPr>
          <w:rFonts w:eastAsia="Times New Roman"/>
          <w:iCs/>
          <w:sz w:val="24"/>
          <w:szCs w:val="24"/>
        </w:rPr>
        <w:t>, 2018 CO 26, 415 P.3d 310</w:t>
      </w:r>
      <w:r>
        <w:rPr>
          <w:rFonts w:eastAsia="Times New Roman"/>
          <w:sz w:val="24"/>
          <w:szCs w:val="24"/>
        </w:rPr>
        <w:t>.</w:t>
      </w:r>
    </w:p>
    <w:p w14:paraId="2645B612" w14:textId="77777777" w:rsidR="00E01A1E" w:rsidRDefault="00771A51">
      <w:pPr>
        <w:rPr>
          <w:rFonts w:eastAsia="Times New Roman"/>
          <w:sz w:val="24"/>
          <w:szCs w:val="24"/>
        </w:rPr>
      </w:pPr>
      <w:r>
        <w:rPr>
          <w:rFonts w:eastAsia="Times New Roman"/>
          <w:sz w:val="24"/>
          <w:szCs w:val="24"/>
        </w:rPr>
        <w:br w:type="page"/>
      </w:r>
    </w:p>
    <w:p w14:paraId="5B66A728" w14:textId="3105ACAA" w:rsidR="00E01A1E" w:rsidRPr="009E3DA4" w:rsidRDefault="00771A51" w:rsidP="00E01A1E">
      <w:pPr>
        <w:spacing w:after="240"/>
        <w:ind w:left="720" w:hanging="720"/>
        <w:rPr>
          <w:rFonts w:eastAsia="Times New Roman"/>
          <w:b/>
          <w:sz w:val="24"/>
          <w:szCs w:val="24"/>
        </w:rPr>
      </w:pPr>
      <w:bookmarkStart w:id="10" w:name="a8_9A"/>
      <w:bookmarkEnd w:id="10"/>
      <w:r w:rsidRPr="007216DA">
        <w:rPr>
          <w:rFonts w:eastAsia="Times New Roman"/>
          <w:b/>
          <w:sz w:val="24"/>
          <w:szCs w:val="24"/>
        </w:rPr>
        <w:lastRenderedPageBreak/>
        <w:t xml:space="preserve">8:9A </w:t>
      </w:r>
      <w:r w:rsidRPr="007216DA">
        <w:rPr>
          <w:rFonts w:eastAsia="Times New Roman"/>
          <w:b/>
          <w:sz w:val="24"/>
          <w:szCs w:val="24"/>
        </w:rPr>
        <w:tab/>
        <w:t>ACTUAL AUTHORITY</w:t>
      </w:r>
      <w:r w:rsidR="002F72BA">
        <w:rPr>
          <w:rFonts w:eastAsia="Times New Roman"/>
          <w:b/>
          <w:sz w:val="24"/>
          <w:szCs w:val="24"/>
        </w:rPr>
        <w:t xml:space="preserve"> </w:t>
      </w:r>
      <w:r w:rsidR="00A77123" w:rsidRPr="00BA27A8">
        <w:rPr>
          <w:rFonts w:eastAsia="Times New Roman"/>
          <w:b/>
          <w:sz w:val="24"/>
          <w:szCs w:val="24"/>
        </w:rPr>
        <w:t>—</w:t>
      </w:r>
      <w:r w:rsidR="002F72BA">
        <w:rPr>
          <w:rFonts w:eastAsia="Times New Roman"/>
          <w:b/>
          <w:sz w:val="24"/>
          <w:szCs w:val="24"/>
        </w:rPr>
        <w:t xml:space="preserve"> DEFINED</w:t>
      </w:r>
    </w:p>
    <w:p w14:paraId="5649CB61" w14:textId="19C017EA" w:rsidR="003967D6" w:rsidRDefault="00771A51" w:rsidP="00E01A1E">
      <w:pPr>
        <w:spacing w:after="240"/>
        <w:ind w:firstLine="720"/>
        <w:rPr>
          <w:rFonts w:eastAsia="Times New Roman"/>
          <w:b/>
          <w:sz w:val="24"/>
          <w:szCs w:val="24"/>
        </w:rPr>
      </w:pPr>
      <w:r w:rsidRPr="007216DA">
        <w:rPr>
          <w:rFonts w:eastAsia="Times New Roman"/>
          <w:b/>
          <w:sz w:val="24"/>
          <w:szCs w:val="24"/>
        </w:rPr>
        <w:t>An agent acts with actual authority when, at the time of taking action that affects the principal</w:t>
      </w:r>
      <w:r w:rsidR="003967D6">
        <w:rPr>
          <w:rFonts w:eastAsia="Times New Roman"/>
          <w:b/>
          <w:sz w:val="24"/>
          <w:szCs w:val="24"/>
        </w:rPr>
        <w:t>:</w:t>
      </w:r>
    </w:p>
    <w:p w14:paraId="224BA7CA" w14:textId="26F4EDCA" w:rsidR="003967D6" w:rsidRDefault="003967D6" w:rsidP="00E01A1E">
      <w:pPr>
        <w:spacing w:after="240"/>
        <w:ind w:firstLine="720"/>
        <w:rPr>
          <w:rFonts w:eastAsia="Times New Roman"/>
          <w:b/>
          <w:sz w:val="24"/>
          <w:szCs w:val="24"/>
        </w:rPr>
      </w:pPr>
      <w:r>
        <w:rPr>
          <w:rFonts w:eastAsia="Times New Roman"/>
          <w:b/>
          <w:sz w:val="24"/>
          <w:szCs w:val="24"/>
        </w:rPr>
        <w:t>1.</w:t>
      </w:r>
      <w:r w:rsidR="00771A51" w:rsidRPr="007216DA">
        <w:rPr>
          <w:rFonts w:eastAsia="Times New Roman"/>
          <w:b/>
          <w:sz w:val="24"/>
          <w:szCs w:val="24"/>
        </w:rPr>
        <w:t xml:space="preserve"> </w:t>
      </w:r>
      <w:r>
        <w:rPr>
          <w:rFonts w:eastAsia="Times New Roman"/>
          <w:b/>
          <w:sz w:val="24"/>
          <w:szCs w:val="24"/>
        </w:rPr>
        <w:t>The agent b</w:t>
      </w:r>
      <w:r w:rsidR="00771A51" w:rsidRPr="007216DA">
        <w:rPr>
          <w:rFonts w:eastAsia="Times New Roman"/>
          <w:b/>
          <w:sz w:val="24"/>
          <w:szCs w:val="24"/>
        </w:rPr>
        <w:t xml:space="preserve">elieves </w:t>
      </w:r>
      <w:r w:rsidR="003E686C" w:rsidRPr="003E686C">
        <w:rPr>
          <w:rFonts w:eastAsia="Times New Roman"/>
          <w:bCs/>
          <w:i/>
          <w:iCs/>
          <w:sz w:val="24"/>
          <w:szCs w:val="24"/>
        </w:rPr>
        <w:t>(insert applicable pronoun)</w:t>
      </w:r>
      <w:r w:rsidR="00771A51" w:rsidRPr="007216DA">
        <w:rPr>
          <w:rFonts w:eastAsia="Times New Roman"/>
          <w:b/>
          <w:sz w:val="24"/>
          <w:szCs w:val="24"/>
        </w:rPr>
        <w:t xml:space="preserve"> actions are consistent with the way the principal wishes the agent to act</w:t>
      </w:r>
      <w:r>
        <w:rPr>
          <w:rFonts w:eastAsia="Times New Roman"/>
          <w:b/>
          <w:sz w:val="24"/>
          <w:szCs w:val="24"/>
        </w:rPr>
        <w:t>; and</w:t>
      </w:r>
    </w:p>
    <w:p w14:paraId="49FC5E90" w14:textId="569354E1" w:rsidR="003967D6" w:rsidRDefault="003967D6" w:rsidP="00E01A1E">
      <w:pPr>
        <w:spacing w:after="240"/>
        <w:ind w:firstLine="720"/>
        <w:rPr>
          <w:rFonts w:eastAsia="Times New Roman"/>
          <w:b/>
          <w:sz w:val="24"/>
          <w:szCs w:val="24"/>
        </w:rPr>
      </w:pPr>
      <w:r>
        <w:rPr>
          <w:rFonts w:eastAsia="Times New Roman"/>
          <w:b/>
          <w:sz w:val="24"/>
          <w:szCs w:val="24"/>
        </w:rPr>
        <w:t>2. The agent’s belief is reasonable.</w:t>
      </w:r>
    </w:p>
    <w:p w14:paraId="0C27827A" w14:textId="03DB08DF" w:rsidR="00E01A1E" w:rsidRPr="007216DA" w:rsidRDefault="00771A51" w:rsidP="0037602F">
      <w:pPr>
        <w:spacing w:after="240"/>
        <w:ind w:firstLine="720"/>
        <w:rPr>
          <w:rFonts w:eastAsia="Times New Roman"/>
          <w:b/>
          <w:sz w:val="24"/>
          <w:szCs w:val="24"/>
        </w:rPr>
      </w:pPr>
      <w:r w:rsidRPr="007216DA">
        <w:rPr>
          <w:rFonts w:eastAsia="Times New Roman"/>
          <w:b/>
          <w:sz w:val="24"/>
          <w:szCs w:val="24"/>
        </w:rPr>
        <w:t>In determining whether the agent’s belief is reasonable, you should consider the principal’s words (and) (or) conduct directed to the agent</w:t>
      </w:r>
      <w:r w:rsidR="004C41DD" w:rsidRPr="004C41DD">
        <w:rPr>
          <w:rFonts w:eastAsia="Times New Roman"/>
          <w:b/>
          <w:sz w:val="24"/>
          <w:szCs w:val="24"/>
        </w:rPr>
        <w:t xml:space="preserve"> </w:t>
      </w:r>
      <w:r w:rsidR="004C41DD">
        <w:rPr>
          <w:rFonts w:eastAsia="Times New Roman"/>
          <w:b/>
          <w:sz w:val="24"/>
          <w:szCs w:val="24"/>
        </w:rPr>
        <w:t>and the agent’s understanding of the principal’s wishes</w:t>
      </w:r>
      <w:r w:rsidRPr="007216DA">
        <w:rPr>
          <w:rFonts w:eastAsia="Times New Roman"/>
          <w:b/>
          <w:sz w:val="24"/>
          <w:szCs w:val="24"/>
        </w:rPr>
        <w:t>.</w:t>
      </w:r>
    </w:p>
    <w:p w14:paraId="62C526BC" w14:textId="77777777" w:rsidR="00E01A1E" w:rsidRDefault="00E01A1E" w:rsidP="00E01A1E">
      <w:pPr>
        <w:jc w:val="center"/>
        <w:rPr>
          <w:rFonts w:eastAsia="Times New Roman"/>
          <w:sz w:val="24"/>
          <w:szCs w:val="24"/>
        </w:rPr>
      </w:pPr>
    </w:p>
    <w:p w14:paraId="406BDEC7"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054E4207" w14:textId="77777777" w:rsidR="00E01A1E" w:rsidRPr="007216DA" w:rsidRDefault="00771A51" w:rsidP="00E01A1E">
      <w:pPr>
        <w:spacing w:after="240"/>
        <w:ind w:firstLine="720"/>
        <w:rPr>
          <w:rFonts w:eastAsia="Times New Roman"/>
          <w:sz w:val="24"/>
          <w:szCs w:val="24"/>
        </w:rPr>
      </w:pPr>
      <w:r w:rsidRPr="007216DA">
        <w:rPr>
          <w:rFonts w:eastAsia="Times New Roman"/>
          <w:sz w:val="24"/>
          <w:szCs w:val="24"/>
        </w:rPr>
        <w:t xml:space="preserve">1. The rule of actual authority should not be confused with the rules governing express and implied authority. </w:t>
      </w:r>
      <w:r w:rsidRPr="007216DA">
        <w:rPr>
          <w:rFonts w:eastAsia="Times New Roman"/>
          <w:i/>
          <w:sz w:val="24"/>
          <w:szCs w:val="24"/>
        </w:rPr>
        <w:t>See</w:t>
      </w:r>
      <w:r w:rsidRPr="007216DA">
        <w:rPr>
          <w:rFonts w:eastAsia="Times New Roman"/>
          <w:sz w:val="24"/>
          <w:szCs w:val="24"/>
        </w:rPr>
        <w:t xml:space="preserve"> Instruction</w:t>
      </w:r>
      <w:r>
        <w:rPr>
          <w:rFonts w:eastAsia="Times New Roman"/>
          <w:sz w:val="24"/>
          <w:szCs w:val="24"/>
        </w:rPr>
        <w:t>s</w:t>
      </w:r>
      <w:r w:rsidRPr="007216DA">
        <w:rPr>
          <w:rFonts w:eastAsia="Times New Roman"/>
          <w:sz w:val="24"/>
          <w:szCs w:val="24"/>
        </w:rPr>
        <w:t xml:space="preserve"> 8:9B and 8:11. </w:t>
      </w:r>
    </w:p>
    <w:p w14:paraId="2647AFD5" w14:textId="77777777" w:rsidR="00E01A1E" w:rsidRPr="007216DA" w:rsidRDefault="00771A51" w:rsidP="00E01A1E">
      <w:pPr>
        <w:spacing w:after="240"/>
        <w:ind w:firstLine="720"/>
        <w:rPr>
          <w:rFonts w:eastAsia="Times New Roman"/>
          <w:sz w:val="24"/>
          <w:szCs w:val="24"/>
        </w:rPr>
      </w:pPr>
      <w:r w:rsidRPr="007216DA">
        <w:rPr>
          <w:rFonts w:eastAsia="Times New Roman"/>
          <w:sz w:val="24"/>
          <w:szCs w:val="24"/>
        </w:rPr>
        <w:t xml:space="preserve">2. When applicable, this instruction should be used with Instructions 8:9B, 8:10, and 8:11. </w:t>
      </w:r>
    </w:p>
    <w:p w14:paraId="27313514"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5CE0AAC" w14:textId="7E5B153D" w:rsidR="00E01A1E" w:rsidRDefault="005840CD" w:rsidP="00E01A1E">
      <w:pPr>
        <w:spacing w:after="240"/>
        <w:ind w:firstLine="720"/>
        <w:rPr>
          <w:rFonts w:eastAsia="Times New Roman"/>
          <w:sz w:val="24"/>
          <w:szCs w:val="24"/>
        </w:rPr>
      </w:pPr>
      <w:r>
        <w:rPr>
          <w:rFonts w:eastAsia="Times New Roman"/>
          <w:sz w:val="24"/>
          <w:szCs w:val="24"/>
        </w:rPr>
        <w:t xml:space="preserve">1. </w:t>
      </w:r>
      <w:r w:rsidR="00771A51" w:rsidRPr="007216DA">
        <w:rPr>
          <w:rFonts w:eastAsia="Times New Roman"/>
          <w:sz w:val="24"/>
          <w:szCs w:val="24"/>
        </w:rPr>
        <w:t xml:space="preserve">This instruction is supported by </w:t>
      </w:r>
      <w:r w:rsidR="00771A51" w:rsidRPr="007216DA">
        <w:rPr>
          <w:rFonts w:eastAsia="Times New Roman"/>
          <w:b/>
          <w:sz w:val="24"/>
          <w:szCs w:val="24"/>
        </w:rPr>
        <w:t>State Farm Mutual Automobile Insurance Co. v. Johnson</w:t>
      </w:r>
      <w:r w:rsidR="00771A51" w:rsidRPr="007216DA">
        <w:rPr>
          <w:rFonts w:eastAsia="Times New Roman"/>
          <w:sz w:val="24"/>
          <w:szCs w:val="24"/>
        </w:rPr>
        <w:t xml:space="preserve">, 2017 CO 68, ¶ 21, 396 P.3d 651 (citing </w:t>
      </w:r>
      <w:r w:rsidR="00771A51" w:rsidRPr="007216DA">
        <w:rPr>
          <w:rFonts w:eastAsia="Times New Roman"/>
          <w:smallCaps/>
          <w:sz w:val="24"/>
          <w:szCs w:val="24"/>
        </w:rPr>
        <w:t>Restatement (Third) of Agency</w:t>
      </w:r>
      <w:r w:rsidR="00771A51" w:rsidRPr="007216DA">
        <w:rPr>
          <w:rFonts w:eastAsia="Times New Roman"/>
          <w:sz w:val="24"/>
          <w:szCs w:val="24"/>
        </w:rPr>
        <w:t xml:space="preserve"> § 2.01 (2006)); </w:t>
      </w:r>
      <w:r w:rsidR="00771A51" w:rsidRPr="007216DA">
        <w:rPr>
          <w:rFonts w:eastAsia="Times New Roman"/>
          <w:b/>
          <w:sz w:val="24"/>
          <w:szCs w:val="24"/>
        </w:rPr>
        <w:t>Willey v. Mayer</w:t>
      </w:r>
      <w:r w:rsidR="00771A51" w:rsidRPr="007216DA">
        <w:rPr>
          <w:rFonts w:eastAsia="Times New Roman"/>
          <w:sz w:val="24"/>
          <w:szCs w:val="24"/>
        </w:rPr>
        <w:t>, 876 P.2d 1260 (Colo. 1994)</w:t>
      </w:r>
      <w:r>
        <w:rPr>
          <w:rFonts w:eastAsia="Times New Roman"/>
          <w:sz w:val="24"/>
          <w:szCs w:val="24"/>
        </w:rPr>
        <w:t xml:space="preserve">; </w:t>
      </w:r>
      <w:r w:rsidR="00D43091">
        <w:rPr>
          <w:rFonts w:eastAsia="Times New Roman"/>
          <w:b/>
          <w:bCs/>
          <w:sz w:val="24"/>
          <w:szCs w:val="24"/>
        </w:rPr>
        <w:t>Craig Hospital v. Blue Cross Blue Shield</w:t>
      </w:r>
      <w:r w:rsidR="00D43091">
        <w:rPr>
          <w:rFonts w:eastAsia="Times New Roman"/>
          <w:sz w:val="24"/>
          <w:szCs w:val="24"/>
        </w:rPr>
        <w:t>, 2024 COA 74, ¶ 27</w:t>
      </w:r>
      <w:r w:rsidR="00C37D33">
        <w:rPr>
          <w:rFonts w:eastAsia="Times New Roman"/>
          <w:sz w:val="24"/>
          <w:szCs w:val="24"/>
        </w:rPr>
        <w:t>, 557 P.3d 820</w:t>
      </w:r>
      <w:r w:rsidR="00D43091">
        <w:rPr>
          <w:rFonts w:eastAsia="Times New Roman"/>
          <w:sz w:val="24"/>
          <w:szCs w:val="24"/>
        </w:rPr>
        <w:t>;</w:t>
      </w:r>
      <w:r w:rsidR="00D43091">
        <w:rPr>
          <w:rFonts w:eastAsia="Times New Roman"/>
          <w:b/>
          <w:bCs/>
          <w:sz w:val="24"/>
          <w:szCs w:val="24"/>
        </w:rPr>
        <w:t xml:space="preserve"> </w:t>
      </w:r>
      <w:r>
        <w:rPr>
          <w:rFonts w:eastAsia="Times New Roman"/>
          <w:sz w:val="24"/>
          <w:szCs w:val="24"/>
        </w:rPr>
        <w:t xml:space="preserve">and </w:t>
      </w:r>
      <w:r>
        <w:rPr>
          <w:rFonts w:eastAsia="Times New Roman"/>
          <w:b/>
          <w:bCs/>
          <w:sz w:val="24"/>
          <w:szCs w:val="24"/>
        </w:rPr>
        <w:t>Fresquez v. Trinidad Inn, Inc.</w:t>
      </w:r>
      <w:r>
        <w:rPr>
          <w:rFonts w:eastAsia="Times New Roman"/>
          <w:sz w:val="24"/>
          <w:szCs w:val="24"/>
        </w:rPr>
        <w:t>, 2022 COA 96, ¶¶ 18, 32, 37</w:t>
      </w:r>
      <w:r w:rsidR="0000701C">
        <w:rPr>
          <w:rFonts w:eastAsia="Times New Roman"/>
          <w:sz w:val="24"/>
          <w:szCs w:val="24"/>
        </w:rPr>
        <w:t>, 521 P.3d 399</w:t>
      </w:r>
      <w:r>
        <w:rPr>
          <w:rFonts w:eastAsia="Times New Roman"/>
          <w:sz w:val="24"/>
          <w:szCs w:val="24"/>
        </w:rPr>
        <w:t xml:space="preserve"> (</w:t>
      </w:r>
      <w:r w:rsidRPr="002F0478">
        <w:rPr>
          <w:rFonts w:eastAsia="Times New Roman"/>
          <w:sz w:val="24"/>
          <w:szCs w:val="24"/>
        </w:rPr>
        <w:t xml:space="preserve">citing </w:t>
      </w:r>
      <w:r w:rsidRPr="002F0478">
        <w:rPr>
          <w:rFonts w:eastAsia="Times New Roman"/>
          <w:smallCaps/>
          <w:sz w:val="24"/>
          <w:szCs w:val="24"/>
        </w:rPr>
        <w:t>Restatement (Third) of Agency</w:t>
      </w:r>
      <w:r w:rsidRPr="002F0478">
        <w:rPr>
          <w:rFonts w:eastAsia="Times New Roman"/>
          <w:sz w:val="24"/>
          <w:szCs w:val="24"/>
        </w:rPr>
        <w:t xml:space="preserve"> § 2.0</w:t>
      </w:r>
      <w:r>
        <w:rPr>
          <w:rFonts w:eastAsia="Times New Roman"/>
          <w:sz w:val="24"/>
          <w:szCs w:val="24"/>
        </w:rPr>
        <w:t>2</w:t>
      </w:r>
      <w:r w:rsidRPr="002F0478">
        <w:rPr>
          <w:rFonts w:eastAsia="Times New Roman"/>
          <w:sz w:val="24"/>
          <w:szCs w:val="24"/>
        </w:rPr>
        <w:t xml:space="preserve"> (2006)</w:t>
      </w:r>
      <w:r>
        <w:rPr>
          <w:rFonts w:eastAsia="Times New Roman"/>
          <w:sz w:val="24"/>
          <w:szCs w:val="24"/>
        </w:rPr>
        <w:t>)</w:t>
      </w:r>
      <w:r w:rsidR="00771A51" w:rsidRPr="007216DA">
        <w:rPr>
          <w:rFonts w:eastAsia="Times New Roman"/>
          <w:sz w:val="24"/>
          <w:szCs w:val="24"/>
        </w:rPr>
        <w:t>.</w:t>
      </w:r>
    </w:p>
    <w:p w14:paraId="3AF90C6A" w14:textId="77777777" w:rsidR="005840CD" w:rsidRDefault="005840CD" w:rsidP="005840CD">
      <w:pPr>
        <w:spacing w:after="240"/>
        <w:ind w:firstLine="720"/>
        <w:rPr>
          <w:rFonts w:eastAsia="Times New Roman"/>
          <w:sz w:val="24"/>
          <w:szCs w:val="24"/>
        </w:rPr>
      </w:pPr>
      <w:r>
        <w:rPr>
          <w:rFonts w:eastAsia="Times New Roman"/>
          <w:sz w:val="24"/>
          <w:szCs w:val="24"/>
        </w:rPr>
        <w:t xml:space="preserve">2. “Actual authority is premised on ‘a principal’s expressive conduct toward an agent, through which the principal manifests assent to be affected by the agent’s action, and the agent’s reasonable understanding of the principal’s manifestation.’” </w:t>
      </w:r>
      <w:r>
        <w:rPr>
          <w:rFonts w:eastAsia="Times New Roman"/>
          <w:b/>
          <w:bCs/>
          <w:sz w:val="24"/>
          <w:szCs w:val="24"/>
        </w:rPr>
        <w:t>Fresquez</w:t>
      </w:r>
      <w:r>
        <w:rPr>
          <w:rFonts w:eastAsia="Times New Roman"/>
          <w:sz w:val="24"/>
          <w:szCs w:val="24"/>
        </w:rPr>
        <w:t xml:space="preserve">, ¶ 18 (quoting </w:t>
      </w:r>
      <w:r w:rsidRPr="002F0478">
        <w:rPr>
          <w:rFonts w:eastAsia="Times New Roman"/>
          <w:smallCaps/>
          <w:sz w:val="24"/>
          <w:szCs w:val="24"/>
        </w:rPr>
        <w:t>Restatement (Third) of Agency</w:t>
      </w:r>
      <w:r>
        <w:rPr>
          <w:rFonts w:eastAsia="Times New Roman"/>
          <w:sz w:val="24"/>
          <w:szCs w:val="24"/>
        </w:rPr>
        <w:t xml:space="preserve">, § 2.01 cmt. c)). </w:t>
      </w:r>
    </w:p>
    <w:p w14:paraId="7F5E20E3" w14:textId="3CD7E1D9" w:rsidR="005840CD" w:rsidRDefault="005840CD" w:rsidP="005840CD">
      <w:pPr>
        <w:spacing w:after="240"/>
        <w:ind w:firstLine="720"/>
        <w:rPr>
          <w:rFonts w:eastAsia="Times New Roman"/>
          <w:i/>
          <w:iCs/>
          <w:sz w:val="24"/>
          <w:szCs w:val="24"/>
        </w:rPr>
      </w:pPr>
      <w:r>
        <w:rPr>
          <w:rFonts w:eastAsia="Times New Roman"/>
          <w:sz w:val="24"/>
          <w:szCs w:val="24"/>
        </w:rPr>
        <w:t xml:space="preserve">3. </w:t>
      </w:r>
      <w:r w:rsidRPr="003A5012">
        <w:rPr>
          <w:rFonts w:eastAsia="Times New Roman"/>
          <w:sz w:val="24"/>
          <w:szCs w:val="24"/>
        </w:rPr>
        <w:t>“The focal point for determining whether an agent acted with actual authority is the agent</w:t>
      </w:r>
      <w:r>
        <w:rPr>
          <w:rFonts w:eastAsia="Times New Roman"/>
          <w:sz w:val="24"/>
          <w:szCs w:val="24"/>
        </w:rPr>
        <w:t>’</w:t>
      </w:r>
      <w:r w:rsidRPr="003A5012">
        <w:rPr>
          <w:rFonts w:eastAsia="Times New Roman"/>
          <w:sz w:val="24"/>
          <w:szCs w:val="24"/>
        </w:rPr>
        <w:t xml:space="preserve">s reasonable understanding at the time the agent takes action.” </w:t>
      </w:r>
      <w:r>
        <w:rPr>
          <w:rFonts w:eastAsia="Times New Roman"/>
          <w:b/>
          <w:bCs/>
          <w:sz w:val="24"/>
          <w:szCs w:val="24"/>
        </w:rPr>
        <w:t>Fresquez</w:t>
      </w:r>
      <w:r>
        <w:rPr>
          <w:rFonts w:eastAsia="Times New Roman"/>
          <w:sz w:val="24"/>
          <w:szCs w:val="24"/>
        </w:rPr>
        <w:t>, ¶ 19 (quoting § 2.01 cmt. c.).</w:t>
      </w:r>
      <w:r w:rsidRPr="003A5012">
        <w:rPr>
          <w:rFonts w:eastAsia="Times New Roman"/>
          <w:sz w:val="24"/>
          <w:szCs w:val="24"/>
        </w:rPr>
        <w:t xml:space="preserve"> “An agent has actual authority to take action designated or implied in the principal</w:t>
      </w:r>
      <w:r>
        <w:rPr>
          <w:rFonts w:eastAsia="Times New Roman"/>
          <w:sz w:val="24"/>
          <w:szCs w:val="24"/>
        </w:rPr>
        <w:t>’</w:t>
      </w:r>
      <w:r w:rsidRPr="003A5012">
        <w:rPr>
          <w:rFonts w:eastAsia="Times New Roman"/>
          <w:sz w:val="24"/>
          <w:szCs w:val="24"/>
        </w:rPr>
        <w:t>s manifestations to the agent and acts necessary or incidental to achieving the principal</w:t>
      </w:r>
      <w:r>
        <w:rPr>
          <w:rFonts w:eastAsia="Times New Roman"/>
          <w:sz w:val="24"/>
          <w:szCs w:val="24"/>
        </w:rPr>
        <w:t>’</w:t>
      </w:r>
      <w:r w:rsidRPr="003A5012">
        <w:rPr>
          <w:rFonts w:eastAsia="Times New Roman"/>
          <w:sz w:val="24"/>
          <w:szCs w:val="24"/>
        </w:rPr>
        <w:t>s objectives, as the agent reasonably understands the principal</w:t>
      </w:r>
      <w:r>
        <w:rPr>
          <w:rFonts w:eastAsia="Times New Roman"/>
          <w:sz w:val="24"/>
          <w:szCs w:val="24"/>
        </w:rPr>
        <w:t>’</w:t>
      </w:r>
      <w:r w:rsidRPr="003A5012">
        <w:rPr>
          <w:rFonts w:eastAsia="Times New Roman"/>
          <w:sz w:val="24"/>
          <w:szCs w:val="24"/>
        </w:rPr>
        <w:t xml:space="preserve">s manifestations and objectives when the agent determines how to act.” </w:t>
      </w:r>
      <w:r w:rsidRPr="00F34203">
        <w:rPr>
          <w:rFonts w:eastAsia="Times New Roman"/>
          <w:i/>
          <w:iCs/>
          <w:sz w:val="24"/>
          <w:szCs w:val="24"/>
        </w:rPr>
        <w:t>Id</w:t>
      </w:r>
      <w:r w:rsidRPr="00DA3154">
        <w:rPr>
          <w:rFonts w:eastAsia="Times New Roman"/>
          <w:i/>
          <w:sz w:val="24"/>
          <w:szCs w:val="24"/>
        </w:rPr>
        <w:t>.</w:t>
      </w:r>
      <w:r w:rsidRPr="003A5012">
        <w:rPr>
          <w:rFonts w:eastAsia="Times New Roman"/>
          <w:sz w:val="24"/>
          <w:szCs w:val="24"/>
        </w:rPr>
        <w:t xml:space="preserve"> </w:t>
      </w:r>
      <w:r>
        <w:rPr>
          <w:rFonts w:eastAsia="Times New Roman"/>
          <w:sz w:val="24"/>
          <w:szCs w:val="24"/>
        </w:rPr>
        <w:t xml:space="preserve">(quoting </w:t>
      </w:r>
      <w:r w:rsidRPr="003A5012">
        <w:rPr>
          <w:rFonts w:eastAsia="Times New Roman"/>
          <w:sz w:val="24"/>
          <w:szCs w:val="24"/>
        </w:rPr>
        <w:t>§ 2.02(1)</w:t>
      </w:r>
      <w:r>
        <w:rPr>
          <w:rFonts w:eastAsia="Times New Roman"/>
          <w:sz w:val="24"/>
          <w:szCs w:val="24"/>
        </w:rPr>
        <w:t>)</w:t>
      </w:r>
      <w:r w:rsidRPr="003A5012">
        <w:rPr>
          <w:rFonts w:eastAsia="Times New Roman"/>
          <w:sz w:val="24"/>
          <w:szCs w:val="24"/>
        </w:rPr>
        <w:t>. “The context in which principal and agent interact, including the nature of the principal</w:t>
      </w:r>
      <w:r>
        <w:rPr>
          <w:rFonts w:eastAsia="Times New Roman"/>
          <w:sz w:val="24"/>
          <w:szCs w:val="24"/>
        </w:rPr>
        <w:t>’</w:t>
      </w:r>
      <w:r w:rsidRPr="003A5012">
        <w:rPr>
          <w:rFonts w:eastAsia="Times New Roman"/>
          <w:sz w:val="24"/>
          <w:szCs w:val="24"/>
        </w:rPr>
        <w:t>s</w:t>
      </w:r>
      <w:r>
        <w:rPr>
          <w:rFonts w:eastAsia="Times New Roman"/>
          <w:sz w:val="24"/>
          <w:szCs w:val="24"/>
        </w:rPr>
        <w:t xml:space="preserve"> . . .</w:t>
      </w:r>
      <w:r w:rsidRPr="003A5012">
        <w:rPr>
          <w:rFonts w:eastAsia="Times New Roman"/>
          <w:sz w:val="24"/>
          <w:szCs w:val="24"/>
        </w:rPr>
        <w:t xml:space="preserve"> personal situation, frames the reasonableness of an agent</w:t>
      </w:r>
      <w:r>
        <w:rPr>
          <w:rFonts w:eastAsia="Times New Roman"/>
          <w:sz w:val="24"/>
          <w:szCs w:val="24"/>
        </w:rPr>
        <w:t>’</w:t>
      </w:r>
      <w:r w:rsidRPr="003A5012">
        <w:rPr>
          <w:rFonts w:eastAsia="Times New Roman"/>
          <w:sz w:val="24"/>
          <w:szCs w:val="24"/>
        </w:rPr>
        <w:t>s understanding of the principal</w:t>
      </w:r>
      <w:r>
        <w:rPr>
          <w:rFonts w:eastAsia="Times New Roman"/>
          <w:sz w:val="24"/>
          <w:szCs w:val="24"/>
        </w:rPr>
        <w:t>’</w:t>
      </w:r>
      <w:r w:rsidRPr="003A5012">
        <w:rPr>
          <w:rFonts w:eastAsia="Times New Roman"/>
          <w:sz w:val="24"/>
          <w:szCs w:val="24"/>
        </w:rPr>
        <w:t xml:space="preserve">s objectives.” </w:t>
      </w:r>
      <w:r w:rsidRPr="00F34203">
        <w:rPr>
          <w:rFonts w:eastAsia="Times New Roman"/>
          <w:i/>
          <w:iCs/>
          <w:sz w:val="24"/>
          <w:szCs w:val="24"/>
        </w:rPr>
        <w:t>Id</w:t>
      </w:r>
      <w:r w:rsidRPr="003A5012">
        <w:rPr>
          <w:rFonts w:eastAsia="Times New Roman"/>
          <w:sz w:val="24"/>
          <w:szCs w:val="24"/>
        </w:rPr>
        <w:t xml:space="preserve">. </w:t>
      </w:r>
      <w:r>
        <w:rPr>
          <w:rFonts w:eastAsia="Times New Roman"/>
          <w:sz w:val="24"/>
          <w:szCs w:val="24"/>
        </w:rPr>
        <w:t xml:space="preserve">(quoting </w:t>
      </w:r>
      <w:r w:rsidRPr="003A5012">
        <w:rPr>
          <w:rFonts w:eastAsia="Times New Roman"/>
          <w:sz w:val="24"/>
          <w:szCs w:val="24"/>
        </w:rPr>
        <w:t>§ 2.02 cmt. e</w:t>
      </w:r>
      <w:r>
        <w:rPr>
          <w:rFonts w:eastAsia="Times New Roman"/>
          <w:sz w:val="24"/>
          <w:szCs w:val="24"/>
        </w:rPr>
        <w:t>)</w:t>
      </w:r>
      <w:r w:rsidRPr="003A5012">
        <w:rPr>
          <w:rFonts w:eastAsia="Times New Roman"/>
          <w:sz w:val="24"/>
          <w:szCs w:val="24"/>
        </w:rPr>
        <w:t>. “An agent</w:t>
      </w:r>
      <w:r>
        <w:rPr>
          <w:rFonts w:eastAsia="Times New Roman"/>
          <w:sz w:val="24"/>
          <w:szCs w:val="24"/>
        </w:rPr>
        <w:t>’</w:t>
      </w:r>
      <w:r w:rsidRPr="003A5012">
        <w:rPr>
          <w:rFonts w:eastAsia="Times New Roman"/>
          <w:sz w:val="24"/>
          <w:szCs w:val="24"/>
        </w:rPr>
        <w:t xml:space="preserve">s actual authority encompasses acts necessary to accomplish the end the principal has directed that the agent achieve.” </w:t>
      </w:r>
      <w:r w:rsidRPr="00F34203">
        <w:rPr>
          <w:rFonts w:eastAsia="Times New Roman"/>
          <w:i/>
          <w:iCs/>
          <w:sz w:val="24"/>
          <w:szCs w:val="24"/>
        </w:rPr>
        <w:t>Id.</w:t>
      </w:r>
    </w:p>
    <w:p w14:paraId="59209142" w14:textId="66CDAF1B" w:rsidR="005840CD" w:rsidRPr="002D4CF1" w:rsidRDefault="005840CD" w:rsidP="005840CD">
      <w:pPr>
        <w:spacing w:after="240"/>
        <w:ind w:firstLine="720"/>
        <w:rPr>
          <w:rFonts w:eastAsia="Times New Roman"/>
          <w:sz w:val="24"/>
          <w:szCs w:val="24"/>
        </w:rPr>
      </w:pPr>
      <w:r>
        <w:rPr>
          <w:rFonts w:eastAsia="Times New Roman"/>
          <w:sz w:val="24"/>
          <w:szCs w:val="24"/>
        </w:rPr>
        <w:lastRenderedPageBreak/>
        <w:t xml:space="preserve">4. Actual authority incorporates concepts of express and implied authority. </w:t>
      </w:r>
      <w:r>
        <w:rPr>
          <w:rFonts w:eastAsia="Times New Roman"/>
          <w:b/>
          <w:bCs/>
          <w:sz w:val="24"/>
          <w:szCs w:val="24"/>
        </w:rPr>
        <w:t>State Farm</w:t>
      </w:r>
      <w:r>
        <w:rPr>
          <w:rFonts w:eastAsia="Times New Roman"/>
          <w:sz w:val="24"/>
          <w:szCs w:val="24"/>
        </w:rPr>
        <w:t>, ¶ 21, 39</w:t>
      </w:r>
      <w:r w:rsidR="00687633">
        <w:rPr>
          <w:rFonts w:eastAsia="Times New Roman"/>
          <w:sz w:val="24"/>
          <w:szCs w:val="24"/>
        </w:rPr>
        <w:t>6</w:t>
      </w:r>
      <w:r>
        <w:rPr>
          <w:rFonts w:eastAsia="Times New Roman"/>
          <w:sz w:val="24"/>
          <w:szCs w:val="24"/>
        </w:rPr>
        <w:t xml:space="preserve"> P.</w:t>
      </w:r>
      <w:r w:rsidR="00687633">
        <w:rPr>
          <w:rFonts w:eastAsia="Times New Roman"/>
          <w:sz w:val="24"/>
          <w:szCs w:val="24"/>
        </w:rPr>
        <w:t>3</w:t>
      </w:r>
      <w:r>
        <w:rPr>
          <w:rFonts w:eastAsia="Times New Roman"/>
          <w:sz w:val="24"/>
          <w:szCs w:val="24"/>
        </w:rPr>
        <w:t xml:space="preserve">d at 656; </w:t>
      </w:r>
      <w:r>
        <w:rPr>
          <w:rFonts w:eastAsia="Times New Roman"/>
          <w:b/>
          <w:bCs/>
          <w:sz w:val="24"/>
          <w:szCs w:val="24"/>
        </w:rPr>
        <w:t>Willey</w:t>
      </w:r>
      <w:r>
        <w:rPr>
          <w:rFonts w:eastAsia="Times New Roman"/>
          <w:sz w:val="24"/>
          <w:szCs w:val="24"/>
        </w:rPr>
        <w:t>, 876 P.2d at 1264;</w:t>
      </w:r>
      <w:r>
        <w:rPr>
          <w:rFonts w:eastAsia="Times New Roman"/>
          <w:b/>
          <w:bCs/>
          <w:sz w:val="24"/>
          <w:szCs w:val="24"/>
        </w:rPr>
        <w:t xml:space="preserve"> Fresquez</w:t>
      </w:r>
      <w:r>
        <w:rPr>
          <w:rFonts w:eastAsia="Times New Roman"/>
          <w:sz w:val="24"/>
          <w:szCs w:val="24"/>
        </w:rPr>
        <w:t>, ¶ 21.</w:t>
      </w:r>
    </w:p>
    <w:p w14:paraId="2B59E94B" w14:textId="7BC388FB" w:rsidR="00687633" w:rsidRDefault="005840CD" w:rsidP="005840CD">
      <w:pPr>
        <w:spacing w:after="240"/>
        <w:ind w:firstLine="720"/>
        <w:rPr>
          <w:rFonts w:eastAsia="Times New Roman"/>
          <w:sz w:val="24"/>
          <w:szCs w:val="24"/>
        </w:rPr>
      </w:pPr>
      <w:r>
        <w:rPr>
          <w:rFonts w:eastAsia="Times New Roman"/>
          <w:sz w:val="24"/>
          <w:szCs w:val="24"/>
        </w:rPr>
        <w:t xml:space="preserve">5. Whether an agent has actual authority to execute a document on the principal’s behalf requires both an objective and subjective inquiry: the agent must subjectively believe </w:t>
      </w:r>
      <w:r w:rsidR="003B2BAE">
        <w:rPr>
          <w:rFonts w:eastAsia="Times New Roman"/>
          <w:sz w:val="24"/>
          <w:szCs w:val="24"/>
        </w:rPr>
        <w:t>the agent</w:t>
      </w:r>
      <w:r>
        <w:rPr>
          <w:rFonts w:eastAsia="Times New Roman"/>
          <w:sz w:val="24"/>
          <w:szCs w:val="24"/>
        </w:rPr>
        <w:t xml:space="preserve"> possess</w:t>
      </w:r>
      <w:r w:rsidR="003B2BAE">
        <w:rPr>
          <w:rFonts w:eastAsia="Times New Roman"/>
          <w:sz w:val="24"/>
          <w:szCs w:val="24"/>
        </w:rPr>
        <w:t>es</w:t>
      </w:r>
      <w:r>
        <w:rPr>
          <w:rFonts w:eastAsia="Times New Roman"/>
          <w:sz w:val="24"/>
          <w:szCs w:val="24"/>
        </w:rPr>
        <w:t xml:space="preserve"> authority, and that belief must be objectively reasonable in light of the principal’s actions. </w:t>
      </w:r>
      <w:r>
        <w:rPr>
          <w:rFonts w:eastAsia="Times New Roman"/>
          <w:b/>
          <w:bCs/>
          <w:sz w:val="24"/>
          <w:szCs w:val="24"/>
        </w:rPr>
        <w:t xml:space="preserve">Fresquez, </w:t>
      </w:r>
      <w:r>
        <w:rPr>
          <w:rFonts w:eastAsia="Times New Roman"/>
          <w:sz w:val="24"/>
          <w:szCs w:val="24"/>
        </w:rPr>
        <w:t xml:space="preserve">¶ 20 (citing § 2.02, cmt. e). </w:t>
      </w:r>
    </w:p>
    <w:p w14:paraId="5171874A" w14:textId="7C31015F" w:rsidR="005840CD" w:rsidRPr="00432092" w:rsidRDefault="005840CD" w:rsidP="005840CD">
      <w:pPr>
        <w:spacing w:after="240"/>
        <w:ind w:firstLine="720"/>
        <w:rPr>
          <w:rFonts w:eastAsia="Times New Roman"/>
          <w:sz w:val="24"/>
          <w:szCs w:val="24"/>
        </w:rPr>
      </w:pPr>
      <w:r>
        <w:rPr>
          <w:rFonts w:eastAsia="Times New Roman"/>
          <w:sz w:val="24"/>
          <w:szCs w:val="24"/>
        </w:rPr>
        <w:t xml:space="preserve">6. An agent has a duty to take action only within the scope of the agent’s actual authority. </w:t>
      </w:r>
      <w:r>
        <w:rPr>
          <w:rFonts w:eastAsia="Times New Roman"/>
          <w:b/>
          <w:bCs/>
          <w:sz w:val="24"/>
          <w:szCs w:val="24"/>
        </w:rPr>
        <w:t>Fresquez</w:t>
      </w:r>
      <w:r>
        <w:rPr>
          <w:rFonts w:eastAsia="Times New Roman"/>
          <w:sz w:val="24"/>
          <w:szCs w:val="24"/>
        </w:rPr>
        <w:t xml:space="preserve">, ¶ 37 (citing </w:t>
      </w:r>
      <w:r w:rsidRPr="0096412F">
        <w:rPr>
          <w:rFonts w:eastAsia="Times New Roman"/>
          <w:smallCaps/>
          <w:sz w:val="24"/>
          <w:szCs w:val="24"/>
        </w:rPr>
        <w:t>Restatement (Third) of Agency</w:t>
      </w:r>
      <w:r>
        <w:rPr>
          <w:rFonts w:eastAsia="Times New Roman"/>
          <w:sz w:val="24"/>
          <w:szCs w:val="24"/>
        </w:rPr>
        <w:t xml:space="preserve"> § 8.09 &amp; cmt. b). </w:t>
      </w:r>
    </w:p>
    <w:p w14:paraId="43620388" w14:textId="77777777" w:rsidR="005840CD" w:rsidRDefault="005840CD" w:rsidP="00E01A1E">
      <w:pPr>
        <w:spacing w:after="240"/>
        <w:ind w:firstLine="720"/>
        <w:rPr>
          <w:rFonts w:eastAsia="Times New Roman"/>
          <w:sz w:val="24"/>
          <w:szCs w:val="24"/>
        </w:rPr>
      </w:pPr>
    </w:p>
    <w:p w14:paraId="6C7C2A1F" w14:textId="77777777" w:rsidR="00E01A1E" w:rsidRDefault="00771A51">
      <w:pPr>
        <w:rPr>
          <w:rFonts w:eastAsia="Times New Roman"/>
          <w:sz w:val="24"/>
          <w:szCs w:val="24"/>
        </w:rPr>
      </w:pPr>
      <w:r>
        <w:rPr>
          <w:rFonts w:eastAsia="Times New Roman"/>
          <w:sz w:val="24"/>
          <w:szCs w:val="24"/>
        </w:rPr>
        <w:br w:type="page"/>
      </w:r>
    </w:p>
    <w:p w14:paraId="7268C598" w14:textId="7F0E930B" w:rsidR="00E01A1E" w:rsidRPr="009E3DA4" w:rsidRDefault="00771A51" w:rsidP="00E01A1E">
      <w:pPr>
        <w:spacing w:after="240"/>
        <w:ind w:left="720" w:hanging="720"/>
        <w:rPr>
          <w:rFonts w:eastAsia="Times New Roman"/>
          <w:b/>
          <w:sz w:val="24"/>
          <w:szCs w:val="24"/>
        </w:rPr>
      </w:pPr>
      <w:bookmarkStart w:id="11" w:name="a8_9B"/>
      <w:bookmarkEnd w:id="11"/>
      <w:r>
        <w:rPr>
          <w:rFonts w:eastAsia="Times New Roman"/>
          <w:b/>
          <w:sz w:val="24"/>
          <w:szCs w:val="24"/>
        </w:rPr>
        <w:lastRenderedPageBreak/>
        <w:t>8:9B</w:t>
      </w:r>
      <w:r>
        <w:rPr>
          <w:rFonts w:eastAsia="Times New Roman"/>
          <w:b/>
          <w:sz w:val="24"/>
          <w:szCs w:val="24"/>
        </w:rPr>
        <w:tab/>
      </w:r>
      <w:r w:rsidRPr="006B2457">
        <w:rPr>
          <w:rFonts w:eastAsia="Times New Roman"/>
          <w:b/>
          <w:sz w:val="24"/>
          <w:szCs w:val="24"/>
        </w:rPr>
        <w:t>EXPRESS AUTHORITY</w:t>
      </w:r>
      <w:r w:rsidR="002F72BA">
        <w:rPr>
          <w:rFonts w:eastAsia="Times New Roman"/>
          <w:b/>
          <w:sz w:val="24"/>
          <w:szCs w:val="24"/>
        </w:rPr>
        <w:t xml:space="preserve"> </w:t>
      </w:r>
      <w:r w:rsidR="009231F0" w:rsidRPr="005F1017">
        <w:rPr>
          <w:rFonts w:eastAsia="Times New Roman"/>
          <w:b/>
          <w:sz w:val="24"/>
          <w:szCs w:val="24"/>
        </w:rPr>
        <w:t>—</w:t>
      </w:r>
      <w:r w:rsidR="002F72BA">
        <w:rPr>
          <w:rFonts w:eastAsia="Times New Roman"/>
          <w:b/>
          <w:sz w:val="24"/>
          <w:szCs w:val="24"/>
        </w:rPr>
        <w:t xml:space="preserve"> DEFINED</w:t>
      </w:r>
    </w:p>
    <w:p w14:paraId="38714C6F" w14:textId="77777777" w:rsidR="00E01A1E" w:rsidRPr="006B2457" w:rsidRDefault="00771A51" w:rsidP="00E01A1E">
      <w:pPr>
        <w:spacing w:after="240"/>
        <w:ind w:firstLine="720"/>
        <w:rPr>
          <w:rFonts w:eastAsia="Times New Roman"/>
          <w:b/>
          <w:sz w:val="24"/>
          <w:szCs w:val="24"/>
        </w:rPr>
      </w:pPr>
      <w:r w:rsidRPr="006B2457">
        <w:rPr>
          <w:rFonts w:eastAsia="Times New Roman"/>
          <w:b/>
          <w:sz w:val="24"/>
          <w:szCs w:val="24"/>
        </w:rPr>
        <w:t>An agent acts with express authority when the principal directly states that the agent may perform a particular act on the principal’s behalf.</w:t>
      </w:r>
    </w:p>
    <w:p w14:paraId="6D8E0DAC" w14:textId="77777777" w:rsidR="00E01A1E" w:rsidRDefault="00E01A1E" w:rsidP="00E01A1E">
      <w:pPr>
        <w:jc w:val="center"/>
        <w:rPr>
          <w:rFonts w:eastAsia="Times New Roman"/>
          <w:sz w:val="24"/>
          <w:szCs w:val="24"/>
        </w:rPr>
      </w:pPr>
    </w:p>
    <w:p w14:paraId="7DAF6708"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D109F4F" w14:textId="77777777" w:rsidR="00E01A1E" w:rsidRPr="006B2457" w:rsidRDefault="00771A51" w:rsidP="00E01A1E">
      <w:pPr>
        <w:spacing w:after="240"/>
        <w:ind w:firstLine="720"/>
        <w:rPr>
          <w:rFonts w:eastAsia="Times New Roman"/>
          <w:sz w:val="24"/>
          <w:szCs w:val="24"/>
        </w:rPr>
      </w:pPr>
      <w:r w:rsidRPr="006B2457">
        <w:rPr>
          <w:rFonts w:eastAsia="Times New Roman"/>
          <w:sz w:val="24"/>
          <w:szCs w:val="24"/>
        </w:rPr>
        <w:t xml:space="preserve">The rule of express authority should not be confused with the rules governing actual authority. </w:t>
      </w:r>
      <w:r w:rsidRPr="006B2457">
        <w:rPr>
          <w:rFonts w:eastAsia="Times New Roman"/>
          <w:i/>
          <w:sz w:val="24"/>
          <w:szCs w:val="24"/>
        </w:rPr>
        <w:t>See</w:t>
      </w:r>
      <w:r w:rsidRPr="006B2457">
        <w:rPr>
          <w:rFonts w:eastAsia="Times New Roman"/>
          <w:sz w:val="24"/>
          <w:szCs w:val="24"/>
        </w:rPr>
        <w:t xml:space="preserve"> Instruction 8:9A.</w:t>
      </w:r>
    </w:p>
    <w:p w14:paraId="11BC67DA"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03E8DAFC" w14:textId="744266FA" w:rsidR="00E01A1E" w:rsidRPr="006B2457" w:rsidRDefault="00771A51" w:rsidP="00E01A1E">
      <w:pPr>
        <w:spacing w:after="240"/>
        <w:ind w:firstLine="720"/>
        <w:rPr>
          <w:rFonts w:eastAsia="Times New Roman"/>
          <w:sz w:val="24"/>
          <w:szCs w:val="24"/>
        </w:rPr>
      </w:pPr>
      <w:r w:rsidRPr="006B2457">
        <w:rPr>
          <w:rFonts w:eastAsia="Times New Roman"/>
          <w:sz w:val="24"/>
          <w:szCs w:val="24"/>
        </w:rPr>
        <w:t xml:space="preserve">This instruction is supported by </w:t>
      </w:r>
      <w:r w:rsidRPr="006B2457">
        <w:rPr>
          <w:rFonts w:eastAsia="Times New Roman"/>
          <w:b/>
          <w:sz w:val="24"/>
          <w:szCs w:val="24"/>
        </w:rPr>
        <w:t>State Farm Mutual Automobile Insurance Co. v. Johnson</w:t>
      </w:r>
      <w:r w:rsidRPr="006B2457">
        <w:rPr>
          <w:rFonts w:eastAsia="Times New Roman"/>
          <w:sz w:val="24"/>
          <w:szCs w:val="24"/>
        </w:rPr>
        <w:t xml:space="preserve">, 2017 CO 68, ¶ 21, 396 P.3d 651; </w:t>
      </w:r>
      <w:r w:rsidRPr="006B2457">
        <w:rPr>
          <w:rFonts w:eastAsia="Times New Roman"/>
          <w:b/>
          <w:sz w:val="24"/>
          <w:szCs w:val="24"/>
        </w:rPr>
        <w:t>Willey v. Mayer</w:t>
      </w:r>
      <w:r>
        <w:rPr>
          <w:rFonts w:eastAsia="Times New Roman"/>
          <w:sz w:val="24"/>
          <w:szCs w:val="24"/>
        </w:rPr>
        <w:t>, 876 P.2d 1260 (Colo. 1994)</w:t>
      </w:r>
      <w:r w:rsidR="005B6EF1">
        <w:rPr>
          <w:rFonts w:eastAsia="Times New Roman"/>
          <w:sz w:val="24"/>
          <w:szCs w:val="24"/>
        </w:rPr>
        <w:t xml:space="preserve">; and </w:t>
      </w:r>
      <w:r w:rsidR="005B6EF1">
        <w:rPr>
          <w:rFonts w:eastAsia="Times New Roman"/>
          <w:b/>
          <w:bCs/>
          <w:sz w:val="24"/>
          <w:szCs w:val="24"/>
        </w:rPr>
        <w:t>Fresquez v. Trinidad Inn, Inc.</w:t>
      </w:r>
      <w:r w:rsidR="005B6EF1">
        <w:rPr>
          <w:rFonts w:eastAsia="Times New Roman"/>
          <w:sz w:val="24"/>
          <w:szCs w:val="24"/>
        </w:rPr>
        <w:t>, 2022 COA 96, ¶ 21</w:t>
      </w:r>
      <w:r w:rsidR="0000701C">
        <w:rPr>
          <w:rFonts w:eastAsia="Times New Roman"/>
          <w:sz w:val="24"/>
          <w:szCs w:val="24"/>
        </w:rPr>
        <w:t>, 521 P.3d 399</w:t>
      </w:r>
      <w:r>
        <w:rPr>
          <w:rFonts w:eastAsia="Times New Roman"/>
          <w:sz w:val="24"/>
          <w:szCs w:val="24"/>
        </w:rPr>
        <w:t>.</w:t>
      </w:r>
    </w:p>
    <w:p w14:paraId="17259F49" w14:textId="77777777" w:rsidR="00E01A1E" w:rsidRDefault="00771A51">
      <w:pPr>
        <w:rPr>
          <w:rFonts w:eastAsia="Times New Roman"/>
          <w:sz w:val="24"/>
          <w:szCs w:val="24"/>
        </w:rPr>
      </w:pPr>
      <w:r>
        <w:rPr>
          <w:rFonts w:eastAsia="Times New Roman"/>
          <w:sz w:val="24"/>
          <w:szCs w:val="24"/>
        </w:rPr>
        <w:br w:type="page"/>
      </w:r>
    </w:p>
    <w:p w14:paraId="195C6DAB" w14:textId="77777777" w:rsidR="00E01A1E" w:rsidRPr="009E3DA4" w:rsidRDefault="00771A51" w:rsidP="00E01A1E">
      <w:pPr>
        <w:spacing w:after="240"/>
        <w:ind w:left="720" w:hanging="720"/>
        <w:rPr>
          <w:rFonts w:eastAsia="Times New Roman"/>
          <w:b/>
          <w:sz w:val="24"/>
          <w:szCs w:val="24"/>
        </w:rPr>
      </w:pPr>
      <w:bookmarkStart w:id="12" w:name="a8_10"/>
      <w:bookmarkEnd w:id="12"/>
      <w:r w:rsidRPr="005F1017">
        <w:rPr>
          <w:rFonts w:eastAsia="Times New Roman"/>
          <w:b/>
          <w:sz w:val="24"/>
          <w:szCs w:val="24"/>
        </w:rPr>
        <w:lastRenderedPageBreak/>
        <w:t xml:space="preserve">8:10 </w:t>
      </w:r>
      <w:r w:rsidRPr="005F1017">
        <w:rPr>
          <w:rFonts w:eastAsia="Times New Roman"/>
          <w:b/>
          <w:sz w:val="24"/>
          <w:szCs w:val="24"/>
        </w:rPr>
        <w:tab/>
        <w:t>INCIDENTAL AUTHORITY — DEFINED</w:t>
      </w:r>
    </w:p>
    <w:p w14:paraId="09E7EACD" w14:textId="79319030" w:rsidR="00E01A1E" w:rsidRPr="005F1017" w:rsidRDefault="00771A51" w:rsidP="00E01A1E">
      <w:pPr>
        <w:spacing w:after="240"/>
        <w:ind w:firstLine="720"/>
        <w:rPr>
          <w:rFonts w:eastAsia="Times New Roman"/>
          <w:b/>
          <w:sz w:val="24"/>
          <w:szCs w:val="24"/>
        </w:rPr>
      </w:pPr>
      <w:r w:rsidRPr="005F1017">
        <w:rPr>
          <w:rFonts w:eastAsia="Times New Roman"/>
          <w:b/>
          <w:sz w:val="24"/>
          <w:szCs w:val="24"/>
        </w:rPr>
        <w:t xml:space="preserve">In addition to any express authority given by a principal to an agent, an agent has the incidental authority to do those acts that </w:t>
      </w:r>
      <w:r w:rsidR="00107FE8">
        <w:rPr>
          <w:rFonts w:eastAsia="Times New Roman"/>
          <w:b/>
          <w:sz w:val="24"/>
          <w:szCs w:val="24"/>
        </w:rPr>
        <w:t>are necessary, usual, and proper</w:t>
      </w:r>
      <w:r w:rsidRPr="005F1017">
        <w:rPr>
          <w:rFonts w:eastAsia="Times New Roman"/>
          <w:b/>
          <w:sz w:val="24"/>
          <w:szCs w:val="24"/>
        </w:rPr>
        <w:t xml:space="preserve"> to accomplish the express authority.</w:t>
      </w:r>
    </w:p>
    <w:p w14:paraId="21277E5C" w14:textId="77777777" w:rsidR="00E01A1E" w:rsidRDefault="00E01A1E" w:rsidP="00E01A1E">
      <w:pPr>
        <w:jc w:val="center"/>
        <w:rPr>
          <w:rFonts w:eastAsia="Times New Roman"/>
          <w:sz w:val="24"/>
          <w:szCs w:val="24"/>
        </w:rPr>
      </w:pPr>
    </w:p>
    <w:p w14:paraId="032758A1"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77FDDBA" w14:textId="77777777" w:rsidR="00E01A1E" w:rsidRDefault="00771A51" w:rsidP="00E01A1E">
      <w:pPr>
        <w:spacing w:after="240"/>
        <w:ind w:firstLine="720"/>
        <w:rPr>
          <w:rFonts w:eastAsia="Times New Roman"/>
          <w:sz w:val="24"/>
          <w:szCs w:val="24"/>
        </w:rPr>
      </w:pPr>
      <w:r>
        <w:rPr>
          <w:rFonts w:eastAsia="Times New Roman"/>
          <w:sz w:val="24"/>
          <w:szCs w:val="24"/>
        </w:rPr>
        <w:t xml:space="preserve">1. </w:t>
      </w:r>
      <w:r w:rsidRPr="005F1017">
        <w:rPr>
          <w:rFonts w:eastAsia="Times New Roman"/>
          <w:sz w:val="24"/>
          <w:szCs w:val="24"/>
        </w:rPr>
        <w:t>When applicable, this instruction should be used with Instructions 8:9 and 8:11.</w:t>
      </w:r>
    </w:p>
    <w:p w14:paraId="1F69D5C2" w14:textId="77777777" w:rsidR="00E01A1E" w:rsidRPr="005F1017" w:rsidRDefault="00771A51" w:rsidP="00E01A1E">
      <w:pPr>
        <w:spacing w:after="240"/>
        <w:ind w:firstLine="720"/>
        <w:rPr>
          <w:rFonts w:eastAsia="Times New Roman"/>
          <w:i/>
          <w:sz w:val="24"/>
          <w:szCs w:val="24"/>
        </w:rPr>
      </w:pPr>
      <w:r w:rsidRPr="005F1017">
        <w:rPr>
          <w:rFonts w:eastAsia="Times New Roman"/>
          <w:sz w:val="24"/>
          <w:szCs w:val="24"/>
        </w:rPr>
        <w:t xml:space="preserve">2. An agent’s incidental authority may be limited or excluded by his or her principal. </w:t>
      </w:r>
      <w:r w:rsidRPr="00C87463">
        <w:rPr>
          <w:rFonts w:eastAsia="Times New Roman"/>
          <w:smallCaps/>
          <w:sz w:val="24"/>
          <w:szCs w:val="24"/>
        </w:rPr>
        <w:t>Restatement (Second) of Agency</w:t>
      </w:r>
      <w:r w:rsidRPr="005F1017">
        <w:rPr>
          <w:rFonts w:eastAsia="Times New Roman"/>
          <w:sz w:val="24"/>
          <w:szCs w:val="24"/>
        </w:rPr>
        <w:t xml:space="preserve"> § 35 (1958). A principal may nonetheless be bound under the doctrine of apparent authority. </w:t>
      </w:r>
      <w:r w:rsidRPr="005F1017">
        <w:rPr>
          <w:rFonts w:eastAsia="Times New Roman"/>
          <w:i/>
          <w:sz w:val="24"/>
          <w:szCs w:val="24"/>
        </w:rPr>
        <w:t>See</w:t>
      </w:r>
      <w:r w:rsidRPr="005F1017">
        <w:rPr>
          <w:rFonts w:eastAsia="Times New Roman"/>
          <w:sz w:val="24"/>
          <w:szCs w:val="24"/>
        </w:rPr>
        <w:t xml:space="preserve"> </w:t>
      </w:r>
      <w:r w:rsidRPr="005F1017">
        <w:rPr>
          <w:rFonts w:eastAsia="Times New Roman"/>
          <w:b/>
          <w:sz w:val="24"/>
          <w:szCs w:val="24"/>
        </w:rPr>
        <w:t>Indep</w:t>
      </w:r>
      <w:r>
        <w:rPr>
          <w:rFonts w:eastAsia="Times New Roman"/>
          <w:b/>
          <w:sz w:val="24"/>
          <w:szCs w:val="24"/>
        </w:rPr>
        <w:t>.</w:t>
      </w:r>
      <w:r w:rsidRPr="005F1017">
        <w:rPr>
          <w:rFonts w:eastAsia="Times New Roman"/>
          <w:b/>
          <w:sz w:val="24"/>
          <w:szCs w:val="24"/>
        </w:rPr>
        <w:t xml:space="preserve"> Indem. Co.</w:t>
      </w:r>
      <w:r>
        <w:rPr>
          <w:rFonts w:eastAsia="Times New Roman"/>
          <w:b/>
          <w:sz w:val="24"/>
          <w:szCs w:val="24"/>
        </w:rPr>
        <w:t xml:space="preserve"> v. Int’l Tr.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96 Colo. </w:t>
      </w:r>
      <w:r>
        <w:rPr>
          <w:rFonts w:eastAsia="Times New Roman"/>
          <w:sz w:val="24"/>
          <w:szCs w:val="24"/>
        </w:rPr>
        <w:t>92</w:t>
      </w:r>
      <w:r w:rsidRPr="005F1017">
        <w:rPr>
          <w:rFonts w:eastAsia="Times New Roman"/>
          <w:sz w:val="24"/>
          <w:szCs w:val="24"/>
        </w:rPr>
        <w:t>, 39 P.2d 78</w:t>
      </w:r>
      <w:r>
        <w:rPr>
          <w:rFonts w:eastAsia="Times New Roman"/>
          <w:sz w:val="24"/>
          <w:szCs w:val="24"/>
        </w:rPr>
        <w:t>0 (1934);</w:t>
      </w:r>
      <w:r w:rsidRPr="005F1017">
        <w:rPr>
          <w:rFonts w:eastAsia="Times New Roman"/>
          <w:sz w:val="24"/>
          <w:szCs w:val="24"/>
        </w:rPr>
        <w:t xml:space="preserve"> Instruction 8:12. When there is sufficient evidence of such limitation or exclusion, this instruction, and, if applicable, Instruction 8:12, should be appropriately modified.</w:t>
      </w:r>
      <w:r w:rsidRPr="005F1017">
        <w:rPr>
          <w:rFonts w:eastAsia="Times New Roman"/>
          <w:i/>
          <w:sz w:val="24"/>
          <w:szCs w:val="24"/>
        </w:rPr>
        <w:t xml:space="preserve"> See </w:t>
      </w:r>
      <w:r w:rsidRPr="00C87463">
        <w:rPr>
          <w:rFonts w:eastAsia="Times New Roman"/>
          <w:smallCaps/>
          <w:sz w:val="24"/>
          <w:szCs w:val="24"/>
        </w:rPr>
        <w:t>Restatement (Third) of Agency</w:t>
      </w:r>
      <w:r w:rsidRPr="005F1017">
        <w:rPr>
          <w:rFonts w:eastAsia="Times New Roman"/>
          <w:sz w:val="24"/>
          <w:szCs w:val="24"/>
        </w:rPr>
        <w:t xml:space="preserve"> § 2.02 cmt. g (2006) (stating that a “principal may direct an agent to do or refrain from doing a specific act”).</w:t>
      </w:r>
    </w:p>
    <w:p w14:paraId="3A3A2BE6"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64B2E7C6" w14:textId="77777777" w:rsidR="00E01A1E" w:rsidRPr="005F1017" w:rsidRDefault="00771A51" w:rsidP="00E01A1E">
      <w:pPr>
        <w:spacing w:after="240"/>
        <w:ind w:firstLine="720"/>
        <w:rPr>
          <w:rFonts w:eastAsia="Times New Roman"/>
          <w:sz w:val="24"/>
          <w:szCs w:val="24"/>
        </w:rPr>
      </w:pPr>
      <w:r w:rsidRPr="005F1017">
        <w:rPr>
          <w:rFonts w:eastAsia="Times New Roman"/>
          <w:sz w:val="24"/>
          <w:szCs w:val="24"/>
        </w:rPr>
        <w:t xml:space="preserve">1. This instruction is supported by </w:t>
      </w:r>
      <w:r w:rsidRPr="00CB008B">
        <w:rPr>
          <w:rFonts w:eastAsia="Times New Roman"/>
          <w:smallCaps/>
          <w:sz w:val="24"/>
          <w:szCs w:val="24"/>
        </w:rPr>
        <w:t>Restatement (Second) of Agency</w:t>
      </w:r>
      <w:r w:rsidRPr="005F1017">
        <w:rPr>
          <w:rFonts w:eastAsia="Times New Roman"/>
          <w:sz w:val="24"/>
          <w:szCs w:val="24"/>
        </w:rPr>
        <w:t xml:space="preserve"> § 35 (1958). </w:t>
      </w:r>
      <w:r w:rsidRPr="005F1017">
        <w:rPr>
          <w:rFonts w:eastAsia="Times New Roman"/>
          <w:i/>
          <w:sz w:val="24"/>
          <w:szCs w:val="24"/>
        </w:rPr>
        <w:t>See also</w:t>
      </w:r>
      <w:r w:rsidRPr="005F1017">
        <w:rPr>
          <w:rFonts w:eastAsia="Times New Roman"/>
          <w:sz w:val="24"/>
          <w:szCs w:val="24"/>
        </w:rPr>
        <w:t xml:space="preserve"> </w:t>
      </w:r>
      <w:r w:rsidRPr="005F1017">
        <w:rPr>
          <w:rFonts w:eastAsia="Times New Roman"/>
          <w:b/>
          <w:sz w:val="24"/>
          <w:szCs w:val="24"/>
        </w:rPr>
        <w:t>State Farm Mut. Auto. Ins. Co v. Johnson</w:t>
      </w:r>
      <w:r w:rsidRPr="005F1017">
        <w:rPr>
          <w:rFonts w:eastAsia="Times New Roman"/>
          <w:sz w:val="24"/>
          <w:szCs w:val="24"/>
        </w:rPr>
        <w:t xml:space="preserve">, 2017 CO 68, ¶ 22, 396 P.3d 651; </w:t>
      </w:r>
      <w:r w:rsidRPr="005F1017">
        <w:rPr>
          <w:rFonts w:eastAsia="Times New Roman"/>
          <w:b/>
          <w:sz w:val="24"/>
          <w:szCs w:val="24"/>
        </w:rPr>
        <w:t>Willey v. Mayer</w:t>
      </w:r>
      <w:r w:rsidRPr="005F1017">
        <w:rPr>
          <w:rFonts w:eastAsia="Times New Roman"/>
          <w:sz w:val="24"/>
          <w:szCs w:val="24"/>
        </w:rPr>
        <w:t xml:space="preserve">, 876 P.2d 1260 (Colo. 1994); </w:t>
      </w:r>
      <w:r w:rsidRPr="005F1017">
        <w:rPr>
          <w:rFonts w:eastAsia="Times New Roman"/>
          <w:b/>
          <w:sz w:val="24"/>
          <w:szCs w:val="24"/>
        </w:rPr>
        <w:t>Indep</w:t>
      </w:r>
      <w:r>
        <w:rPr>
          <w:rFonts w:eastAsia="Times New Roman"/>
          <w:b/>
          <w:sz w:val="24"/>
          <w:szCs w:val="24"/>
        </w:rPr>
        <w:t>.</w:t>
      </w:r>
      <w:r w:rsidRPr="005F1017">
        <w:rPr>
          <w:rFonts w:eastAsia="Times New Roman"/>
          <w:b/>
          <w:sz w:val="24"/>
          <w:szCs w:val="24"/>
        </w:rPr>
        <w:t xml:space="preserve"> Indem. Co.</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96 Colo. </w:t>
      </w:r>
      <w:r>
        <w:rPr>
          <w:rFonts w:eastAsia="Times New Roman"/>
          <w:sz w:val="24"/>
          <w:szCs w:val="24"/>
        </w:rPr>
        <w:t>at 10</w:t>
      </w:r>
      <w:r w:rsidRPr="005F1017">
        <w:rPr>
          <w:rFonts w:eastAsia="Times New Roman"/>
          <w:sz w:val="24"/>
          <w:szCs w:val="24"/>
        </w:rPr>
        <w:t xml:space="preserve">2, 39 P.2d </w:t>
      </w:r>
      <w:r>
        <w:rPr>
          <w:rFonts w:eastAsia="Times New Roman"/>
          <w:sz w:val="24"/>
          <w:szCs w:val="24"/>
        </w:rPr>
        <w:t xml:space="preserve">at </w:t>
      </w:r>
      <w:r w:rsidRPr="005F1017">
        <w:rPr>
          <w:rFonts w:eastAsia="Times New Roman"/>
          <w:sz w:val="24"/>
          <w:szCs w:val="24"/>
        </w:rPr>
        <w:t>78</w:t>
      </w:r>
      <w:r>
        <w:rPr>
          <w:rFonts w:eastAsia="Times New Roman"/>
          <w:sz w:val="24"/>
          <w:szCs w:val="24"/>
        </w:rPr>
        <w:t>4</w:t>
      </w:r>
      <w:r w:rsidRPr="005F1017">
        <w:rPr>
          <w:rFonts w:eastAsia="Times New Roman"/>
          <w:sz w:val="24"/>
          <w:szCs w:val="24"/>
        </w:rPr>
        <w:t xml:space="preserve">; </w:t>
      </w:r>
      <w:r w:rsidRPr="005F1017">
        <w:rPr>
          <w:rFonts w:eastAsia="Times New Roman"/>
          <w:b/>
          <w:sz w:val="24"/>
          <w:szCs w:val="24"/>
        </w:rPr>
        <w:t>Montoya v. Grease Monkey Holding Corp.</w:t>
      </w:r>
      <w:r w:rsidRPr="005F1017">
        <w:rPr>
          <w:rFonts w:eastAsia="Times New Roman"/>
          <w:sz w:val="24"/>
          <w:szCs w:val="24"/>
        </w:rPr>
        <w:t xml:space="preserve">, 883 P.2d 486 (Colo. App. 1994), </w:t>
      </w:r>
      <w:r w:rsidRPr="005F1017">
        <w:rPr>
          <w:rFonts w:eastAsia="Times New Roman"/>
          <w:i/>
          <w:sz w:val="24"/>
          <w:szCs w:val="24"/>
        </w:rPr>
        <w:t xml:space="preserve">aff’d on other grounds sub nom. </w:t>
      </w:r>
      <w:r w:rsidRPr="005F1017">
        <w:rPr>
          <w:rFonts w:eastAsia="Times New Roman"/>
          <w:b/>
          <w:sz w:val="24"/>
          <w:szCs w:val="24"/>
        </w:rPr>
        <w:t>Grease Monkey Int’l, Inc. v. Montoya</w:t>
      </w:r>
      <w:r w:rsidRPr="005F1017">
        <w:rPr>
          <w:rFonts w:eastAsia="Times New Roman"/>
          <w:sz w:val="24"/>
          <w:szCs w:val="24"/>
        </w:rPr>
        <w:t xml:space="preserve">, 904 P.2d 468 (Colo. 1995); </w:t>
      </w:r>
      <w:r w:rsidRPr="005F1017">
        <w:rPr>
          <w:rFonts w:eastAsia="Times New Roman"/>
          <w:b/>
          <w:sz w:val="24"/>
          <w:szCs w:val="24"/>
        </w:rPr>
        <w:t>Dyer v. Johnson</w:t>
      </w:r>
      <w:r w:rsidRPr="005F1017">
        <w:rPr>
          <w:rFonts w:eastAsia="Times New Roman"/>
          <w:sz w:val="24"/>
          <w:szCs w:val="24"/>
        </w:rPr>
        <w:t>,</w:t>
      </w:r>
      <w:r w:rsidRPr="005F1017">
        <w:rPr>
          <w:rFonts w:eastAsia="Times New Roman"/>
          <w:b/>
          <w:sz w:val="24"/>
          <w:szCs w:val="24"/>
        </w:rPr>
        <w:t xml:space="preserve"> </w:t>
      </w:r>
      <w:r w:rsidRPr="005F1017">
        <w:rPr>
          <w:rFonts w:eastAsia="Times New Roman"/>
          <w:sz w:val="24"/>
          <w:szCs w:val="24"/>
        </w:rPr>
        <w:t xml:space="preserve">757 P.2d 178 (Colo. App. 1988); </w:t>
      </w:r>
      <w:r w:rsidRPr="005F1017">
        <w:rPr>
          <w:rFonts w:eastAsia="Times New Roman"/>
          <w:b/>
          <w:sz w:val="24"/>
          <w:szCs w:val="24"/>
        </w:rPr>
        <w:t>Savage v. Pelton</w:t>
      </w:r>
      <w:r w:rsidRPr="005F1017">
        <w:rPr>
          <w:rFonts w:eastAsia="Times New Roman"/>
          <w:sz w:val="24"/>
          <w:szCs w:val="24"/>
        </w:rPr>
        <w:t xml:space="preserve">, 1 Colo. App. 148, 27 P. 948 (1891); and </w:t>
      </w:r>
      <w:r w:rsidRPr="00C87463">
        <w:rPr>
          <w:rFonts w:eastAsia="Times New Roman"/>
          <w:smallCaps/>
          <w:sz w:val="24"/>
          <w:szCs w:val="24"/>
        </w:rPr>
        <w:t>Restatement (Third) of Agency</w:t>
      </w:r>
      <w:r w:rsidRPr="005F1017">
        <w:rPr>
          <w:rFonts w:eastAsia="Times New Roman"/>
          <w:sz w:val="24"/>
          <w:szCs w:val="24"/>
        </w:rPr>
        <w:t xml:space="preserve"> § 2.02(1) &amp; cmt. d (2006) (stating that agent has authority to take action “implied in the principal’s manifestations to the agent and acts necessary or incidental to achieving the principal’s objectives, as the agent reasonably understands the principal’s manifestations and objectives when the agent determines how to act,” and comment further clarifying the circumstances under which an agent may be granted incidental authority to accomplish the principal’s objectives).</w:t>
      </w:r>
    </w:p>
    <w:p w14:paraId="3E72933C" w14:textId="77777777" w:rsidR="00E01A1E" w:rsidRPr="005F1017" w:rsidRDefault="00771A51" w:rsidP="00E01A1E">
      <w:pPr>
        <w:spacing w:after="240"/>
        <w:ind w:firstLine="720"/>
        <w:rPr>
          <w:rFonts w:eastAsia="Times New Roman"/>
          <w:sz w:val="24"/>
          <w:szCs w:val="24"/>
        </w:rPr>
      </w:pPr>
      <w:r>
        <w:rPr>
          <w:rFonts w:eastAsia="Times New Roman"/>
          <w:sz w:val="24"/>
          <w:szCs w:val="24"/>
        </w:rPr>
        <w:t>2</w:t>
      </w:r>
      <w:r w:rsidRPr="005F1017">
        <w:rPr>
          <w:rFonts w:eastAsia="Times New Roman"/>
          <w:sz w:val="24"/>
          <w:szCs w:val="24"/>
        </w:rPr>
        <w:t xml:space="preserve">. The Third Restatement provides that an agent’s interpretation of the principal’s manifestations must be reasonable. </w:t>
      </w:r>
      <w:r w:rsidRPr="00C87463">
        <w:rPr>
          <w:rFonts w:eastAsia="Times New Roman"/>
          <w:smallCaps/>
          <w:sz w:val="24"/>
          <w:szCs w:val="24"/>
        </w:rPr>
        <w:t>Restatement (Third) of Agency</w:t>
      </w:r>
      <w:r w:rsidRPr="005F1017">
        <w:rPr>
          <w:rFonts w:eastAsia="Times New Roman"/>
          <w:sz w:val="24"/>
          <w:szCs w:val="24"/>
        </w:rPr>
        <w:t xml:space="preserve"> § 2.02(2), (3) (2006).</w:t>
      </w:r>
    </w:p>
    <w:p w14:paraId="4C874BBF" w14:textId="77777777" w:rsidR="00E01A1E" w:rsidRDefault="00771A51">
      <w:pPr>
        <w:rPr>
          <w:rFonts w:eastAsia="Times New Roman"/>
          <w:sz w:val="24"/>
          <w:szCs w:val="24"/>
        </w:rPr>
      </w:pPr>
      <w:r>
        <w:rPr>
          <w:rFonts w:eastAsia="Times New Roman"/>
          <w:sz w:val="24"/>
          <w:szCs w:val="24"/>
        </w:rPr>
        <w:br w:type="page"/>
      </w:r>
    </w:p>
    <w:p w14:paraId="7D71CE40" w14:textId="77777777" w:rsidR="00E01A1E" w:rsidRPr="009E3DA4" w:rsidRDefault="00771A51" w:rsidP="00E01A1E">
      <w:pPr>
        <w:spacing w:after="240"/>
        <w:ind w:left="720" w:hanging="720"/>
        <w:rPr>
          <w:rFonts w:eastAsia="Times New Roman"/>
          <w:b/>
          <w:sz w:val="24"/>
          <w:szCs w:val="24"/>
        </w:rPr>
      </w:pPr>
      <w:bookmarkStart w:id="13" w:name="a8_11"/>
      <w:bookmarkEnd w:id="13"/>
      <w:r w:rsidRPr="00647CC5">
        <w:rPr>
          <w:rFonts w:eastAsia="Times New Roman"/>
          <w:b/>
          <w:sz w:val="24"/>
          <w:szCs w:val="24"/>
        </w:rPr>
        <w:lastRenderedPageBreak/>
        <w:t xml:space="preserve">8:11 </w:t>
      </w:r>
      <w:r w:rsidRPr="00647CC5">
        <w:rPr>
          <w:rFonts w:eastAsia="Times New Roman"/>
          <w:b/>
          <w:sz w:val="24"/>
          <w:szCs w:val="24"/>
        </w:rPr>
        <w:tab/>
        <w:t>IMPLIED AUTHORITY — DEFINED</w:t>
      </w:r>
    </w:p>
    <w:p w14:paraId="120274B9" w14:textId="77777777" w:rsidR="00E01A1E" w:rsidRPr="00647CC5" w:rsidRDefault="00771A51" w:rsidP="00E01A1E">
      <w:pPr>
        <w:spacing w:after="240"/>
        <w:ind w:firstLine="720"/>
        <w:rPr>
          <w:rFonts w:eastAsia="Times New Roman"/>
          <w:b/>
          <w:sz w:val="24"/>
          <w:szCs w:val="24"/>
        </w:rPr>
      </w:pPr>
      <w:r w:rsidRPr="00647CC5">
        <w:rPr>
          <w:rFonts w:eastAsia="Times New Roman"/>
          <w:b/>
          <w:sz w:val="24"/>
          <w:szCs w:val="24"/>
        </w:rPr>
        <w:t xml:space="preserve">In addition to any express authority given by a principal to an agent, an agent has implied authority to take actions: </w:t>
      </w:r>
    </w:p>
    <w:p w14:paraId="0344A046" w14:textId="19DA4450" w:rsidR="00E01A1E" w:rsidRPr="00647CC5" w:rsidRDefault="00771A51" w:rsidP="00E01A1E">
      <w:pPr>
        <w:spacing w:after="240"/>
        <w:ind w:firstLine="720"/>
        <w:rPr>
          <w:rFonts w:eastAsia="Times New Roman"/>
          <w:b/>
          <w:sz w:val="24"/>
          <w:szCs w:val="24"/>
        </w:rPr>
      </w:pPr>
      <w:r w:rsidRPr="00647CC5">
        <w:rPr>
          <w:rFonts w:eastAsia="Times New Roman"/>
          <w:b/>
          <w:sz w:val="24"/>
          <w:szCs w:val="24"/>
        </w:rPr>
        <w:t xml:space="preserve">(1. </w:t>
      </w:r>
      <w:r>
        <w:rPr>
          <w:rFonts w:eastAsia="Times New Roman"/>
          <w:b/>
          <w:sz w:val="24"/>
          <w:szCs w:val="24"/>
        </w:rPr>
        <w:t>O</w:t>
      </w:r>
      <w:r w:rsidRPr="00647CC5">
        <w:rPr>
          <w:rFonts w:eastAsia="Times New Roman"/>
          <w:b/>
          <w:sz w:val="24"/>
          <w:szCs w:val="24"/>
        </w:rPr>
        <w:t xml:space="preserve">n behalf of </w:t>
      </w:r>
      <w:r w:rsidR="003E686C" w:rsidRPr="003E686C">
        <w:rPr>
          <w:rFonts w:eastAsia="Times New Roman"/>
          <w:bCs/>
          <w:i/>
          <w:iCs/>
          <w:sz w:val="24"/>
          <w:szCs w:val="24"/>
        </w:rPr>
        <w:t>(insert applicable pronoun)</w:t>
      </w:r>
      <w:r w:rsidR="004C41DD">
        <w:rPr>
          <w:rFonts w:eastAsia="Times New Roman"/>
          <w:b/>
          <w:sz w:val="24"/>
          <w:szCs w:val="24"/>
        </w:rPr>
        <w:t xml:space="preserve"> </w:t>
      </w:r>
      <w:r w:rsidRPr="00647CC5">
        <w:rPr>
          <w:rFonts w:eastAsia="Times New Roman"/>
          <w:b/>
          <w:sz w:val="24"/>
          <w:szCs w:val="24"/>
        </w:rPr>
        <w:t>principal that are customary in the trade or business involved, if the principal knew or should have known of such practices;) (and)</w:t>
      </w:r>
      <w:r w:rsidR="00A77123">
        <w:rPr>
          <w:rFonts w:eastAsia="Times New Roman"/>
          <w:b/>
          <w:sz w:val="24"/>
          <w:szCs w:val="24"/>
        </w:rPr>
        <w:t xml:space="preserve"> (or)</w:t>
      </w:r>
    </w:p>
    <w:p w14:paraId="7AC54058" w14:textId="5D6A2490" w:rsidR="00E01A1E" w:rsidRDefault="00771A51" w:rsidP="00E01A1E">
      <w:pPr>
        <w:spacing w:after="240"/>
        <w:ind w:firstLine="720"/>
        <w:rPr>
          <w:rFonts w:eastAsia="Times New Roman"/>
          <w:b/>
          <w:sz w:val="24"/>
          <w:szCs w:val="24"/>
        </w:rPr>
      </w:pPr>
      <w:r w:rsidRPr="00647CC5">
        <w:rPr>
          <w:rFonts w:eastAsia="Times New Roman"/>
          <w:b/>
          <w:sz w:val="24"/>
          <w:szCs w:val="24"/>
        </w:rPr>
        <w:t xml:space="preserve">(2. </w:t>
      </w:r>
      <w:r>
        <w:rPr>
          <w:rFonts w:eastAsia="Times New Roman"/>
          <w:b/>
          <w:sz w:val="24"/>
          <w:szCs w:val="24"/>
        </w:rPr>
        <w:t>T</w:t>
      </w:r>
      <w:r w:rsidRPr="00647CC5">
        <w:rPr>
          <w:rFonts w:eastAsia="Times New Roman"/>
          <w:b/>
          <w:sz w:val="24"/>
          <w:szCs w:val="24"/>
        </w:rPr>
        <w:t xml:space="preserve">hat the agent had taken before on behalf of </w:t>
      </w:r>
      <w:r w:rsidR="003E686C" w:rsidRPr="003E686C">
        <w:rPr>
          <w:rFonts w:eastAsia="Times New Roman"/>
          <w:bCs/>
          <w:i/>
          <w:iCs/>
          <w:sz w:val="24"/>
          <w:szCs w:val="24"/>
        </w:rPr>
        <w:t>(insert applicable pronoun)</w:t>
      </w:r>
      <w:r w:rsidRPr="00647CC5">
        <w:rPr>
          <w:rFonts w:eastAsia="Times New Roman"/>
          <w:b/>
          <w:sz w:val="24"/>
          <w:szCs w:val="24"/>
        </w:rPr>
        <w:t xml:space="preserve"> principal that the principal knew of and by </w:t>
      </w:r>
      <w:r w:rsidR="003E686C" w:rsidRPr="003E686C">
        <w:rPr>
          <w:rFonts w:eastAsia="Times New Roman"/>
          <w:bCs/>
          <w:i/>
          <w:iCs/>
          <w:sz w:val="24"/>
          <w:szCs w:val="24"/>
        </w:rPr>
        <w:t>(insert applicable pronoun)</w:t>
      </w:r>
      <w:r w:rsidRPr="00647CC5">
        <w:rPr>
          <w:rFonts w:eastAsia="Times New Roman"/>
          <w:b/>
          <w:sz w:val="24"/>
          <w:szCs w:val="24"/>
        </w:rPr>
        <w:t xml:space="preserve"> conduct or lack of conduct impliedly approved</w:t>
      </w:r>
      <w:r w:rsidR="00487FF9">
        <w:rPr>
          <w:rFonts w:eastAsia="Times New Roman"/>
          <w:b/>
          <w:sz w:val="24"/>
          <w:szCs w:val="24"/>
        </w:rPr>
        <w:t>;</w:t>
      </w:r>
      <w:r>
        <w:rPr>
          <w:rFonts w:eastAsia="Times New Roman"/>
          <w:b/>
          <w:sz w:val="24"/>
          <w:szCs w:val="24"/>
        </w:rPr>
        <w:t>)</w:t>
      </w:r>
      <w:r w:rsidR="00487FF9">
        <w:rPr>
          <w:rFonts w:eastAsia="Times New Roman"/>
          <w:b/>
          <w:sz w:val="24"/>
          <w:szCs w:val="24"/>
        </w:rPr>
        <w:t xml:space="preserve"> </w:t>
      </w:r>
      <w:r w:rsidR="00A77123">
        <w:rPr>
          <w:rFonts w:eastAsia="Times New Roman"/>
          <w:b/>
          <w:sz w:val="24"/>
          <w:szCs w:val="24"/>
        </w:rPr>
        <w:t>(and) (or)</w:t>
      </w:r>
    </w:p>
    <w:p w14:paraId="35F22EF7" w14:textId="767A81F2" w:rsidR="004C41DD" w:rsidRPr="00647CC5" w:rsidRDefault="004C41DD" w:rsidP="00E01A1E">
      <w:pPr>
        <w:spacing w:after="240"/>
        <w:ind w:firstLine="720"/>
        <w:rPr>
          <w:rFonts w:eastAsia="Times New Roman"/>
          <w:b/>
          <w:sz w:val="24"/>
          <w:szCs w:val="24"/>
        </w:rPr>
      </w:pPr>
      <w:r>
        <w:rPr>
          <w:rFonts w:eastAsia="Times New Roman"/>
          <w:b/>
          <w:sz w:val="24"/>
          <w:szCs w:val="24"/>
        </w:rPr>
        <w:t xml:space="preserve">(3. That the </w:t>
      </w:r>
      <w:r w:rsidRPr="005F1017">
        <w:rPr>
          <w:rFonts w:eastAsia="Times New Roman"/>
          <w:b/>
          <w:sz w:val="24"/>
          <w:szCs w:val="24"/>
        </w:rPr>
        <w:t>agent ha</w:t>
      </w:r>
      <w:r>
        <w:rPr>
          <w:rFonts w:eastAsia="Times New Roman"/>
          <w:b/>
          <w:sz w:val="24"/>
          <w:szCs w:val="24"/>
        </w:rPr>
        <w:t>d</w:t>
      </w:r>
      <w:r w:rsidRPr="005F1017">
        <w:rPr>
          <w:rFonts w:eastAsia="Times New Roman"/>
          <w:b/>
          <w:sz w:val="24"/>
          <w:szCs w:val="24"/>
        </w:rPr>
        <w:t xml:space="preserve"> the incidental authority </w:t>
      </w:r>
      <w:r>
        <w:rPr>
          <w:rFonts w:eastAsia="Times New Roman"/>
          <w:b/>
          <w:sz w:val="24"/>
          <w:szCs w:val="24"/>
        </w:rPr>
        <w:t>to perform on the principal’s behalf</w:t>
      </w:r>
      <w:r w:rsidRPr="005F1017">
        <w:rPr>
          <w:rFonts w:eastAsia="Times New Roman"/>
          <w:b/>
          <w:sz w:val="24"/>
          <w:szCs w:val="24"/>
        </w:rPr>
        <w:t>.</w:t>
      </w:r>
      <w:r>
        <w:rPr>
          <w:rFonts w:eastAsia="Times New Roman"/>
          <w:b/>
          <w:sz w:val="24"/>
          <w:szCs w:val="24"/>
        </w:rPr>
        <w:t>)</w:t>
      </w:r>
    </w:p>
    <w:p w14:paraId="7C426288" w14:textId="77777777" w:rsidR="00E01A1E" w:rsidRDefault="00E01A1E" w:rsidP="00E01A1E">
      <w:pPr>
        <w:jc w:val="center"/>
        <w:rPr>
          <w:rFonts w:eastAsia="Times New Roman"/>
          <w:sz w:val="24"/>
          <w:szCs w:val="24"/>
        </w:rPr>
      </w:pPr>
    </w:p>
    <w:p w14:paraId="19CB083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D064BB2" w14:textId="77777777" w:rsidR="00E01A1E" w:rsidRPr="00647CC5" w:rsidRDefault="00771A51" w:rsidP="00E01A1E">
      <w:pPr>
        <w:spacing w:after="240"/>
        <w:ind w:firstLine="720"/>
        <w:rPr>
          <w:rFonts w:eastAsia="Times New Roman"/>
          <w:sz w:val="24"/>
          <w:szCs w:val="24"/>
        </w:rPr>
      </w:pPr>
      <w:r w:rsidRPr="00647CC5">
        <w:rPr>
          <w:rFonts w:eastAsia="Times New Roman"/>
          <w:sz w:val="24"/>
          <w:szCs w:val="24"/>
        </w:rPr>
        <w:t>1. When applicable, Instruction 8:10 (defining incidental authority) should be used with this instruction.</w:t>
      </w:r>
    </w:p>
    <w:p w14:paraId="1592A3DD" w14:textId="4DC96D91" w:rsidR="00E01A1E" w:rsidRDefault="00771A51" w:rsidP="00E01A1E">
      <w:pPr>
        <w:spacing w:after="240"/>
        <w:ind w:firstLine="720"/>
        <w:rPr>
          <w:rFonts w:eastAsia="Times New Roman"/>
          <w:sz w:val="24"/>
          <w:szCs w:val="24"/>
        </w:rPr>
      </w:pPr>
      <w:r w:rsidRPr="00647CC5">
        <w:rPr>
          <w:rFonts w:eastAsia="Times New Roman"/>
          <w:sz w:val="24"/>
          <w:szCs w:val="24"/>
        </w:rPr>
        <w:t>2. Use whichever parenthesized portions of this instruction are appropriate.</w:t>
      </w:r>
      <w:r w:rsidR="00326311">
        <w:rPr>
          <w:rFonts w:eastAsia="Times New Roman"/>
          <w:sz w:val="24"/>
          <w:szCs w:val="24"/>
        </w:rPr>
        <w:t xml:space="preserve"> The word “customary” is used </w:t>
      </w:r>
      <w:r w:rsidR="00314BA0">
        <w:rPr>
          <w:rFonts w:eastAsia="Times New Roman"/>
          <w:sz w:val="24"/>
          <w:szCs w:val="24"/>
        </w:rPr>
        <w:t xml:space="preserve">in accordance with </w:t>
      </w:r>
      <w:r w:rsidR="00314BA0">
        <w:rPr>
          <w:rFonts w:eastAsia="Times New Roman"/>
          <w:b/>
          <w:bCs/>
          <w:sz w:val="24"/>
          <w:szCs w:val="24"/>
        </w:rPr>
        <w:t>Montoya v. Grease Monkey Holding Corp.</w:t>
      </w:r>
      <w:r w:rsidR="00314BA0">
        <w:rPr>
          <w:rFonts w:eastAsia="Times New Roman"/>
          <w:sz w:val="24"/>
          <w:szCs w:val="24"/>
        </w:rPr>
        <w:t xml:space="preserve">, 883 P.2d 486, 488 (Colo. App. 1994), </w:t>
      </w:r>
      <w:r w:rsidR="00314BA0" w:rsidRPr="009D0F94">
        <w:rPr>
          <w:rFonts w:eastAsia="Times New Roman"/>
          <w:i/>
          <w:iCs/>
          <w:sz w:val="24"/>
          <w:szCs w:val="24"/>
        </w:rPr>
        <w:t>aff’d sub nom.</w:t>
      </w:r>
      <w:r w:rsidR="00314BA0">
        <w:rPr>
          <w:rFonts w:eastAsia="Times New Roman"/>
          <w:sz w:val="24"/>
          <w:szCs w:val="24"/>
        </w:rPr>
        <w:t xml:space="preserve"> </w:t>
      </w:r>
      <w:r w:rsidR="00314BA0" w:rsidRPr="009D0F94">
        <w:rPr>
          <w:rFonts w:eastAsia="Times New Roman"/>
          <w:b/>
          <w:bCs/>
          <w:sz w:val="24"/>
          <w:szCs w:val="24"/>
        </w:rPr>
        <w:t>Grease Monkey Int</w:t>
      </w:r>
      <w:r w:rsidR="009D0F94">
        <w:rPr>
          <w:rFonts w:eastAsia="Times New Roman"/>
          <w:b/>
          <w:bCs/>
          <w:sz w:val="24"/>
          <w:szCs w:val="24"/>
        </w:rPr>
        <w:t>ernationa</w:t>
      </w:r>
      <w:r w:rsidR="00314BA0" w:rsidRPr="009D0F94">
        <w:rPr>
          <w:rFonts w:eastAsia="Times New Roman"/>
          <w:b/>
          <w:bCs/>
          <w:sz w:val="24"/>
          <w:szCs w:val="24"/>
        </w:rPr>
        <w:t>l, Inc. v. Montoya</w:t>
      </w:r>
      <w:r w:rsidR="00314BA0">
        <w:rPr>
          <w:rFonts w:eastAsia="Times New Roman"/>
          <w:sz w:val="24"/>
          <w:szCs w:val="24"/>
        </w:rPr>
        <w:t>, 904 P.2d 468 (Colo. 1995)</w:t>
      </w:r>
      <w:r w:rsidR="009D0F94">
        <w:rPr>
          <w:rFonts w:eastAsia="Times New Roman"/>
          <w:sz w:val="24"/>
          <w:szCs w:val="24"/>
        </w:rPr>
        <w:t>;</w:t>
      </w:r>
      <w:r w:rsidR="00314BA0">
        <w:rPr>
          <w:rFonts w:eastAsia="Times New Roman"/>
          <w:sz w:val="24"/>
          <w:szCs w:val="24"/>
        </w:rPr>
        <w:t xml:space="preserve"> and </w:t>
      </w:r>
      <w:r w:rsidR="00314BA0">
        <w:rPr>
          <w:rFonts w:eastAsia="Times New Roman"/>
          <w:b/>
          <w:bCs/>
          <w:sz w:val="24"/>
          <w:szCs w:val="24"/>
        </w:rPr>
        <w:t>Dyer v. Johnson</w:t>
      </w:r>
      <w:r w:rsidR="00314BA0">
        <w:rPr>
          <w:rFonts w:eastAsia="Times New Roman"/>
          <w:sz w:val="24"/>
          <w:szCs w:val="24"/>
        </w:rPr>
        <w:t xml:space="preserve">, 757 P.2d 178, 180 (Colo. App. 1988). </w:t>
      </w:r>
    </w:p>
    <w:p w14:paraId="4FDD2EFC" w14:textId="437D420C" w:rsidR="00720933" w:rsidRPr="00647CC5" w:rsidRDefault="00771A51" w:rsidP="009D0F94">
      <w:pPr>
        <w:spacing w:after="240"/>
        <w:ind w:firstLine="720"/>
        <w:rPr>
          <w:rFonts w:eastAsia="Times New Roman"/>
          <w:sz w:val="24"/>
          <w:szCs w:val="24"/>
        </w:rPr>
      </w:pPr>
      <w:r w:rsidRPr="00647CC5">
        <w:rPr>
          <w:rFonts w:eastAsia="Times New Roman"/>
          <w:sz w:val="24"/>
          <w:szCs w:val="24"/>
        </w:rPr>
        <w:t xml:space="preserve">3. An agent’s implied authority may be limited or excluded by his or her principal. </w:t>
      </w:r>
      <w:r w:rsidRPr="00647CC5">
        <w:rPr>
          <w:rFonts w:eastAsia="Times New Roman"/>
          <w:smallCaps/>
          <w:sz w:val="24"/>
          <w:szCs w:val="24"/>
        </w:rPr>
        <w:t>Restatement (Second) of Agency</w:t>
      </w:r>
      <w:r w:rsidRPr="00647CC5">
        <w:rPr>
          <w:rFonts w:eastAsia="Times New Roman"/>
          <w:sz w:val="24"/>
          <w:szCs w:val="24"/>
        </w:rPr>
        <w:t xml:space="preserve"> § 36 (1958); </w:t>
      </w:r>
      <w:r w:rsidRPr="00647CC5">
        <w:rPr>
          <w:rFonts w:eastAsia="Times New Roman"/>
          <w:i/>
          <w:sz w:val="24"/>
          <w:szCs w:val="24"/>
        </w:rPr>
        <w:t xml:space="preserve">see also </w:t>
      </w:r>
      <w:r w:rsidRPr="00647CC5">
        <w:rPr>
          <w:rFonts w:eastAsia="Times New Roman"/>
          <w:smallCaps/>
          <w:sz w:val="24"/>
          <w:szCs w:val="24"/>
        </w:rPr>
        <w:t>Restatement (Third) of Agency</w:t>
      </w:r>
      <w:r w:rsidRPr="00647CC5">
        <w:rPr>
          <w:rFonts w:eastAsia="Times New Roman"/>
          <w:sz w:val="24"/>
          <w:szCs w:val="24"/>
        </w:rPr>
        <w:t xml:space="preserve"> § 2.02 cmt. g (2006) (“A principal may direct an agent to do or refrain from doing a specific act.”). A principal may nonetheless be bound under the doctrine of apparent authority. </w:t>
      </w:r>
      <w:r w:rsidRPr="00647CC5">
        <w:rPr>
          <w:rFonts w:eastAsia="Times New Roman"/>
          <w:i/>
          <w:sz w:val="24"/>
          <w:szCs w:val="24"/>
        </w:rPr>
        <w:t>See</w:t>
      </w:r>
      <w:r w:rsidRPr="00647CC5">
        <w:rPr>
          <w:rFonts w:eastAsia="Times New Roman"/>
          <w:sz w:val="24"/>
          <w:szCs w:val="24"/>
        </w:rPr>
        <w:t xml:space="preserve"> </w:t>
      </w:r>
      <w:r w:rsidRPr="00647CC5">
        <w:rPr>
          <w:rFonts w:eastAsia="Times New Roman"/>
          <w:b/>
          <w:sz w:val="24"/>
          <w:szCs w:val="24"/>
        </w:rPr>
        <w:t>Indep</w:t>
      </w:r>
      <w:r>
        <w:rPr>
          <w:rFonts w:eastAsia="Times New Roman"/>
          <w:b/>
          <w:sz w:val="24"/>
          <w:szCs w:val="24"/>
        </w:rPr>
        <w:t>.</w:t>
      </w:r>
      <w:r w:rsidRPr="00647CC5">
        <w:rPr>
          <w:rFonts w:eastAsia="Times New Roman"/>
          <w:b/>
          <w:sz w:val="24"/>
          <w:szCs w:val="24"/>
        </w:rPr>
        <w:t xml:space="preserve"> Indem. Co. v. Int’l Tr</w:t>
      </w:r>
      <w:r>
        <w:rPr>
          <w:rFonts w:eastAsia="Times New Roman"/>
          <w:b/>
          <w:sz w:val="24"/>
          <w:szCs w:val="24"/>
        </w:rPr>
        <w:t>.</w:t>
      </w:r>
      <w:r w:rsidRPr="00647CC5">
        <w:rPr>
          <w:rFonts w:eastAsia="Times New Roman"/>
          <w:b/>
          <w:sz w:val="24"/>
          <w:szCs w:val="24"/>
        </w:rPr>
        <w:t xml:space="preserve"> Co.</w:t>
      </w:r>
      <w:r w:rsidRPr="00647CC5">
        <w:rPr>
          <w:rFonts w:eastAsia="Times New Roman"/>
          <w:sz w:val="24"/>
          <w:szCs w:val="24"/>
        </w:rPr>
        <w:t>, 96 Colo. 92, 39 P.2d 780 (1934)</w:t>
      </w:r>
      <w:r>
        <w:rPr>
          <w:rFonts w:eastAsia="Times New Roman"/>
          <w:sz w:val="24"/>
          <w:szCs w:val="24"/>
        </w:rPr>
        <w:t>;</w:t>
      </w:r>
      <w:r w:rsidRPr="00647CC5">
        <w:rPr>
          <w:rFonts w:eastAsia="Times New Roman"/>
          <w:sz w:val="24"/>
          <w:szCs w:val="24"/>
        </w:rPr>
        <w:t xml:space="preserve"> Instruction 8:12. When there is sufficient evidence of such limitation or exclusion, this instruction and, if applicable, Instruction 8:12 should be appropriately modified.</w:t>
      </w:r>
    </w:p>
    <w:p w14:paraId="18A12341"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78D23413" w14:textId="1973F305" w:rsidR="00E01A1E" w:rsidRPr="00647CC5" w:rsidRDefault="00771A51" w:rsidP="004B7CD3">
      <w:pPr>
        <w:spacing w:after="240"/>
        <w:ind w:firstLine="720"/>
        <w:rPr>
          <w:rFonts w:eastAsia="Times New Roman"/>
          <w:sz w:val="24"/>
          <w:szCs w:val="24"/>
        </w:rPr>
      </w:pPr>
      <w:r w:rsidRPr="00647CC5">
        <w:rPr>
          <w:rFonts w:eastAsia="Times New Roman"/>
          <w:sz w:val="24"/>
          <w:szCs w:val="24"/>
        </w:rPr>
        <w:t xml:space="preserve">1. </w:t>
      </w:r>
      <w:r w:rsidRPr="004B7CD3">
        <w:rPr>
          <w:rFonts w:eastAsia="Times New Roman"/>
          <w:sz w:val="24"/>
          <w:szCs w:val="24"/>
        </w:rPr>
        <w:t>The first numbered paragraph of this instruction is supported by</w:t>
      </w:r>
      <w:r w:rsidR="009D0F94">
        <w:rPr>
          <w:rFonts w:eastAsia="Times New Roman"/>
          <w:sz w:val="24"/>
          <w:szCs w:val="24"/>
        </w:rPr>
        <w:t xml:space="preserve"> </w:t>
      </w:r>
      <w:r w:rsidR="009D0F94" w:rsidRPr="009D0F94">
        <w:rPr>
          <w:rFonts w:eastAsia="Times New Roman"/>
          <w:b/>
          <w:bCs/>
          <w:sz w:val="24"/>
          <w:szCs w:val="24"/>
        </w:rPr>
        <w:t>Montoya</w:t>
      </w:r>
      <w:r w:rsidR="009D0F94">
        <w:rPr>
          <w:rFonts w:eastAsia="Times New Roman"/>
          <w:sz w:val="24"/>
          <w:szCs w:val="24"/>
        </w:rPr>
        <w:t>, 883 P.2d at 488;</w:t>
      </w:r>
      <w:r w:rsidRPr="004B7CD3">
        <w:rPr>
          <w:rFonts w:eastAsia="Times New Roman"/>
          <w:sz w:val="24"/>
          <w:szCs w:val="24"/>
        </w:rPr>
        <w:t xml:space="preserve"> </w:t>
      </w:r>
      <w:r w:rsidRPr="004B7CD3">
        <w:rPr>
          <w:rFonts w:eastAsia="Times New Roman"/>
          <w:b/>
          <w:sz w:val="24"/>
          <w:szCs w:val="24"/>
        </w:rPr>
        <w:t>Dyer</w:t>
      </w:r>
      <w:r w:rsidRPr="004B7CD3">
        <w:rPr>
          <w:rFonts w:eastAsia="Times New Roman"/>
          <w:sz w:val="24"/>
          <w:szCs w:val="24"/>
        </w:rPr>
        <w:t xml:space="preserve">, 757 P.2d </w:t>
      </w:r>
      <w:r w:rsidR="009D0F94">
        <w:rPr>
          <w:rFonts w:eastAsia="Times New Roman"/>
          <w:sz w:val="24"/>
          <w:szCs w:val="24"/>
        </w:rPr>
        <w:t>at 180</w:t>
      </w:r>
      <w:r w:rsidRPr="004B7CD3">
        <w:rPr>
          <w:rFonts w:eastAsia="Times New Roman"/>
          <w:sz w:val="24"/>
          <w:szCs w:val="24"/>
        </w:rPr>
        <w:t xml:space="preserve">; and </w:t>
      </w:r>
      <w:r w:rsidRPr="004B7CD3">
        <w:rPr>
          <w:rFonts w:eastAsia="Times New Roman"/>
          <w:b/>
          <w:sz w:val="24"/>
          <w:szCs w:val="24"/>
        </w:rPr>
        <w:t>Gates Iron Works v. Denver Engineering Works Co.</w:t>
      </w:r>
      <w:r w:rsidRPr="004B7CD3">
        <w:rPr>
          <w:rFonts w:eastAsia="Times New Roman"/>
          <w:sz w:val="24"/>
          <w:szCs w:val="24"/>
        </w:rPr>
        <w:t xml:space="preserve">, 17 Colo. App. 15, 67 P. 173 (1901). </w:t>
      </w:r>
      <w:r w:rsidRPr="004B7CD3">
        <w:rPr>
          <w:rFonts w:eastAsia="Times New Roman"/>
          <w:i/>
          <w:sz w:val="24"/>
          <w:szCs w:val="24"/>
        </w:rPr>
        <w:t>See also</w:t>
      </w:r>
      <w:r w:rsidRPr="004B7CD3">
        <w:rPr>
          <w:rFonts w:eastAsia="Times New Roman"/>
          <w:sz w:val="24"/>
          <w:szCs w:val="24"/>
        </w:rPr>
        <w:t xml:space="preserve"> </w:t>
      </w:r>
      <w:r w:rsidRPr="004B7CD3">
        <w:rPr>
          <w:rFonts w:eastAsia="Times New Roman"/>
          <w:b/>
          <w:sz w:val="24"/>
          <w:szCs w:val="24"/>
        </w:rPr>
        <w:t>Russell v. First Am. Mortg. Co.</w:t>
      </w:r>
      <w:r w:rsidRPr="004B7CD3">
        <w:rPr>
          <w:rFonts w:eastAsia="Times New Roman"/>
          <w:sz w:val="24"/>
          <w:szCs w:val="24"/>
        </w:rPr>
        <w:t>,</w:t>
      </w:r>
      <w:r w:rsidRPr="004B7CD3">
        <w:rPr>
          <w:rFonts w:eastAsia="Times New Roman"/>
          <w:b/>
          <w:sz w:val="24"/>
          <w:szCs w:val="24"/>
        </w:rPr>
        <w:t xml:space="preserve"> </w:t>
      </w:r>
      <w:r w:rsidRPr="004B7CD3">
        <w:rPr>
          <w:rFonts w:eastAsia="Times New Roman"/>
          <w:sz w:val="24"/>
          <w:szCs w:val="24"/>
        </w:rPr>
        <w:t xml:space="preserve">39 Colo. App. 360, 565 P.2d 972 (1977); </w:t>
      </w:r>
      <w:r w:rsidRPr="004B7CD3">
        <w:rPr>
          <w:rFonts w:eastAsia="Times New Roman"/>
          <w:b/>
          <w:sz w:val="24"/>
          <w:szCs w:val="24"/>
        </w:rPr>
        <w:t>Savage v. Pelton</w:t>
      </w:r>
      <w:r w:rsidRPr="004B7CD3">
        <w:rPr>
          <w:rFonts w:eastAsia="Times New Roman"/>
          <w:sz w:val="24"/>
          <w:szCs w:val="24"/>
        </w:rPr>
        <w:t>,</w:t>
      </w:r>
      <w:r w:rsidRPr="004B7CD3">
        <w:rPr>
          <w:rFonts w:eastAsia="Times New Roman"/>
          <w:b/>
          <w:sz w:val="24"/>
          <w:szCs w:val="24"/>
        </w:rPr>
        <w:t xml:space="preserve"> </w:t>
      </w:r>
      <w:r w:rsidRPr="004B7CD3">
        <w:rPr>
          <w:rFonts w:eastAsia="Times New Roman"/>
          <w:sz w:val="24"/>
          <w:szCs w:val="24"/>
        </w:rPr>
        <w:t xml:space="preserve">1 Colo. App. 148, 27 P. 948 (1891); </w:t>
      </w:r>
      <w:r w:rsidRPr="004B7CD3">
        <w:rPr>
          <w:rFonts w:eastAsia="Times New Roman"/>
          <w:smallCaps/>
          <w:sz w:val="24"/>
          <w:szCs w:val="24"/>
        </w:rPr>
        <w:t>Restatement (Second) of Agency</w:t>
      </w:r>
      <w:r w:rsidRPr="004B7CD3">
        <w:rPr>
          <w:rFonts w:eastAsia="Times New Roman"/>
          <w:sz w:val="24"/>
          <w:szCs w:val="24"/>
        </w:rPr>
        <w:t xml:space="preserve"> § 36 (1958).</w:t>
      </w:r>
    </w:p>
    <w:p w14:paraId="3324B756" w14:textId="77777777" w:rsidR="00E01A1E" w:rsidRPr="00647CC5" w:rsidRDefault="00771A51" w:rsidP="00E01A1E">
      <w:pPr>
        <w:spacing w:after="240"/>
        <w:ind w:firstLine="720"/>
        <w:rPr>
          <w:rFonts w:eastAsia="Times New Roman"/>
          <w:sz w:val="24"/>
          <w:szCs w:val="24"/>
        </w:rPr>
      </w:pPr>
      <w:r w:rsidRPr="00647CC5">
        <w:rPr>
          <w:rFonts w:eastAsia="Times New Roman"/>
          <w:sz w:val="24"/>
          <w:szCs w:val="24"/>
        </w:rPr>
        <w:t xml:space="preserve">2. The second numbered paragraph of this instruction is supported by </w:t>
      </w:r>
      <w:r w:rsidRPr="00647CC5">
        <w:rPr>
          <w:rFonts w:eastAsia="Times New Roman"/>
          <w:b/>
          <w:sz w:val="24"/>
          <w:szCs w:val="24"/>
        </w:rPr>
        <w:t>Moore v. Switzer</w:t>
      </w:r>
      <w:r w:rsidRPr="00647CC5">
        <w:rPr>
          <w:rFonts w:eastAsia="Times New Roman"/>
          <w:sz w:val="24"/>
          <w:szCs w:val="24"/>
        </w:rPr>
        <w:t>, 78 Colo. 63, 65, 239 P. 874, 875 (1925), in which the court stated:</w:t>
      </w:r>
    </w:p>
    <w:p w14:paraId="229A3097" w14:textId="77777777" w:rsidR="00E01A1E" w:rsidRPr="00647CC5" w:rsidRDefault="00771A51" w:rsidP="00E01A1E">
      <w:pPr>
        <w:spacing w:after="240"/>
        <w:ind w:left="720"/>
        <w:rPr>
          <w:rFonts w:eastAsia="Times New Roman"/>
          <w:sz w:val="24"/>
          <w:szCs w:val="24"/>
        </w:rPr>
      </w:pPr>
      <w:r w:rsidRPr="00647CC5">
        <w:rPr>
          <w:rFonts w:eastAsia="Times New Roman"/>
          <w:sz w:val="24"/>
          <w:szCs w:val="24"/>
        </w:rPr>
        <w:t xml:space="preserve">Implied authority of an agent is actual authority evidenced by conduct, that is, the conduct of the principal has been such as to justify the jury in finding </w:t>
      </w:r>
      <w:r>
        <w:rPr>
          <w:rFonts w:eastAsia="Times New Roman"/>
          <w:sz w:val="24"/>
          <w:szCs w:val="24"/>
        </w:rPr>
        <w:t xml:space="preserve">that </w:t>
      </w:r>
      <w:r w:rsidRPr="00647CC5">
        <w:rPr>
          <w:rFonts w:eastAsia="Times New Roman"/>
          <w:sz w:val="24"/>
          <w:szCs w:val="24"/>
        </w:rPr>
        <w:t xml:space="preserve">the agent had actual authority to do what he did. This may be proved by evidence of acquiescence with </w:t>
      </w:r>
      <w:r w:rsidRPr="00647CC5">
        <w:rPr>
          <w:rFonts w:eastAsia="Times New Roman"/>
          <w:sz w:val="24"/>
          <w:szCs w:val="24"/>
        </w:rPr>
        <w:lastRenderedPageBreak/>
        <w:t>knowledge of the agent’s acts</w:t>
      </w:r>
      <w:r>
        <w:rPr>
          <w:rFonts w:eastAsia="Times New Roman"/>
          <w:sz w:val="24"/>
          <w:szCs w:val="24"/>
        </w:rPr>
        <w:t>,</w:t>
      </w:r>
      <w:r w:rsidRPr="00647CC5">
        <w:rPr>
          <w:rFonts w:eastAsia="Times New Roman"/>
          <w:sz w:val="24"/>
          <w:szCs w:val="24"/>
        </w:rPr>
        <w:t xml:space="preserve"> and such knowledge and acquiescence may be shown by evidence of the agent’s course of dealing for so long a time that knowledge and acquiescence may be presumed. Knowledge of this course of conduct by </w:t>
      </w:r>
      <w:r>
        <w:rPr>
          <w:rFonts w:eastAsia="Times New Roman"/>
          <w:sz w:val="24"/>
          <w:szCs w:val="24"/>
        </w:rPr>
        <w:t xml:space="preserve">one </w:t>
      </w:r>
      <w:r w:rsidRPr="00647CC5">
        <w:rPr>
          <w:rFonts w:eastAsia="Times New Roman"/>
          <w:sz w:val="24"/>
          <w:szCs w:val="24"/>
        </w:rPr>
        <w:t>dealing with the agent is irrelevant, but knowledge thereof by the principal is</w:t>
      </w:r>
      <w:r>
        <w:rPr>
          <w:rFonts w:eastAsia="Times New Roman"/>
          <w:sz w:val="24"/>
          <w:szCs w:val="24"/>
        </w:rPr>
        <w:t>,</w:t>
      </w:r>
      <w:r w:rsidRPr="00647CC5">
        <w:rPr>
          <w:rFonts w:eastAsia="Times New Roman"/>
          <w:sz w:val="24"/>
          <w:szCs w:val="24"/>
        </w:rPr>
        <w:t xml:space="preserve"> not only relevant</w:t>
      </w:r>
      <w:r>
        <w:rPr>
          <w:rFonts w:eastAsia="Times New Roman"/>
          <w:sz w:val="24"/>
          <w:szCs w:val="24"/>
        </w:rPr>
        <w:t>,</w:t>
      </w:r>
      <w:r w:rsidRPr="00647CC5">
        <w:rPr>
          <w:rFonts w:eastAsia="Times New Roman"/>
          <w:sz w:val="24"/>
          <w:szCs w:val="24"/>
        </w:rPr>
        <w:t xml:space="preserve"> but essential</w:t>
      </w:r>
      <w:r>
        <w:rPr>
          <w:rFonts w:eastAsia="Times New Roman"/>
          <w:sz w:val="24"/>
          <w:szCs w:val="24"/>
        </w:rPr>
        <w:t>,</w:t>
      </w:r>
      <w:r w:rsidRPr="00647CC5">
        <w:rPr>
          <w:rFonts w:eastAsia="Times New Roman"/>
          <w:sz w:val="24"/>
          <w:szCs w:val="24"/>
        </w:rPr>
        <w:t xml:space="preserve"> and must be proved either directly or indirectly as above.</w:t>
      </w:r>
    </w:p>
    <w:p w14:paraId="1046DC3D" w14:textId="61181668" w:rsidR="00E01A1E" w:rsidRPr="00647CC5" w:rsidRDefault="00771A51" w:rsidP="008F5428">
      <w:pPr>
        <w:spacing w:after="240"/>
        <w:rPr>
          <w:rFonts w:eastAsia="Times New Roman"/>
          <w:sz w:val="24"/>
          <w:szCs w:val="24"/>
        </w:rPr>
      </w:pPr>
      <w:r w:rsidRPr="00776FFB">
        <w:rPr>
          <w:rFonts w:eastAsia="Times New Roman"/>
          <w:i/>
          <w:sz w:val="24"/>
          <w:szCs w:val="24"/>
        </w:rPr>
        <w:t xml:space="preserve">See also </w:t>
      </w:r>
      <w:r w:rsidR="008F5428" w:rsidRPr="008F5428">
        <w:rPr>
          <w:rFonts w:eastAsia="Times New Roman"/>
          <w:b/>
          <w:bCs/>
          <w:iCs/>
          <w:sz w:val="24"/>
          <w:szCs w:val="24"/>
        </w:rPr>
        <w:t>Cooley v. Eskridge</w:t>
      </w:r>
      <w:r w:rsidR="008F5428" w:rsidRPr="008F5428">
        <w:rPr>
          <w:rFonts w:eastAsia="Times New Roman"/>
          <w:iCs/>
          <w:sz w:val="24"/>
          <w:szCs w:val="24"/>
        </w:rPr>
        <w:t>, 125 Colo. 102, 241 P.2d 851 (1952)</w:t>
      </w:r>
      <w:r w:rsidR="008F5428">
        <w:rPr>
          <w:rFonts w:eastAsia="Times New Roman"/>
          <w:iCs/>
          <w:sz w:val="24"/>
          <w:szCs w:val="24"/>
        </w:rPr>
        <w:t xml:space="preserve">; </w:t>
      </w:r>
      <w:r w:rsidRPr="00647CC5">
        <w:rPr>
          <w:rFonts w:eastAsia="Times New Roman"/>
          <w:b/>
          <w:sz w:val="24"/>
          <w:szCs w:val="24"/>
        </w:rPr>
        <w:t>Citywide Banks v. Armijo</w:t>
      </w:r>
      <w:r w:rsidRPr="00647CC5">
        <w:rPr>
          <w:rFonts w:eastAsia="Times New Roman"/>
          <w:sz w:val="24"/>
          <w:szCs w:val="24"/>
        </w:rPr>
        <w:t>, 313 P.3d 647 (Colo. App. 2011).</w:t>
      </w:r>
    </w:p>
    <w:p w14:paraId="238670D6" w14:textId="73C2EAB7" w:rsidR="009231F0" w:rsidRDefault="00771A51" w:rsidP="00E01A1E">
      <w:pPr>
        <w:spacing w:after="240"/>
        <w:ind w:firstLine="720"/>
        <w:rPr>
          <w:rFonts w:eastAsia="Times New Roman"/>
          <w:sz w:val="24"/>
          <w:szCs w:val="24"/>
        </w:rPr>
      </w:pPr>
      <w:r>
        <w:rPr>
          <w:rFonts w:eastAsia="Times New Roman"/>
          <w:sz w:val="24"/>
          <w:szCs w:val="24"/>
        </w:rPr>
        <w:t>3</w:t>
      </w:r>
      <w:r w:rsidRPr="00647CC5">
        <w:rPr>
          <w:rFonts w:eastAsia="Times New Roman"/>
          <w:sz w:val="24"/>
          <w:szCs w:val="24"/>
        </w:rPr>
        <w:t xml:space="preserve">. </w:t>
      </w:r>
      <w:r w:rsidR="009231F0" w:rsidRPr="00647CC5">
        <w:rPr>
          <w:rFonts w:eastAsia="Times New Roman"/>
          <w:sz w:val="24"/>
          <w:szCs w:val="24"/>
        </w:rPr>
        <w:t xml:space="preserve">The </w:t>
      </w:r>
      <w:r w:rsidR="009231F0">
        <w:rPr>
          <w:rFonts w:eastAsia="Times New Roman"/>
          <w:sz w:val="24"/>
          <w:szCs w:val="24"/>
        </w:rPr>
        <w:t>third</w:t>
      </w:r>
      <w:r w:rsidR="009231F0" w:rsidRPr="00647CC5">
        <w:rPr>
          <w:rFonts w:eastAsia="Times New Roman"/>
          <w:sz w:val="24"/>
          <w:szCs w:val="24"/>
        </w:rPr>
        <w:t xml:space="preserve"> numbered paragraph of this instruction is supported by</w:t>
      </w:r>
      <w:r w:rsidR="0011469E">
        <w:rPr>
          <w:rFonts w:eastAsia="Times New Roman"/>
          <w:sz w:val="24"/>
          <w:szCs w:val="24"/>
        </w:rPr>
        <w:t xml:space="preserve"> </w:t>
      </w:r>
      <w:r w:rsidR="0011469E" w:rsidRPr="00647CC5">
        <w:rPr>
          <w:rFonts w:eastAsia="Times New Roman"/>
          <w:b/>
          <w:sz w:val="24"/>
          <w:szCs w:val="24"/>
        </w:rPr>
        <w:t>State Farm Mutual Automobile Insurance Co. v. Johnson</w:t>
      </w:r>
      <w:r w:rsidR="0011469E" w:rsidRPr="00647CC5">
        <w:rPr>
          <w:rFonts w:eastAsia="Times New Roman"/>
          <w:sz w:val="24"/>
          <w:szCs w:val="24"/>
        </w:rPr>
        <w:t xml:space="preserve">, 2017 CO 68, ¶ 22, 396 P.3d 651 (citing </w:t>
      </w:r>
      <w:r w:rsidR="0011469E" w:rsidRPr="00647CC5">
        <w:rPr>
          <w:rFonts w:eastAsia="Times New Roman"/>
          <w:smallCaps/>
          <w:sz w:val="24"/>
          <w:szCs w:val="24"/>
        </w:rPr>
        <w:t>Restatement (Third) of Agency</w:t>
      </w:r>
      <w:r w:rsidR="0011469E" w:rsidRPr="00647CC5">
        <w:rPr>
          <w:rFonts w:eastAsia="Times New Roman"/>
          <w:sz w:val="24"/>
          <w:szCs w:val="24"/>
        </w:rPr>
        <w:t xml:space="preserve"> § 2.01 cmt. b);</w:t>
      </w:r>
      <w:r w:rsidR="0011469E" w:rsidRPr="0011469E">
        <w:rPr>
          <w:rFonts w:eastAsia="Times New Roman"/>
          <w:b/>
          <w:sz w:val="24"/>
          <w:szCs w:val="24"/>
        </w:rPr>
        <w:t xml:space="preserve"> </w:t>
      </w:r>
      <w:r w:rsidR="0011469E" w:rsidRPr="00647CC5">
        <w:rPr>
          <w:rFonts w:eastAsia="Times New Roman"/>
          <w:b/>
          <w:sz w:val="24"/>
          <w:szCs w:val="24"/>
        </w:rPr>
        <w:t>Willey v. Mayer</w:t>
      </w:r>
      <w:r w:rsidR="0011469E" w:rsidRPr="00647CC5">
        <w:rPr>
          <w:rFonts w:eastAsia="Times New Roman"/>
          <w:sz w:val="24"/>
          <w:szCs w:val="24"/>
        </w:rPr>
        <w:t>, 876 P.2d 1260 (Colo. 1994);</w:t>
      </w:r>
      <w:r w:rsidR="0011469E" w:rsidRPr="00647CC5">
        <w:rPr>
          <w:rFonts w:eastAsia="Times New Roman"/>
          <w:b/>
          <w:sz w:val="24"/>
          <w:szCs w:val="24"/>
        </w:rPr>
        <w:t xml:space="preserve"> </w:t>
      </w:r>
      <w:r w:rsidR="0011469E">
        <w:rPr>
          <w:rFonts w:eastAsia="Times New Roman"/>
          <w:b/>
          <w:bCs/>
          <w:sz w:val="24"/>
          <w:szCs w:val="24"/>
        </w:rPr>
        <w:t>Fresquez v. Trinidad Inn, Inc.</w:t>
      </w:r>
      <w:r w:rsidR="0011469E">
        <w:rPr>
          <w:rFonts w:eastAsia="Times New Roman"/>
          <w:sz w:val="24"/>
          <w:szCs w:val="24"/>
        </w:rPr>
        <w:t>, 2022 COA 96, ¶ 21</w:t>
      </w:r>
      <w:r w:rsidR="0000701C">
        <w:rPr>
          <w:rFonts w:eastAsia="Times New Roman"/>
          <w:sz w:val="24"/>
          <w:szCs w:val="24"/>
        </w:rPr>
        <w:t>, 521 P.3d 399</w:t>
      </w:r>
      <w:r w:rsidR="006E6DDB">
        <w:rPr>
          <w:rFonts w:eastAsia="Times New Roman"/>
          <w:sz w:val="24"/>
          <w:szCs w:val="24"/>
        </w:rPr>
        <w:t>.</w:t>
      </w:r>
      <w:r w:rsidR="006E6DDB">
        <w:rPr>
          <w:rFonts w:eastAsia="Times New Roman"/>
          <w:smallCaps/>
          <w:sz w:val="24"/>
          <w:szCs w:val="24"/>
        </w:rPr>
        <w:t xml:space="preserve"> </w:t>
      </w:r>
      <w:r w:rsidR="003C1DF1" w:rsidRPr="00647CC5">
        <w:rPr>
          <w:rFonts w:eastAsia="Times New Roman"/>
          <w:i/>
          <w:sz w:val="24"/>
          <w:szCs w:val="24"/>
        </w:rPr>
        <w:t>See also</w:t>
      </w:r>
      <w:r w:rsidR="003C1DF1" w:rsidRPr="00647CC5">
        <w:rPr>
          <w:rFonts w:eastAsia="Times New Roman"/>
          <w:sz w:val="24"/>
          <w:szCs w:val="24"/>
        </w:rPr>
        <w:t xml:space="preserve"> </w:t>
      </w:r>
      <w:r w:rsidR="00247A98" w:rsidRPr="00647CC5">
        <w:rPr>
          <w:rFonts w:eastAsia="Times New Roman"/>
          <w:smallCaps/>
          <w:sz w:val="24"/>
          <w:szCs w:val="24"/>
        </w:rPr>
        <w:t>Restatement (Third) of Agency</w:t>
      </w:r>
      <w:r w:rsidR="00247A98" w:rsidRPr="00647CC5">
        <w:rPr>
          <w:rFonts w:eastAsia="Times New Roman"/>
          <w:sz w:val="24"/>
          <w:szCs w:val="24"/>
        </w:rPr>
        <w:t xml:space="preserve"> § 2.02(1) (2006) (stating that agent has “actual authority to take action designated or implied in the principal’s manifestations”)</w:t>
      </w:r>
      <w:r w:rsidR="006E6DDB">
        <w:rPr>
          <w:rFonts w:eastAsia="Times New Roman"/>
          <w:sz w:val="24"/>
          <w:szCs w:val="24"/>
        </w:rPr>
        <w:t>.</w:t>
      </w:r>
    </w:p>
    <w:p w14:paraId="097BB94D" w14:textId="55A0B6C9" w:rsidR="00E01A1E" w:rsidRPr="00647CC5" w:rsidRDefault="009231F0" w:rsidP="00E01A1E">
      <w:pPr>
        <w:spacing w:after="240"/>
        <w:ind w:firstLine="720"/>
        <w:rPr>
          <w:rFonts w:eastAsia="Times New Roman"/>
          <w:sz w:val="24"/>
          <w:szCs w:val="24"/>
        </w:rPr>
      </w:pPr>
      <w:r>
        <w:rPr>
          <w:rFonts w:eastAsia="Times New Roman"/>
          <w:sz w:val="24"/>
          <w:szCs w:val="24"/>
        </w:rPr>
        <w:t xml:space="preserve">4. </w:t>
      </w:r>
      <w:r w:rsidR="00771A51" w:rsidRPr="00647CC5">
        <w:rPr>
          <w:rFonts w:eastAsia="Times New Roman"/>
          <w:sz w:val="24"/>
          <w:szCs w:val="24"/>
        </w:rPr>
        <w:t xml:space="preserve">“Implied authority” has also been defined as the authority to do “those acts which are incidental to, or are necessary, usual, and proper to accomplish or perform, the main authority expressly delegated to the agent.” </w:t>
      </w:r>
      <w:r w:rsidR="00771A51" w:rsidRPr="00647CC5">
        <w:rPr>
          <w:rFonts w:eastAsia="Times New Roman"/>
          <w:b/>
          <w:sz w:val="24"/>
          <w:szCs w:val="24"/>
        </w:rPr>
        <w:t>Willey</w:t>
      </w:r>
      <w:r w:rsidR="00771A51" w:rsidRPr="00647CC5">
        <w:rPr>
          <w:rFonts w:eastAsia="Times New Roman"/>
          <w:sz w:val="24"/>
          <w:szCs w:val="24"/>
        </w:rPr>
        <w:t xml:space="preserve">, 876 P.2d </w:t>
      </w:r>
      <w:r w:rsidR="00771A51">
        <w:rPr>
          <w:rFonts w:eastAsia="Times New Roman"/>
          <w:sz w:val="24"/>
          <w:szCs w:val="24"/>
        </w:rPr>
        <w:t>at</w:t>
      </w:r>
      <w:r w:rsidR="00771A51" w:rsidRPr="00647CC5">
        <w:rPr>
          <w:rFonts w:eastAsia="Times New Roman"/>
          <w:sz w:val="24"/>
          <w:szCs w:val="24"/>
        </w:rPr>
        <w:t xml:space="preserve"> 1264; </w:t>
      </w:r>
      <w:r w:rsidR="00771A51" w:rsidRPr="00647CC5">
        <w:rPr>
          <w:rFonts w:eastAsia="Times New Roman"/>
          <w:i/>
          <w:sz w:val="24"/>
          <w:szCs w:val="24"/>
        </w:rPr>
        <w:t xml:space="preserve">see </w:t>
      </w:r>
      <w:r w:rsidR="00771A51" w:rsidRPr="00647CC5">
        <w:rPr>
          <w:rFonts w:eastAsia="Times New Roman"/>
          <w:b/>
          <w:sz w:val="24"/>
          <w:szCs w:val="24"/>
        </w:rPr>
        <w:t>Johnson</w:t>
      </w:r>
      <w:r w:rsidR="00771A51" w:rsidRPr="00647CC5">
        <w:rPr>
          <w:rFonts w:eastAsia="Times New Roman"/>
          <w:sz w:val="24"/>
          <w:szCs w:val="24"/>
        </w:rPr>
        <w:t>, ¶ 22</w:t>
      </w:r>
      <w:r w:rsidR="0090551B">
        <w:rPr>
          <w:rFonts w:eastAsia="Times New Roman"/>
          <w:sz w:val="24"/>
          <w:szCs w:val="24"/>
        </w:rPr>
        <w:t>, 396 P.3d at 656</w:t>
      </w:r>
      <w:r w:rsidR="00771A51" w:rsidRPr="00647CC5">
        <w:rPr>
          <w:rFonts w:eastAsia="Times New Roman"/>
          <w:sz w:val="24"/>
          <w:szCs w:val="24"/>
        </w:rPr>
        <w:t xml:space="preserve">; </w:t>
      </w:r>
      <w:r w:rsidR="00771A51" w:rsidRPr="00647CC5">
        <w:rPr>
          <w:rFonts w:eastAsia="Times New Roman"/>
          <w:b/>
          <w:sz w:val="24"/>
          <w:szCs w:val="24"/>
        </w:rPr>
        <w:t>Villalpando v. Denver Health &amp; Hosp. Auth.</w:t>
      </w:r>
      <w:r w:rsidR="00771A51" w:rsidRPr="00647CC5">
        <w:rPr>
          <w:rFonts w:eastAsia="Times New Roman"/>
          <w:sz w:val="24"/>
          <w:szCs w:val="24"/>
        </w:rPr>
        <w:t xml:space="preserve">, 181 P.3d 357 (Colo. App. 2007); </w:t>
      </w:r>
      <w:r w:rsidR="00771A51" w:rsidRPr="00647CC5">
        <w:rPr>
          <w:rFonts w:eastAsia="Times New Roman"/>
          <w:i/>
          <w:sz w:val="24"/>
          <w:szCs w:val="24"/>
        </w:rPr>
        <w:t>see also</w:t>
      </w:r>
      <w:r w:rsidR="00771A51" w:rsidRPr="00647CC5">
        <w:rPr>
          <w:rFonts w:eastAsia="Times New Roman"/>
          <w:sz w:val="24"/>
          <w:szCs w:val="24"/>
        </w:rPr>
        <w:t xml:space="preserve"> Instruction 8:10.</w:t>
      </w:r>
    </w:p>
    <w:p w14:paraId="252AEE73" w14:textId="513F5C7E" w:rsidR="004C41DD" w:rsidRPr="00561CD9" w:rsidRDefault="009231F0" w:rsidP="004C41DD">
      <w:pPr>
        <w:spacing w:after="240"/>
        <w:ind w:firstLine="720"/>
        <w:rPr>
          <w:rFonts w:eastAsia="Times New Roman"/>
          <w:sz w:val="24"/>
          <w:szCs w:val="24"/>
        </w:rPr>
      </w:pPr>
      <w:r>
        <w:rPr>
          <w:rFonts w:eastAsia="Times New Roman"/>
          <w:sz w:val="24"/>
          <w:szCs w:val="24"/>
        </w:rPr>
        <w:t>5</w:t>
      </w:r>
      <w:r w:rsidR="00FD5ADE">
        <w:rPr>
          <w:rFonts w:eastAsia="Times New Roman"/>
          <w:sz w:val="24"/>
          <w:szCs w:val="24"/>
        </w:rPr>
        <w:t xml:space="preserve">. </w:t>
      </w:r>
      <w:r w:rsidR="004C41DD">
        <w:rPr>
          <w:rFonts w:eastAsia="Times New Roman"/>
          <w:sz w:val="24"/>
          <w:szCs w:val="24"/>
        </w:rPr>
        <w:t xml:space="preserve">“Implied authority is actual authority circumstantially proved.” </w:t>
      </w:r>
      <w:r w:rsidR="004C41DD">
        <w:rPr>
          <w:rFonts w:eastAsia="Times New Roman"/>
          <w:b/>
          <w:bCs/>
          <w:sz w:val="24"/>
          <w:szCs w:val="24"/>
        </w:rPr>
        <w:t>Trinidad</w:t>
      </w:r>
      <w:r w:rsidR="004C41DD">
        <w:rPr>
          <w:rFonts w:eastAsia="Times New Roman"/>
          <w:sz w:val="24"/>
          <w:szCs w:val="24"/>
        </w:rPr>
        <w:t xml:space="preserve">, ¶ 21; </w:t>
      </w:r>
      <w:r w:rsidR="004C41DD" w:rsidRPr="002D5677">
        <w:rPr>
          <w:rFonts w:eastAsia="Times New Roman"/>
          <w:i/>
          <w:iCs/>
          <w:sz w:val="24"/>
          <w:szCs w:val="24"/>
        </w:rPr>
        <w:t>accord</w:t>
      </w:r>
      <w:r w:rsidR="004C41DD">
        <w:rPr>
          <w:rFonts w:eastAsia="Times New Roman"/>
          <w:sz w:val="24"/>
          <w:szCs w:val="24"/>
        </w:rPr>
        <w:t xml:space="preserve"> </w:t>
      </w:r>
      <w:r w:rsidR="004C41DD">
        <w:rPr>
          <w:rFonts w:eastAsia="Times New Roman"/>
          <w:b/>
          <w:bCs/>
          <w:sz w:val="24"/>
          <w:szCs w:val="24"/>
        </w:rPr>
        <w:t>Citywide Banks</w:t>
      </w:r>
      <w:r w:rsidR="004C41DD">
        <w:rPr>
          <w:rFonts w:eastAsia="Times New Roman"/>
          <w:sz w:val="24"/>
          <w:szCs w:val="24"/>
        </w:rPr>
        <w:t>, 313 P.3d at 652.</w:t>
      </w:r>
    </w:p>
    <w:p w14:paraId="6A8067BB" w14:textId="077158BA" w:rsidR="00E01A1E" w:rsidRPr="00647CC5" w:rsidRDefault="009231F0" w:rsidP="004C41DD">
      <w:pPr>
        <w:spacing w:after="240"/>
        <w:ind w:firstLine="720"/>
        <w:rPr>
          <w:rFonts w:eastAsia="Times New Roman"/>
          <w:sz w:val="24"/>
          <w:szCs w:val="24"/>
        </w:rPr>
      </w:pPr>
      <w:r>
        <w:rPr>
          <w:rFonts w:eastAsia="Times New Roman"/>
          <w:sz w:val="24"/>
          <w:szCs w:val="24"/>
        </w:rPr>
        <w:t>6</w:t>
      </w:r>
      <w:r w:rsidR="00FD5ADE">
        <w:rPr>
          <w:rFonts w:eastAsia="Times New Roman"/>
          <w:sz w:val="24"/>
          <w:szCs w:val="24"/>
        </w:rPr>
        <w:t xml:space="preserve">. </w:t>
      </w:r>
      <w:r w:rsidR="00771A51" w:rsidRPr="00647CC5">
        <w:rPr>
          <w:rFonts w:eastAsia="Times New Roman"/>
          <w:sz w:val="24"/>
          <w:szCs w:val="24"/>
        </w:rPr>
        <w:t>A co-named insured on</w:t>
      </w:r>
      <w:r w:rsidR="00CF7AE3">
        <w:rPr>
          <w:rFonts w:eastAsia="Times New Roman"/>
          <w:sz w:val="24"/>
          <w:szCs w:val="24"/>
        </w:rPr>
        <w:t xml:space="preserve"> an</w:t>
      </w:r>
      <w:r w:rsidR="00771A51" w:rsidRPr="00647CC5">
        <w:rPr>
          <w:rFonts w:eastAsia="Times New Roman"/>
          <w:sz w:val="24"/>
          <w:szCs w:val="24"/>
        </w:rPr>
        <w:t xml:space="preserve"> automobile insurance policy has implied authority to waive UM/UIM benefits as result of express authority to purchase </w:t>
      </w:r>
      <w:r w:rsidR="00CF7AE3">
        <w:rPr>
          <w:rFonts w:eastAsia="Times New Roman"/>
          <w:sz w:val="24"/>
          <w:szCs w:val="24"/>
        </w:rPr>
        <w:t xml:space="preserve">the </w:t>
      </w:r>
      <w:r w:rsidR="00771A51" w:rsidRPr="00647CC5">
        <w:rPr>
          <w:rFonts w:eastAsia="Times New Roman"/>
          <w:sz w:val="24"/>
          <w:szCs w:val="24"/>
        </w:rPr>
        <w:t xml:space="preserve">insurance policy on behalf of </w:t>
      </w:r>
      <w:r w:rsidR="00CF7AE3">
        <w:rPr>
          <w:rFonts w:eastAsia="Times New Roman"/>
          <w:sz w:val="24"/>
          <w:szCs w:val="24"/>
        </w:rPr>
        <w:t xml:space="preserve">another </w:t>
      </w:r>
      <w:r w:rsidR="00771A51" w:rsidRPr="00647CC5">
        <w:rPr>
          <w:rFonts w:eastAsia="Times New Roman"/>
          <w:sz w:val="24"/>
          <w:szCs w:val="24"/>
        </w:rPr>
        <w:t xml:space="preserve">co-named insured. </w:t>
      </w:r>
      <w:r w:rsidR="00771A51" w:rsidRPr="00647CC5">
        <w:rPr>
          <w:rFonts w:eastAsia="Times New Roman"/>
          <w:b/>
          <w:sz w:val="24"/>
          <w:szCs w:val="24"/>
        </w:rPr>
        <w:t>Johnson</w:t>
      </w:r>
      <w:r w:rsidR="00771A51" w:rsidRPr="00647CC5">
        <w:rPr>
          <w:rFonts w:eastAsia="Times New Roman"/>
          <w:sz w:val="24"/>
          <w:szCs w:val="24"/>
        </w:rPr>
        <w:t>, ¶¶ 22-24</w:t>
      </w:r>
      <w:r w:rsidR="0090551B">
        <w:rPr>
          <w:rFonts w:eastAsia="Times New Roman"/>
          <w:sz w:val="24"/>
          <w:szCs w:val="24"/>
        </w:rPr>
        <w:t>, 396 P.3d at 656</w:t>
      </w:r>
      <w:r w:rsidR="00771A51" w:rsidRPr="00647CC5">
        <w:rPr>
          <w:rFonts w:eastAsia="Times New Roman"/>
          <w:sz w:val="24"/>
          <w:szCs w:val="24"/>
        </w:rPr>
        <w:t>.</w:t>
      </w:r>
    </w:p>
    <w:p w14:paraId="5B1869F1" w14:textId="22657D09" w:rsidR="00E01A1E" w:rsidRDefault="009231F0" w:rsidP="00E01A1E">
      <w:pPr>
        <w:spacing w:after="240"/>
        <w:ind w:firstLine="720"/>
        <w:rPr>
          <w:rFonts w:eastAsia="Times New Roman"/>
          <w:sz w:val="24"/>
          <w:szCs w:val="24"/>
        </w:rPr>
      </w:pPr>
      <w:r>
        <w:rPr>
          <w:rFonts w:eastAsia="Times New Roman"/>
          <w:sz w:val="24"/>
          <w:szCs w:val="24"/>
        </w:rPr>
        <w:t>7</w:t>
      </w:r>
      <w:r w:rsidR="00771A51" w:rsidRPr="00647CC5">
        <w:rPr>
          <w:rFonts w:eastAsia="Times New Roman"/>
          <w:sz w:val="24"/>
          <w:szCs w:val="24"/>
        </w:rPr>
        <w:t xml:space="preserve">. The Third Restatement provides that an agent’s interpretation of the principal’s manifestations must be reasonable. </w:t>
      </w:r>
      <w:r w:rsidR="00771A51" w:rsidRPr="00647CC5">
        <w:rPr>
          <w:rFonts w:eastAsia="Times New Roman"/>
          <w:smallCaps/>
          <w:sz w:val="24"/>
          <w:szCs w:val="24"/>
        </w:rPr>
        <w:t>Restatement (Third) of Agency</w:t>
      </w:r>
      <w:r w:rsidR="00771A51" w:rsidRPr="00647CC5">
        <w:rPr>
          <w:rFonts w:eastAsia="Times New Roman"/>
          <w:sz w:val="24"/>
          <w:szCs w:val="24"/>
        </w:rPr>
        <w:t xml:space="preserve"> § 2.02(2), (3) (2006).</w:t>
      </w:r>
    </w:p>
    <w:p w14:paraId="52A529CD" w14:textId="77777777" w:rsidR="00E01A1E" w:rsidRDefault="00771A51">
      <w:pPr>
        <w:rPr>
          <w:rFonts w:eastAsia="Times New Roman"/>
          <w:sz w:val="24"/>
          <w:szCs w:val="24"/>
        </w:rPr>
      </w:pPr>
      <w:r>
        <w:rPr>
          <w:rFonts w:eastAsia="Times New Roman"/>
          <w:sz w:val="24"/>
          <w:szCs w:val="24"/>
        </w:rPr>
        <w:br w:type="page"/>
      </w:r>
    </w:p>
    <w:p w14:paraId="254182DA" w14:textId="77777777" w:rsidR="00E01A1E" w:rsidRPr="009E3DA4" w:rsidRDefault="00771A51" w:rsidP="00E01A1E">
      <w:pPr>
        <w:spacing w:after="240"/>
        <w:ind w:left="720" w:hanging="720"/>
        <w:rPr>
          <w:rFonts w:eastAsia="Times New Roman"/>
          <w:b/>
          <w:sz w:val="24"/>
          <w:szCs w:val="24"/>
        </w:rPr>
      </w:pPr>
      <w:bookmarkStart w:id="14" w:name="a8_12"/>
      <w:bookmarkEnd w:id="14"/>
      <w:r w:rsidRPr="00D8125F">
        <w:rPr>
          <w:rFonts w:eastAsia="Times New Roman"/>
          <w:b/>
          <w:sz w:val="24"/>
          <w:szCs w:val="24"/>
        </w:rPr>
        <w:lastRenderedPageBreak/>
        <w:t xml:space="preserve">8:12 </w:t>
      </w:r>
      <w:r w:rsidRPr="00D8125F">
        <w:rPr>
          <w:rFonts w:eastAsia="Times New Roman"/>
          <w:b/>
          <w:sz w:val="24"/>
          <w:szCs w:val="24"/>
        </w:rPr>
        <w:tab/>
        <w:t>APPARENT AUTHORITY (AGENCY BY ESTOPPEL) — DEFINITION AND EFFECT</w:t>
      </w:r>
    </w:p>
    <w:p w14:paraId="5D45B5D1" w14:textId="77777777" w:rsidR="00E01A1E" w:rsidRPr="00D8125F" w:rsidRDefault="00771A51" w:rsidP="00E01A1E">
      <w:pPr>
        <w:spacing w:after="240"/>
        <w:ind w:firstLine="720"/>
        <w:rPr>
          <w:rFonts w:eastAsia="Times New Roman"/>
          <w:b/>
          <w:sz w:val="24"/>
          <w:szCs w:val="24"/>
        </w:rPr>
      </w:pPr>
      <w:r w:rsidRPr="00D8125F">
        <w:rPr>
          <w:rFonts w:eastAsia="Times New Roman"/>
          <w:b/>
          <w:sz w:val="24"/>
          <w:szCs w:val="24"/>
        </w:rPr>
        <w:t xml:space="preserve">An agent has apparent authority when a principal, by words or conduct, has caused another person to reasonably believe that the principal has authorized an agent to act on the principal’s behalf, even though the principal may not have done so. When an agent has apparent authority, it is the same as if the principal had authorized the agent’s actions. </w:t>
      </w:r>
    </w:p>
    <w:p w14:paraId="565CFDD9" w14:textId="77777777" w:rsidR="00E01A1E" w:rsidRDefault="00E01A1E" w:rsidP="00E01A1E">
      <w:pPr>
        <w:jc w:val="center"/>
        <w:rPr>
          <w:rFonts w:eastAsia="Times New Roman"/>
          <w:sz w:val="24"/>
          <w:szCs w:val="24"/>
        </w:rPr>
      </w:pPr>
    </w:p>
    <w:p w14:paraId="48834F6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708975D5" w14:textId="77777777" w:rsidR="00E01A1E" w:rsidRPr="00D8125F" w:rsidRDefault="00771A51" w:rsidP="00E01A1E">
      <w:pPr>
        <w:spacing w:after="240"/>
        <w:ind w:firstLine="720"/>
        <w:rPr>
          <w:rFonts w:eastAsia="Times New Roman"/>
          <w:sz w:val="24"/>
          <w:szCs w:val="24"/>
        </w:rPr>
      </w:pPr>
      <w:r w:rsidRPr="00D8125F">
        <w:rPr>
          <w:rFonts w:eastAsia="Times New Roman"/>
          <w:sz w:val="24"/>
          <w:szCs w:val="24"/>
        </w:rPr>
        <w:t xml:space="preserve">1. This instruction should not be used when the principal is undisclosed </w:t>
      </w:r>
      <w:r>
        <w:rPr>
          <w:rFonts w:eastAsia="Times New Roman"/>
          <w:sz w:val="24"/>
          <w:szCs w:val="24"/>
        </w:rPr>
        <w:t>because</w:t>
      </w:r>
      <w:r w:rsidRPr="00D8125F">
        <w:rPr>
          <w:rFonts w:eastAsia="Times New Roman"/>
          <w:sz w:val="24"/>
          <w:szCs w:val="24"/>
        </w:rPr>
        <w:t xml:space="preserve"> by definition</w:t>
      </w:r>
      <w:r>
        <w:rPr>
          <w:rFonts w:eastAsia="Times New Roman"/>
          <w:sz w:val="24"/>
          <w:szCs w:val="24"/>
        </w:rPr>
        <w:t>,</w:t>
      </w:r>
      <w:r w:rsidRPr="00D8125F">
        <w:rPr>
          <w:rFonts w:eastAsia="Times New Roman"/>
          <w:sz w:val="24"/>
          <w:szCs w:val="24"/>
        </w:rPr>
        <w:t xml:space="preserve"> apparent authority cannot exist when the principal is undisclosed. Such may not be true when the principal is unidentified, as in the case of a partnership where the third person is dealing with the partnership and knows some of its members but not all of them. For historical discussion of this principle, see </w:t>
      </w:r>
      <w:r w:rsidRPr="0026063F">
        <w:rPr>
          <w:rFonts w:eastAsia="Times New Roman"/>
          <w:smallCaps/>
          <w:sz w:val="24"/>
          <w:szCs w:val="24"/>
        </w:rPr>
        <w:t>W. Seavey, Agency</w:t>
      </w:r>
      <w:r w:rsidRPr="00D8125F">
        <w:rPr>
          <w:rFonts w:eastAsia="Times New Roman"/>
          <w:sz w:val="24"/>
          <w:szCs w:val="24"/>
        </w:rPr>
        <w:t xml:space="preserve"> § 4 (1964).</w:t>
      </w:r>
    </w:p>
    <w:p w14:paraId="647A69A8" w14:textId="77777777" w:rsidR="00E01A1E" w:rsidRPr="00D8125F" w:rsidRDefault="00771A51" w:rsidP="00E01A1E">
      <w:pPr>
        <w:spacing w:after="240"/>
        <w:ind w:firstLine="720"/>
        <w:rPr>
          <w:rFonts w:eastAsia="Times New Roman"/>
          <w:sz w:val="24"/>
          <w:szCs w:val="24"/>
        </w:rPr>
      </w:pPr>
      <w:r w:rsidRPr="00D8125F">
        <w:rPr>
          <w:rFonts w:eastAsia="Times New Roman"/>
          <w:sz w:val="24"/>
          <w:szCs w:val="24"/>
        </w:rPr>
        <w:t xml:space="preserve">2. The rule of apparent authority should not be confused with the rules governing incidental or implied authority. </w:t>
      </w:r>
      <w:r w:rsidRPr="00D8125F">
        <w:rPr>
          <w:rFonts w:eastAsia="Times New Roman"/>
          <w:i/>
          <w:sz w:val="24"/>
          <w:szCs w:val="24"/>
        </w:rPr>
        <w:t>See</w:t>
      </w:r>
      <w:r w:rsidRPr="00D8125F">
        <w:rPr>
          <w:rFonts w:eastAsia="Times New Roman"/>
          <w:sz w:val="24"/>
          <w:szCs w:val="24"/>
        </w:rPr>
        <w:t xml:space="preserve"> Instructions 8:10 and 8:11.</w:t>
      </w:r>
    </w:p>
    <w:p w14:paraId="473446D8"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3B8EAD20" w14:textId="1A98482E" w:rsidR="00E01A1E" w:rsidRPr="00D8125F" w:rsidRDefault="00771A51" w:rsidP="00E01A1E">
      <w:pPr>
        <w:spacing w:after="240"/>
        <w:ind w:firstLine="720"/>
        <w:rPr>
          <w:rFonts w:eastAsia="Times New Roman"/>
          <w:sz w:val="24"/>
          <w:szCs w:val="24"/>
        </w:rPr>
      </w:pPr>
      <w:r w:rsidRPr="00D8125F">
        <w:rPr>
          <w:rFonts w:eastAsia="Times New Roman"/>
          <w:sz w:val="24"/>
          <w:szCs w:val="24"/>
        </w:rPr>
        <w:t xml:space="preserve">1. This instruction is supported by </w:t>
      </w:r>
      <w:r w:rsidRPr="00D8125F">
        <w:rPr>
          <w:rFonts w:eastAsia="Times New Roman"/>
          <w:b/>
          <w:sz w:val="24"/>
          <w:szCs w:val="24"/>
        </w:rPr>
        <w:t>State Farm Mutual Automobile Insurance Co. v. Johnson</w:t>
      </w:r>
      <w:r w:rsidRPr="00D8125F">
        <w:rPr>
          <w:rFonts w:eastAsia="Times New Roman"/>
          <w:sz w:val="24"/>
          <w:szCs w:val="24"/>
        </w:rPr>
        <w:t xml:space="preserve">, 2017 CO 68, ¶ 20, 396 P.3d 651, 656 (“An agent has apparent authority to affect a principal’s relations with a third party when the third party reasonably believes, based on the principal’s manifestations, that the agent has authority to act on behalf of the principal.” (citing </w:t>
      </w:r>
      <w:r w:rsidRPr="00D8125F">
        <w:rPr>
          <w:rFonts w:eastAsia="Times New Roman"/>
          <w:smallCaps/>
          <w:sz w:val="24"/>
          <w:szCs w:val="24"/>
        </w:rPr>
        <w:t>Restatement (Third) of Agency</w:t>
      </w:r>
      <w:r w:rsidRPr="00D8125F">
        <w:rPr>
          <w:rFonts w:eastAsia="Times New Roman"/>
          <w:sz w:val="24"/>
          <w:szCs w:val="24"/>
        </w:rPr>
        <w:t xml:space="preserve"> § 2.03 (2006)</w:t>
      </w:r>
      <w:r>
        <w:rPr>
          <w:rFonts w:eastAsia="Times New Roman"/>
          <w:sz w:val="24"/>
          <w:szCs w:val="24"/>
        </w:rPr>
        <w:t>)</w:t>
      </w:r>
      <w:r w:rsidRPr="00D8125F">
        <w:rPr>
          <w:rFonts w:eastAsia="Times New Roman"/>
          <w:sz w:val="24"/>
          <w:szCs w:val="24"/>
        </w:rPr>
        <w:t>)</w:t>
      </w:r>
      <w:r w:rsidR="004C41DD">
        <w:rPr>
          <w:rFonts w:eastAsia="Times New Roman"/>
          <w:sz w:val="24"/>
          <w:szCs w:val="24"/>
        </w:rPr>
        <w:t>;</w:t>
      </w:r>
      <w:r w:rsidR="004C41DD" w:rsidRPr="004C41DD">
        <w:rPr>
          <w:rFonts w:eastAsia="Times New Roman"/>
          <w:b/>
          <w:bCs/>
          <w:sz w:val="24"/>
          <w:szCs w:val="24"/>
        </w:rPr>
        <w:t xml:space="preserve"> </w:t>
      </w:r>
      <w:r w:rsidR="00D43091">
        <w:rPr>
          <w:rFonts w:eastAsia="Times New Roman"/>
          <w:b/>
          <w:bCs/>
          <w:sz w:val="24"/>
          <w:szCs w:val="24"/>
        </w:rPr>
        <w:t>Craig Hospital v. Blue Cross Blue Shield</w:t>
      </w:r>
      <w:r w:rsidR="00D43091">
        <w:rPr>
          <w:rFonts w:eastAsia="Times New Roman"/>
          <w:sz w:val="24"/>
          <w:szCs w:val="24"/>
        </w:rPr>
        <w:t>, 2024 COA 74, ¶ 27</w:t>
      </w:r>
      <w:r w:rsidR="00C37D33">
        <w:rPr>
          <w:rFonts w:eastAsia="Times New Roman"/>
          <w:sz w:val="24"/>
          <w:szCs w:val="24"/>
        </w:rPr>
        <w:t>, 557 P.3d 820, 828</w:t>
      </w:r>
      <w:r w:rsidR="00BD66D5">
        <w:rPr>
          <w:rFonts w:eastAsia="Times New Roman"/>
          <w:sz w:val="24"/>
          <w:szCs w:val="24"/>
        </w:rPr>
        <w:t xml:space="preserve"> (“An agent acts with apparent authority when a third party reasonably believes that the agent has authority to act on the principal’s behalf.”)</w:t>
      </w:r>
      <w:r w:rsidR="00D43091">
        <w:rPr>
          <w:rFonts w:eastAsia="Times New Roman"/>
          <w:sz w:val="24"/>
          <w:szCs w:val="24"/>
        </w:rPr>
        <w:t>;</w:t>
      </w:r>
      <w:r w:rsidR="00D43091">
        <w:rPr>
          <w:rFonts w:eastAsia="Times New Roman"/>
          <w:b/>
          <w:bCs/>
          <w:sz w:val="24"/>
          <w:szCs w:val="24"/>
        </w:rPr>
        <w:t xml:space="preserve"> </w:t>
      </w:r>
      <w:r w:rsidR="004C41DD">
        <w:rPr>
          <w:rFonts w:eastAsia="Times New Roman"/>
          <w:b/>
          <w:bCs/>
          <w:sz w:val="24"/>
          <w:szCs w:val="24"/>
        </w:rPr>
        <w:t>Fresquez v. Trinidad Inn, Inc.</w:t>
      </w:r>
      <w:r w:rsidR="004C41DD">
        <w:rPr>
          <w:rFonts w:eastAsia="Times New Roman"/>
          <w:sz w:val="24"/>
          <w:szCs w:val="24"/>
        </w:rPr>
        <w:t>, 2022 COA 96, ¶ 25</w:t>
      </w:r>
      <w:r w:rsidR="0000701C">
        <w:rPr>
          <w:rFonts w:eastAsia="Times New Roman"/>
          <w:sz w:val="24"/>
          <w:szCs w:val="24"/>
        </w:rPr>
        <w:t>, 521 P.3d 399, 406</w:t>
      </w:r>
      <w:r w:rsidR="004C41DD">
        <w:rPr>
          <w:rFonts w:eastAsia="Times New Roman"/>
          <w:sz w:val="24"/>
          <w:szCs w:val="24"/>
        </w:rPr>
        <w:t xml:space="preserve"> (“A</w:t>
      </w:r>
      <w:r w:rsidR="004C41DD" w:rsidRPr="007A1FAF">
        <w:rPr>
          <w:rFonts w:eastAsia="Times New Roman"/>
          <w:sz w:val="24"/>
          <w:szCs w:val="24"/>
        </w:rPr>
        <w:t>pparent authority is the power held by an agent or other actor to affect a principal</w:t>
      </w:r>
      <w:r w:rsidR="004C41DD">
        <w:rPr>
          <w:rFonts w:eastAsia="Times New Roman"/>
          <w:sz w:val="24"/>
          <w:szCs w:val="24"/>
        </w:rPr>
        <w:t>’</w:t>
      </w:r>
      <w:r w:rsidR="004C41DD" w:rsidRPr="007A1FAF">
        <w:rPr>
          <w:rFonts w:eastAsia="Times New Roman"/>
          <w:sz w:val="24"/>
          <w:szCs w:val="24"/>
        </w:rPr>
        <w:t>s legal relations with third parties when a third party reasonably believes the actor has authority to act on behalf of the principal and that belief is traceable to the principal</w:t>
      </w:r>
      <w:r w:rsidR="004C41DD">
        <w:rPr>
          <w:rFonts w:eastAsia="Times New Roman"/>
          <w:sz w:val="24"/>
          <w:szCs w:val="24"/>
        </w:rPr>
        <w:t>’</w:t>
      </w:r>
      <w:r w:rsidR="004C41DD" w:rsidRPr="007A1FAF">
        <w:rPr>
          <w:rFonts w:eastAsia="Times New Roman"/>
          <w:sz w:val="24"/>
          <w:szCs w:val="24"/>
        </w:rPr>
        <w:t>s manifestations.”</w:t>
      </w:r>
      <w:r w:rsidR="004C41DD">
        <w:rPr>
          <w:rFonts w:eastAsia="Times New Roman"/>
          <w:sz w:val="24"/>
          <w:szCs w:val="24"/>
        </w:rPr>
        <w:t xml:space="preserve"> (citing </w:t>
      </w:r>
      <w:r w:rsidR="004C41DD" w:rsidRPr="00D30D15">
        <w:rPr>
          <w:rFonts w:eastAsia="Times New Roman"/>
          <w:smallCaps/>
          <w:sz w:val="24"/>
          <w:szCs w:val="24"/>
        </w:rPr>
        <w:t>Restatement (Third) of Agency</w:t>
      </w:r>
      <w:r w:rsidR="004C41DD">
        <w:rPr>
          <w:rFonts w:eastAsia="Times New Roman"/>
          <w:sz w:val="24"/>
          <w:szCs w:val="24"/>
        </w:rPr>
        <w:t xml:space="preserve"> § 2.03)</w:t>
      </w:r>
      <w:r w:rsidR="00C5367C">
        <w:rPr>
          <w:rFonts w:eastAsia="Times New Roman"/>
          <w:sz w:val="24"/>
          <w:szCs w:val="24"/>
        </w:rPr>
        <w:t>)</w:t>
      </w:r>
      <w:r>
        <w:rPr>
          <w:rFonts w:eastAsia="Times New Roman"/>
          <w:sz w:val="24"/>
          <w:szCs w:val="24"/>
        </w:rPr>
        <w:t xml:space="preserve">. </w:t>
      </w:r>
      <w:r w:rsidRPr="00A070F3">
        <w:rPr>
          <w:rFonts w:eastAsia="Times New Roman"/>
          <w:i/>
          <w:sz w:val="24"/>
          <w:szCs w:val="24"/>
        </w:rPr>
        <w:t>See also</w:t>
      </w:r>
      <w:r w:rsidRPr="00D8125F">
        <w:rPr>
          <w:rFonts w:eastAsia="Times New Roman"/>
          <w:sz w:val="24"/>
          <w:szCs w:val="24"/>
        </w:rPr>
        <w:t xml:space="preserve"> </w:t>
      </w:r>
      <w:r w:rsidRPr="00D8125F">
        <w:rPr>
          <w:rFonts w:eastAsia="Times New Roman"/>
          <w:b/>
          <w:sz w:val="24"/>
          <w:szCs w:val="24"/>
        </w:rPr>
        <w:t>Bowser v. Union Bag Co.</w:t>
      </w:r>
      <w:r w:rsidRPr="00D8125F">
        <w:rPr>
          <w:rFonts w:eastAsia="Times New Roman"/>
          <w:sz w:val="24"/>
          <w:szCs w:val="24"/>
        </w:rPr>
        <w:t xml:space="preserve">, 112 Colo. 373, 149 P.2d 800 (1944); </w:t>
      </w:r>
      <w:r w:rsidRPr="00D8125F">
        <w:rPr>
          <w:rFonts w:eastAsia="Times New Roman"/>
          <w:b/>
          <w:sz w:val="24"/>
          <w:szCs w:val="24"/>
        </w:rPr>
        <w:t>Wilson v. Mosko</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110 Colo. 127, 130 P.2d 927 (1942); </w:t>
      </w:r>
      <w:r w:rsidRPr="00D8125F">
        <w:rPr>
          <w:rFonts w:eastAsia="Times New Roman"/>
          <w:b/>
          <w:sz w:val="24"/>
          <w:szCs w:val="24"/>
        </w:rPr>
        <w:t>Burck v. Hubbard</w:t>
      </w:r>
      <w:r w:rsidRPr="00D8125F">
        <w:rPr>
          <w:rFonts w:eastAsia="Times New Roman"/>
          <w:sz w:val="24"/>
          <w:szCs w:val="24"/>
        </w:rPr>
        <w:t xml:space="preserve">, 104 Colo. 83, 88 P.2d 955 (1939); </w:t>
      </w:r>
      <w:r w:rsidRPr="00D8125F">
        <w:rPr>
          <w:rFonts w:eastAsia="Times New Roman"/>
          <w:b/>
          <w:sz w:val="24"/>
          <w:szCs w:val="24"/>
        </w:rPr>
        <w:t>Zeller v. Taylor</w:t>
      </w:r>
      <w:r w:rsidRPr="00D8125F">
        <w:rPr>
          <w:rFonts w:eastAsia="Times New Roman"/>
          <w:sz w:val="24"/>
          <w:szCs w:val="24"/>
        </w:rPr>
        <w:t xml:space="preserve">, 95 Colo. 503, 37 P.2d 391 (1934) (by implication); </w:t>
      </w:r>
      <w:r w:rsidRPr="00D8125F">
        <w:rPr>
          <w:rFonts w:eastAsia="Times New Roman"/>
          <w:b/>
          <w:sz w:val="24"/>
          <w:szCs w:val="24"/>
        </w:rPr>
        <w:t>Rush Creek Sols</w:t>
      </w:r>
      <w:r>
        <w:rPr>
          <w:rFonts w:eastAsia="Times New Roman"/>
          <w:b/>
          <w:sz w:val="24"/>
          <w:szCs w:val="24"/>
        </w:rPr>
        <w:t>.</w:t>
      </w:r>
      <w:r w:rsidRPr="00D8125F">
        <w:rPr>
          <w:rFonts w:eastAsia="Times New Roman"/>
          <w:b/>
          <w:sz w:val="24"/>
          <w:szCs w:val="24"/>
        </w:rPr>
        <w:t>, Inc. v. Ute Mountain Ute Tribe</w:t>
      </w:r>
      <w:r w:rsidRPr="00D8125F">
        <w:rPr>
          <w:rFonts w:eastAsia="Times New Roman"/>
          <w:sz w:val="24"/>
          <w:szCs w:val="24"/>
        </w:rPr>
        <w:t>,</w:t>
      </w:r>
      <w:r w:rsidRPr="00D8125F">
        <w:rPr>
          <w:rFonts w:eastAsia="Times New Roman"/>
          <w:b/>
          <w:sz w:val="24"/>
          <w:szCs w:val="24"/>
        </w:rPr>
        <w:t xml:space="preserve"> </w:t>
      </w:r>
      <w:r w:rsidRPr="00D8125F">
        <w:rPr>
          <w:rFonts w:eastAsia="Times New Roman"/>
          <w:sz w:val="24"/>
          <w:szCs w:val="24"/>
        </w:rPr>
        <w:t xml:space="preserve">107 P.3d 402 (Colo. App. 2004); </w:t>
      </w:r>
      <w:r w:rsidRPr="00D8125F">
        <w:rPr>
          <w:rFonts w:eastAsia="Times New Roman"/>
          <w:b/>
          <w:sz w:val="24"/>
          <w:szCs w:val="24"/>
        </w:rPr>
        <w:t>In re Marriage of Robbins</w:t>
      </w:r>
      <w:r w:rsidRPr="00D8125F">
        <w:rPr>
          <w:rFonts w:eastAsia="Times New Roman"/>
          <w:sz w:val="24"/>
          <w:szCs w:val="24"/>
        </w:rPr>
        <w:t xml:space="preserve">, 8 P.3d 625 (Colo. App. 2000); </w:t>
      </w:r>
      <w:r w:rsidRPr="00D8125F">
        <w:rPr>
          <w:rFonts w:eastAsia="Times New Roman"/>
          <w:b/>
          <w:sz w:val="24"/>
          <w:szCs w:val="24"/>
        </w:rPr>
        <w:t>Kuehn v. Kuehn</w:t>
      </w:r>
      <w:r w:rsidRPr="00D8125F">
        <w:rPr>
          <w:rFonts w:eastAsia="Times New Roman"/>
          <w:sz w:val="24"/>
          <w:szCs w:val="24"/>
        </w:rPr>
        <w:t>, 642 P.2d 524 (Colo. App. 1981)</w:t>
      </w:r>
      <w:r>
        <w:rPr>
          <w:rFonts w:eastAsia="Times New Roman"/>
          <w:sz w:val="24"/>
          <w:szCs w:val="24"/>
        </w:rPr>
        <w:t>;</w:t>
      </w:r>
      <w:r w:rsidRPr="00D8125F">
        <w:rPr>
          <w:rFonts w:eastAsia="Times New Roman"/>
          <w:sz w:val="24"/>
          <w:szCs w:val="24"/>
        </w:rPr>
        <w:t xml:space="preserve"> </w:t>
      </w:r>
      <w:r w:rsidRPr="00D8125F">
        <w:rPr>
          <w:rFonts w:eastAsia="Times New Roman"/>
          <w:b/>
          <w:sz w:val="24"/>
          <w:szCs w:val="24"/>
        </w:rPr>
        <w:t>Russell v. First Am</w:t>
      </w:r>
      <w:r>
        <w:rPr>
          <w:rFonts w:eastAsia="Times New Roman"/>
          <w:b/>
          <w:sz w:val="24"/>
          <w:szCs w:val="24"/>
        </w:rPr>
        <w:t>.</w:t>
      </w:r>
      <w:r w:rsidRPr="00D8125F">
        <w:rPr>
          <w:rFonts w:eastAsia="Times New Roman"/>
          <w:b/>
          <w:sz w:val="24"/>
          <w:szCs w:val="24"/>
        </w:rPr>
        <w:t xml:space="preserve"> Mortg</w:t>
      </w:r>
      <w:r>
        <w:rPr>
          <w:rFonts w:eastAsia="Times New Roman"/>
          <w:b/>
          <w:sz w:val="24"/>
          <w:szCs w:val="24"/>
        </w:rPr>
        <w:t>.</w:t>
      </w:r>
      <w:r w:rsidRPr="00D8125F">
        <w:rPr>
          <w:rFonts w:eastAsia="Times New Roman"/>
          <w:b/>
          <w:sz w:val="24"/>
          <w:szCs w:val="24"/>
        </w:rPr>
        <w:t xml:space="preserve"> Co.</w:t>
      </w:r>
      <w:r w:rsidRPr="00D8125F">
        <w:rPr>
          <w:rFonts w:eastAsia="Times New Roman"/>
          <w:sz w:val="24"/>
          <w:szCs w:val="24"/>
        </w:rPr>
        <w:t>, 39 Colo. App. 360, 565 P.2d 972 (1977);</w:t>
      </w:r>
      <w:r w:rsidRPr="00D8125F">
        <w:rPr>
          <w:rFonts w:eastAsia="Times New Roman"/>
          <w:i/>
          <w:sz w:val="24"/>
          <w:szCs w:val="24"/>
        </w:rPr>
        <w:t xml:space="preserve"> </w:t>
      </w:r>
      <w:r w:rsidRPr="00D8125F">
        <w:rPr>
          <w:rFonts w:eastAsia="Times New Roman"/>
          <w:smallCaps/>
          <w:sz w:val="24"/>
          <w:szCs w:val="24"/>
        </w:rPr>
        <w:t>Restatement (Third) of Agency</w:t>
      </w:r>
      <w:r w:rsidRPr="00D8125F">
        <w:rPr>
          <w:rFonts w:eastAsia="Times New Roman"/>
          <w:sz w:val="24"/>
          <w:szCs w:val="24"/>
        </w:rPr>
        <w:t xml:space="preserve"> § 2.03 </w:t>
      </w:r>
      <w:r>
        <w:rPr>
          <w:rFonts w:eastAsia="Times New Roman"/>
          <w:sz w:val="24"/>
          <w:szCs w:val="24"/>
        </w:rPr>
        <w:t xml:space="preserve">(2006) </w:t>
      </w:r>
      <w:r w:rsidRPr="00D8125F">
        <w:rPr>
          <w:rFonts w:eastAsia="Times New Roman"/>
          <w:sz w:val="24"/>
          <w:szCs w:val="24"/>
        </w:rPr>
        <w:t>(defining apparent authority).</w:t>
      </w:r>
    </w:p>
    <w:p w14:paraId="555B0758" w14:textId="3AB7F20D" w:rsidR="00C5367C" w:rsidRPr="00CE36BC" w:rsidRDefault="00771A51" w:rsidP="00C5367C">
      <w:pPr>
        <w:spacing w:after="240"/>
        <w:ind w:firstLine="720"/>
        <w:rPr>
          <w:rFonts w:eastAsia="Times New Roman"/>
          <w:sz w:val="24"/>
          <w:szCs w:val="24"/>
        </w:rPr>
      </w:pPr>
      <w:r w:rsidRPr="00D8125F">
        <w:rPr>
          <w:rFonts w:eastAsia="Times New Roman"/>
          <w:sz w:val="24"/>
          <w:szCs w:val="24"/>
        </w:rPr>
        <w:t xml:space="preserve">2. </w:t>
      </w:r>
      <w:r w:rsidR="00C5367C">
        <w:rPr>
          <w:rFonts w:eastAsia="Times New Roman"/>
          <w:sz w:val="24"/>
          <w:szCs w:val="24"/>
        </w:rPr>
        <w:t xml:space="preserve">Apparent authority is “established by proof of written or spoken words or other conduct of the principal which, reasonably interpreted, causes a person to believe that the principal consents to have the act done on his behalf by a person purporting to act for him.” </w:t>
      </w:r>
      <w:r w:rsidR="00C5367C">
        <w:rPr>
          <w:rFonts w:eastAsia="Times New Roman"/>
          <w:b/>
          <w:bCs/>
          <w:sz w:val="24"/>
          <w:szCs w:val="24"/>
        </w:rPr>
        <w:t>Fresquez</w:t>
      </w:r>
      <w:r w:rsidR="00C5367C">
        <w:rPr>
          <w:rFonts w:eastAsia="Times New Roman"/>
          <w:sz w:val="24"/>
          <w:szCs w:val="24"/>
        </w:rPr>
        <w:t xml:space="preserve">, ¶ 25 (quoting </w:t>
      </w:r>
      <w:r w:rsidR="00C5367C" w:rsidRPr="00647CC5">
        <w:rPr>
          <w:rFonts w:eastAsia="Times New Roman"/>
          <w:b/>
          <w:sz w:val="24"/>
          <w:szCs w:val="24"/>
        </w:rPr>
        <w:t>Villalpando v. Denver Health &amp; Hosp. Auth.</w:t>
      </w:r>
      <w:r w:rsidR="00C5367C" w:rsidRPr="00647CC5">
        <w:rPr>
          <w:rFonts w:eastAsia="Times New Roman"/>
          <w:sz w:val="24"/>
          <w:szCs w:val="24"/>
        </w:rPr>
        <w:t>, 181 P.3d 357</w:t>
      </w:r>
      <w:r w:rsidR="00C5367C">
        <w:rPr>
          <w:rFonts w:eastAsia="Times New Roman"/>
          <w:sz w:val="24"/>
          <w:szCs w:val="24"/>
        </w:rPr>
        <w:t>, 363</w:t>
      </w:r>
      <w:r w:rsidR="00C5367C" w:rsidRPr="00647CC5">
        <w:rPr>
          <w:rFonts w:eastAsia="Times New Roman"/>
          <w:sz w:val="24"/>
          <w:szCs w:val="24"/>
        </w:rPr>
        <w:t xml:space="preserve"> (Colo. App. 2007)</w:t>
      </w:r>
      <w:r w:rsidR="00C5367C">
        <w:rPr>
          <w:rFonts w:eastAsia="Times New Roman"/>
          <w:sz w:val="24"/>
          <w:szCs w:val="24"/>
        </w:rPr>
        <w:t xml:space="preserve">). </w:t>
      </w:r>
    </w:p>
    <w:p w14:paraId="6B948A9A" w14:textId="20358CDE" w:rsidR="00E01A1E" w:rsidRPr="00D8125F" w:rsidRDefault="00C5367C" w:rsidP="00C5367C">
      <w:pPr>
        <w:spacing w:after="240"/>
        <w:ind w:firstLine="720"/>
        <w:rPr>
          <w:rFonts w:eastAsia="Times New Roman"/>
          <w:sz w:val="24"/>
          <w:szCs w:val="24"/>
        </w:rPr>
      </w:pPr>
      <w:r>
        <w:rPr>
          <w:rFonts w:eastAsia="Times New Roman"/>
          <w:sz w:val="24"/>
          <w:szCs w:val="24"/>
        </w:rPr>
        <w:lastRenderedPageBreak/>
        <w:t xml:space="preserve">3. </w:t>
      </w:r>
      <w:r w:rsidR="00771A51" w:rsidRPr="00D8125F">
        <w:rPr>
          <w:rFonts w:eastAsia="Times New Roman"/>
          <w:sz w:val="24"/>
          <w:szCs w:val="24"/>
        </w:rPr>
        <w:t xml:space="preserve">For a general historical discussion of apparent authority and the typical situations in which it may exist, see </w:t>
      </w:r>
      <w:r w:rsidR="00771A51" w:rsidRPr="00D8125F">
        <w:rPr>
          <w:rFonts w:eastAsia="Times New Roman"/>
          <w:smallCaps/>
          <w:sz w:val="24"/>
          <w:szCs w:val="24"/>
        </w:rPr>
        <w:t>W. Seavey, Agency</w:t>
      </w:r>
      <w:r w:rsidR="00771A51" w:rsidRPr="00D8125F">
        <w:rPr>
          <w:rFonts w:eastAsia="Times New Roman"/>
          <w:sz w:val="24"/>
          <w:szCs w:val="24"/>
        </w:rPr>
        <w:t xml:space="preserve"> § 8, at 13-14 (1964); </w:t>
      </w:r>
      <w:r w:rsidR="00771A51" w:rsidRPr="00D8125F">
        <w:rPr>
          <w:rFonts w:eastAsia="Times New Roman"/>
          <w:smallCaps/>
          <w:sz w:val="24"/>
          <w:szCs w:val="24"/>
        </w:rPr>
        <w:t>P. Mechem, Outlines of the Law of Agency</w:t>
      </w:r>
      <w:r w:rsidR="00771A51" w:rsidRPr="00D8125F">
        <w:rPr>
          <w:rFonts w:eastAsia="Times New Roman"/>
          <w:sz w:val="24"/>
          <w:szCs w:val="24"/>
        </w:rPr>
        <w:t xml:space="preserve"> §§ 84-95 (4th ed. 1952).</w:t>
      </w:r>
    </w:p>
    <w:p w14:paraId="3C9617F4" w14:textId="14B9C854" w:rsidR="00E01A1E" w:rsidRPr="00D8125F" w:rsidRDefault="00C5367C" w:rsidP="00E01A1E">
      <w:pPr>
        <w:spacing w:after="240"/>
        <w:ind w:firstLine="720"/>
        <w:rPr>
          <w:rFonts w:eastAsia="Times New Roman"/>
          <w:sz w:val="24"/>
          <w:szCs w:val="24"/>
        </w:rPr>
      </w:pPr>
      <w:r>
        <w:rPr>
          <w:rFonts w:eastAsia="Times New Roman"/>
          <w:sz w:val="24"/>
          <w:szCs w:val="24"/>
        </w:rPr>
        <w:t>4</w:t>
      </w:r>
      <w:r w:rsidR="00771A51" w:rsidRPr="00D8125F">
        <w:rPr>
          <w:rFonts w:eastAsia="Times New Roman"/>
          <w:sz w:val="24"/>
          <w:szCs w:val="24"/>
        </w:rPr>
        <w:t>. For the distinction between apparent and implied authority, see</w:t>
      </w:r>
      <w:r w:rsidR="00771A51" w:rsidRPr="00D8125F">
        <w:rPr>
          <w:rFonts w:eastAsia="Times New Roman"/>
          <w:i/>
          <w:sz w:val="24"/>
          <w:szCs w:val="24"/>
        </w:rPr>
        <w:t xml:space="preserve"> </w:t>
      </w:r>
      <w:r w:rsidR="00771A51" w:rsidRPr="00D8125F">
        <w:rPr>
          <w:rFonts w:eastAsia="Times New Roman"/>
          <w:b/>
          <w:sz w:val="24"/>
          <w:szCs w:val="24"/>
        </w:rPr>
        <w:t>Johnson</w:t>
      </w:r>
      <w:r w:rsidR="00771A51" w:rsidRPr="00D8125F">
        <w:rPr>
          <w:rFonts w:eastAsia="Times New Roman"/>
          <w:sz w:val="24"/>
          <w:szCs w:val="24"/>
        </w:rPr>
        <w:t>, ¶¶ 20-22</w:t>
      </w:r>
      <w:r w:rsidR="0090551B">
        <w:rPr>
          <w:rFonts w:eastAsia="Times New Roman"/>
          <w:sz w:val="24"/>
          <w:szCs w:val="24"/>
        </w:rPr>
        <w:t>, 396 P.3d at 656</w:t>
      </w:r>
      <w:r w:rsidR="00771A51" w:rsidRPr="00D8125F">
        <w:rPr>
          <w:rFonts w:eastAsia="Times New Roman"/>
          <w:sz w:val="24"/>
          <w:szCs w:val="24"/>
        </w:rPr>
        <w:t xml:space="preserve">; </w:t>
      </w:r>
      <w:r w:rsidR="00771A51" w:rsidRPr="00D8125F">
        <w:rPr>
          <w:rFonts w:eastAsia="Times New Roman"/>
          <w:b/>
          <w:sz w:val="24"/>
          <w:szCs w:val="24"/>
        </w:rPr>
        <w:t>Moore v. Switzer</w:t>
      </w:r>
      <w:r w:rsidR="00771A51" w:rsidRPr="00D8125F">
        <w:rPr>
          <w:rFonts w:eastAsia="Times New Roman"/>
          <w:sz w:val="24"/>
          <w:szCs w:val="24"/>
        </w:rPr>
        <w:t xml:space="preserve">, 78 Colo. 63, 239 P. 874 (1925); </w:t>
      </w:r>
      <w:r w:rsidR="00771A51">
        <w:rPr>
          <w:rFonts w:eastAsia="Times New Roman"/>
          <w:sz w:val="24"/>
          <w:szCs w:val="24"/>
        </w:rPr>
        <w:t xml:space="preserve">and </w:t>
      </w:r>
      <w:r w:rsidR="00771A51" w:rsidRPr="00D8125F">
        <w:rPr>
          <w:rFonts w:eastAsia="Times New Roman"/>
          <w:b/>
          <w:sz w:val="24"/>
          <w:szCs w:val="24"/>
        </w:rPr>
        <w:t>Sigel-Campion Live Stock Commc’n Co. v. Ardohain</w:t>
      </w:r>
      <w:r w:rsidR="00771A51" w:rsidRPr="00D8125F">
        <w:rPr>
          <w:rFonts w:eastAsia="Times New Roman"/>
          <w:sz w:val="24"/>
          <w:szCs w:val="24"/>
        </w:rPr>
        <w:t>, 71 Colo. 410, 207 P. 82 (1922) (awareness of, and reliance on, a “holding out” by the principal required for apparent authority).</w:t>
      </w:r>
    </w:p>
    <w:p w14:paraId="6521B598" w14:textId="3646F8A9" w:rsidR="00E01A1E" w:rsidRPr="00D8125F" w:rsidRDefault="00C5367C" w:rsidP="00E01A1E">
      <w:pPr>
        <w:spacing w:after="240"/>
        <w:ind w:firstLine="720"/>
        <w:rPr>
          <w:rFonts w:eastAsia="Times New Roman"/>
          <w:sz w:val="24"/>
          <w:szCs w:val="24"/>
        </w:rPr>
      </w:pPr>
      <w:r>
        <w:rPr>
          <w:rFonts w:eastAsia="Times New Roman"/>
          <w:sz w:val="24"/>
          <w:szCs w:val="24"/>
        </w:rPr>
        <w:t>5</w:t>
      </w:r>
      <w:r w:rsidR="00771A51" w:rsidRPr="00D8125F">
        <w:rPr>
          <w:rFonts w:eastAsia="Times New Roman"/>
          <w:sz w:val="24"/>
          <w:szCs w:val="24"/>
        </w:rPr>
        <w:t xml:space="preserve">. Where a third party has dealt with an agent and has established the existence of apparent authority, it is incumbent upon the principal who seeks to escape liability for the agent’s actions to show that the third party had knowledge or was charged with notice that the agent was acting beyond the scope of the agent’s authority. </w:t>
      </w:r>
      <w:r w:rsidR="00771A51" w:rsidRPr="00D8125F">
        <w:rPr>
          <w:rFonts w:eastAsia="Times New Roman"/>
          <w:b/>
          <w:sz w:val="24"/>
          <w:szCs w:val="24"/>
        </w:rPr>
        <w:t>Bowser</w:t>
      </w:r>
      <w:r w:rsidR="00771A51" w:rsidRPr="00D8125F">
        <w:rPr>
          <w:rFonts w:eastAsia="Times New Roman"/>
          <w:sz w:val="24"/>
          <w:szCs w:val="24"/>
        </w:rPr>
        <w:t>,</w:t>
      </w:r>
      <w:r w:rsidR="00771A51" w:rsidRPr="00D8125F">
        <w:rPr>
          <w:rFonts w:eastAsia="Times New Roman"/>
          <w:b/>
          <w:sz w:val="24"/>
          <w:szCs w:val="24"/>
        </w:rPr>
        <w:t xml:space="preserve"> </w:t>
      </w:r>
      <w:r w:rsidR="00771A51" w:rsidRPr="00D8125F">
        <w:rPr>
          <w:rFonts w:eastAsia="Times New Roman"/>
          <w:sz w:val="24"/>
          <w:szCs w:val="24"/>
        </w:rPr>
        <w:t xml:space="preserve">112 Colo. at 379-80, 149 P.2d at 803; </w:t>
      </w:r>
      <w:r w:rsidR="00771A51" w:rsidRPr="00D8125F">
        <w:rPr>
          <w:rFonts w:eastAsia="Times New Roman"/>
          <w:b/>
          <w:sz w:val="24"/>
          <w:szCs w:val="24"/>
        </w:rPr>
        <w:t>Zambruk v. Perlmutter 3rd Generation Builders, Inc.</w:t>
      </w:r>
      <w:r w:rsidR="00771A51" w:rsidRPr="00D8125F">
        <w:rPr>
          <w:rFonts w:eastAsia="Times New Roman"/>
          <w:sz w:val="24"/>
          <w:szCs w:val="24"/>
        </w:rPr>
        <w:t>, 32 Colo. App. 276, 510 P.2d 472 (1973)</w:t>
      </w:r>
      <w:r w:rsidR="00771A51">
        <w:rPr>
          <w:rFonts w:eastAsia="Times New Roman"/>
          <w:sz w:val="24"/>
          <w:szCs w:val="24"/>
        </w:rPr>
        <w:t>;</w:t>
      </w:r>
      <w:r w:rsidR="00771A51" w:rsidRPr="00D8125F">
        <w:rPr>
          <w:rFonts w:eastAsia="Times New Roman"/>
          <w:sz w:val="24"/>
          <w:szCs w:val="24"/>
        </w:rPr>
        <w:t xml:space="preserve"> </w:t>
      </w:r>
      <w:r w:rsidR="00771A51">
        <w:rPr>
          <w:rFonts w:eastAsia="Times New Roman"/>
          <w:i/>
          <w:sz w:val="24"/>
          <w:szCs w:val="24"/>
        </w:rPr>
        <w:t>s</w:t>
      </w:r>
      <w:r w:rsidR="00771A51" w:rsidRPr="00D8125F">
        <w:rPr>
          <w:rFonts w:eastAsia="Times New Roman"/>
          <w:i/>
          <w:sz w:val="24"/>
          <w:szCs w:val="24"/>
        </w:rPr>
        <w:t>ee also</w:t>
      </w:r>
      <w:r w:rsidR="00771A51" w:rsidRPr="00D8125F">
        <w:rPr>
          <w:rFonts w:eastAsia="Times New Roman"/>
          <w:sz w:val="24"/>
          <w:szCs w:val="24"/>
        </w:rPr>
        <w:t xml:space="preserve"> </w:t>
      </w:r>
      <w:r w:rsidR="00771A51" w:rsidRPr="00D8125F">
        <w:rPr>
          <w:rFonts w:eastAsia="Times New Roman"/>
          <w:b/>
          <w:sz w:val="24"/>
          <w:szCs w:val="24"/>
        </w:rPr>
        <w:t>White v. Brock</w:t>
      </w:r>
      <w:r w:rsidR="00771A51" w:rsidRPr="00D8125F">
        <w:rPr>
          <w:rFonts w:eastAsia="Times New Roman"/>
          <w:sz w:val="24"/>
          <w:szCs w:val="24"/>
        </w:rPr>
        <w:t>,</w:t>
      </w:r>
      <w:r w:rsidR="00771A51" w:rsidRPr="00D8125F">
        <w:rPr>
          <w:rFonts w:eastAsia="Times New Roman"/>
          <w:b/>
          <w:sz w:val="24"/>
          <w:szCs w:val="24"/>
        </w:rPr>
        <w:t xml:space="preserve"> </w:t>
      </w:r>
      <w:r w:rsidR="00771A51" w:rsidRPr="00D8125F">
        <w:rPr>
          <w:rFonts w:eastAsia="Times New Roman"/>
          <w:sz w:val="24"/>
          <w:szCs w:val="24"/>
        </w:rPr>
        <w:t>41 Colo. App. 156, 584 P.2d 1224 (1978).</w:t>
      </w:r>
    </w:p>
    <w:p w14:paraId="59406CC5" w14:textId="5BBE436F" w:rsidR="00E01A1E" w:rsidRPr="00D8125F" w:rsidRDefault="00C5367C" w:rsidP="00E01A1E">
      <w:pPr>
        <w:spacing w:after="240"/>
        <w:ind w:firstLine="720"/>
        <w:rPr>
          <w:rFonts w:eastAsia="Times New Roman"/>
          <w:sz w:val="24"/>
          <w:szCs w:val="24"/>
        </w:rPr>
      </w:pPr>
      <w:r>
        <w:rPr>
          <w:rFonts w:eastAsia="Times New Roman"/>
          <w:sz w:val="24"/>
          <w:szCs w:val="24"/>
        </w:rPr>
        <w:t>6</w:t>
      </w:r>
      <w:r w:rsidR="00771A51" w:rsidRPr="003D4122">
        <w:rPr>
          <w:rFonts w:eastAsia="Times New Roman"/>
          <w:sz w:val="24"/>
          <w:szCs w:val="24"/>
        </w:rPr>
        <w:t xml:space="preserve">. The </w:t>
      </w:r>
      <w:r w:rsidR="00771A51" w:rsidRPr="003D4122">
        <w:rPr>
          <w:rFonts w:eastAsia="Times New Roman"/>
          <w:smallCaps/>
          <w:sz w:val="24"/>
          <w:szCs w:val="24"/>
        </w:rPr>
        <w:t>Restatement (Second) of Torts</w:t>
      </w:r>
      <w:r w:rsidR="00771A51" w:rsidRPr="003D4122">
        <w:rPr>
          <w:rFonts w:eastAsia="Times New Roman"/>
          <w:sz w:val="24"/>
          <w:szCs w:val="24"/>
        </w:rPr>
        <w:t xml:space="preserve"> section 261 (1965), articulates the specific situation where liability will attach to the principal under the apparent authority doctrine for the intentional torts of the agent. </w:t>
      </w:r>
      <w:r w:rsidR="00771A51" w:rsidRPr="003D4122">
        <w:rPr>
          <w:rFonts w:eastAsia="Times New Roman"/>
          <w:b/>
          <w:sz w:val="24"/>
          <w:szCs w:val="24"/>
        </w:rPr>
        <w:t>Grease Monkey International, Inc. v. Montoya</w:t>
      </w:r>
      <w:r w:rsidR="00771A51" w:rsidRPr="003D4122">
        <w:rPr>
          <w:rFonts w:eastAsia="Times New Roman"/>
          <w:sz w:val="24"/>
          <w:szCs w:val="24"/>
        </w:rPr>
        <w:t>,</w:t>
      </w:r>
      <w:r w:rsidR="00771A51" w:rsidRPr="003D4122">
        <w:rPr>
          <w:rFonts w:eastAsia="Times New Roman"/>
          <w:b/>
          <w:sz w:val="24"/>
          <w:szCs w:val="24"/>
        </w:rPr>
        <w:t xml:space="preserve"> </w:t>
      </w:r>
      <w:r w:rsidR="00771A51" w:rsidRPr="003D4122">
        <w:rPr>
          <w:rFonts w:eastAsia="Times New Roman"/>
          <w:sz w:val="24"/>
          <w:szCs w:val="24"/>
        </w:rPr>
        <w:t>904 P.2d 468 (Colo. 1995) (Grease Monkey liable for the fraudulent acts of its Chief Operating Officer because the COO was put in a position that enabled him to commit fraud, he acted within his apparent authority, and he committed fraud).</w:t>
      </w:r>
    </w:p>
    <w:p w14:paraId="1799B8A1" w14:textId="5480479B" w:rsidR="00E01A1E" w:rsidRDefault="00C5367C" w:rsidP="00E01A1E">
      <w:pPr>
        <w:spacing w:after="240"/>
        <w:ind w:firstLine="720"/>
        <w:rPr>
          <w:rFonts w:eastAsia="Times New Roman"/>
          <w:sz w:val="24"/>
          <w:szCs w:val="24"/>
        </w:rPr>
      </w:pPr>
      <w:r>
        <w:rPr>
          <w:rFonts w:eastAsia="Times New Roman"/>
          <w:sz w:val="24"/>
          <w:szCs w:val="24"/>
        </w:rPr>
        <w:t>7</w:t>
      </w:r>
      <w:r w:rsidR="00771A51" w:rsidRPr="00D8125F">
        <w:rPr>
          <w:rFonts w:eastAsia="Times New Roman"/>
          <w:sz w:val="24"/>
          <w:szCs w:val="24"/>
        </w:rPr>
        <w:t xml:space="preserve">. “Apparent authority thus flows only from the acts and conduct of the principal.” </w:t>
      </w:r>
      <w:r w:rsidR="00771A51" w:rsidRPr="00D8125F">
        <w:rPr>
          <w:rFonts w:eastAsia="Times New Roman"/>
          <w:b/>
          <w:sz w:val="24"/>
          <w:szCs w:val="24"/>
        </w:rPr>
        <w:t>Johnson</w:t>
      </w:r>
      <w:r w:rsidR="00771A51" w:rsidRPr="00D8125F">
        <w:rPr>
          <w:rFonts w:eastAsia="Times New Roman"/>
          <w:sz w:val="24"/>
          <w:szCs w:val="24"/>
        </w:rPr>
        <w:t>, ¶ 20</w:t>
      </w:r>
      <w:r w:rsidR="0090551B">
        <w:rPr>
          <w:rFonts w:eastAsia="Times New Roman"/>
          <w:sz w:val="24"/>
          <w:szCs w:val="24"/>
        </w:rPr>
        <w:t>, 396 P.3d at 656</w:t>
      </w:r>
      <w:r w:rsidR="00771A51" w:rsidRPr="00D8125F">
        <w:rPr>
          <w:rFonts w:eastAsia="Times New Roman"/>
          <w:sz w:val="24"/>
          <w:szCs w:val="24"/>
        </w:rPr>
        <w:t xml:space="preserve"> (citation omitted)</w:t>
      </w:r>
      <w:r>
        <w:rPr>
          <w:rFonts w:eastAsia="Times New Roman"/>
          <w:sz w:val="24"/>
          <w:szCs w:val="24"/>
        </w:rPr>
        <w:t>;</w:t>
      </w:r>
      <w:r w:rsidRPr="00C5367C">
        <w:rPr>
          <w:rFonts w:eastAsia="Times New Roman"/>
          <w:i/>
          <w:iCs/>
          <w:sz w:val="24"/>
          <w:szCs w:val="24"/>
        </w:rPr>
        <w:t xml:space="preserve"> </w:t>
      </w:r>
      <w:r w:rsidRPr="00F34203">
        <w:rPr>
          <w:rFonts w:eastAsia="Times New Roman"/>
          <w:i/>
          <w:iCs/>
          <w:sz w:val="24"/>
          <w:szCs w:val="24"/>
        </w:rPr>
        <w:t>accord</w:t>
      </w:r>
      <w:r>
        <w:rPr>
          <w:rFonts w:eastAsia="Times New Roman"/>
          <w:i/>
          <w:iCs/>
          <w:sz w:val="24"/>
          <w:szCs w:val="24"/>
        </w:rPr>
        <w:t xml:space="preserve"> </w:t>
      </w:r>
      <w:r>
        <w:rPr>
          <w:rFonts w:eastAsia="Times New Roman"/>
          <w:b/>
          <w:bCs/>
          <w:sz w:val="24"/>
          <w:szCs w:val="24"/>
        </w:rPr>
        <w:t>Fresquez</w:t>
      </w:r>
      <w:r>
        <w:rPr>
          <w:rFonts w:eastAsia="Times New Roman"/>
          <w:sz w:val="24"/>
          <w:szCs w:val="24"/>
        </w:rPr>
        <w:t>, ¶ 25</w:t>
      </w:r>
      <w:r w:rsidR="00771A51" w:rsidRPr="00D8125F">
        <w:rPr>
          <w:rFonts w:eastAsia="Times New Roman"/>
          <w:sz w:val="24"/>
          <w:szCs w:val="24"/>
        </w:rPr>
        <w:t xml:space="preserve">. </w:t>
      </w:r>
    </w:p>
    <w:p w14:paraId="7F4CC403" w14:textId="5847F0E8" w:rsidR="00E01A1E" w:rsidRPr="000042FE" w:rsidRDefault="00C5367C" w:rsidP="00E01A1E">
      <w:pPr>
        <w:spacing w:after="240"/>
        <w:ind w:firstLine="720"/>
        <w:rPr>
          <w:rFonts w:eastAsia="Times New Roman"/>
          <w:sz w:val="24"/>
          <w:szCs w:val="24"/>
        </w:rPr>
      </w:pPr>
      <w:r>
        <w:rPr>
          <w:rFonts w:eastAsia="Times New Roman"/>
          <w:sz w:val="24"/>
          <w:szCs w:val="24"/>
        </w:rPr>
        <w:t>8</w:t>
      </w:r>
      <w:r w:rsidR="00771A51">
        <w:rPr>
          <w:rFonts w:eastAsia="Times New Roman"/>
          <w:sz w:val="24"/>
          <w:szCs w:val="24"/>
        </w:rPr>
        <w:t xml:space="preserve">. Colorado courts have used the terms “ostensible agency,” “apparent agency,” “apparent authority,” and “agency by estoppel” interchangeably. </w:t>
      </w:r>
      <w:r w:rsidR="00771A51">
        <w:rPr>
          <w:rFonts w:eastAsia="Times New Roman"/>
          <w:b/>
          <w:sz w:val="24"/>
          <w:szCs w:val="24"/>
        </w:rPr>
        <w:t>Carl’s Italian Rest. v. Truck Ins. Exch.</w:t>
      </w:r>
      <w:r w:rsidR="00771A51">
        <w:rPr>
          <w:rFonts w:eastAsia="Times New Roman"/>
          <w:sz w:val="24"/>
          <w:szCs w:val="24"/>
        </w:rPr>
        <w:t xml:space="preserve">, 183 P.3d 636 (Colo. App. 2007); </w:t>
      </w:r>
      <w:r w:rsidR="00771A51">
        <w:rPr>
          <w:rFonts w:eastAsia="Times New Roman"/>
          <w:b/>
          <w:sz w:val="24"/>
          <w:szCs w:val="24"/>
        </w:rPr>
        <w:t>Daly v. Aspen Ctr. for Women’s Health, Inc.</w:t>
      </w:r>
      <w:r w:rsidR="00771A51">
        <w:rPr>
          <w:rFonts w:eastAsia="Times New Roman"/>
          <w:sz w:val="24"/>
          <w:szCs w:val="24"/>
        </w:rPr>
        <w:t>, 134 P.3d 450 (Colo. App. 2005).</w:t>
      </w:r>
    </w:p>
    <w:p w14:paraId="3F08AAE4" w14:textId="77777777" w:rsidR="00E01A1E" w:rsidRDefault="00771A51">
      <w:pPr>
        <w:rPr>
          <w:rFonts w:eastAsia="Times New Roman"/>
          <w:sz w:val="24"/>
          <w:szCs w:val="24"/>
        </w:rPr>
      </w:pPr>
      <w:r>
        <w:rPr>
          <w:rFonts w:eastAsia="Times New Roman"/>
          <w:sz w:val="24"/>
          <w:szCs w:val="24"/>
        </w:rPr>
        <w:br w:type="page"/>
      </w:r>
    </w:p>
    <w:p w14:paraId="4A90B3C9" w14:textId="77777777" w:rsidR="00E01A1E" w:rsidRPr="009E3DA4" w:rsidRDefault="00771A51" w:rsidP="00E01A1E">
      <w:pPr>
        <w:spacing w:after="240"/>
        <w:ind w:left="720" w:hanging="720"/>
        <w:rPr>
          <w:rFonts w:eastAsia="Times New Roman"/>
          <w:b/>
          <w:sz w:val="24"/>
          <w:szCs w:val="24"/>
        </w:rPr>
      </w:pPr>
      <w:bookmarkStart w:id="15" w:name="a8_13"/>
      <w:bookmarkEnd w:id="15"/>
      <w:r w:rsidRPr="008D4A28">
        <w:rPr>
          <w:rFonts w:eastAsia="Times New Roman"/>
          <w:b/>
          <w:sz w:val="24"/>
          <w:szCs w:val="24"/>
        </w:rPr>
        <w:lastRenderedPageBreak/>
        <w:t xml:space="preserve">8:13 </w:t>
      </w:r>
      <w:r w:rsidRPr="008D4A28">
        <w:rPr>
          <w:rFonts w:eastAsia="Times New Roman"/>
          <w:b/>
          <w:sz w:val="24"/>
          <w:szCs w:val="24"/>
        </w:rPr>
        <w:tab/>
        <w:t>SCOPE OF AUTHORITY OR EMPLOYMENT — DEPARTURE</w:t>
      </w:r>
    </w:p>
    <w:p w14:paraId="2C4E0062" w14:textId="18BEFFEE"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 xml:space="preserve">An agent is acting outside the scope of </w:t>
      </w:r>
      <w:r w:rsidR="003E686C" w:rsidRPr="003E686C">
        <w:rPr>
          <w:rFonts w:eastAsia="Times New Roman"/>
          <w:bCs/>
          <w:i/>
          <w:iCs/>
          <w:sz w:val="24"/>
          <w:szCs w:val="24"/>
        </w:rPr>
        <w:t>(insert applicable pronoun)</w:t>
      </w:r>
      <w:r w:rsidRPr="008D4A28">
        <w:rPr>
          <w:rFonts w:eastAsia="Times New Roman"/>
          <w:b/>
          <w:sz w:val="24"/>
          <w:szCs w:val="24"/>
        </w:rPr>
        <w:t xml:space="preserve"> (authority) (employment) when the agent substantially departs from </w:t>
      </w:r>
      <w:r w:rsidR="003E686C" w:rsidRPr="003E686C">
        <w:rPr>
          <w:rFonts w:eastAsia="Times New Roman"/>
          <w:bCs/>
          <w:i/>
          <w:iCs/>
          <w:sz w:val="24"/>
          <w:szCs w:val="24"/>
        </w:rPr>
        <w:t>(insert applicable pronoun)</w:t>
      </w:r>
      <w:r w:rsidRPr="008D4A28">
        <w:rPr>
          <w:rFonts w:eastAsia="Times New Roman"/>
          <w:b/>
          <w:sz w:val="24"/>
          <w:szCs w:val="24"/>
        </w:rPr>
        <w:t xml:space="preserve"> principal’s business by doing an act intended to accomplish an independent purpose of the agent’s own or for some other purpose which is unrelated to the business of the principal and not reasonably included within the scope of the agent’s (authority) (employment). Such departure may be of short duration, but during such time the agent is not acting within the scope of </w:t>
      </w:r>
      <w:r w:rsidR="003E686C" w:rsidRPr="003E686C">
        <w:rPr>
          <w:rFonts w:eastAsia="Times New Roman"/>
          <w:bCs/>
          <w:i/>
          <w:iCs/>
          <w:sz w:val="24"/>
          <w:szCs w:val="24"/>
        </w:rPr>
        <w:t>(insert applicable pronoun)</w:t>
      </w:r>
      <w:r w:rsidRPr="008D4A28">
        <w:rPr>
          <w:rFonts w:eastAsia="Times New Roman"/>
          <w:b/>
          <w:sz w:val="24"/>
          <w:szCs w:val="24"/>
        </w:rPr>
        <w:t xml:space="preserve"> (authority) (employment).</w:t>
      </w:r>
    </w:p>
    <w:p w14:paraId="47718BB0" w14:textId="77777777" w:rsidR="00E01A1E" w:rsidRDefault="00E01A1E" w:rsidP="00E01A1E">
      <w:pPr>
        <w:jc w:val="center"/>
        <w:rPr>
          <w:rFonts w:eastAsia="Times New Roman"/>
          <w:sz w:val="24"/>
          <w:szCs w:val="24"/>
        </w:rPr>
      </w:pPr>
    </w:p>
    <w:p w14:paraId="6A08C1D7"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6D014C50"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1. Use whichever parenthesized word, “authority” or “employment,” is more appropriate.</w:t>
      </w:r>
    </w:p>
    <w:p w14:paraId="65D998E3"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2. When more appropriate, substitute the word “employee” for “agent” and the word “employer” for “principal.”</w:t>
      </w:r>
    </w:p>
    <w:p w14:paraId="67CB382B"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3. When appropriate, this instruction should be given with Instruction 8:8 or 8:9.</w:t>
      </w:r>
    </w:p>
    <w:p w14:paraId="7A36C58D"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2459CB3"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This instruction is based on </w:t>
      </w:r>
      <w:r w:rsidRPr="008D4A28">
        <w:rPr>
          <w:rFonts w:eastAsia="Times New Roman"/>
          <w:b/>
          <w:sz w:val="24"/>
          <w:szCs w:val="24"/>
        </w:rPr>
        <w:t>Kirkpatrick v. McCarty</w:t>
      </w:r>
      <w:r w:rsidRPr="008D4A28">
        <w:rPr>
          <w:rFonts w:eastAsia="Times New Roman"/>
          <w:sz w:val="24"/>
          <w:szCs w:val="24"/>
        </w:rPr>
        <w:t>, 112 Colo. 588, 152 P.2d 994 (1944)</w:t>
      </w:r>
      <w:r>
        <w:rPr>
          <w:rFonts w:eastAsia="Times New Roman"/>
          <w:sz w:val="24"/>
          <w:szCs w:val="24"/>
        </w:rPr>
        <w:t>;</w:t>
      </w:r>
      <w:r w:rsidRPr="008D4A28">
        <w:rPr>
          <w:rFonts w:eastAsia="Times New Roman"/>
          <w:sz w:val="24"/>
          <w:szCs w:val="24"/>
        </w:rPr>
        <w:t xml:space="preserve"> and </w:t>
      </w:r>
      <w:r w:rsidRPr="008D4A28">
        <w:rPr>
          <w:rFonts w:eastAsia="Times New Roman"/>
          <w:b/>
          <w:sz w:val="24"/>
          <w:szCs w:val="24"/>
        </w:rPr>
        <w:t>Marron v. Helmecke</w:t>
      </w:r>
      <w:r w:rsidRPr="008D4A28">
        <w:rPr>
          <w:rFonts w:eastAsia="Times New Roman"/>
          <w:sz w:val="24"/>
          <w:szCs w:val="24"/>
        </w:rPr>
        <w:t xml:space="preserve">, 100 Colo. 364, 67 P.2d 1034 (1937). For additional cases, see </w:t>
      </w:r>
      <w:r>
        <w:rPr>
          <w:rFonts w:eastAsia="Times New Roman"/>
          <w:sz w:val="24"/>
          <w:szCs w:val="24"/>
        </w:rPr>
        <w:t xml:space="preserve">the </w:t>
      </w:r>
      <w:r w:rsidRPr="008D4A28">
        <w:rPr>
          <w:rFonts w:eastAsia="Times New Roman"/>
          <w:sz w:val="24"/>
          <w:szCs w:val="24"/>
        </w:rPr>
        <w:t xml:space="preserve">Source and Authority to Instruction 8:18.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smallCaps/>
          <w:sz w:val="24"/>
          <w:szCs w:val="24"/>
        </w:rPr>
        <w:t>Restatement (Third) of Agency</w:t>
      </w:r>
      <w:r w:rsidRPr="008D4A28">
        <w:rPr>
          <w:rFonts w:eastAsia="Times New Roman"/>
          <w:sz w:val="24"/>
          <w:szCs w:val="24"/>
        </w:rPr>
        <w:t xml:space="preserve"> § 7.07(2) (2006) (defining when act is within or outside scope of authority)</w:t>
      </w:r>
      <w:r>
        <w:rPr>
          <w:rFonts w:eastAsia="Times New Roman"/>
          <w:sz w:val="24"/>
          <w:szCs w:val="24"/>
        </w:rPr>
        <w:t xml:space="preserve">; </w:t>
      </w:r>
      <w:r w:rsidRPr="008D4A28">
        <w:rPr>
          <w:rFonts w:eastAsia="Times New Roman"/>
          <w:smallCaps/>
          <w:sz w:val="24"/>
          <w:szCs w:val="24"/>
        </w:rPr>
        <w:t>Restatement (Second) of Agency</w:t>
      </w:r>
      <w:r w:rsidRPr="008D4A28">
        <w:rPr>
          <w:rFonts w:eastAsia="Times New Roman"/>
          <w:sz w:val="24"/>
          <w:szCs w:val="24"/>
        </w:rPr>
        <w:t xml:space="preserve"> § 228(2) (1958).</w:t>
      </w:r>
    </w:p>
    <w:p w14:paraId="639936D9"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2. A</w:t>
      </w:r>
      <w:r>
        <w:rPr>
          <w:rFonts w:eastAsia="Times New Roman"/>
          <w:sz w:val="24"/>
          <w:szCs w:val="24"/>
        </w:rPr>
        <w:t>n employee</w:t>
      </w:r>
      <w:r w:rsidRPr="008D4A28">
        <w:rPr>
          <w:rFonts w:eastAsia="Times New Roman"/>
          <w:sz w:val="24"/>
          <w:szCs w:val="24"/>
        </w:rPr>
        <w:t xml:space="preserve"> who is lodging in a public accommodation, preparing to eat, or going to or returning from a meal is performing an act necessarily incident to his </w:t>
      </w:r>
      <w:r>
        <w:rPr>
          <w:rFonts w:eastAsia="Times New Roman"/>
          <w:sz w:val="24"/>
          <w:szCs w:val="24"/>
        </w:rPr>
        <w:t xml:space="preserve">or her </w:t>
      </w:r>
      <w:r w:rsidRPr="008D4A28">
        <w:rPr>
          <w:rFonts w:eastAsia="Times New Roman"/>
          <w:sz w:val="24"/>
          <w:szCs w:val="24"/>
        </w:rPr>
        <w:t xml:space="preserve">employment. </w:t>
      </w:r>
      <w:r w:rsidRPr="008D4A28">
        <w:rPr>
          <w:rFonts w:eastAsia="Times New Roman"/>
          <w:b/>
          <w:sz w:val="24"/>
          <w:szCs w:val="24"/>
        </w:rPr>
        <w:t>Hynes v. Donaldson</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155 Colo. 456, 395 P.2d 221 (1964).</w:t>
      </w:r>
    </w:p>
    <w:p w14:paraId="07DA090A"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3. As to when a departure may not be substantial, see</w:t>
      </w:r>
      <w:r w:rsidRPr="008D4A28">
        <w:rPr>
          <w:rFonts w:eastAsia="Times New Roman"/>
          <w:i/>
          <w:sz w:val="24"/>
          <w:szCs w:val="24"/>
        </w:rPr>
        <w:t xml:space="preserve"> </w:t>
      </w:r>
      <w:r w:rsidRPr="008D4A28">
        <w:rPr>
          <w:rFonts w:eastAsia="Times New Roman"/>
          <w:b/>
          <w:sz w:val="24"/>
          <w:szCs w:val="24"/>
        </w:rPr>
        <w:t>Gibson v. Dupree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324, 144 P. 1133 (1914).</w:t>
      </w:r>
    </w:p>
    <w:p w14:paraId="52996ED1" w14:textId="77777777" w:rsidR="00E01A1E" w:rsidRDefault="00771A51">
      <w:pPr>
        <w:rPr>
          <w:rFonts w:eastAsia="Times New Roman"/>
          <w:sz w:val="24"/>
          <w:szCs w:val="24"/>
        </w:rPr>
      </w:pPr>
      <w:r>
        <w:rPr>
          <w:rFonts w:eastAsia="Times New Roman"/>
          <w:sz w:val="24"/>
          <w:szCs w:val="24"/>
        </w:rPr>
        <w:br w:type="page"/>
      </w:r>
    </w:p>
    <w:p w14:paraId="633D2BE1" w14:textId="77777777" w:rsidR="00E01A1E" w:rsidRPr="009E3DA4" w:rsidRDefault="00771A51" w:rsidP="00E01A1E">
      <w:pPr>
        <w:spacing w:after="240"/>
        <w:ind w:left="720" w:hanging="720"/>
        <w:rPr>
          <w:rFonts w:eastAsia="Times New Roman"/>
          <w:b/>
          <w:sz w:val="24"/>
          <w:szCs w:val="24"/>
        </w:rPr>
      </w:pPr>
      <w:bookmarkStart w:id="16" w:name="a8_14"/>
      <w:bookmarkEnd w:id="16"/>
      <w:r w:rsidRPr="008D4A28">
        <w:rPr>
          <w:rFonts w:eastAsia="Times New Roman"/>
          <w:b/>
          <w:sz w:val="24"/>
          <w:szCs w:val="24"/>
        </w:rPr>
        <w:lastRenderedPageBreak/>
        <w:t xml:space="preserve">8:14 </w:t>
      </w:r>
      <w:r w:rsidRPr="008D4A28">
        <w:rPr>
          <w:rFonts w:eastAsia="Times New Roman"/>
          <w:b/>
          <w:sz w:val="24"/>
          <w:szCs w:val="24"/>
        </w:rPr>
        <w:tab/>
        <w:t>RATIFICATION — DEFINITION AND EFFECT</w:t>
      </w:r>
    </w:p>
    <w:p w14:paraId="3CC93C6B" w14:textId="77777777"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A person may act as the agent for another without authority. If the person for whom the act was done has full knowledge of all the important facts, that person may, by words or conduct, ratify or accept the action after it was done. Ratification after the action is the same as authorization before the action.</w:t>
      </w:r>
    </w:p>
    <w:p w14:paraId="0F1F9B02" w14:textId="77777777" w:rsidR="00E01A1E" w:rsidRDefault="00E01A1E" w:rsidP="00E01A1E">
      <w:pPr>
        <w:jc w:val="center"/>
        <w:rPr>
          <w:rFonts w:eastAsia="Times New Roman"/>
          <w:sz w:val="24"/>
          <w:szCs w:val="24"/>
        </w:rPr>
      </w:pPr>
    </w:p>
    <w:p w14:paraId="4A8A4FCD"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37244E87"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Where a person expressly ratifies an act under circumstances that make it appear that person is assuming the risk of any lack of complete knowledge, such ratification may still be effective even though the person lacks full knowledge. </w:t>
      </w:r>
      <w:r w:rsidRPr="008D4A28">
        <w:rPr>
          <w:rFonts w:eastAsia="Times New Roman"/>
          <w:b/>
          <w:sz w:val="24"/>
          <w:szCs w:val="24"/>
        </w:rPr>
        <w:t>W</w:t>
      </w:r>
      <w:r>
        <w:rPr>
          <w:rFonts w:eastAsia="Times New Roman"/>
          <w:b/>
          <w:sz w:val="24"/>
          <w:szCs w:val="24"/>
        </w:rPr>
        <w:t>.</w:t>
      </w:r>
      <w:r w:rsidRPr="008D4A28">
        <w:rPr>
          <w:rFonts w:eastAsia="Times New Roman"/>
          <w:b/>
          <w:sz w:val="24"/>
          <w:szCs w:val="24"/>
        </w:rPr>
        <w:t xml:space="preserve"> Inv. &amp; Land Co. v. First Nat’l Bank</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64 Colo. 37, 172 P. 6 (1918). In such circumstances, this instruction should be appropriately modified.</w:t>
      </w:r>
    </w:p>
    <w:p w14:paraId="06E56FD5"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2AFFE93D" w14:textId="004804E1"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This instruction is supported by </w:t>
      </w:r>
      <w:r w:rsidRPr="008D4A28">
        <w:rPr>
          <w:rFonts w:eastAsia="Times New Roman"/>
          <w:b/>
          <w:sz w:val="24"/>
          <w:szCs w:val="24"/>
        </w:rPr>
        <w:t>Nunnally v. Hilderman</w:t>
      </w:r>
      <w:r w:rsidRPr="008D4A28">
        <w:rPr>
          <w:rFonts w:eastAsia="Times New Roman"/>
          <w:sz w:val="24"/>
          <w:szCs w:val="24"/>
        </w:rPr>
        <w:t>, 150 Colo. 363, 373 P.2d 940 (1962);</w:t>
      </w:r>
      <w:r>
        <w:rPr>
          <w:rFonts w:eastAsia="Times New Roman"/>
          <w:sz w:val="24"/>
          <w:szCs w:val="24"/>
        </w:rPr>
        <w:t xml:space="preserve"> </w:t>
      </w:r>
      <w:r w:rsidR="00C5367C">
        <w:rPr>
          <w:rFonts w:eastAsia="Times New Roman"/>
          <w:b/>
          <w:bCs/>
          <w:sz w:val="24"/>
          <w:szCs w:val="24"/>
        </w:rPr>
        <w:t>Fresquez v. Trinidad Inn, Inc.</w:t>
      </w:r>
      <w:r w:rsidR="00C5367C">
        <w:rPr>
          <w:rFonts w:eastAsia="Times New Roman"/>
          <w:sz w:val="24"/>
          <w:szCs w:val="24"/>
        </w:rPr>
        <w:t>, 2022 COA 96, ¶ 60</w:t>
      </w:r>
      <w:r w:rsidR="0000701C">
        <w:rPr>
          <w:rFonts w:eastAsia="Times New Roman"/>
          <w:sz w:val="24"/>
          <w:szCs w:val="24"/>
        </w:rPr>
        <w:t>, 521 P.3d 399</w:t>
      </w:r>
      <w:r w:rsidR="00C5367C">
        <w:rPr>
          <w:rFonts w:eastAsia="Times New Roman"/>
          <w:sz w:val="24"/>
          <w:szCs w:val="24"/>
        </w:rPr>
        <w:t xml:space="preserve">; </w:t>
      </w:r>
      <w:r>
        <w:rPr>
          <w:rFonts w:eastAsia="Times New Roman"/>
          <w:b/>
          <w:sz w:val="24"/>
          <w:szCs w:val="24"/>
        </w:rPr>
        <w:t>Fiscus v. Liberty Mortgage Corp.</w:t>
      </w:r>
      <w:r>
        <w:rPr>
          <w:rFonts w:eastAsia="Times New Roman"/>
          <w:sz w:val="24"/>
          <w:szCs w:val="24"/>
        </w:rPr>
        <w:t xml:space="preserve">, 2014 COA 79, ¶ 40, 373 P.3d 644, </w:t>
      </w:r>
      <w:r w:rsidRPr="00992C84">
        <w:rPr>
          <w:rFonts w:eastAsia="Times New Roman"/>
          <w:i/>
          <w:sz w:val="24"/>
          <w:szCs w:val="24"/>
        </w:rPr>
        <w:t>aff’d</w:t>
      </w:r>
      <w:r>
        <w:rPr>
          <w:rFonts w:eastAsia="Times New Roman"/>
          <w:i/>
          <w:sz w:val="24"/>
          <w:szCs w:val="24"/>
        </w:rPr>
        <w:t xml:space="preserve"> on other grounds</w:t>
      </w:r>
      <w:r>
        <w:rPr>
          <w:rFonts w:eastAsia="Times New Roman"/>
          <w:sz w:val="24"/>
          <w:szCs w:val="24"/>
        </w:rPr>
        <w:t>, 2016 CO 31, 379 P.3d 278;</w:t>
      </w:r>
      <w:r w:rsidRPr="008D4A28">
        <w:rPr>
          <w:rFonts w:eastAsia="Times New Roman"/>
          <w:sz w:val="24"/>
          <w:szCs w:val="24"/>
        </w:rPr>
        <w:t xml:space="preserve"> </w:t>
      </w:r>
      <w:r>
        <w:rPr>
          <w:rFonts w:eastAsia="Times New Roman"/>
          <w:b/>
          <w:sz w:val="24"/>
          <w:szCs w:val="24"/>
        </w:rPr>
        <w:t xml:space="preserve">Siener v. </w:t>
      </w:r>
      <w:r w:rsidRPr="00263AAC">
        <w:rPr>
          <w:rFonts w:eastAsia="Times New Roman"/>
          <w:b/>
          <w:sz w:val="24"/>
          <w:szCs w:val="24"/>
        </w:rPr>
        <w:t>Zeff</w:t>
      </w:r>
      <w:r>
        <w:rPr>
          <w:rFonts w:eastAsia="Times New Roman"/>
          <w:sz w:val="24"/>
          <w:szCs w:val="24"/>
        </w:rPr>
        <w:t>, 194 P.3d 467 (Colo. App. 2008);</w:t>
      </w:r>
      <w:r>
        <w:rPr>
          <w:rFonts w:eastAsia="Times New Roman"/>
          <w:b/>
          <w:sz w:val="24"/>
          <w:szCs w:val="24"/>
        </w:rPr>
        <w:t xml:space="preserve"> </w:t>
      </w:r>
      <w:r w:rsidRPr="00263AAC">
        <w:rPr>
          <w:rFonts w:eastAsia="Times New Roman"/>
          <w:b/>
          <w:sz w:val="24"/>
          <w:szCs w:val="24"/>
        </w:rPr>
        <w:t>DeBose</w:t>
      </w:r>
      <w:r w:rsidRPr="008D4A28">
        <w:rPr>
          <w:rFonts w:eastAsia="Times New Roman"/>
          <w:b/>
          <w:sz w:val="24"/>
          <w:szCs w:val="24"/>
        </w:rPr>
        <w:t xml:space="preserve"> v. Bear Valley Church of Christ</w:t>
      </w:r>
      <w:r w:rsidRPr="008D4A28">
        <w:rPr>
          <w:rFonts w:eastAsia="Times New Roman"/>
          <w:sz w:val="24"/>
          <w:szCs w:val="24"/>
        </w:rPr>
        <w:t>, 890 P.2d 214 (Colo.</w:t>
      </w:r>
      <w:r>
        <w:rPr>
          <w:rFonts w:eastAsia="Times New Roman"/>
          <w:sz w:val="24"/>
          <w:szCs w:val="24"/>
        </w:rPr>
        <w:t xml:space="preserve"> </w:t>
      </w:r>
      <w:r w:rsidRPr="008D4A28">
        <w:rPr>
          <w:rFonts w:eastAsia="Times New Roman"/>
          <w:sz w:val="24"/>
          <w:szCs w:val="24"/>
        </w:rPr>
        <w:t xml:space="preserve">App. 1994), </w:t>
      </w:r>
      <w:r w:rsidRPr="008D4A28">
        <w:rPr>
          <w:rFonts w:eastAsia="Times New Roman"/>
          <w:i/>
          <w:sz w:val="24"/>
          <w:szCs w:val="24"/>
        </w:rPr>
        <w:t>rev’d on other ground</w:t>
      </w:r>
      <w:r>
        <w:rPr>
          <w:rFonts w:eastAsia="Times New Roman"/>
          <w:i/>
          <w:sz w:val="24"/>
          <w:szCs w:val="24"/>
        </w:rPr>
        <w:t>s</w:t>
      </w:r>
      <w:r w:rsidRPr="008D4A28">
        <w:rPr>
          <w:rFonts w:eastAsia="Times New Roman"/>
          <w:sz w:val="24"/>
          <w:szCs w:val="24"/>
        </w:rPr>
        <w:t>,</w:t>
      </w:r>
      <w:r w:rsidRPr="008D4A28">
        <w:rPr>
          <w:rFonts w:eastAsia="Times New Roman"/>
          <w:i/>
          <w:sz w:val="24"/>
          <w:szCs w:val="24"/>
        </w:rPr>
        <w:t xml:space="preserve"> </w:t>
      </w:r>
      <w:r w:rsidRPr="008D4A28">
        <w:rPr>
          <w:rFonts w:eastAsia="Times New Roman"/>
          <w:sz w:val="24"/>
          <w:szCs w:val="24"/>
        </w:rPr>
        <w:t xml:space="preserve">928 P.2d 1315 (Colo. 1996); </w:t>
      </w:r>
      <w:r w:rsidRPr="008D4A28">
        <w:rPr>
          <w:rFonts w:eastAsia="Times New Roman"/>
          <w:b/>
          <w:sz w:val="24"/>
          <w:szCs w:val="24"/>
        </w:rPr>
        <w:t>Hauser v. Rose Health Care Sys</w:t>
      </w:r>
      <w:r>
        <w:rPr>
          <w:rFonts w:eastAsia="Times New Roman"/>
          <w:b/>
          <w:sz w:val="24"/>
          <w:szCs w:val="24"/>
        </w:rPr>
        <w:t>tems</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857 P.2d 524 (Colo.</w:t>
      </w:r>
      <w:r>
        <w:rPr>
          <w:rFonts w:eastAsia="Times New Roman"/>
          <w:sz w:val="24"/>
          <w:szCs w:val="24"/>
        </w:rPr>
        <w:t xml:space="preserve"> </w:t>
      </w:r>
      <w:r w:rsidRPr="008D4A28">
        <w:rPr>
          <w:rFonts w:eastAsia="Times New Roman"/>
          <w:sz w:val="24"/>
          <w:szCs w:val="24"/>
        </w:rPr>
        <w:t>App.</w:t>
      </w:r>
      <w:r>
        <w:rPr>
          <w:rFonts w:eastAsia="Times New Roman"/>
          <w:sz w:val="24"/>
          <w:szCs w:val="24"/>
        </w:rPr>
        <w:t xml:space="preserve"> 1993</w:t>
      </w:r>
      <w:r w:rsidRPr="008D4A28">
        <w:rPr>
          <w:rFonts w:eastAsia="Times New Roman"/>
          <w:sz w:val="24"/>
          <w:szCs w:val="24"/>
        </w:rPr>
        <w:t xml:space="preserve">); </w:t>
      </w:r>
      <w:r>
        <w:rPr>
          <w:rFonts w:eastAsia="Times New Roman"/>
          <w:sz w:val="24"/>
          <w:szCs w:val="24"/>
        </w:rPr>
        <w:t xml:space="preserve">and </w:t>
      </w:r>
      <w:r w:rsidRPr="008D4A28">
        <w:rPr>
          <w:rFonts w:eastAsia="Times New Roman"/>
          <w:b/>
          <w:sz w:val="24"/>
          <w:szCs w:val="24"/>
        </w:rPr>
        <w:t>M.S.P. Indus</w:t>
      </w:r>
      <w:r>
        <w:rPr>
          <w:rFonts w:eastAsia="Times New Roman"/>
          <w:b/>
          <w:sz w:val="24"/>
          <w:szCs w:val="24"/>
        </w:rPr>
        <w:t>tries</w:t>
      </w:r>
      <w:r w:rsidRPr="008D4A28">
        <w:rPr>
          <w:rFonts w:eastAsia="Times New Roman"/>
          <w:b/>
          <w:sz w:val="24"/>
          <w:szCs w:val="24"/>
        </w:rPr>
        <w:t>, Inc. v. Diversified Mortg</w:t>
      </w:r>
      <w:r>
        <w:rPr>
          <w:rFonts w:eastAsia="Times New Roman"/>
          <w:b/>
          <w:sz w:val="24"/>
          <w:szCs w:val="24"/>
        </w:rPr>
        <w:t>age</w:t>
      </w:r>
      <w:r w:rsidRPr="008D4A28">
        <w:rPr>
          <w:rFonts w:eastAsia="Times New Roman"/>
          <w:b/>
          <w:sz w:val="24"/>
          <w:szCs w:val="24"/>
        </w:rPr>
        <w:t xml:space="preserve"> Serv</w:t>
      </w:r>
      <w:r>
        <w:rPr>
          <w:rFonts w:eastAsia="Times New Roman"/>
          <w:b/>
          <w:sz w:val="24"/>
          <w:szCs w:val="24"/>
        </w:rPr>
        <w:t>ice</w:t>
      </w:r>
      <w:r w:rsidRPr="008D4A28">
        <w:rPr>
          <w:rFonts w:eastAsia="Times New Roman"/>
          <w:b/>
          <w:sz w:val="24"/>
          <w:szCs w:val="24"/>
        </w:rPr>
        <w:t>s, Inc.</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777 P.2d 237 (Colo.</w:t>
      </w:r>
      <w:r>
        <w:rPr>
          <w:rFonts w:eastAsia="Times New Roman"/>
          <w:sz w:val="24"/>
          <w:szCs w:val="24"/>
        </w:rPr>
        <w:t xml:space="preserve"> </w:t>
      </w:r>
      <w:r w:rsidRPr="008D4A28">
        <w:rPr>
          <w:rFonts w:eastAsia="Times New Roman"/>
          <w:sz w:val="24"/>
          <w:szCs w:val="24"/>
        </w:rPr>
        <w:t>App. 1989) (discusses both requirements and effect of a ratification).</w:t>
      </w:r>
    </w:p>
    <w:p w14:paraId="36A39F1B"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2. The legal effect of a ratification as set out in the last sentence of this instruction is supported by </w:t>
      </w:r>
      <w:r w:rsidRPr="008D4A28">
        <w:rPr>
          <w:rFonts w:eastAsia="Times New Roman"/>
          <w:b/>
          <w:sz w:val="24"/>
          <w:szCs w:val="24"/>
        </w:rPr>
        <w:t>Poudre Valley Furniture Co. v. Craw</w:t>
      </w:r>
      <w:r w:rsidRPr="008D4A28">
        <w:rPr>
          <w:rFonts w:eastAsia="Times New Roman"/>
          <w:sz w:val="24"/>
          <w:szCs w:val="24"/>
        </w:rPr>
        <w:t xml:space="preserve">, 80 Colo. 353, 251 P. 543 (1926).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Philips Indus., Inc. v. Mathews, Inc.</w:t>
      </w:r>
      <w:r w:rsidRPr="008D4A28">
        <w:rPr>
          <w:rFonts w:eastAsia="Times New Roman"/>
          <w:sz w:val="24"/>
          <w:szCs w:val="24"/>
        </w:rPr>
        <w:t>, 711 P.2d 704, 706 (Colo.</w:t>
      </w:r>
      <w:r>
        <w:rPr>
          <w:rFonts w:eastAsia="Times New Roman"/>
          <w:sz w:val="24"/>
          <w:szCs w:val="24"/>
        </w:rPr>
        <w:t xml:space="preserve"> </w:t>
      </w:r>
      <w:r w:rsidRPr="008D4A28">
        <w:rPr>
          <w:rFonts w:eastAsia="Times New Roman"/>
          <w:sz w:val="24"/>
          <w:szCs w:val="24"/>
        </w:rPr>
        <w:t>App. 1985) (the legal effect of ratification of unauthorized sale by agent includes “the agent’s entitlement to its usual commissions, fees, and expenses”).</w:t>
      </w:r>
    </w:p>
    <w:p w14:paraId="3E1B8F66" w14:textId="77777777" w:rsidR="00E01A1E" w:rsidRDefault="00771A51" w:rsidP="00E01A1E">
      <w:pPr>
        <w:spacing w:after="240"/>
        <w:ind w:firstLine="720"/>
        <w:rPr>
          <w:rFonts w:eastAsia="Times New Roman"/>
          <w:sz w:val="24"/>
          <w:szCs w:val="24"/>
        </w:rPr>
      </w:pPr>
      <w:r w:rsidRPr="008D4A28">
        <w:rPr>
          <w:rFonts w:eastAsia="Times New Roman"/>
          <w:sz w:val="24"/>
          <w:szCs w:val="24"/>
        </w:rPr>
        <w:t xml:space="preserve">3. A failure to act to repudiate an agent’s act may constitute ratification. </w:t>
      </w:r>
      <w:r w:rsidRPr="008D4A28">
        <w:rPr>
          <w:rFonts w:eastAsia="Times New Roman"/>
          <w:b/>
          <w:sz w:val="24"/>
          <w:szCs w:val="24"/>
        </w:rPr>
        <w:t>Siener</w:t>
      </w:r>
      <w:r w:rsidRPr="008D4A28">
        <w:rPr>
          <w:rFonts w:eastAsia="Times New Roman"/>
          <w:sz w:val="24"/>
          <w:szCs w:val="24"/>
        </w:rPr>
        <w:t xml:space="preserve">, 194 P.3d </w:t>
      </w:r>
      <w:r>
        <w:rPr>
          <w:rFonts w:eastAsia="Times New Roman"/>
          <w:sz w:val="24"/>
          <w:szCs w:val="24"/>
        </w:rPr>
        <w:t xml:space="preserve">at 472 </w:t>
      </w:r>
      <w:r w:rsidRPr="008D4A28">
        <w:rPr>
          <w:rFonts w:eastAsia="Times New Roman"/>
          <w:sz w:val="24"/>
          <w:szCs w:val="24"/>
        </w:rPr>
        <w:t xml:space="preserve">(acceptance of benefits, failure to repudiate, knowledge of circumstances all factors to consider in determining whether client whose attorney makes an unauthorized settlement has ratified it). </w:t>
      </w:r>
    </w:p>
    <w:p w14:paraId="4259058F" w14:textId="115326E8" w:rsidR="00E01A1E" w:rsidRPr="00C15BE2" w:rsidRDefault="00771A51" w:rsidP="00E01A1E">
      <w:pPr>
        <w:spacing w:after="240"/>
        <w:ind w:firstLine="720"/>
        <w:rPr>
          <w:rFonts w:eastAsia="Times New Roman"/>
          <w:sz w:val="24"/>
          <w:szCs w:val="24"/>
        </w:rPr>
      </w:pPr>
      <w:r>
        <w:rPr>
          <w:rFonts w:eastAsia="Times New Roman"/>
          <w:sz w:val="24"/>
          <w:szCs w:val="24"/>
        </w:rPr>
        <w:t xml:space="preserve">4. The burden of proving ratification with full knowledge of all material facts is on the party alleging ratification occurred. </w:t>
      </w:r>
      <w:r>
        <w:rPr>
          <w:rFonts w:eastAsia="Times New Roman"/>
          <w:b/>
          <w:sz w:val="24"/>
          <w:szCs w:val="24"/>
        </w:rPr>
        <w:t>Fiscus</w:t>
      </w:r>
      <w:r>
        <w:rPr>
          <w:rFonts w:eastAsia="Times New Roman"/>
          <w:sz w:val="24"/>
          <w:szCs w:val="24"/>
        </w:rPr>
        <w:t>, ¶ 40</w:t>
      </w:r>
      <w:r w:rsidR="0090551B">
        <w:rPr>
          <w:rFonts w:eastAsia="Times New Roman"/>
          <w:sz w:val="24"/>
          <w:szCs w:val="24"/>
        </w:rPr>
        <w:t>, 373 P.3d at 652</w:t>
      </w:r>
      <w:r>
        <w:rPr>
          <w:rFonts w:eastAsia="Times New Roman"/>
          <w:sz w:val="24"/>
          <w:szCs w:val="24"/>
        </w:rPr>
        <w:t xml:space="preserve">; </w:t>
      </w:r>
      <w:r>
        <w:rPr>
          <w:rFonts w:eastAsia="Times New Roman"/>
          <w:b/>
          <w:sz w:val="24"/>
          <w:szCs w:val="24"/>
        </w:rPr>
        <w:t>Siener</w:t>
      </w:r>
      <w:r>
        <w:rPr>
          <w:rFonts w:eastAsia="Times New Roman"/>
          <w:sz w:val="24"/>
          <w:szCs w:val="24"/>
        </w:rPr>
        <w:t>, 194 P.3d at 472.</w:t>
      </w:r>
    </w:p>
    <w:p w14:paraId="6C37200E" w14:textId="77777777" w:rsidR="00E01A1E" w:rsidRDefault="00771A51">
      <w:pPr>
        <w:rPr>
          <w:rFonts w:eastAsia="Times New Roman"/>
          <w:sz w:val="24"/>
          <w:szCs w:val="24"/>
        </w:rPr>
      </w:pPr>
      <w:r>
        <w:rPr>
          <w:rFonts w:eastAsia="Times New Roman"/>
          <w:sz w:val="24"/>
          <w:szCs w:val="24"/>
        </w:rPr>
        <w:br w:type="page"/>
      </w:r>
    </w:p>
    <w:p w14:paraId="19D5A283" w14:textId="77777777" w:rsidR="00E01A1E" w:rsidRPr="009E3DA4" w:rsidRDefault="00771A51" w:rsidP="00E01A1E">
      <w:pPr>
        <w:spacing w:after="240"/>
        <w:ind w:left="720" w:hanging="720"/>
        <w:rPr>
          <w:rFonts w:eastAsia="Times New Roman"/>
          <w:b/>
          <w:sz w:val="24"/>
          <w:szCs w:val="24"/>
        </w:rPr>
      </w:pPr>
      <w:bookmarkStart w:id="17" w:name="a8_15"/>
      <w:bookmarkEnd w:id="17"/>
      <w:r w:rsidRPr="008D4A28">
        <w:rPr>
          <w:rFonts w:eastAsia="Times New Roman"/>
          <w:b/>
          <w:sz w:val="24"/>
          <w:szCs w:val="24"/>
        </w:rPr>
        <w:lastRenderedPageBreak/>
        <w:t xml:space="preserve">8:15 </w:t>
      </w:r>
      <w:r w:rsidRPr="008D4A28">
        <w:rPr>
          <w:rFonts w:eastAsia="Times New Roman"/>
          <w:b/>
          <w:sz w:val="24"/>
          <w:szCs w:val="24"/>
        </w:rPr>
        <w:tab/>
        <w:t>KNOWLEDGE OF AGENT IMPUTABLE TO PRINCIPAL</w:t>
      </w:r>
    </w:p>
    <w:p w14:paraId="33C844F2" w14:textId="77777777"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A principal is considered to know or have notice of information if the principal’s agent, while acting within the scope of the agent’s authority, learns or receives notice of the information.</w:t>
      </w:r>
    </w:p>
    <w:p w14:paraId="2509CB16" w14:textId="77777777" w:rsidR="00E01A1E" w:rsidRDefault="00E01A1E" w:rsidP="00E01A1E">
      <w:pPr>
        <w:jc w:val="center"/>
        <w:rPr>
          <w:rFonts w:eastAsia="Times New Roman"/>
          <w:sz w:val="24"/>
          <w:szCs w:val="24"/>
        </w:rPr>
      </w:pPr>
    </w:p>
    <w:p w14:paraId="03C0D64D"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17E9EA25"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In certain cases, knowledge acquired by an agent prior to becoming an agent may also be imputable to the agent’s principal. </w:t>
      </w:r>
      <w:r w:rsidRPr="001C6CE5">
        <w:rPr>
          <w:rFonts w:eastAsia="Times New Roman"/>
          <w:i/>
          <w:sz w:val="24"/>
          <w:szCs w:val="24"/>
        </w:rPr>
        <w:t>See</w:t>
      </w:r>
      <w:r>
        <w:rPr>
          <w:rFonts w:eastAsia="Times New Roman"/>
          <w:sz w:val="24"/>
          <w:szCs w:val="24"/>
        </w:rPr>
        <w:t xml:space="preserve"> </w:t>
      </w:r>
      <w:r w:rsidRPr="008D4A28">
        <w:rPr>
          <w:rFonts w:eastAsia="Times New Roman"/>
          <w:b/>
          <w:sz w:val="24"/>
          <w:szCs w:val="24"/>
        </w:rPr>
        <w:t>Schollay v. Moffitt-West Drug Co.</w:t>
      </w:r>
      <w:r w:rsidRPr="008D4A28">
        <w:rPr>
          <w:rFonts w:eastAsia="Times New Roman"/>
          <w:sz w:val="24"/>
          <w:szCs w:val="24"/>
        </w:rPr>
        <w:t>, 17 Colo.</w:t>
      </w:r>
      <w:r>
        <w:rPr>
          <w:rFonts w:eastAsia="Times New Roman"/>
          <w:sz w:val="24"/>
          <w:szCs w:val="24"/>
        </w:rPr>
        <w:t xml:space="preserve"> </w:t>
      </w:r>
      <w:r w:rsidRPr="008D4A28">
        <w:rPr>
          <w:rFonts w:eastAsia="Times New Roman"/>
          <w:sz w:val="24"/>
          <w:szCs w:val="24"/>
        </w:rPr>
        <w:t>App. 126, 67 P. 182, 184 (1901)</w:t>
      </w:r>
      <w:r>
        <w:rPr>
          <w:rFonts w:eastAsia="Times New Roman"/>
          <w:sz w:val="24"/>
          <w:szCs w:val="24"/>
        </w:rPr>
        <w:t>.</w:t>
      </w:r>
      <w:r w:rsidRPr="008D4A28">
        <w:rPr>
          <w:rFonts w:eastAsia="Times New Roman"/>
          <w:sz w:val="24"/>
          <w:szCs w:val="24"/>
        </w:rPr>
        <w:t xml:space="preserve"> In such cases this instruction should be appropriately modified.</w:t>
      </w:r>
    </w:p>
    <w:p w14:paraId="03C83A54"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3372546D"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This instruction is supported by </w:t>
      </w:r>
      <w:r w:rsidRPr="003D4122">
        <w:rPr>
          <w:rFonts w:eastAsia="Times New Roman"/>
          <w:b/>
          <w:sz w:val="24"/>
          <w:szCs w:val="24"/>
        </w:rPr>
        <w:t>Filatov v. Turnage</w:t>
      </w:r>
      <w:r w:rsidRPr="003D4122">
        <w:rPr>
          <w:rFonts w:eastAsia="Times New Roman"/>
          <w:sz w:val="24"/>
          <w:szCs w:val="24"/>
        </w:rPr>
        <w:t xml:space="preserve">, 2019 COA 120, ¶ 21, </w:t>
      </w:r>
      <w:r>
        <w:rPr>
          <w:rFonts w:eastAsia="Times New Roman"/>
          <w:sz w:val="24"/>
          <w:szCs w:val="24"/>
        </w:rPr>
        <w:t xml:space="preserve">451 P.3d 1263, 1268 </w:t>
      </w:r>
      <w:r w:rsidRPr="003D4122">
        <w:rPr>
          <w:rFonts w:eastAsia="Times New Roman"/>
          <w:sz w:val="24"/>
          <w:szCs w:val="24"/>
        </w:rPr>
        <w:t>(“Notice to an agent is notice to the principal.”);</w:t>
      </w:r>
      <w:r>
        <w:rPr>
          <w:rFonts w:eastAsia="Times New Roman"/>
          <w:sz w:val="24"/>
          <w:szCs w:val="24"/>
        </w:rPr>
        <w:t xml:space="preserve"> </w:t>
      </w:r>
      <w:r w:rsidRPr="008D4A28">
        <w:rPr>
          <w:rFonts w:eastAsia="Times New Roman"/>
          <w:b/>
          <w:sz w:val="24"/>
          <w:szCs w:val="24"/>
        </w:rPr>
        <w:t>Gray v. Blake</w:t>
      </w:r>
      <w:r w:rsidRPr="008D4A28">
        <w:rPr>
          <w:rFonts w:eastAsia="Times New Roman"/>
          <w:sz w:val="24"/>
          <w:szCs w:val="24"/>
        </w:rPr>
        <w:t xml:space="preserve">, 131 Colo. 560, 283 P.2d 1078 (1955); </w:t>
      </w:r>
      <w:r>
        <w:rPr>
          <w:rFonts w:eastAsia="Times New Roman"/>
          <w:sz w:val="24"/>
          <w:szCs w:val="24"/>
        </w:rPr>
        <w:t xml:space="preserve">and </w:t>
      </w:r>
      <w:r w:rsidRPr="008D4A28">
        <w:rPr>
          <w:rFonts w:eastAsia="Times New Roman"/>
          <w:b/>
          <w:sz w:val="24"/>
          <w:szCs w:val="24"/>
        </w:rPr>
        <w:t>Denver, S. P. &amp; P. R.R. v. Conway</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 xml:space="preserve">8 Colo. 1, 5 P. 142 (1884). </w:t>
      </w:r>
      <w:r w:rsidRPr="008D4A28">
        <w:rPr>
          <w:rFonts w:eastAsia="Times New Roman"/>
          <w:i/>
          <w:sz w:val="24"/>
          <w:szCs w:val="24"/>
        </w:rPr>
        <w:t>See also</w:t>
      </w:r>
      <w:r w:rsidRPr="008D4A28">
        <w:rPr>
          <w:rFonts w:eastAsia="Times New Roman"/>
          <w:sz w:val="24"/>
          <w:szCs w:val="24"/>
        </w:rPr>
        <w:t xml:space="preserve"> </w:t>
      </w:r>
      <w:r w:rsidRPr="008D4A28">
        <w:rPr>
          <w:rFonts w:eastAsia="Times New Roman"/>
          <w:b/>
          <w:sz w:val="24"/>
          <w:szCs w:val="24"/>
        </w:rPr>
        <w:t>Hauser v. Rose Health Care Sys.</w:t>
      </w:r>
      <w:r w:rsidRPr="008D4A28">
        <w:rPr>
          <w:rFonts w:eastAsia="Times New Roman"/>
          <w:sz w:val="24"/>
          <w:szCs w:val="24"/>
        </w:rPr>
        <w:t>, 857 P.2d 524 (Colo.</w:t>
      </w:r>
      <w:r>
        <w:rPr>
          <w:rFonts w:eastAsia="Times New Roman"/>
          <w:sz w:val="24"/>
          <w:szCs w:val="24"/>
        </w:rPr>
        <w:t xml:space="preserve"> </w:t>
      </w:r>
      <w:r w:rsidRPr="008D4A28">
        <w:rPr>
          <w:rFonts w:eastAsia="Times New Roman"/>
          <w:sz w:val="24"/>
          <w:szCs w:val="24"/>
        </w:rPr>
        <w:t>App.</w:t>
      </w:r>
      <w:r>
        <w:rPr>
          <w:rFonts w:eastAsia="Times New Roman"/>
          <w:sz w:val="24"/>
          <w:szCs w:val="24"/>
        </w:rPr>
        <w:t xml:space="preserve"> </w:t>
      </w:r>
      <w:r w:rsidRPr="008D4A28">
        <w:rPr>
          <w:rFonts w:eastAsia="Times New Roman"/>
          <w:sz w:val="24"/>
          <w:szCs w:val="24"/>
        </w:rPr>
        <w:t>1993)</w:t>
      </w:r>
      <w:r>
        <w:rPr>
          <w:rFonts w:eastAsia="Times New Roman"/>
          <w:sz w:val="24"/>
          <w:szCs w:val="24"/>
        </w:rPr>
        <w:t xml:space="preserve">; </w:t>
      </w:r>
      <w:r w:rsidRPr="00B733D7">
        <w:rPr>
          <w:rFonts w:eastAsia="Times New Roman"/>
          <w:smallCaps/>
          <w:sz w:val="24"/>
          <w:szCs w:val="24"/>
        </w:rPr>
        <w:t>Restatement (Third) of Agency</w:t>
      </w:r>
      <w:r>
        <w:rPr>
          <w:rFonts w:eastAsia="Times New Roman"/>
          <w:sz w:val="24"/>
          <w:szCs w:val="24"/>
        </w:rPr>
        <w:t>, § 5.02 (2006)</w:t>
      </w:r>
      <w:r w:rsidRPr="008D4A28">
        <w:rPr>
          <w:rFonts w:eastAsia="Times New Roman"/>
          <w:sz w:val="24"/>
          <w:szCs w:val="24"/>
        </w:rPr>
        <w:t>.</w:t>
      </w:r>
    </w:p>
    <w:p w14:paraId="441D9E02" w14:textId="77777777" w:rsidR="00E01A1E" w:rsidRPr="008D4A28" w:rsidRDefault="00771A51" w:rsidP="00E01A1E">
      <w:pPr>
        <w:spacing w:after="240"/>
        <w:ind w:firstLine="720"/>
        <w:rPr>
          <w:rFonts w:eastAsia="Times New Roman"/>
          <w:sz w:val="24"/>
          <w:szCs w:val="24"/>
        </w:rPr>
      </w:pPr>
      <w:r>
        <w:rPr>
          <w:rFonts w:eastAsia="Times New Roman"/>
          <w:sz w:val="24"/>
          <w:szCs w:val="24"/>
        </w:rPr>
        <w:t>2</w:t>
      </w:r>
      <w:r w:rsidRPr="008D4A28">
        <w:rPr>
          <w:rFonts w:eastAsia="Times New Roman"/>
          <w:sz w:val="24"/>
          <w:szCs w:val="24"/>
        </w:rPr>
        <w:t xml:space="preserve">. When an agent acts adversely to the interests of its principal, there is an exception to the general rule that the knowledge of an agent is imputable to its principal. </w:t>
      </w:r>
      <w:r w:rsidRPr="008D4A28">
        <w:rPr>
          <w:rFonts w:eastAsia="Times New Roman"/>
          <w:b/>
          <w:sz w:val="24"/>
          <w:szCs w:val="24"/>
        </w:rPr>
        <w:t>Vail Nat’l Bank v. Finkelman</w:t>
      </w:r>
      <w:r w:rsidRPr="008D4A28">
        <w:rPr>
          <w:rFonts w:eastAsia="Times New Roman"/>
          <w:sz w:val="24"/>
          <w:szCs w:val="24"/>
        </w:rPr>
        <w:t>, 800 P.2d 1342 (Colo.</w:t>
      </w:r>
      <w:r>
        <w:rPr>
          <w:rFonts w:eastAsia="Times New Roman"/>
          <w:sz w:val="24"/>
          <w:szCs w:val="24"/>
        </w:rPr>
        <w:t xml:space="preserve"> </w:t>
      </w:r>
      <w:r w:rsidRPr="008D4A28">
        <w:rPr>
          <w:rFonts w:eastAsia="Times New Roman"/>
          <w:sz w:val="24"/>
          <w:szCs w:val="24"/>
        </w:rPr>
        <w:t>App. 1990).</w:t>
      </w:r>
    </w:p>
    <w:p w14:paraId="3F438659" w14:textId="77777777" w:rsidR="00E01A1E" w:rsidRDefault="00771A51" w:rsidP="00E01A1E">
      <w:pPr>
        <w:spacing w:after="240"/>
        <w:ind w:firstLine="720"/>
        <w:rPr>
          <w:rFonts w:eastAsia="Times New Roman"/>
          <w:sz w:val="24"/>
          <w:szCs w:val="24"/>
        </w:rPr>
      </w:pPr>
      <w:r>
        <w:rPr>
          <w:rFonts w:eastAsia="Times New Roman"/>
          <w:sz w:val="24"/>
          <w:szCs w:val="24"/>
        </w:rPr>
        <w:t>3</w:t>
      </w:r>
      <w:r w:rsidRPr="008D4A28">
        <w:rPr>
          <w:rFonts w:eastAsia="Times New Roman"/>
          <w:sz w:val="24"/>
          <w:szCs w:val="24"/>
        </w:rPr>
        <w:t xml:space="preserve">. Generally, knowledge of, or notice to, a general partner of a limited partnership is imputable to the limited partners if such knowledge or notice concerns partnership business and was received or acquired by the general partner while transacting partnership business. </w:t>
      </w:r>
      <w:r w:rsidRPr="008D4A28">
        <w:rPr>
          <w:rFonts w:eastAsia="Times New Roman"/>
          <w:b/>
          <w:sz w:val="24"/>
          <w:szCs w:val="24"/>
        </w:rPr>
        <w:t>BMS P’ship v. Winter Park Devil’s Thumb Inv. Co.</w:t>
      </w:r>
      <w:r w:rsidRPr="008D4A28">
        <w:rPr>
          <w:rFonts w:eastAsia="Times New Roman"/>
          <w:sz w:val="24"/>
          <w:szCs w:val="24"/>
        </w:rPr>
        <w:t>,</w:t>
      </w:r>
      <w:r w:rsidRPr="008D4A28">
        <w:rPr>
          <w:rFonts w:eastAsia="Times New Roman"/>
          <w:b/>
          <w:sz w:val="24"/>
          <w:szCs w:val="24"/>
        </w:rPr>
        <w:t xml:space="preserve"> </w:t>
      </w:r>
      <w:r w:rsidRPr="008D4A28">
        <w:rPr>
          <w:rFonts w:eastAsia="Times New Roman"/>
          <w:sz w:val="24"/>
          <w:szCs w:val="24"/>
        </w:rPr>
        <w:t>910 P.2d 61 (Colo.</w:t>
      </w:r>
      <w:r>
        <w:rPr>
          <w:rFonts w:eastAsia="Times New Roman"/>
          <w:sz w:val="24"/>
          <w:szCs w:val="24"/>
        </w:rPr>
        <w:t xml:space="preserve"> </w:t>
      </w:r>
      <w:r w:rsidRPr="008D4A28">
        <w:rPr>
          <w:rFonts w:eastAsia="Times New Roman"/>
          <w:sz w:val="24"/>
          <w:szCs w:val="24"/>
        </w:rPr>
        <w:t xml:space="preserve">App. 1995), </w:t>
      </w:r>
      <w:r w:rsidRPr="008D4A28">
        <w:rPr>
          <w:rFonts w:eastAsia="Times New Roman"/>
          <w:i/>
          <w:sz w:val="24"/>
          <w:szCs w:val="24"/>
        </w:rPr>
        <w:t>aff’d on other grounds</w:t>
      </w:r>
      <w:r w:rsidRPr="008D4A28">
        <w:rPr>
          <w:rFonts w:eastAsia="Times New Roman"/>
          <w:sz w:val="24"/>
          <w:szCs w:val="24"/>
        </w:rPr>
        <w:t xml:space="preserve">, 926 P.2d 1253 (Colo. 1996). Also, the knowledge of a partner concerning general partnership business is imputable to all of the partners. </w:t>
      </w:r>
      <w:r w:rsidRPr="008D4A28">
        <w:rPr>
          <w:rFonts w:eastAsia="Times New Roman"/>
          <w:b/>
          <w:sz w:val="24"/>
          <w:szCs w:val="24"/>
        </w:rPr>
        <w:t>Zimmerman v. Dan Kamphausen Co.</w:t>
      </w:r>
      <w:r w:rsidRPr="008D4A28">
        <w:rPr>
          <w:rFonts w:eastAsia="Times New Roman"/>
          <w:sz w:val="24"/>
          <w:szCs w:val="24"/>
        </w:rPr>
        <w:t>, 971 P.2d 236 (Colo.</w:t>
      </w:r>
      <w:r>
        <w:rPr>
          <w:rFonts w:eastAsia="Times New Roman"/>
          <w:sz w:val="24"/>
          <w:szCs w:val="24"/>
        </w:rPr>
        <w:t xml:space="preserve"> </w:t>
      </w:r>
      <w:r w:rsidRPr="008D4A28">
        <w:rPr>
          <w:rFonts w:eastAsia="Times New Roman"/>
          <w:sz w:val="24"/>
          <w:szCs w:val="24"/>
        </w:rPr>
        <w:t>App. 1998).</w:t>
      </w:r>
    </w:p>
    <w:p w14:paraId="1C85D316" w14:textId="77777777" w:rsidR="00E01A1E" w:rsidRPr="00504ED0" w:rsidRDefault="00771A51" w:rsidP="00E01A1E">
      <w:pPr>
        <w:spacing w:after="240"/>
        <w:ind w:firstLine="720"/>
        <w:rPr>
          <w:rFonts w:eastAsia="Times New Roman"/>
          <w:sz w:val="24"/>
          <w:szCs w:val="24"/>
        </w:rPr>
      </w:pPr>
      <w:r>
        <w:rPr>
          <w:rFonts w:eastAsia="Times New Roman"/>
          <w:sz w:val="24"/>
          <w:szCs w:val="24"/>
        </w:rPr>
        <w:t xml:space="preserve">4. Imputed knowledge is different from actual knowledge. Actual knowledge requires an active or conscious belief or awareness. </w:t>
      </w:r>
      <w:r>
        <w:rPr>
          <w:rFonts w:eastAsia="Times New Roman"/>
          <w:b/>
          <w:sz w:val="24"/>
          <w:szCs w:val="24"/>
        </w:rPr>
        <w:t>Jehly v. Brown</w:t>
      </w:r>
      <w:r>
        <w:rPr>
          <w:rFonts w:eastAsia="Times New Roman"/>
          <w:sz w:val="24"/>
          <w:szCs w:val="24"/>
        </w:rPr>
        <w:t xml:space="preserve">, 2014 COA 39, ¶¶ 12-13, 327 P.3d 351; </w:t>
      </w:r>
      <w:r w:rsidRPr="009D0C46">
        <w:rPr>
          <w:rFonts w:eastAsia="Times New Roman"/>
          <w:i/>
          <w:sz w:val="24"/>
          <w:szCs w:val="24"/>
        </w:rPr>
        <w:t>see also</w:t>
      </w:r>
      <w:r>
        <w:rPr>
          <w:rFonts w:eastAsia="Times New Roman"/>
          <w:sz w:val="24"/>
          <w:szCs w:val="24"/>
        </w:rPr>
        <w:t xml:space="preserve"> </w:t>
      </w:r>
      <w:r>
        <w:rPr>
          <w:rFonts w:eastAsia="Times New Roman"/>
          <w:b/>
          <w:sz w:val="24"/>
          <w:szCs w:val="24"/>
        </w:rPr>
        <w:t>Clown’s Den, Inc. v. Canjar</w:t>
      </w:r>
      <w:r>
        <w:rPr>
          <w:rFonts w:eastAsia="Times New Roman"/>
          <w:sz w:val="24"/>
          <w:szCs w:val="24"/>
        </w:rPr>
        <w:t xml:space="preserve">, 33 Colo. App. 212, 518 P.2d 957 (1973) (differentiating between actual and imputed knowledge of principal). </w:t>
      </w:r>
    </w:p>
    <w:p w14:paraId="54FFA2CC" w14:textId="77777777" w:rsidR="00E01A1E" w:rsidRDefault="00771A51">
      <w:pPr>
        <w:rPr>
          <w:rFonts w:eastAsia="Times New Roman"/>
          <w:sz w:val="24"/>
          <w:szCs w:val="24"/>
        </w:rPr>
      </w:pPr>
      <w:r>
        <w:rPr>
          <w:rFonts w:eastAsia="Times New Roman"/>
          <w:sz w:val="24"/>
          <w:szCs w:val="24"/>
        </w:rPr>
        <w:br w:type="page"/>
      </w:r>
    </w:p>
    <w:p w14:paraId="6E15419A" w14:textId="77777777" w:rsidR="00E01A1E" w:rsidRPr="009E3DA4" w:rsidRDefault="00771A51" w:rsidP="00E01A1E">
      <w:pPr>
        <w:spacing w:after="240"/>
        <w:ind w:left="720" w:hanging="720"/>
        <w:rPr>
          <w:rFonts w:eastAsia="Times New Roman"/>
          <w:b/>
          <w:sz w:val="24"/>
          <w:szCs w:val="24"/>
        </w:rPr>
      </w:pPr>
      <w:bookmarkStart w:id="18" w:name="a8_16"/>
      <w:bookmarkEnd w:id="18"/>
      <w:r w:rsidRPr="008D4A28">
        <w:rPr>
          <w:rFonts w:eastAsia="Times New Roman"/>
          <w:b/>
          <w:sz w:val="24"/>
          <w:szCs w:val="24"/>
        </w:rPr>
        <w:lastRenderedPageBreak/>
        <w:t xml:space="preserve">8:16 </w:t>
      </w:r>
      <w:r w:rsidRPr="008D4A28">
        <w:rPr>
          <w:rFonts w:eastAsia="Times New Roman"/>
          <w:b/>
          <w:sz w:val="24"/>
          <w:szCs w:val="24"/>
        </w:rPr>
        <w:tab/>
        <w:t>TERMINATION OF AGENT’S AUTHORITY</w:t>
      </w:r>
    </w:p>
    <w:p w14:paraId="40829473" w14:textId="7FD8A860" w:rsidR="00E01A1E" w:rsidRPr="008D4A28" w:rsidRDefault="00771A51" w:rsidP="00E01A1E">
      <w:pPr>
        <w:spacing w:after="240"/>
        <w:ind w:firstLine="720"/>
        <w:rPr>
          <w:rFonts w:eastAsia="Times New Roman"/>
          <w:b/>
          <w:sz w:val="24"/>
          <w:szCs w:val="24"/>
        </w:rPr>
      </w:pPr>
      <w:r w:rsidRPr="008D4A28">
        <w:rPr>
          <w:rFonts w:eastAsia="Times New Roman"/>
          <w:b/>
          <w:sz w:val="24"/>
          <w:szCs w:val="24"/>
        </w:rPr>
        <w:t xml:space="preserve">The authority of an agent to represent </w:t>
      </w:r>
      <w:r w:rsidR="003E686C" w:rsidRPr="003E686C">
        <w:rPr>
          <w:rFonts w:eastAsia="Times New Roman"/>
          <w:bCs/>
          <w:i/>
          <w:iCs/>
          <w:sz w:val="24"/>
          <w:szCs w:val="24"/>
        </w:rPr>
        <w:t>(insert applicable pronoun)</w:t>
      </w:r>
      <w:r w:rsidRPr="008D4A28">
        <w:rPr>
          <w:rFonts w:eastAsia="Times New Roman"/>
          <w:b/>
          <w:sz w:val="24"/>
          <w:szCs w:val="24"/>
        </w:rPr>
        <w:t xml:space="preserve"> principal is terminated </w:t>
      </w:r>
      <w:r w:rsidRPr="008D4A28">
        <w:rPr>
          <w:rFonts w:eastAsia="Times New Roman"/>
          <w:i/>
          <w:sz w:val="24"/>
          <w:szCs w:val="24"/>
        </w:rPr>
        <w:t>(insert the appropriate terminating event, e.g., “upon the death of the principal”)</w:t>
      </w:r>
      <w:r w:rsidRPr="008D4A28">
        <w:rPr>
          <w:rFonts w:eastAsia="Times New Roman"/>
          <w:b/>
          <w:sz w:val="24"/>
          <w:szCs w:val="24"/>
        </w:rPr>
        <w:t>. The party claiming the authority of an agent was terminated has the burden of proving it.</w:t>
      </w:r>
    </w:p>
    <w:p w14:paraId="6C85E202" w14:textId="77777777" w:rsidR="00E01A1E" w:rsidRDefault="00E01A1E" w:rsidP="00E01A1E">
      <w:pPr>
        <w:jc w:val="center"/>
        <w:rPr>
          <w:rFonts w:eastAsia="Times New Roman"/>
          <w:sz w:val="24"/>
          <w:szCs w:val="24"/>
        </w:rPr>
      </w:pPr>
    </w:p>
    <w:p w14:paraId="673C4595"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0E4663D6"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1. In certain cases, for example, the termination by a principal of the authority of a general agent may not be effective as against third persons unless they have been given notice. </w:t>
      </w:r>
      <w:r w:rsidRPr="005807B0">
        <w:rPr>
          <w:rFonts w:eastAsia="Times New Roman"/>
          <w:i/>
          <w:sz w:val="24"/>
          <w:szCs w:val="24"/>
        </w:rPr>
        <w:t>See</w:t>
      </w:r>
      <w:r w:rsidRPr="008D4A28">
        <w:rPr>
          <w:rFonts w:eastAsia="Times New Roman"/>
          <w:sz w:val="24"/>
          <w:szCs w:val="24"/>
        </w:rPr>
        <w:t xml:space="preserve"> Instruction 8:17.</w:t>
      </w:r>
    </w:p>
    <w:p w14:paraId="3D70C223"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2. This instruction is not applicable to agencies “coupled with an interest.”</w:t>
      </w:r>
    </w:p>
    <w:p w14:paraId="29D497CD"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5BD05A34" w14:textId="77777777" w:rsidR="00E01A1E" w:rsidRPr="008D4A28" w:rsidRDefault="00771A51" w:rsidP="00E01A1E">
      <w:pPr>
        <w:spacing w:after="240"/>
        <w:ind w:firstLine="720"/>
        <w:rPr>
          <w:rFonts w:eastAsia="Times New Roman"/>
          <w:sz w:val="24"/>
          <w:szCs w:val="24"/>
        </w:rPr>
      </w:pPr>
      <w:r w:rsidRPr="008D4A28">
        <w:rPr>
          <w:rFonts w:eastAsia="Times New Roman"/>
          <w:iCs/>
          <w:sz w:val="24"/>
          <w:szCs w:val="24"/>
        </w:rPr>
        <w:t xml:space="preserve">1. This instruction is supported by </w:t>
      </w:r>
      <w:r w:rsidRPr="008D4A28">
        <w:rPr>
          <w:rFonts w:eastAsia="Times New Roman"/>
          <w:b/>
          <w:iCs/>
          <w:sz w:val="24"/>
          <w:szCs w:val="24"/>
        </w:rPr>
        <w:t>Stortroen v. Beneficial Finance Co.</w:t>
      </w:r>
      <w:r w:rsidRPr="008D4A28">
        <w:rPr>
          <w:rFonts w:eastAsia="Times New Roman"/>
          <w:iCs/>
          <w:sz w:val="24"/>
          <w:szCs w:val="24"/>
        </w:rPr>
        <w:t>,</w:t>
      </w:r>
      <w:r w:rsidRPr="008D4A28">
        <w:rPr>
          <w:rFonts w:eastAsia="Times New Roman"/>
          <w:i/>
          <w:iCs/>
          <w:sz w:val="24"/>
          <w:szCs w:val="24"/>
        </w:rPr>
        <w:t xml:space="preserve"> </w:t>
      </w:r>
      <w:r w:rsidRPr="008D4A28">
        <w:rPr>
          <w:rFonts w:eastAsia="Times New Roman"/>
          <w:iCs/>
          <w:sz w:val="24"/>
          <w:szCs w:val="24"/>
        </w:rPr>
        <w:t xml:space="preserve">736 P.2d 391 (Colo. 1987) (partial list of grounds for termination) (citing </w:t>
      </w:r>
      <w:r w:rsidRPr="008D4A28">
        <w:rPr>
          <w:rFonts w:eastAsia="Times New Roman"/>
          <w:iCs/>
          <w:smallCaps/>
          <w:sz w:val="24"/>
          <w:szCs w:val="24"/>
        </w:rPr>
        <w:t>Restatement (Second) of Agency</w:t>
      </w:r>
      <w:r w:rsidRPr="008D4A28">
        <w:rPr>
          <w:rFonts w:eastAsia="Times New Roman"/>
          <w:i/>
          <w:sz w:val="24"/>
          <w:szCs w:val="24"/>
        </w:rPr>
        <w:t xml:space="preserve"> </w:t>
      </w:r>
      <w:r w:rsidRPr="008D4A28">
        <w:rPr>
          <w:rFonts w:eastAsia="Times New Roman"/>
          <w:sz w:val="24"/>
          <w:szCs w:val="24"/>
        </w:rPr>
        <w:t xml:space="preserve">§§ 105-07, 117-19); </w:t>
      </w:r>
      <w:r w:rsidRPr="008D4A28">
        <w:rPr>
          <w:rFonts w:eastAsia="Times New Roman"/>
          <w:b/>
          <w:iCs/>
          <w:sz w:val="24"/>
          <w:szCs w:val="24"/>
        </w:rPr>
        <w:t>Lowell v. Hessey</w:t>
      </w:r>
      <w:r w:rsidRPr="008D4A28">
        <w:rPr>
          <w:rFonts w:eastAsia="Times New Roman"/>
          <w:iCs/>
          <w:sz w:val="24"/>
          <w:szCs w:val="24"/>
        </w:rPr>
        <w:t>,</w:t>
      </w:r>
      <w:r w:rsidRPr="008D4A28">
        <w:rPr>
          <w:rFonts w:eastAsia="Times New Roman"/>
          <w:sz w:val="24"/>
          <w:szCs w:val="24"/>
        </w:rPr>
        <w:t xml:space="preserve"> 46 Colo. 517, 105 P. 870 (1909) (principal’s revocation of agency authority terminates only upon notice to the agent); </w:t>
      </w:r>
      <w:r>
        <w:rPr>
          <w:rFonts w:eastAsia="Times New Roman"/>
          <w:sz w:val="24"/>
          <w:szCs w:val="24"/>
        </w:rPr>
        <w:t xml:space="preserve">and </w:t>
      </w:r>
      <w:r w:rsidRPr="008D4A28">
        <w:rPr>
          <w:rFonts w:eastAsia="Times New Roman"/>
          <w:b/>
          <w:sz w:val="24"/>
          <w:szCs w:val="24"/>
        </w:rPr>
        <w:t>Boettcher DTC B</w:t>
      </w:r>
      <w:r>
        <w:rPr>
          <w:rFonts w:eastAsia="Times New Roman"/>
          <w:b/>
          <w:sz w:val="24"/>
          <w:szCs w:val="24"/>
        </w:rPr>
        <w:t>ui</w:t>
      </w:r>
      <w:r w:rsidRPr="008D4A28">
        <w:rPr>
          <w:rFonts w:eastAsia="Times New Roman"/>
          <w:b/>
          <w:sz w:val="24"/>
          <w:szCs w:val="24"/>
        </w:rPr>
        <w:t>ld</w:t>
      </w:r>
      <w:r>
        <w:rPr>
          <w:rFonts w:eastAsia="Times New Roman"/>
          <w:b/>
          <w:sz w:val="24"/>
          <w:szCs w:val="24"/>
        </w:rPr>
        <w:t>in</w:t>
      </w:r>
      <w:r w:rsidRPr="008D4A28">
        <w:rPr>
          <w:rFonts w:eastAsia="Times New Roman"/>
          <w:b/>
          <w:sz w:val="24"/>
          <w:szCs w:val="24"/>
        </w:rPr>
        <w:t>g Joint Venture v. Falcon Ventures</w:t>
      </w:r>
      <w:r w:rsidRPr="008D4A28">
        <w:rPr>
          <w:rFonts w:eastAsia="Times New Roman"/>
          <w:sz w:val="24"/>
          <w:szCs w:val="24"/>
        </w:rPr>
        <w:t xml:space="preserve">, 762 P.2d 788 (Colo. App. 1988) (agency terminates upon completion of the assigned task). </w:t>
      </w:r>
      <w:r w:rsidRPr="008D4A28">
        <w:rPr>
          <w:rFonts w:eastAsia="Times New Roman"/>
          <w:i/>
          <w:sz w:val="24"/>
          <w:szCs w:val="24"/>
        </w:rPr>
        <w:t xml:space="preserve">See </w:t>
      </w:r>
      <w:r w:rsidRPr="008D4A28">
        <w:rPr>
          <w:rFonts w:eastAsia="Times New Roman"/>
          <w:smallCaps/>
          <w:sz w:val="24"/>
          <w:szCs w:val="24"/>
        </w:rPr>
        <w:t>Restatement (Third) of Agency</w:t>
      </w:r>
      <w:r w:rsidRPr="008D4A28">
        <w:rPr>
          <w:rFonts w:eastAsia="Times New Roman"/>
          <w:sz w:val="24"/>
          <w:szCs w:val="24"/>
        </w:rPr>
        <w:t xml:space="preserve"> §§ 3.06</w:t>
      </w:r>
      <w:r>
        <w:rPr>
          <w:rFonts w:eastAsia="Times New Roman"/>
          <w:sz w:val="24"/>
          <w:szCs w:val="24"/>
        </w:rPr>
        <w:t xml:space="preserve"> (termination of actual authority), 3.07 (death, cessation of existence, and suspension of powers), 3.08 (loss of capacity), 3.09 (termination by agreement or changed circumstances), 3.10 (manifestation terminating actual authority), </w:t>
      </w:r>
      <w:r w:rsidRPr="008D4A28">
        <w:rPr>
          <w:rFonts w:eastAsia="Times New Roman"/>
          <w:sz w:val="24"/>
          <w:szCs w:val="24"/>
        </w:rPr>
        <w:t>3.11</w:t>
      </w:r>
      <w:r>
        <w:rPr>
          <w:rFonts w:eastAsia="Times New Roman"/>
          <w:sz w:val="24"/>
          <w:szCs w:val="24"/>
        </w:rPr>
        <w:t xml:space="preserve"> (termination of apparent authority)</w:t>
      </w:r>
      <w:r w:rsidRPr="008D4A28">
        <w:rPr>
          <w:rFonts w:eastAsia="Times New Roman"/>
          <w:sz w:val="24"/>
          <w:szCs w:val="24"/>
        </w:rPr>
        <w:t xml:space="preserve"> (2006).</w:t>
      </w:r>
    </w:p>
    <w:p w14:paraId="632168B6"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2. The burden of establishing a termination rests on the party who asserts it. </w:t>
      </w:r>
      <w:r w:rsidRPr="008D4A28">
        <w:rPr>
          <w:rFonts w:eastAsia="Times New Roman"/>
          <w:b/>
          <w:sz w:val="24"/>
          <w:szCs w:val="24"/>
        </w:rPr>
        <w:t>Paulsen v. Rourke</w:t>
      </w:r>
      <w:r w:rsidRPr="008D4A28">
        <w:rPr>
          <w:rFonts w:eastAsia="Times New Roman"/>
          <w:sz w:val="24"/>
          <w:szCs w:val="24"/>
        </w:rPr>
        <w:t>, 26 Colo.</w:t>
      </w:r>
      <w:r>
        <w:rPr>
          <w:rFonts w:eastAsia="Times New Roman"/>
          <w:sz w:val="24"/>
          <w:szCs w:val="24"/>
        </w:rPr>
        <w:t xml:space="preserve"> </w:t>
      </w:r>
      <w:r w:rsidRPr="008D4A28">
        <w:rPr>
          <w:rFonts w:eastAsia="Times New Roman"/>
          <w:sz w:val="24"/>
          <w:szCs w:val="24"/>
        </w:rPr>
        <w:t>App. 488, 145 P. 711 (1915) (termination by revocation).</w:t>
      </w:r>
    </w:p>
    <w:p w14:paraId="13BAF692"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3. For a discussion of the irrevocability of an agency coupled with an interest, see </w:t>
      </w:r>
      <w:r w:rsidRPr="008D4A28">
        <w:rPr>
          <w:rFonts w:eastAsia="Times New Roman"/>
          <w:b/>
          <w:sz w:val="24"/>
          <w:szCs w:val="24"/>
        </w:rPr>
        <w:t>In re Estate of Gray</w:t>
      </w:r>
      <w:r w:rsidRPr="008D4A28">
        <w:rPr>
          <w:rFonts w:eastAsia="Times New Roman"/>
          <w:sz w:val="24"/>
          <w:szCs w:val="24"/>
        </w:rPr>
        <w:t xml:space="preserve">, </w:t>
      </w:r>
      <w:r>
        <w:rPr>
          <w:rFonts w:eastAsia="Times New Roman"/>
          <w:sz w:val="24"/>
          <w:szCs w:val="24"/>
        </w:rPr>
        <w:t xml:space="preserve">37 Colo. App. 47, </w:t>
      </w:r>
      <w:r w:rsidRPr="008D4A28">
        <w:rPr>
          <w:rFonts w:eastAsia="Times New Roman"/>
          <w:sz w:val="24"/>
          <w:szCs w:val="24"/>
        </w:rPr>
        <w:t>541 P.2d 336 (1975).</w:t>
      </w:r>
    </w:p>
    <w:p w14:paraId="0691FA76"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 xml:space="preserve">4. </w:t>
      </w:r>
      <w:r>
        <w:rPr>
          <w:rFonts w:eastAsia="Times New Roman"/>
          <w:sz w:val="24"/>
          <w:szCs w:val="24"/>
        </w:rPr>
        <w:t xml:space="preserve">For the effect of </w:t>
      </w:r>
      <w:r w:rsidRPr="008D4A28">
        <w:rPr>
          <w:rFonts w:eastAsia="Times New Roman"/>
          <w:sz w:val="24"/>
          <w:szCs w:val="24"/>
        </w:rPr>
        <w:t>the death or incompetency of a bank customer on the authority of a payor or collecting bank</w:t>
      </w:r>
      <w:r>
        <w:rPr>
          <w:rFonts w:eastAsia="Times New Roman"/>
          <w:sz w:val="24"/>
          <w:szCs w:val="24"/>
        </w:rPr>
        <w:t>, see</w:t>
      </w:r>
      <w:r w:rsidRPr="008D4A28">
        <w:rPr>
          <w:rFonts w:eastAsia="Times New Roman"/>
          <w:sz w:val="24"/>
          <w:szCs w:val="24"/>
        </w:rPr>
        <w:t xml:space="preserve"> </w:t>
      </w:r>
      <w:r>
        <w:rPr>
          <w:rFonts w:eastAsia="Times New Roman"/>
          <w:sz w:val="24"/>
          <w:szCs w:val="24"/>
        </w:rPr>
        <w:t xml:space="preserve">section </w:t>
      </w:r>
      <w:r w:rsidRPr="008D4A28">
        <w:rPr>
          <w:rFonts w:eastAsia="Times New Roman"/>
          <w:sz w:val="24"/>
          <w:szCs w:val="24"/>
        </w:rPr>
        <w:t>4-4-405, C.R.S.</w:t>
      </w:r>
    </w:p>
    <w:p w14:paraId="294235EB" w14:textId="77777777" w:rsidR="00E01A1E" w:rsidRPr="008D4A28" w:rsidRDefault="00771A51" w:rsidP="00E01A1E">
      <w:pPr>
        <w:spacing w:after="240"/>
        <w:ind w:firstLine="720"/>
        <w:rPr>
          <w:rFonts w:eastAsia="Times New Roman"/>
          <w:sz w:val="24"/>
          <w:szCs w:val="24"/>
        </w:rPr>
      </w:pPr>
      <w:r w:rsidRPr="008D4A28">
        <w:rPr>
          <w:rFonts w:eastAsia="Times New Roman"/>
          <w:sz w:val="24"/>
          <w:szCs w:val="24"/>
        </w:rPr>
        <w:t>5. As to the appointment and termination of the authority of an insurance agent, that is, an “insurance provider,” see</w:t>
      </w:r>
      <w:r w:rsidRPr="008D4A28">
        <w:rPr>
          <w:rFonts w:eastAsia="Times New Roman"/>
          <w:i/>
          <w:sz w:val="24"/>
          <w:szCs w:val="24"/>
        </w:rPr>
        <w:t xml:space="preserve"> </w:t>
      </w:r>
      <w:r>
        <w:rPr>
          <w:rFonts w:eastAsia="Times New Roman"/>
          <w:sz w:val="24"/>
          <w:szCs w:val="24"/>
        </w:rPr>
        <w:t>sections</w:t>
      </w:r>
      <w:r w:rsidRPr="008D4A28">
        <w:rPr>
          <w:rFonts w:eastAsia="Times New Roman"/>
          <w:sz w:val="24"/>
          <w:szCs w:val="24"/>
        </w:rPr>
        <w:t xml:space="preserve"> 10-2-416 and 10-2-416.5, C.R.S.</w:t>
      </w:r>
    </w:p>
    <w:p w14:paraId="6C1B42EC" w14:textId="77777777" w:rsidR="00E01A1E" w:rsidRDefault="00771A51">
      <w:pPr>
        <w:rPr>
          <w:rFonts w:eastAsia="Times New Roman"/>
          <w:sz w:val="24"/>
          <w:szCs w:val="24"/>
        </w:rPr>
      </w:pPr>
      <w:r>
        <w:rPr>
          <w:rFonts w:eastAsia="Times New Roman"/>
          <w:sz w:val="24"/>
          <w:szCs w:val="24"/>
        </w:rPr>
        <w:br w:type="page"/>
      </w:r>
    </w:p>
    <w:p w14:paraId="6CE34DAB" w14:textId="77777777" w:rsidR="00E01A1E" w:rsidRPr="009E3DA4" w:rsidRDefault="00771A51" w:rsidP="00E01A1E">
      <w:pPr>
        <w:spacing w:after="240"/>
        <w:ind w:left="720" w:hanging="720"/>
        <w:rPr>
          <w:rFonts w:eastAsia="Times New Roman"/>
          <w:b/>
          <w:sz w:val="24"/>
          <w:szCs w:val="24"/>
        </w:rPr>
      </w:pPr>
      <w:bookmarkStart w:id="19" w:name="a8_17"/>
      <w:bookmarkEnd w:id="19"/>
      <w:r w:rsidRPr="00333886">
        <w:rPr>
          <w:rFonts w:eastAsia="Times New Roman"/>
          <w:b/>
          <w:sz w:val="24"/>
          <w:szCs w:val="24"/>
        </w:rPr>
        <w:lastRenderedPageBreak/>
        <w:t xml:space="preserve">8:17 </w:t>
      </w:r>
      <w:r w:rsidRPr="00333886">
        <w:rPr>
          <w:rFonts w:eastAsia="Times New Roman"/>
          <w:b/>
          <w:sz w:val="24"/>
          <w:szCs w:val="24"/>
        </w:rPr>
        <w:tab/>
        <w:t>TERMINATION OF AGENT’S AUTHORITY — NOTICE TO THIRD PARTIES</w:t>
      </w:r>
    </w:p>
    <w:p w14:paraId="672795BA" w14:textId="0AF7AD70" w:rsidR="00E01A1E" w:rsidRPr="00333886" w:rsidRDefault="00771A51" w:rsidP="00E01A1E">
      <w:pPr>
        <w:spacing w:after="240"/>
        <w:ind w:firstLine="720"/>
        <w:rPr>
          <w:rFonts w:eastAsia="Times New Roman"/>
          <w:b/>
          <w:sz w:val="24"/>
          <w:szCs w:val="24"/>
        </w:rPr>
      </w:pPr>
      <w:r w:rsidRPr="00333886">
        <w:rPr>
          <w:rFonts w:eastAsia="Times New Roman"/>
          <w:b/>
          <w:sz w:val="24"/>
          <w:szCs w:val="24"/>
        </w:rPr>
        <w:t xml:space="preserve">Where </w:t>
      </w:r>
      <w:r w:rsidRPr="00333886">
        <w:rPr>
          <w:rFonts w:eastAsia="Times New Roman"/>
          <w:i/>
          <w:sz w:val="24"/>
          <w:szCs w:val="24"/>
        </w:rPr>
        <w:t xml:space="preserve">(name of third party) </w:t>
      </w:r>
      <w:r w:rsidRPr="00333886">
        <w:rPr>
          <w:rFonts w:eastAsia="Times New Roman"/>
          <w:b/>
          <w:sz w:val="24"/>
          <w:szCs w:val="24"/>
        </w:rPr>
        <w:t xml:space="preserve">(had previously dealt with an agent of a known principal </w:t>
      </w:r>
      <w:r w:rsidRPr="00333886">
        <w:rPr>
          <w:rFonts w:eastAsia="Times New Roman"/>
          <w:i/>
          <w:sz w:val="24"/>
          <w:szCs w:val="24"/>
        </w:rPr>
        <w:t>[name]</w:t>
      </w:r>
      <w:r w:rsidRPr="00333886">
        <w:rPr>
          <w:rFonts w:eastAsia="Times New Roman"/>
          <w:b/>
          <w:sz w:val="24"/>
          <w:szCs w:val="24"/>
        </w:rPr>
        <w:t xml:space="preserve">) (knew </w:t>
      </w:r>
      <w:r w:rsidRPr="00333886">
        <w:rPr>
          <w:rFonts w:eastAsia="Times New Roman"/>
          <w:i/>
          <w:sz w:val="24"/>
          <w:szCs w:val="24"/>
        </w:rPr>
        <w:t>[name of agent]</w:t>
      </w:r>
      <w:r w:rsidRPr="00333886">
        <w:rPr>
          <w:rFonts w:eastAsia="Times New Roman"/>
          <w:b/>
          <w:sz w:val="24"/>
          <w:szCs w:val="24"/>
        </w:rPr>
        <w:t xml:space="preserve"> to be the principal </w:t>
      </w:r>
      <w:r w:rsidRPr="00333886">
        <w:rPr>
          <w:rFonts w:eastAsia="Times New Roman"/>
          <w:i/>
          <w:sz w:val="24"/>
          <w:szCs w:val="24"/>
        </w:rPr>
        <w:t>[name of principal]</w:t>
      </w:r>
      <w:r w:rsidRPr="00333886">
        <w:rPr>
          <w:rFonts w:eastAsia="Times New Roman"/>
          <w:b/>
          <w:sz w:val="24"/>
          <w:szCs w:val="24"/>
        </w:rPr>
        <w:t xml:space="preserve">’s agent) (was likely to deal with </w:t>
      </w:r>
      <w:r w:rsidRPr="00333886">
        <w:rPr>
          <w:rFonts w:eastAsia="Times New Roman"/>
          <w:i/>
          <w:sz w:val="24"/>
          <w:szCs w:val="24"/>
        </w:rPr>
        <w:t>[name of agent]</w:t>
      </w:r>
      <w:r w:rsidRPr="00333886">
        <w:rPr>
          <w:rFonts w:eastAsia="Times New Roman"/>
          <w:b/>
          <w:sz w:val="24"/>
          <w:szCs w:val="24"/>
        </w:rPr>
        <w:t xml:space="preserve"> on the basis of </w:t>
      </w:r>
      <w:r w:rsidR="003E686C">
        <w:rPr>
          <w:rFonts w:eastAsia="Times New Roman"/>
          <w:bCs/>
          <w:i/>
          <w:iCs/>
          <w:sz w:val="24"/>
          <w:szCs w:val="24"/>
        </w:rPr>
        <w:t>[</w:t>
      </w:r>
      <w:r w:rsidR="003E686C" w:rsidRPr="003E686C">
        <w:rPr>
          <w:rFonts w:eastAsia="Times New Roman"/>
          <w:bCs/>
          <w:i/>
          <w:iCs/>
          <w:sz w:val="24"/>
          <w:szCs w:val="24"/>
        </w:rPr>
        <w:t>insert applicable pronoun</w:t>
      </w:r>
      <w:r w:rsidR="003E686C">
        <w:rPr>
          <w:rFonts w:eastAsia="Times New Roman"/>
          <w:bCs/>
          <w:i/>
          <w:iCs/>
          <w:sz w:val="24"/>
          <w:szCs w:val="24"/>
        </w:rPr>
        <w:t>]</w:t>
      </w:r>
      <w:r w:rsidRPr="00333886">
        <w:rPr>
          <w:rFonts w:eastAsia="Times New Roman"/>
          <w:b/>
          <w:sz w:val="24"/>
          <w:szCs w:val="24"/>
        </w:rPr>
        <w:t xml:space="preserve"> knowledge that </w:t>
      </w:r>
      <w:r w:rsidRPr="00333886">
        <w:rPr>
          <w:rFonts w:eastAsia="Times New Roman"/>
          <w:i/>
          <w:sz w:val="24"/>
          <w:szCs w:val="24"/>
        </w:rPr>
        <w:t>[name of agent]</w:t>
      </w:r>
      <w:r w:rsidRPr="00333886">
        <w:rPr>
          <w:rFonts w:eastAsia="Times New Roman"/>
          <w:b/>
          <w:sz w:val="24"/>
          <w:szCs w:val="24"/>
        </w:rPr>
        <w:t xml:space="preserve"> was an agent of the principal </w:t>
      </w:r>
      <w:r w:rsidRPr="00333886">
        <w:rPr>
          <w:rFonts w:eastAsia="Times New Roman"/>
          <w:i/>
          <w:sz w:val="24"/>
          <w:szCs w:val="24"/>
        </w:rPr>
        <w:t>[name]</w:t>
      </w:r>
      <w:r w:rsidRPr="00333886">
        <w:rPr>
          <w:rFonts w:eastAsia="Times New Roman"/>
          <w:b/>
          <w:sz w:val="24"/>
          <w:szCs w:val="24"/>
        </w:rPr>
        <w:t xml:space="preserve">), </w:t>
      </w:r>
      <w:r w:rsidRPr="00333886">
        <w:rPr>
          <w:rFonts w:eastAsia="Times New Roman"/>
          <w:i/>
          <w:sz w:val="24"/>
          <w:szCs w:val="24"/>
        </w:rPr>
        <w:t>(name of third person)</w:t>
      </w:r>
      <w:r w:rsidRPr="00333886">
        <w:rPr>
          <w:rFonts w:eastAsia="Times New Roman"/>
          <w:b/>
          <w:sz w:val="24"/>
          <w:szCs w:val="24"/>
        </w:rPr>
        <w:t xml:space="preserve"> had a right to assume the agent’s authority would continue until </w:t>
      </w:r>
      <w:r w:rsidR="003E686C" w:rsidRPr="003E686C">
        <w:rPr>
          <w:rFonts w:eastAsia="Times New Roman"/>
          <w:bCs/>
          <w:i/>
          <w:iCs/>
          <w:sz w:val="24"/>
          <w:szCs w:val="24"/>
        </w:rPr>
        <w:t>(insert applicable pronoun)</w:t>
      </w:r>
      <w:r w:rsidRPr="00333886">
        <w:rPr>
          <w:rFonts w:eastAsia="Times New Roman"/>
          <w:b/>
          <w:sz w:val="24"/>
          <w:szCs w:val="24"/>
        </w:rPr>
        <w:t xml:space="preserve"> knew or was notified of the principal’s termination of the agent’s authority. </w:t>
      </w:r>
    </w:p>
    <w:p w14:paraId="74A7DD1B" w14:textId="77777777" w:rsidR="00E01A1E" w:rsidRPr="00333886" w:rsidRDefault="00771A51" w:rsidP="00E01A1E">
      <w:pPr>
        <w:spacing w:after="240"/>
        <w:ind w:firstLine="720"/>
        <w:rPr>
          <w:rFonts w:eastAsia="Times New Roman"/>
          <w:b/>
          <w:sz w:val="24"/>
          <w:szCs w:val="24"/>
        </w:rPr>
      </w:pPr>
      <w:r w:rsidRPr="00333886">
        <w:rPr>
          <w:rFonts w:eastAsia="Times New Roman"/>
          <w:b/>
          <w:sz w:val="24"/>
          <w:szCs w:val="24"/>
        </w:rPr>
        <w:t>No particular form of notice of termination is required. Notice is sufficient if it provides information that would cause a reasonable person to investigate the possible termination of the agent’s authority.</w:t>
      </w:r>
    </w:p>
    <w:p w14:paraId="66DA3B29" w14:textId="77777777" w:rsidR="00E01A1E" w:rsidRDefault="00E01A1E" w:rsidP="00E01A1E">
      <w:pPr>
        <w:jc w:val="center"/>
        <w:rPr>
          <w:rFonts w:eastAsia="Times New Roman"/>
          <w:sz w:val="24"/>
          <w:szCs w:val="24"/>
        </w:rPr>
      </w:pPr>
    </w:p>
    <w:p w14:paraId="5D1C7287"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27628EB2"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1. The rule set out in this instruction is generally applicable only in the case of a general, as opposed to a special, agent. Only in rare instances does a special agent’s authority continue after termination without notice.</w:t>
      </w:r>
    </w:p>
    <w:p w14:paraId="0B08FA7D"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2. A principal’s termination of an agent’s authority does not revoke an agent’s apparent authority. The agent’s apparent authority arises from the principal’s manifestation of the agent’s authority to deal with third parties. The right of third parties to deal with an agent based on the agent’s apparent authority remains unaffected until the third parties have knowledge or have been notified that the agent’s authority has been terminated. The specific notice required depends upon the facts.</w:t>
      </w:r>
    </w:p>
    <w:p w14:paraId="727E4D3F"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3. Use whichever parenthesized clauses are appropriate to the facts of the case.</w:t>
      </w:r>
    </w:p>
    <w:p w14:paraId="726660CC" w14:textId="77777777" w:rsidR="00E01A1E" w:rsidRPr="00333886" w:rsidRDefault="00771A51" w:rsidP="00E01A1E">
      <w:pPr>
        <w:spacing w:after="240"/>
        <w:ind w:firstLine="720"/>
        <w:rPr>
          <w:rFonts w:eastAsia="Times New Roman"/>
          <w:sz w:val="24"/>
          <w:szCs w:val="24"/>
        </w:rPr>
      </w:pPr>
      <w:r w:rsidRPr="00333886">
        <w:rPr>
          <w:rFonts w:eastAsia="Times New Roman"/>
          <w:sz w:val="24"/>
          <w:szCs w:val="24"/>
        </w:rPr>
        <w:t xml:space="preserve">4. If there is a dispute as to any of the facts contained in the parenthetical clauses, this instruction should be phrased conditionally, e.g., “If </w:t>
      </w:r>
      <w:r w:rsidRPr="00333886">
        <w:rPr>
          <w:rFonts w:eastAsia="Times New Roman"/>
          <w:i/>
          <w:sz w:val="24"/>
          <w:szCs w:val="24"/>
        </w:rPr>
        <w:t>(name of third person)</w:t>
      </w:r>
      <w:r w:rsidRPr="00333886">
        <w:rPr>
          <w:rFonts w:eastAsia="Times New Roman"/>
          <w:sz w:val="24"/>
          <w:szCs w:val="24"/>
        </w:rPr>
        <w:t xml:space="preserve"> (had previously dealt with an agent of a known principal) (knew </w:t>
      </w:r>
      <w:r w:rsidRPr="00333886">
        <w:rPr>
          <w:rFonts w:eastAsia="Times New Roman"/>
          <w:i/>
          <w:sz w:val="24"/>
          <w:szCs w:val="24"/>
        </w:rPr>
        <w:t>[name of agent]</w:t>
      </w:r>
      <w:r w:rsidRPr="00333886">
        <w:rPr>
          <w:rFonts w:eastAsia="Times New Roman"/>
          <w:sz w:val="24"/>
          <w:szCs w:val="24"/>
        </w:rPr>
        <w:t xml:space="preserve"> to be </w:t>
      </w:r>
      <w:r w:rsidRPr="00333886">
        <w:rPr>
          <w:rFonts w:eastAsia="Times New Roman"/>
          <w:i/>
          <w:sz w:val="24"/>
          <w:szCs w:val="24"/>
        </w:rPr>
        <w:t>[name of alleged principal]</w:t>
      </w:r>
      <w:r w:rsidRPr="00333886">
        <w:rPr>
          <w:rFonts w:eastAsia="Times New Roman"/>
          <w:sz w:val="24"/>
          <w:szCs w:val="24"/>
        </w:rPr>
        <w:t xml:space="preserve">’s agent, and </w:t>
      </w:r>
      <w:r w:rsidRPr="00333886">
        <w:rPr>
          <w:rFonts w:eastAsia="Times New Roman"/>
          <w:i/>
          <w:sz w:val="24"/>
          <w:szCs w:val="24"/>
        </w:rPr>
        <w:t>[name of agent]</w:t>
      </w:r>
      <w:r w:rsidRPr="00333886">
        <w:rPr>
          <w:rFonts w:eastAsia="Times New Roman"/>
          <w:sz w:val="24"/>
          <w:szCs w:val="24"/>
        </w:rPr>
        <w:t xml:space="preserve"> in fact had been </w:t>
      </w:r>
      <w:r w:rsidRPr="00333886">
        <w:rPr>
          <w:rFonts w:eastAsia="Times New Roman"/>
          <w:i/>
          <w:sz w:val="24"/>
          <w:szCs w:val="24"/>
        </w:rPr>
        <w:t>[name of alleged principal]’s agent)</w:t>
      </w:r>
      <w:r w:rsidRPr="00333886">
        <w:rPr>
          <w:rFonts w:eastAsia="Times New Roman"/>
          <w:sz w:val="24"/>
          <w:szCs w:val="24"/>
        </w:rPr>
        <w:t>,” etc.</w:t>
      </w:r>
    </w:p>
    <w:p w14:paraId="5C9C5623" w14:textId="77777777" w:rsidR="00E01A1E" w:rsidRPr="00E111AA" w:rsidRDefault="00771A51" w:rsidP="00E01A1E">
      <w:pPr>
        <w:keepNext/>
        <w:spacing w:after="240"/>
        <w:jc w:val="center"/>
        <w:rPr>
          <w:rFonts w:eastAsia="Times New Roman"/>
          <w:b/>
          <w:sz w:val="24"/>
          <w:szCs w:val="24"/>
        </w:rPr>
      </w:pPr>
      <w:r>
        <w:rPr>
          <w:rFonts w:eastAsia="Times New Roman"/>
          <w:b/>
          <w:sz w:val="24"/>
          <w:szCs w:val="24"/>
        </w:rPr>
        <w:t>Source and Authority</w:t>
      </w:r>
    </w:p>
    <w:p w14:paraId="74A1696F" w14:textId="77777777" w:rsidR="00E01A1E" w:rsidRPr="00333886" w:rsidRDefault="00771A51" w:rsidP="00E01A1E">
      <w:pPr>
        <w:spacing w:after="240"/>
        <w:ind w:firstLine="720"/>
        <w:rPr>
          <w:rFonts w:eastAsia="Times New Roman"/>
          <w:iCs/>
          <w:sz w:val="24"/>
          <w:szCs w:val="24"/>
        </w:rPr>
      </w:pPr>
      <w:r w:rsidRPr="00333886">
        <w:rPr>
          <w:rFonts w:eastAsia="Times New Roman"/>
          <w:iCs/>
          <w:sz w:val="24"/>
          <w:szCs w:val="24"/>
        </w:rPr>
        <w:t xml:space="preserve">1. This instruction is supported by </w:t>
      </w:r>
      <w:r w:rsidRPr="00333886">
        <w:rPr>
          <w:rFonts w:eastAsia="Times New Roman"/>
          <w:b/>
          <w:iCs/>
          <w:sz w:val="24"/>
          <w:szCs w:val="24"/>
        </w:rPr>
        <w:t>West Denver Feed Co. v. Ireland</w:t>
      </w:r>
      <w:r w:rsidRPr="00333886">
        <w:rPr>
          <w:rFonts w:eastAsia="Times New Roman"/>
          <w:iCs/>
          <w:sz w:val="24"/>
          <w:szCs w:val="24"/>
        </w:rPr>
        <w:t xml:space="preserve">, 38 Colo. App. 64, 551 P.2d 1091 (1976); and </w:t>
      </w:r>
      <w:r w:rsidRPr="00333886">
        <w:rPr>
          <w:rFonts w:eastAsia="Times New Roman"/>
          <w:iCs/>
          <w:smallCaps/>
          <w:sz w:val="24"/>
          <w:szCs w:val="24"/>
        </w:rPr>
        <w:t>Restatement (Second) of Agency</w:t>
      </w:r>
      <w:r w:rsidRPr="00333886">
        <w:rPr>
          <w:rFonts w:eastAsia="Times New Roman"/>
          <w:iCs/>
          <w:sz w:val="24"/>
          <w:szCs w:val="24"/>
        </w:rPr>
        <w:t xml:space="preserve"> §§ 127-133</w:t>
      </w:r>
      <w:r>
        <w:rPr>
          <w:rFonts w:eastAsia="Times New Roman"/>
          <w:iCs/>
          <w:sz w:val="24"/>
          <w:szCs w:val="24"/>
        </w:rPr>
        <w:t>, 135-</w:t>
      </w:r>
      <w:r w:rsidRPr="00333886">
        <w:rPr>
          <w:rFonts w:eastAsia="Times New Roman"/>
          <w:iCs/>
          <w:sz w:val="24"/>
          <w:szCs w:val="24"/>
        </w:rPr>
        <w:t xml:space="preserve">136 (1958). For historical discussion of these principles, see </w:t>
      </w:r>
      <w:r w:rsidRPr="00333886">
        <w:rPr>
          <w:rFonts w:eastAsia="Times New Roman"/>
          <w:iCs/>
          <w:smallCaps/>
          <w:sz w:val="24"/>
          <w:szCs w:val="24"/>
        </w:rPr>
        <w:t>W. Seavey, Agency</w:t>
      </w:r>
      <w:r w:rsidRPr="00333886">
        <w:rPr>
          <w:rFonts w:eastAsia="Times New Roman"/>
          <w:iCs/>
          <w:sz w:val="24"/>
          <w:szCs w:val="24"/>
        </w:rPr>
        <w:t xml:space="preserve"> §§ 51-53 (1964); </w:t>
      </w:r>
      <w:r w:rsidRPr="00333886">
        <w:rPr>
          <w:rFonts w:eastAsia="Times New Roman"/>
          <w:i/>
          <w:iCs/>
          <w:sz w:val="24"/>
          <w:szCs w:val="24"/>
        </w:rPr>
        <w:t xml:space="preserve">see also </w:t>
      </w:r>
      <w:r w:rsidRPr="00333886">
        <w:rPr>
          <w:rFonts w:eastAsia="Times New Roman"/>
          <w:iCs/>
          <w:smallCaps/>
          <w:sz w:val="24"/>
          <w:szCs w:val="24"/>
        </w:rPr>
        <w:t>Restatement (Third) of Agency</w:t>
      </w:r>
      <w:r w:rsidRPr="00333886">
        <w:rPr>
          <w:rFonts w:eastAsia="Times New Roman"/>
          <w:iCs/>
          <w:sz w:val="24"/>
          <w:szCs w:val="24"/>
        </w:rPr>
        <w:t xml:space="preserve"> §§ 2.01 cmt. </w:t>
      </w:r>
      <w:r>
        <w:rPr>
          <w:rFonts w:eastAsia="Times New Roman"/>
          <w:iCs/>
          <w:sz w:val="24"/>
          <w:szCs w:val="24"/>
        </w:rPr>
        <w:t>c</w:t>
      </w:r>
      <w:r w:rsidRPr="00333886">
        <w:rPr>
          <w:rFonts w:eastAsia="Times New Roman"/>
          <w:iCs/>
          <w:sz w:val="24"/>
          <w:szCs w:val="24"/>
        </w:rPr>
        <w:t>, 3.11 (2006).</w:t>
      </w:r>
    </w:p>
    <w:p w14:paraId="6F56B6AA" w14:textId="77777777" w:rsidR="00E01A1E" w:rsidRPr="00333886" w:rsidRDefault="00771A51" w:rsidP="00E01A1E">
      <w:pPr>
        <w:spacing w:after="240"/>
        <w:ind w:firstLine="720"/>
        <w:rPr>
          <w:rFonts w:eastAsia="Times New Roman"/>
          <w:iCs/>
          <w:sz w:val="24"/>
          <w:szCs w:val="24"/>
        </w:rPr>
      </w:pPr>
      <w:r w:rsidRPr="00333886">
        <w:rPr>
          <w:rFonts w:eastAsia="Times New Roman"/>
          <w:iCs/>
          <w:sz w:val="24"/>
          <w:szCs w:val="24"/>
        </w:rPr>
        <w:t xml:space="preserve">2. There is sufficient notice of termination of the agency where a creditor learns, actually or constructively, that the former principal has ceased to do business or transferred the enterprise to another. </w:t>
      </w:r>
      <w:r w:rsidRPr="00333886">
        <w:rPr>
          <w:rFonts w:eastAsia="Times New Roman"/>
          <w:b/>
          <w:iCs/>
          <w:sz w:val="24"/>
          <w:szCs w:val="24"/>
        </w:rPr>
        <w:t>W</w:t>
      </w:r>
      <w:r>
        <w:rPr>
          <w:rFonts w:eastAsia="Times New Roman"/>
          <w:b/>
          <w:iCs/>
          <w:sz w:val="24"/>
          <w:szCs w:val="24"/>
        </w:rPr>
        <w:t>.</w:t>
      </w:r>
      <w:r w:rsidRPr="00333886">
        <w:rPr>
          <w:rFonts w:eastAsia="Times New Roman"/>
          <w:b/>
          <w:iCs/>
          <w:sz w:val="24"/>
          <w:szCs w:val="24"/>
        </w:rPr>
        <w:t xml:space="preserve"> Denver Feed Co.</w:t>
      </w:r>
      <w:r w:rsidRPr="00333886">
        <w:rPr>
          <w:rFonts w:eastAsia="Times New Roman"/>
          <w:iCs/>
          <w:sz w:val="24"/>
          <w:szCs w:val="24"/>
        </w:rPr>
        <w:t>, 38 Colo. App. at 67, 551 P.2d at 1093-94.</w:t>
      </w:r>
    </w:p>
    <w:p w14:paraId="6CAA94F6" w14:textId="77777777" w:rsidR="00E01A1E" w:rsidRDefault="00771A51" w:rsidP="00E01A1E">
      <w:pPr>
        <w:spacing w:after="240"/>
        <w:ind w:firstLine="720"/>
      </w:pPr>
      <w:r w:rsidRPr="00333886">
        <w:rPr>
          <w:rFonts w:eastAsia="Times New Roman"/>
          <w:iCs/>
          <w:sz w:val="24"/>
          <w:szCs w:val="24"/>
        </w:rPr>
        <w:t>3. As to the appointment and termination of the authority of an insurance agent, that is, an “insurance provider,” see</w:t>
      </w:r>
      <w:r w:rsidRPr="00333886">
        <w:rPr>
          <w:rFonts w:eastAsia="Times New Roman"/>
          <w:i/>
          <w:iCs/>
          <w:sz w:val="24"/>
          <w:szCs w:val="24"/>
        </w:rPr>
        <w:t xml:space="preserve"> </w:t>
      </w:r>
      <w:r w:rsidRPr="001612AC">
        <w:rPr>
          <w:rFonts w:eastAsia="Times New Roman"/>
          <w:iCs/>
          <w:sz w:val="24"/>
          <w:szCs w:val="24"/>
        </w:rPr>
        <w:t>sections</w:t>
      </w:r>
      <w:r w:rsidRPr="00333886">
        <w:rPr>
          <w:rFonts w:eastAsia="Times New Roman"/>
          <w:iCs/>
          <w:sz w:val="24"/>
          <w:szCs w:val="24"/>
        </w:rPr>
        <w:t xml:space="preserve"> 10-2-416 and 10-2-416.5, C.R.S.</w:t>
      </w:r>
      <w:r>
        <w:br w:type="page"/>
      </w:r>
    </w:p>
    <w:p w14:paraId="67218F49" w14:textId="77777777" w:rsidR="00E01A1E" w:rsidRDefault="00771A51" w:rsidP="00E01A1E">
      <w:pPr>
        <w:spacing w:after="240"/>
        <w:jc w:val="center"/>
        <w:rPr>
          <w:b/>
          <w:sz w:val="24"/>
          <w:szCs w:val="24"/>
        </w:rPr>
      </w:pPr>
      <w:bookmarkStart w:id="20" w:name="a8_IntroB"/>
      <w:bookmarkEnd w:id="20"/>
      <w:r w:rsidRPr="005D01E8">
        <w:rPr>
          <w:b/>
          <w:sz w:val="24"/>
          <w:szCs w:val="24"/>
        </w:rPr>
        <w:lastRenderedPageBreak/>
        <w:t>B. LIABILITY ARISING FROM AGENCY</w:t>
      </w:r>
    </w:p>
    <w:p w14:paraId="0D82CF58" w14:textId="77777777" w:rsidR="00E01A1E" w:rsidRPr="0054263B" w:rsidRDefault="00771A51" w:rsidP="00E01A1E">
      <w:pPr>
        <w:keepNext/>
        <w:spacing w:after="240"/>
        <w:jc w:val="center"/>
        <w:rPr>
          <w:rFonts w:eastAsia="Times New Roman"/>
          <w:b/>
          <w:sz w:val="24"/>
          <w:szCs w:val="24"/>
        </w:rPr>
      </w:pPr>
      <w:r w:rsidRPr="00A73FC9">
        <w:rPr>
          <w:rFonts w:eastAsia="Times New Roman"/>
          <w:b/>
          <w:sz w:val="24"/>
          <w:szCs w:val="24"/>
        </w:rPr>
        <w:t>Introductory Note</w:t>
      </w:r>
    </w:p>
    <w:p w14:paraId="6E59250E" w14:textId="77777777" w:rsidR="00E01A1E" w:rsidRDefault="00771A51" w:rsidP="00E01A1E">
      <w:pPr>
        <w:shd w:val="clear" w:color="auto" w:fill="FFFFFF"/>
        <w:ind w:firstLine="720"/>
        <w:rPr>
          <w:sz w:val="24"/>
          <w:szCs w:val="24"/>
        </w:rPr>
      </w:pPr>
      <w:r>
        <w:rPr>
          <w:sz w:val="24"/>
          <w:szCs w:val="24"/>
        </w:rPr>
        <w:t xml:space="preserve">1. </w:t>
      </w:r>
      <w:r w:rsidRPr="00755460">
        <w:rPr>
          <w:sz w:val="24"/>
          <w:szCs w:val="24"/>
        </w:rPr>
        <w:t xml:space="preserve">Divisions of the court of appeals disagree as to whether a principal is liable for physical injuries caused by agent independent contractors. </w:t>
      </w:r>
      <w:r w:rsidRPr="00755460">
        <w:rPr>
          <w:i/>
          <w:iCs/>
          <w:sz w:val="24"/>
          <w:szCs w:val="24"/>
        </w:rPr>
        <w:t xml:space="preserve">Compare </w:t>
      </w:r>
      <w:r w:rsidRPr="00755460">
        <w:rPr>
          <w:b/>
          <w:bCs/>
          <w:sz w:val="24"/>
          <w:szCs w:val="24"/>
          <w:lang w:val="en"/>
        </w:rPr>
        <w:t>Daly v. Aspen Ctr. for Women’s Health, Inc.</w:t>
      </w:r>
      <w:r w:rsidRPr="00755460">
        <w:rPr>
          <w:sz w:val="24"/>
          <w:szCs w:val="24"/>
          <w:lang w:val="en"/>
        </w:rPr>
        <w:t>, 134 P.3d 450, 454 (Colo. App. 2005) (holding that “[o]</w:t>
      </w:r>
      <w:r w:rsidRPr="00755460">
        <w:rPr>
          <w:sz w:val="24"/>
          <w:szCs w:val="24"/>
        </w:rPr>
        <w:t xml:space="preserve">rdinarily, a principal is not liable for physical injuries caused by the negligence of a nonservant agent” (citing </w:t>
      </w:r>
      <w:r w:rsidRPr="00755460">
        <w:rPr>
          <w:smallCaps/>
          <w:sz w:val="24"/>
          <w:szCs w:val="24"/>
        </w:rPr>
        <w:t>Restatement (Second) of Agency</w:t>
      </w:r>
      <w:r w:rsidRPr="00755460">
        <w:rPr>
          <w:sz w:val="24"/>
          <w:szCs w:val="24"/>
        </w:rPr>
        <w:t xml:space="preserve"> § 250 (1958))), </w:t>
      </w:r>
      <w:r w:rsidRPr="00755460">
        <w:rPr>
          <w:i/>
          <w:iCs/>
          <w:sz w:val="24"/>
          <w:szCs w:val="24"/>
        </w:rPr>
        <w:t xml:space="preserve">with </w:t>
      </w:r>
      <w:r w:rsidRPr="00755460">
        <w:rPr>
          <w:b/>
          <w:bCs/>
          <w:sz w:val="24"/>
          <w:szCs w:val="24"/>
        </w:rPr>
        <w:t>Cheney v. Hailey</w:t>
      </w:r>
      <w:r w:rsidRPr="00755460">
        <w:rPr>
          <w:sz w:val="24"/>
          <w:szCs w:val="24"/>
        </w:rPr>
        <w:t xml:space="preserve">, 686 P.2d 808 (Colo. App. 1984) (holding that a principal was vicariously liable for injuries caused by an agent’s negligent driving, without regard to agent’s independent contractor status). </w:t>
      </w:r>
    </w:p>
    <w:p w14:paraId="6CEF6BDD" w14:textId="77777777" w:rsidR="00E01A1E" w:rsidRPr="00755460" w:rsidRDefault="00E01A1E" w:rsidP="00E01A1E">
      <w:pPr>
        <w:shd w:val="clear" w:color="auto" w:fill="FFFFFF"/>
        <w:ind w:firstLine="720"/>
        <w:rPr>
          <w:sz w:val="24"/>
          <w:szCs w:val="24"/>
        </w:rPr>
      </w:pPr>
    </w:p>
    <w:p w14:paraId="3809FF23" w14:textId="77777777" w:rsidR="00E01A1E" w:rsidRDefault="00771A51" w:rsidP="00E01A1E">
      <w:pPr>
        <w:ind w:firstLine="720"/>
        <w:rPr>
          <w:sz w:val="24"/>
          <w:szCs w:val="24"/>
        </w:rPr>
      </w:pPr>
      <w:r>
        <w:rPr>
          <w:sz w:val="24"/>
          <w:szCs w:val="24"/>
        </w:rPr>
        <w:t xml:space="preserve">2. </w:t>
      </w:r>
      <w:r w:rsidRPr="00755460">
        <w:rPr>
          <w:sz w:val="24"/>
          <w:szCs w:val="24"/>
        </w:rPr>
        <w:t xml:space="preserve">The supreme court has not squarely addressed the issue. In </w:t>
      </w:r>
      <w:r w:rsidRPr="00755460">
        <w:rPr>
          <w:b/>
          <w:bCs/>
          <w:sz w:val="24"/>
          <w:szCs w:val="24"/>
        </w:rPr>
        <w:t>Grease Monkey Int</w:t>
      </w:r>
      <w:r>
        <w:rPr>
          <w:b/>
          <w:bCs/>
          <w:sz w:val="24"/>
          <w:szCs w:val="24"/>
        </w:rPr>
        <w:t>ernational</w:t>
      </w:r>
      <w:r w:rsidRPr="00755460">
        <w:rPr>
          <w:b/>
          <w:bCs/>
          <w:sz w:val="24"/>
          <w:szCs w:val="24"/>
        </w:rPr>
        <w:t>, Inc. v. Montoya</w:t>
      </w:r>
      <w:r w:rsidRPr="00755460">
        <w:rPr>
          <w:sz w:val="24"/>
          <w:szCs w:val="24"/>
        </w:rPr>
        <w:t xml:space="preserve">, 904 P.2d 468, 473 (Colo. 1995), the court noted in dicta that “[w]hen the servant or agent uses the apparent authority of the relationship with the master or principal, the Restatement (Second) of Agency also holds principals vicariously liable for the </w:t>
      </w:r>
      <w:r w:rsidRPr="00755460">
        <w:rPr>
          <w:sz w:val="24"/>
          <w:szCs w:val="24"/>
          <w:shd w:val="clear" w:color="auto" w:fill="FFFFFF"/>
        </w:rPr>
        <w:t>physical</w:t>
      </w:r>
      <w:r w:rsidRPr="00755460">
        <w:rPr>
          <w:sz w:val="24"/>
          <w:szCs w:val="24"/>
        </w:rPr>
        <w:t xml:space="preserve"> torts of agents who are not servants, i.e., if the tort was committed within the scope of the agency.” </w:t>
      </w:r>
      <w:r w:rsidRPr="00D12113">
        <w:rPr>
          <w:sz w:val="24"/>
          <w:szCs w:val="24"/>
        </w:rPr>
        <w:t xml:space="preserve">The court also explained that employees and independent contractor agents are distinguishable partly because an employer, unlike an independent contractor agent, is liable for physical harm resulting from an employee’s physical conduct in the scope of employment. </w:t>
      </w:r>
      <w:r w:rsidRPr="00D12113">
        <w:rPr>
          <w:i/>
          <w:iCs/>
          <w:sz w:val="24"/>
          <w:szCs w:val="24"/>
        </w:rPr>
        <w:t>Id.</w:t>
      </w:r>
      <w:r w:rsidRPr="00755460">
        <w:rPr>
          <w:sz w:val="24"/>
          <w:szCs w:val="24"/>
        </w:rPr>
        <w:t xml:space="preserve"> In light of the unsettled nature of Colorado law, the Committee takes no position on the issue.</w:t>
      </w:r>
    </w:p>
    <w:p w14:paraId="728DB34F" w14:textId="77777777" w:rsidR="00E01A1E" w:rsidRPr="00755460" w:rsidRDefault="00E01A1E" w:rsidP="00B33010">
      <w:pPr>
        <w:rPr>
          <w:rFonts w:eastAsia="Times New Roman"/>
          <w:b/>
          <w:sz w:val="24"/>
          <w:szCs w:val="24"/>
        </w:rPr>
      </w:pPr>
    </w:p>
    <w:p w14:paraId="4124D67C" w14:textId="77777777" w:rsidR="00E01A1E" w:rsidRDefault="00771A51">
      <w:pPr>
        <w:rPr>
          <w:rFonts w:eastAsia="Times New Roman"/>
          <w:b/>
          <w:sz w:val="24"/>
          <w:szCs w:val="24"/>
        </w:rPr>
      </w:pPr>
      <w:r>
        <w:rPr>
          <w:rFonts w:eastAsia="Times New Roman"/>
          <w:b/>
          <w:sz w:val="24"/>
          <w:szCs w:val="24"/>
        </w:rPr>
        <w:br w:type="page"/>
      </w:r>
    </w:p>
    <w:p w14:paraId="3D452565" w14:textId="77777777" w:rsidR="00E01A1E" w:rsidRPr="009E3DA4" w:rsidRDefault="00771A51" w:rsidP="00E01A1E">
      <w:pPr>
        <w:spacing w:after="240"/>
        <w:ind w:left="720" w:hanging="720"/>
        <w:rPr>
          <w:rFonts w:eastAsia="Times New Roman"/>
          <w:b/>
          <w:sz w:val="24"/>
          <w:szCs w:val="24"/>
        </w:rPr>
      </w:pPr>
      <w:bookmarkStart w:id="21" w:name="a8_18"/>
      <w:bookmarkEnd w:id="21"/>
      <w:r w:rsidRPr="00C26751">
        <w:rPr>
          <w:rFonts w:eastAsia="Times New Roman"/>
          <w:b/>
          <w:sz w:val="24"/>
          <w:szCs w:val="24"/>
        </w:rPr>
        <w:lastRenderedPageBreak/>
        <w:t>8:1</w:t>
      </w:r>
      <w:r>
        <w:rPr>
          <w:rFonts w:eastAsia="Times New Roman"/>
          <w:b/>
          <w:sz w:val="24"/>
          <w:szCs w:val="24"/>
        </w:rPr>
        <w:t>8</w:t>
      </w:r>
      <w:r w:rsidRPr="00C26751">
        <w:rPr>
          <w:rFonts w:eastAsia="Times New Roman"/>
          <w:b/>
          <w:sz w:val="24"/>
          <w:szCs w:val="24"/>
        </w:rPr>
        <w:tab/>
      </w:r>
      <w:r>
        <w:rPr>
          <w:b/>
          <w:sz w:val="24"/>
          <w:szCs w:val="24"/>
        </w:rPr>
        <w:t>PRINCIPAL AND AGENT</w:t>
      </w:r>
      <w:r w:rsidRPr="00321E79">
        <w:rPr>
          <w:b/>
          <w:sz w:val="24"/>
          <w:szCs w:val="24"/>
        </w:rPr>
        <w:t xml:space="preserve"> — BOTH PARTIES SUED — ISSUE AS TO RELATIONSHIP AND</w:t>
      </w:r>
      <w:r>
        <w:rPr>
          <w:b/>
          <w:sz w:val="24"/>
          <w:szCs w:val="24"/>
        </w:rPr>
        <w:t>/OR</w:t>
      </w:r>
      <w:r w:rsidRPr="00321E79">
        <w:rPr>
          <w:b/>
          <w:sz w:val="24"/>
          <w:szCs w:val="24"/>
        </w:rPr>
        <w:t xml:space="preserve"> SCOPE OF </w:t>
      </w:r>
      <w:r>
        <w:rPr>
          <w:b/>
          <w:sz w:val="24"/>
          <w:szCs w:val="24"/>
        </w:rPr>
        <w:t>AUTHORITY</w:t>
      </w:r>
    </w:p>
    <w:p w14:paraId="20B85F12" w14:textId="3CC90429"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For the plaintiff, </w:t>
      </w:r>
      <w:r w:rsidRPr="0090149E">
        <w:rPr>
          <w:rFonts w:eastAsia="Times New Roman"/>
          <w:i/>
          <w:sz w:val="24"/>
          <w:szCs w:val="24"/>
        </w:rPr>
        <w:t>(name)</w:t>
      </w:r>
      <w:r w:rsidRPr="0090149E">
        <w:rPr>
          <w:rFonts w:eastAsia="Times New Roman"/>
          <w:b/>
          <w:sz w:val="24"/>
          <w:szCs w:val="24"/>
        </w:rPr>
        <w:t xml:space="preserve">, to recover on </w:t>
      </w:r>
      <w:r w:rsidR="003E686C" w:rsidRPr="003E686C">
        <w:rPr>
          <w:rFonts w:eastAsia="Times New Roman"/>
          <w:bCs/>
          <w:i/>
          <w:iCs/>
          <w:sz w:val="24"/>
          <w:szCs w:val="24"/>
        </w:rPr>
        <w:t>(insert applicable pronoun)</w:t>
      </w:r>
      <w:r w:rsidRPr="0090149E">
        <w:rPr>
          <w:rFonts w:eastAsia="Times New Roman"/>
          <w:b/>
          <w:sz w:val="24"/>
          <w:szCs w:val="24"/>
        </w:rPr>
        <w:t xml:space="preserve"> claim(s) of </w:t>
      </w:r>
      <w:r w:rsidRPr="0090149E">
        <w:rPr>
          <w:rFonts w:eastAsia="Times New Roman"/>
          <w:i/>
          <w:sz w:val="24"/>
          <w:szCs w:val="24"/>
        </w:rPr>
        <w:t>(insert applicable theory of liability, e.g., “breach of fiduciary duty”)</w:t>
      </w:r>
      <w:r w:rsidRPr="0090149E">
        <w:rPr>
          <w:rFonts w:eastAsia="Times New Roman"/>
          <w:b/>
          <w:i/>
          <w:sz w:val="24"/>
          <w:szCs w:val="24"/>
        </w:rPr>
        <w:t xml:space="preserve"> </w:t>
      </w:r>
      <w:r w:rsidRPr="0090149E">
        <w:rPr>
          <w:rFonts w:eastAsia="Times New Roman"/>
          <w:b/>
          <w:sz w:val="24"/>
          <w:szCs w:val="24"/>
        </w:rPr>
        <w:t xml:space="preserve">against the defendant, </w:t>
      </w:r>
      <w:r w:rsidRPr="0090149E">
        <w:rPr>
          <w:rFonts w:eastAsia="Times New Roman"/>
          <w:i/>
          <w:sz w:val="24"/>
          <w:szCs w:val="24"/>
        </w:rPr>
        <w:t>(alleged principal’s name)</w:t>
      </w:r>
      <w:r w:rsidRPr="0090149E">
        <w:rPr>
          <w:rFonts w:eastAsia="Times New Roman"/>
          <w:b/>
          <w:sz w:val="24"/>
          <w:szCs w:val="24"/>
        </w:rPr>
        <w:t>, you must find that all of the following have been proved by a preponderance of the evidence:</w:t>
      </w:r>
    </w:p>
    <w:p w14:paraId="5C240509" w14:textId="0DF12773"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1. The plaintiff proved </w:t>
      </w:r>
      <w:r w:rsidR="003E686C" w:rsidRPr="003E686C">
        <w:rPr>
          <w:rFonts w:eastAsia="Times New Roman"/>
          <w:bCs/>
          <w:i/>
          <w:iCs/>
          <w:sz w:val="24"/>
          <w:szCs w:val="24"/>
        </w:rPr>
        <w:t>(insert applicable pronoun)</w:t>
      </w:r>
      <w:r w:rsidRPr="0090149E">
        <w:rPr>
          <w:rFonts w:eastAsia="Times New Roman"/>
          <w:b/>
          <w:sz w:val="24"/>
          <w:szCs w:val="24"/>
        </w:rPr>
        <w:t xml:space="preserve"> </w:t>
      </w:r>
      <w:r w:rsidRPr="0090149E">
        <w:rPr>
          <w:rFonts w:eastAsia="Times New Roman"/>
          <w:i/>
          <w:sz w:val="24"/>
          <w:szCs w:val="24"/>
        </w:rPr>
        <w:t>(insert applicable theory of liability, e.g., “breach of fiduciary duty”)</w:t>
      </w:r>
      <w:r w:rsidRPr="0090149E">
        <w:rPr>
          <w:rFonts w:eastAsia="Times New Roman"/>
          <w:b/>
          <w:sz w:val="24"/>
          <w:szCs w:val="24"/>
        </w:rPr>
        <w:t xml:space="preserve"> claim(s) against the defendant, </w:t>
      </w:r>
      <w:r w:rsidRPr="0090149E">
        <w:rPr>
          <w:rFonts w:eastAsia="Times New Roman"/>
          <w:i/>
          <w:sz w:val="24"/>
          <w:szCs w:val="24"/>
        </w:rPr>
        <w:t>(alleged agent’s name)</w:t>
      </w:r>
      <w:r w:rsidRPr="0090149E">
        <w:rPr>
          <w:rFonts w:eastAsia="Times New Roman"/>
          <w:b/>
          <w:sz w:val="24"/>
          <w:szCs w:val="24"/>
        </w:rPr>
        <w:t>;</w:t>
      </w:r>
    </w:p>
    <w:p w14:paraId="6CE21FC1" w14:textId="77777777"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(2. The defendant, </w:t>
      </w:r>
      <w:r w:rsidRPr="0090149E">
        <w:rPr>
          <w:rFonts w:eastAsia="Times New Roman"/>
          <w:i/>
          <w:sz w:val="24"/>
          <w:szCs w:val="24"/>
        </w:rPr>
        <w:t>[alleged agent’s name]</w:t>
      </w:r>
      <w:r w:rsidRPr="0090149E">
        <w:rPr>
          <w:rFonts w:eastAsia="Times New Roman"/>
          <w:b/>
          <w:sz w:val="24"/>
          <w:szCs w:val="24"/>
        </w:rPr>
        <w:t xml:space="preserve">, was the agent of the defendant, </w:t>
      </w:r>
      <w:r w:rsidRPr="0090149E">
        <w:rPr>
          <w:rFonts w:eastAsia="Times New Roman"/>
          <w:i/>
          <w:sz w:val="24"/>
          <w:szCs w:val="24"/>
        </w:rPr>
        <w:t>[alleged principal’s name]</w:t>
      </w:r>
      <w:r w:rsidRPr="0090149E">
        <w:rPr>
          <w:rFonts w:eastAsia="Times New Roman"/>
          <w:b/>
          <w:sz w:val="24"/>
          <w:szCs w:val="24"/>
        </w:rPr>
        <w:t xml:space="preserve">, at the time of the </w:t>
      </w:r>
      <w:r w:rsidRPr="0090149E">
        <w:rPr>
          <w:rFonts w:eastAsia="Times New Roman"/>
          <w:i/>
          <w:sz w:val="24"/>
          <w:szCs w:val="24"/>
        </w:rPr>
        <w:t>[insert applicable theory of liability, e.g., “breach of fiduciary duty”]</w:t>
      </w:r>
      <w:r w:rsidRPr="0090149E">
        <w:rPr>
          <w:rFonts w:eastAsia="Times New Roman"/>
          <w:b/>
          <w:i/>
          <w:sz w:val="24"/>
          <w:szCs w:val="24"/>
        </w:rPr>
        <w:t xml:space="preserve"> </w:t>
      </w:r>
      <w:r w:rsidRPr="0090149E">
        <w:rPr>
          <w:rFonts w:eastAsia="Times New Roman"/>
          <w:b/>
          <w:sz w:val="24"/>
          <w:szCs w:val="24"/>
        </w:rPr>
        <w:t>[.] [; and])</w:t>
      </w:r>
    </w:p>
    <w:p w14:paraId="39E92820" w14:textId="54DBBD09"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(3. The defendant, </w:t>
      </w:r>
      <w:r w:rsidRPr="0090149E">
        <w:rPr>
          <w:rFonts w:eastAsia="Times New Roman"/>
          <w:i/>
          <w:sz w:val="24"/>
          <w:szCs w:val="24"/>
        </w:rPr>
        <w:t>[alleged agent’s name]</w:t>
      </w:r>
      <w:r w:rsidRPr="0090149E">
        <w:rPr>
          <w:rFonts w:eastAsia="Times New Roman"/>
          <w:b/>
          <w:sz w:val="24"/>
          <w:szCs w:val="24"/>
        </w:rPr>
        <w:t xml:space="preserve">, was acting within the scope of </w:t>
      </w:r>
      <w:r w:rsidR="003E686C">
        <w:rPr>
          <w:rFonts w:eastAsia="Times New Roman"/>
          <w:bCs/>
          <w:i/>
          <w:iCs/>
          <w:sz w:val="24"/>
          <w:szCs w:val="24"/>
        </w:rPr>
        <w:t>[</w:t>
      </w:r>
      <w:r w:rsidR="003E686C" w:rsidRPr="003E686C">
        <w:rPr>
          <w:rFonts w:eastAsia="Times New Roman"/>
          <w:bCs/>
          <w:i/>
          <w:iCs/>
          <w:sz w:val="24"/>
          <w:szCs w:val="24"/>
        </w:rPr>
        <w:t>insert applicable pronoun</w:t>
      </w:r>
      <w:r w:rsidR="003E686C">
        <w:rPr>
          <w:rFonts w:eastAsia="Times New Roman"/>
          <w:bCs/>
          <w:i/>
          <w:iCs/>
          <w:sz w:val="24"/>
          <w:szCs w:val="24"/>
        </w:rPr>
        <w:t>]</w:t>
      </w:r>
      <w:r w:rsidRPr="0090149E">
        <w:rPr>
          <w:rFonts w:eastAsia="Times New Roman"/>
          <w:b/>
          <w:sz w:val="24"/>
          <w:szCs w:val="24"/>
        </w:rPr>
        <w:t xml:space="preserve"> authority at the time of the </w:t>
      </w:r>
      <w:r w:rsidRPr="0090149E">
        <w:rPr>
          <w:rFonts w:eastAsia="Times New Roman"/>
          <w:i/>
          <w:sz w:val="24"/>
          <w:szCs w:val="24"/>
        </w:rPr>
        <w:t>[insert appropriate description of events, e.g., “occurrence,” “promise was made,” “representation was made,” etc.]</w:t>
      </w:r>
      <w:r w:rsidRPr="0090149E">
        <w:rPr>
          <w:rFonts w:eastAsia="Times New Roman"/>
          <w:b/>
          <w:sz w:val="24"/>
          <w:szCs w:val="24"/>
        </w:rPr>
        <w:t>.)</w:t>
      </w:r>
    </w:p>
    <w:p w14:paraId="40B51497" w14:textId="77777777"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If you find that any one or more of these </w:t>
      </w:r>
      <w:r w:rsidRPr="0090149E">
        <w:rPr>
          <w:rFonts w:eastAsia="Times New Roman"/>
          <w:i/>
          <w:sz w:val="24"/>
          <w:szCs w:val="24"/>
        </w:rPr>
        <w:t>(number)</w:t>
      </w:r>
      <w:r w:rsidRPr="0090149E">
        <w:rPr>
          <w:rFonts w:eastAsia="Times New Roman"/>
          <w:b/>
          <w:sz w:val="24"/>
          <w:szCs w:val="24"/>
        </w:rPr>
        <w:t xml:space="preserve"> statements has not been proved, then your verdict must be for the defendant, </w:t>
      </w:r>
      <w:r w:rsidRPr="0090149E">
        <w:rPr>
          <w:rFonts w:eastAsia="Times New Roman"/>
          <w:i/>
          <w:sz w:val="24"/>
          <w:szCs w:val="24"/>
        </w:rPr>
        <w:t>(alleged principal’s name)</w:t>
      </w:r>
      <w:r w:rsidRPr="0090149E">
        <w:rPr>
          <w:rFonts w:eastAsia="Times New Roman"/>
          <w:b/>
          <w:sz w:val="24"/>
          <w:szCs w:val="24"/>
        </w:rPr>
        <w:t xml:space="preserve">, on the claim(s) of </w:t>
      </w:r>
      <w:r w:rsidRPr="0090149E">
        <w:rPr>
          <w:rFonts w:eastAsia="Times New Roman"/>
          <w:i/>
          <w:sz w:val="24"/>
          <w:szCs w:val="24"/>
        </w:rPr>
        <w:t>(insert applicable theory of liability, e.g., “breach of fiduciary duty”)</w:t>
      </w:r>
      <w:r w:rsidRPr="0090149E">
        <w:rPr>
          <w:rFonts w:eastAsia="Times New Roman"/>
          <w:b/>
          <w:sz w:val="24"/>
          <w:szCs w:val="24"/>
        </w:rPr>
        <w:t>.</w:t>
      </w:r>
    </w:p>
    <w:p w14:paraId="7DE3AAD6" w14:textId="77777777" w:rsidR="00E01A1E" w:rsidRPr="0090149E" w:rsidRDefault="00771A51" w:rsidP="00E01A1E">
      <w:pPr>
        <w:spacing w:after="240"/>
        <w:ind w:firstLine="720"/>
        <w:rPr>
          <w:rFonts w:eastAsia="Times New Roman"/>
          <w:b/>
          <w:sz w:val="24"/>
          <w:szCs w:val="24"/>
        </w:rPr>
      </w:pPr>
      <w:r w:rsidRPr="0090149E">
        <w:rPr>
          <w:rFonts w:eastAsia="Times New Roman"/>
          <w:b/>
          <w:sz w:val="24"/>
          <w:szCs w:val="24"/>
        </w:rPr>
        <w:t xml:space="preserve">On the other hand, if you find that all of these </w:t>
      </w:r>
      <w:r w:rsidRPr="0090149E">
        <w:rPr>
          <w:rFonts w:eastAsia="Times New Roman"/>
          <w:i/>
          <w:sz w:val="24"/>
          <w:szCs w:val="24"/>
        </w:rPr>
        <w:t>(number)</w:t>
      </w:r>
      <w:r w:rsidRPr="0090149E">
        <w:rPr>
          <w:rFonts w:eastAsia="Times New Roman"/>
          <w:b/>
          <w:sz w:val="24"/>
          <w:szCs w:val="24"/>
        </w:rPr>
        <w:t xml:space="preserve"> statements have been proved, then your verdict must be for the plaintiff on the claim(s) of </w:t>
      </w:r>
      <w:r w:rsidRPr="0090149E">
        <w:rPr>
          <w:rFonts w:eastAsia="Times New Roman"/>
          <w:i/>
          <w:sz w:val="24"/>
          <w:szCs w:val="24"/>
        </w:rPr>
        <w:t>(insert applicable theory of liability, e.g., “breach of fiduciary duty”)</w:t>
      </w:r>
      <w:r w:rsidRPr="0090149E">
        <w:rPr>
          <w:rFonts w:eastAsia="Times New Roman"/>
          <w:b/>
          <w:sz w:val="24"/>
          <w:szCs w:val="24"/>
        </w:rPr>
        <w:t xml:space="preserve">, against the defendant, </w:t>
      </w:r>
      <w:r w:rsidRPr="0090149E">
        <w:rPr>
          <w:rFonts w:eastAsia="Times New Roman"/>
          <w:i/>
          <w:sz w:val="24"/>
          <w:szCs w:val="24"/>
        </w:rPr>
        <w:t>(insert alleged principal’s name</w:t>
      </w:r>
      <w:r w:rsidRPr="0090149E">
        <w:rPr>
          <w:rFonts w:eastAsia="Times New Roman"/>
          <w:sz w:val="24"/>
          <w:szCs w:val="24"/>
        </w:rPr>
        <w:t>)</w:t>
      </w:r>
      <w:r w:rsidRPr="0090149E">
        <w:rPr>
          <w:rFonts w:eastAsia="Times New Roman"/>
          <w:b/>
          <w:sz w:val="24"/>
          <w:szCs w:val="24"/>
        </w:rPr>
        <w:t>.</w:t>
      </w:r>
    </w:p>
    <w:p w14:paraId="221DC69C" w14:textId="77777777" w:rsidR="00E01A1E" w:rsidRDefault="00E01A1E" w:rsidP="00E01A1E">
      <w:pPr>
        <w:jc w:val="center"/>
        <w:rPr>
          <w:rFonts w:eastAsia="Times New Roman"/>
          <w:sz w:val="24"/>
          <w:szCs w:val="24"/>
        </w:rPr>
      </w:pPr>
    </w:p>
    <w:p w14:paraId="6B5913AE"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354DF37"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E00593">
        <w:rPr>
          <w:rFonts w:eastAsia="Times New Roman"/>
          <w:b/>
          <w:bCs/>
          <w:sz w:val="24"/>
          <w:szCs w:val="24"/>
        </w:rPr>
        <w:t>Grease Monkey Int’l v. Montoya</w:t>
      </w:r>
      <w:r w:rsidRPr="00E00593">
        <w:rPr>
          <w:rFonts w:eastAsia="Times New Roman"/>
          <w:sz w:val="24"/>
          <w:szCs w:val="24"/>
        </w:rPr>
        <w:t>, 904 P.2d 468, 473 (Colo. 1995)</w:t>
      </w:r>
      <w:r w:rsidRPr="00E00593">
        <w:rPr>
          <w:rFonts w:eastAsia="Times New Roman"/>
          <w:bCs/>
          <w:sz w:val="24"/>
          <w:szCs w:val="24"/>
        </w:rPr>
        <w:t xml:space="preserve">. </w:t>
      </w:r>
      <w:r w:rsidRPr="00E00593">
        <w:rPr>
          <w:rFonts w:eastAsia="Times New Roman"/>
          <w:sz w:val="24"/>
          <w:szCs w:val="24"/>
        </w:rPr>
        <w:t xml:space="preserve">A principal may be liable for the agent’s torts if the agent is acting with apparent authority. </w:t>
      </w:r>
      <w:r w:rsidRPr="00E00593">
        <w:rPr>
          <w:rFonts w:eastAsia="Times New Roman"/>
          <w:i/>
          <w:iCs/>
          <w:sz w:val="24"/>
          <w:szCs w:val="24"/>
        </w:rPr>
        <w:t xml:space="preserve">See </w:t>
      </w:r>
      <w:r w:rsidRPr="00E00593">
        <w:rPr>
          <w:rFonts w:eastAsia="Times New Roman"/>
          <w:b/>
          <w:bCs/>
          <w:sz w:val="24"/>
          <w:szCs w:val="24"/>
        </w:rPr>
        <w:t>Grease Monkey Int’l</w:t>
      </w:r>
      <w:r w:rsidRPr="00E00593">
        <w:rPr>
          <w:rFonts w:eastAsia="Times New Roman"/>
          <w:sz w:val="24"/>
          <w:szCs w:val="24"/>
        </w:rPr>
        <w:t>, 904 P.2d at 475-76 (holding principal liable for agent’s fraudulent misrepresentation).</w:t>
      </w:r>
    </w:p>
    <w:p w14:paraId="7A04151F"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E00593">
        <w:rPr>
          <w:rFonts w:eastAsia="Times New Roman"/>
          <w:b/>
          <w:bCs/>
          <w:sz w:val="24"/>
          <w:szCs w:val="24"/>
        </w:rPr>
        <w:t>Digital Landscape Inc. v. Media Kings LL</w:t>
      </w:r>
      <w:r>
        <w:rPr>
          <w:rFonts w:eastAsia="Times New Roman"/>
          <w:b/>
          <w:bCs/>
          <w:sz w:val="24"/>
          <w:szCs w:val="24"/>
        </w:rPr>
        <w:t>C</w:t>
      </w:r>
      <w:r w:rsidRPr="00E00593">
        <w:rPr>
          <w:rFonts w:eastAsia="Times New Roman"/>
          <w:sz w:val="24"/>
          <w:szCs w:val="24"/>
        </w:rPr>
        <w:t xml:space="preserve">, 2018 COA 142, ¶ 79, 440 P.3d 1200, 1212; </w:t>
      </w:r>
      <w:r w:rsidRPr="00E00593">
        <w:rPr>
          <w:rFonts w:eastAsia="Times New Roman"/>
          <w:i/>
          <w:iCs/>
          <w:sz w:val="24"/>
          <w:szCs w:val="24"/>
        </w:rPr>
        <w:t xml:space="preserve">see also </w:t>
      </w:r>
      <w:r w:rsidRPr="00E00593">
        <w:rPr>
          <w:rFonts w:eastAsia="Times New Roman"/>
          <w:b/>
          <w:bCs/>
          <w:sz w:val="24"/>
          <w:szCs w:val="24"/>
        </w:rPr>
        <w:t>Grease Monkey</w:t>
      </w:r>
      <w:r w:rsidRPr="00E00593">
        <w:rPr>
          <w:rFonts w:eastAsia="Times New Roman"/>
          <w:sz w:val="24"/>
          <w:szCs w:val="24"/>
        </w:rPr>
        <w:t xml:space="preserve">, 904 P.2d at 473. The general rule is subject to three limited exceptions: nondelegable duties, </w:t>
      </w:r>
      <w:r w:rsidRPr="00E00593">
        <w:rPr>
          <w:rFonts w:eastAsia="Times New Roman"/>
          <w:i/>
          <w:iCs/>
          <w:sz w:val="24"/>
          <w:szCs w:val="24"/>
        </w:rPr>
        <w:t>se</w:t>
      </w:r>
      <w:r>
        <w:rPr>
          <w:rFonts w:eastAsia="Times New Roman"/>
          <w:i/>
          <w:iCs/>
          <w:sz w:val="24"/>
          <w:szCs w:val="24"/>
        </w:rPr>
        <w:t xml:space="preserve">e, </w:t>
      </w:r>
      <w:r w:rsidRPr="00E00593">
        <w:rPr>
          <w:rFonts w:eastAsia="Times New Roman"/>
          <w:i/>
          <w:iCs/>
          <w:sz w:val="24"/>
          <w:szCs w:val="24"/>
        </w:rPr>
        <w:t>e.g.</w:t>
      </w:r>
      <w:r w:rsidRPr="00E00593">
        <w:rPr>
          <w:rFonts w:eastAsia="Times New Roman"/>
          <w:sz w:val="24"/>
          <w:szCs w:val="24"/>
        </w:rPr>
        <w:t>,</w:t>
      </w:r>
      <w:r w:rsidRPr="00E00593">
        <w:rPr>
          <w:rFonts w:eastAsia="Times New Roman"/>
          <w:i/>
          <w:iCs/>
          <w:sz w:val="24"/>
          <w:szCs w:val="24"/>
        </w:rPr>
        <w:t xml:space="preserve"> </w:t>
      </w:r>
      <w:r w:rsidRPr="00E00593">
        <w:rPr>
          <w:rFonts w:eastAsia="Times New Roman"/>
          <w:b/>
          <w:bCs/>
          <w:sz w:val="24"/>
          <w:szCs w:val="24"/>
        </w:rPr>
        <w:t>Springer v. City &amp; Cty. of Denver</w:t>
      </w:r>
      <w:r w:rsidRPr="00E00593">
        <w:rPr>
          <w:rFonts w:eastAsia="Times New Roman"/>
          <w:sz w:val="24"/>
          <w:szCs w:val="24"/>
        </w:rPr>
        <w:t xml:space="preserve">, 13 P.3d 794 (Colo. 2000) (Premises Liability Act); inherently dangerous activities, </w:t>
      </w:r>
      <w:r w:rsidRPr="00E00593">
        <w:rPr>
          <w:rFonts w:eastAsia="Times New Roman"/>
          <w:i/>
          <w:iCs/>
          <w:sz w:val="24"/>
          <w:szCs w:val="24"/>
        </w:rPr>
        <w:t>see</w:t>
      </w:r>
      <w:r w:rsidRPr="00E00593">
        <w:rPr>
          <w:rFonts w:eastAsia="Times New Roman"/>
          <w:sz w:val="24"/>
          <w:szCs w:val="24"/>
        </w:rPr>
        <w:t xml:space="preserve"> </w:t>
      </w:r>
      <w:r w:rsidRPr="00E00593">
        <w:rPr>
          <w:rFonts w:eastAsia="Times New Roman"/>
          <w:b/>
          <w:bCs/>
          <w:sz w:val="24"/>
          <w:szCs w:val="24"/>
        </w:rPr>
        <w:t>Huddleston v. Union Rural Elec. Ass’n</w:t>
      </w:r>
      <w:r w:rsidRPr="00E00593">
        <w:rPr>
          <w:rFonts w:eastAsia="Times New Roman"/>
          <w:sz w:val="24"/>
          <w:szCs w:val="24"/>
        </w:rPr>
        <w:t>, 841 P.2d 282</w:t>
      </w:r>
      <w:r>
        <w:rPr>
          <w:rFonts w:eastAsia="Times New Roman"/>
          <w:sz w:val="24"/>
          <w:szCs w:val="24"/>
        </w:rPr>
        <w:t xml:space="preserve"> </w:t>
      </w:r>
      <w:r w:rsidRPr="00D80FC7">
        <w:rPr>
          <w:sz w:val="24"/>
          <w:szCs w:val="24"/>
        </w:rPr>
        <w:t>(Colo. 1992)</w:t>
      </w:r>
      <w:r w:rsidRPr="00E00593">
        <w:rPr>
          <w:rFonts w:eastAsia="Times New Roman"/>
          <w:sz w:val="24"/>
          <w:szCs w:val="24"/>
        </w:rPr>
        <w:t xml:space="preserve">; </w:t>
      </w:r>
      <w:r>
        <w:rPr>
          <w:rFonts w:eastAsia="Times New Roman"/>
          <w:sz w:val="24"/>
          <w:szCs w:val="24"/>
        </w:rPr>
        <w:t xml:space="preserve">and </w:t>
      </w:r>
      <w:r w:rsidRPr="00E00593">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E00593">
        <w:rPr>
          <w:rFonts w:eastAsia="Times New Roman"/>
          <w:sz w:val="24"/>
          <w:szCs w:val="24"/>
        </w:rPr>
        <w:t xml:space="preserve"> </w:t>
      </w:r>
      <w:r w:rsidRPr="00E00593">
        <w:rPr>
          <w:rFonts w:eastAsia="Times New Roman"/>
          <w:b/>
          <w:bCs/>
          <w:sz w:val="24"/>
          <w:szCs w:val="24"/>
        </w:rPr>
        <w:t>Garden of the Gods Vill., Inc. v. Hellman</w:t>
      </w:r>
      <w:r w:rsidRPr="00E00593">
        <w:rPr>
          <w:rFonts w:eastAsia="Times New Roman"/>
          <w:sz w:val="24"/>
          <w:szCs w:val="24"/>
        </w:rPr>
        <w:t xml:space="preserve">, 133 Colo. 286, 294 P.2d 597 (1956). This instruction should not be used in </w:t>
      </w:r>
      <w:r w:rsidRPr="00E00593">
        <w:rPr>
          <w:rFonts w:eastAsia="Times New Roman"/>
          <w:sz w:val="24"/>
          <w:szCs w:val="24"/>
        </w:rPr>
        <w:lastRenderedPageBreak/>
        <w:t xml:space="preserve">cases involving non-agent independent contractors. For instructions concerning those exceptions, </w:t>
      </w:r>
      <w:r w:rsidRPr="00E00593">
        <w:rPr>
          <w:rFonts w:eastAsia="Times New Roman"/>
          <w:i/>
          <w:iCs/>
          <w:sz w:val="24"/>
          <w:szCs w:val="24"/>
        </w:rPr>
        <w:t xml:space="preserve">see </w:t>
      </w:r>
      <w:r w:rsidRPr="00E00593">
        <w:rPr>
          <w:rFonts w:eastAsia="Times New Roman"/>
          <w:sz w:val="24"/>
          <w:szCs w:val="24"/>
        </w:rPr>
        <w:t>Instruction 9:7 (inherently dangerous activities); Instruction 9:7A (ultrahazardous activities); and Chapter 12 (premises liability).</w:t>
      </w:r>
    </w:p>
    <w:p w14:paraId="09AB45CB"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3. Use whichever parenthesized phrases are appropriate depending on whether the relationship or scope of authority, or both, is at issue.</w:t>
      </w:r>
    </w:p>
    <w:p w14:paraId="0AA13638"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4. When there is a dispute as to whether an agency relationship exists, Instruction 8:1 (defining the agency relationship) should be given along with this instruction.</w:t>
      </w:r>
    </w:p>
    <w:p w14:paraId="65A9C208"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5. When the scope of agency is at issue, Instruction 8:9 (defining scope of authority) should be given with this instruction.</w:t>
      </w:r>
    </w:p>
    <w:p w14:paraId="3C8595E2" w14:textId="77777777" w:rsidR="00E01A1E" w:rsidRPr="00E00593" w:rsidRDefault="00771A51" w:rsidP="00E01A1E">
      <w:pPr>
        <w:spacing w:after="240"/>
        <w:ind w:firstLine="720"/>
        <w:rPr>
          <w:rFonts w:eastAsia="Times New Roman"/>
          <w:sz w:val="24"/>
          <w:szCs w:val="24"/>
        </w:rPr>
      </w:pPr>
      <w:r w:rsidRPr="00E00593">
        <w:rPr>
          <w:rFonts w:eastAsia="Times New Roman"/>
          <w:sz w:val="24"/>
          <w:szCs w:val="24"/>
        </w:rPr>
        <w:t>6. For cases involving employment relationships, use the instructions in Part C of this chapter instead of this instruction.</w:t>
      </w:r>
    </w:p>
    <w:p w14:paraId="6BD3C4EF"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636E9C1"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1. This instruction is supported by </w:t>
      </w:r>
      <w:r w:rsidRPr="00E00593">
        <w:rPr>
          <w:rFonts w:eastAsia="Times New Roman"/>
          <w:b/>
          <w:iCs/>
          <w:sz w:val="24"/>
          <w:szCs w:val="24"/>
        </w:rPr>
        <w:t>City of Aurora v. Colo</w:t>
      </w:r>
      <w:r>
        <w:rPr>
          <w:rFonts w:eastAsia="Times New Roman"/>
          <w:b/>
          <w:iCs/>
          <w:sz w:val="24"/>
          <w:szCs w:val="24"/>
        </w:rPr>
        <w:t>rado</w:t>
      </w:r>
      <w:r w:rsidRPr="00E00593">
        <w:rPr>
          <w:rFonts w:eastAsia="Times New Roman"/>
          <w:b/>
          <w:iCs/>
          <w:sz w:val="24"/>
          <w:szCs w:val="24"/>
        </w:rPr>
        <w:t xml:space="preserve"> State </w:t>
      </w:r>
      <w:r>
        <w:rPr>
          <w:rFonts w:eastAsia="Times New Roman"/>
          <w:b/>
          <w:iCs/>
          <w:sz w:val="24"/>
          <w:szCs w:val="24"/>
        </w:rPr>
        <w:t>Engineer</w:t>
      </w:r>
      <w:r w:rsidRPr="00E00593">
        <w:rPr>
          <w:rFonts w:eastAsia="Times New Roman"/>
          <w:iCs/>
          <w:sz w:val="24"/>
          <w:szCs w:val="24"/>
        </w:rPr>
        <w:t xml:space="preserve">, 105 P.3d 595, 622 (Colo. 2005); and </w:t>
      </w:r>
      <w:r w:rsidRPr="00E00593">
        <w:rPr>
          <w:rFonts w:eastAsia="Times New Roman"/>
          <w:b/>
          <w:iCs/>
          <w:sz w:val="24"/>
          <w:szCs w:val="24"/>
        </w:rPr>
        <w:t>Cooley v. Eskridge</w:t>
      </w:r>
      <w:r w:rsidRPr="00E00593">
        <w:rPr>
          <w:rFonts w:eastAsia="Times New Roman"/>
          <w:iCs/>
          <w:sz w:val="24"/>
          <w:szCs w:val="24"/>
        </w:rPr>
        <w:t>, 125 Colo. 102, 241 P.2d 851 (1952).</w:t>
      </w:r>
    </w:p>
    <w:p w14:paraId="73B25E5D"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2. One who hires an independent contractor is generally not vicariously liable for torts committed by the contractor. </w:t>
      </w:r>
      <w:r w:rsidRPr="00E00593">
        <w:rPr>
          <w:rFonts w:eastAsia="Times New Roman"/>
          <w:b/>
          <w:iCs/>
          <w:sz w:val="24"/>
          <w:szCs w:val="24"/>
        </w:rPr>
        <w:t>Huddleston</w:t>
      </w:r>
      <w:r>
        <w:rPr>
          <w:rFonts w:eastAsia="Times New Roman"/>
          <w:iCs/>
          <w:sz w:val="24"/>
          <w:szCs w:val="24"/>
        </w:rPr>
        <w:t xml:space="preserve">, </w:t>
      </w:r>
      <w:r w:rsidRPr="00E00593">
        <w:rPr>
          <w:rFonts w:eastAsia="Times New Roman"/>
          <w:iCs/>
          <w:sz w:val="24"/>
          <w:szCs w:val="24"/>
        </w:rPr>
        <w:t xml:space="preserve">841 P.2d </w:t>
      </w:r>
      <w:r>
        <w:rPr>
          <w:rFonts w:eastAsia="Times New Roman"/>
          <w:iCs/>
          <w:sz w:val="24"/>
          <w:szCs w:val="24"/>
        </w:rPr>
        <w:t xml:space="preserve">at </w:t>
      </w:r>
      <w:r w:rsidRPr="00E00593">
        <w:rPr>
          <w:rFonts w:eastAsia="Times New Roman"/>
          <w:iCs/>
          <w:sz w:val="24"/>
          <w:szCs w:val="24"/>
        </w:rPr>
        <w:t xml:space="preserve">288; </w:t>
      </w:r>
      <w:r w:rsidRPr="00E00593">
        <w:rPr>
          <w:rFonts w:eastAsia="Times New Roman"/>
          <w:b/>
          <w:iCs/>
          <w:sz w:val="24"/>
          <w:szCs w:val="24"/>
        </w:rPr>
        <w:t>Lopez v. City of Grand Junction</w:t>
      </w:r>
      <w:r w:rsidRPr="00E00593">
        <w:rPr>
          <w:rFonts w:eastAsia="Times New Roman"/>
          <w:iCs/>
          <w:sz w:val="24"/>
          <w:szCs w:val="24"/>
        </w:rPr>
        <w:t>, 2018 COA 97, ¶ 44</w:t>
      </w:r>
      <w:r w:rsidR="001915D6">
        <w:rPr>
          <w:rFonts w:eastAsia="Times New Roman"/>
          <w:iCs/>
          <w:sz w:val="24"/>
          <w:szCs w:val="24"/>
        </w:rPr>
        <w:t>, 488 P.3d 364</w:t>
      </w:r>
      <w:r w:rsidRPr="00E00593">
        <w:rPr>
          <w:rFonts w:eastAsia="Times New Roman"/>
          <w:iCs/>
          <w:sz w:val="24"/>
          <w:szCs w:val="24"/>
        </w:rPr>
        <w:t xml:space="preserve">. However, an independent contractor may be an agent, and the person engaging such agent may be held vicariously liable for torts committed by the agent within the scope of the agency. </w:t>
      </w:r>
      <w:r w:rsidRPr="00E00593">
        <w:rPr>
          <w:rFonts w:eastAsia="Times New Roman"/>
          <w:b/>
          <w:iCs/>
          <w:sz w:val="24"/>
          <w:szCs w:val="24"/>
        </w:rPr>
        <w:t>Cheney v. Hailey</w:t>
      </w:r>
      <w:r w:rsidRPr="00414900">
        <w:rPr>
          <w:rFonts w:eastAsia="Times New Roman"/>
          <w:iCs/>
          <w:sz w:val="24"/>
          <w:szCs w:val="24"/>
        </w:rPr>
        <w:t>,</w:t>
      </w:r>
      <w:r w:rsidRPr="00E00593">
        <w:rPr>
          <w:rFonts w:eastAsia="Times New Roman"/>
          <w:iCs/>
          <w:sz w:val="24"/>
          <w:szCs w:val="24"/>
        </w:rPr>
        <w:t xml:space="preserve"> 686 P.2d 808</w:t>
      </w:r>
      <w:r>
        <w:rPr>
          <w:rFonts w:eastAsia="Times New Roman"/>
          <w:iCs/>
          <w:sz w:val="24"/>
          <w:szCs w:val="24"/>
        </w:rPr>
        <w:t>, 811</w:t>
      </w:r>
      <w:r w:rsidRPr="00E00593">
        <w:rPr>
          <w:rFonts w:eastAsia="Times New Roman"/>
          <w:iCs/>
          <w:sz w:val="24"/>
          <w:szCs w:val="24"/>
        </w:rPr>
        <w:t xml:space="preserve"> (Colo. App. 1984) (“Because an agency relationship existed, [the principal] was vicariously liable whether or not [the agent] was in fact an independent contractor.”); </w:t>
      </w:r>
      <w:r w:rsidRPr="00E00593">
        <w:rPr>
          <w:rFonts w:eastAsia="Times New Roman"/>
          <w:i/>
          <w:iCs/>
          <w:sz w:val="24"/>
          <w:szCs w:val="24"/>
        </w:rPr>
        <w:t>see</w:t>
      </w:r>
      <w:r w:rsidRPr="00E00593">
        <w:rPr>
          <w:rFonts w:eastAsia="Times New Roman"/>
          <w:iCs/>
          <w:sz w:val="24"/>
          <w:szCs w:val="24"/>
        </w:rPr>
        <w:t xml:space="preserve"> </w:t>
      </w:r>
      <w:r w:rsidRPr="00E00593">
        <w:rPr>
          <w:rFonts w:eastAsia="Times New Roman"/>
          <w:iCs/>
          <w:smallCaps/>
          <w:sz w:val="24"/>
          <w:szCs w:val="24"/>
        </w:rPr>
        <w:t xml:space="preserve">Restatement (Second) </w:t>
      </w:r>
      <w:r>
        <w:rPr>
          <w:rFonts w:eastAsia="Times New Roman"/>
          <w:iCs/>
          <w:smallCaps/>
          <w:sz w:val="24"/>
          <w:szCs w:val="24"/>
        </w:rPr>
        <w:t>o</w:t>
      </w:r>
      <w:r w:rsidRPr="00E00593">
        <w:rPr>
          <w:rFonts w:eastAsia="Times New Roman"/>
          <w:iCs/>
          <w:smallCaps/>
          <w:sz w:val="24"/>
          <w:szCs w:val="24"/>
        </w:rPr>
        <w:t>f Agency</w:t>
      </w:r>
      <w:r w:rsidRPr="00E00593">
        <w:rPr>
          <w:rFonts w:eastAsia="Times New Roman"/>
          <w:iCs/>
          <w:sz w:val="24"/>
          <w:szCs w:val="24"/>
        </w:rPr>
        <w:t xml:space="preserve"> § 14N (1958).</w:t>
      </w:r>
    </w:p>
    <w:p w14:paraId="1CDAFA0B"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3. If an independent contractor is not an agent, the doctrine of respondeat superior does not give rise to vicarious liability for the independent contractor’s negligence because an independent contractor, unlike an employee, is not subject to the principal’s control. </w:t>
      </w:r>
      <w:r w:rsidRPr="00E00593">
        <w:rPr>
          <w:rFonts w:eastAsia="Times New Roman"/>
          <w:b/>
          <w:iCs/>
          <w:sz w:val="24"/>
          <w:szCs w:val="24"/>
        </w:rPr>
        <w:t>Daly v. Aspen Ctr. for Women's Health, Inc.</w:t>
      </w:r>
      <w:r w:rsidRPr="00E00593">
        <w:rPr>
          <w:rFonts w:eastAsia="Times New Roman"/>
          <w:iCs/>
          <w:sz w:val="24"/>
          <w:szCs w:val="24"/>
        </w:rPr>
        <w:t>, 134 P.3d 450, 452 (Colo. App. 2005).</w:t>
      </w:r>
    </w:p>
    <w:p w14:paraId="17B72CF9"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4. In </w:t>
      </w:r>
      <w:r w:rsidRPr="00E00593">
        <w:rPr>
          <w:rFonts w:eastAsia="Times New Roman"/>
          <w:b/>
          <w:iCs/>
          <w:sz w:val="24"/>
          <w:szCs w:val="24"/>
        </w:rPr>
        <w:t>Western Stock Center, Inc. v. Sevit, Inc.</w:t>
      </w:r>
      <w:r w:rsidRPr="00E00593">
        <w:rPr>
          <w:rFonts w:eastAsia="Times New Roman"/>
          <w:iCs/>
          <w:sz w:val="24"/>
          <w:szCs w:val="24"/>
        </w:rPr>
        <w:t xml:space="preserve">, 195 Colo. 372, 578 P.2d 1045 (1978), the supreme court recognized the “inherently dangerous activity” exception to the general rule that employers of independent contractors are not vicariously liable for the torts of such contractors. </w:t>
      </w:r>
      <w:r w:rsidRPr="00E00593">
        <w:rPr>
          <w:rFonts w:eastAsia="Times New Roman"/>
          <w:i/>
          <w:iCs/>
          <w:sz w:val="24"/>
          <w:szCs w:val="24"/>
        </w:rPr>
        <w:t xml:space="preserve">See </w:t>
      </w:r>
      <w:r w:rsidRPr="00E00593">
        <w:rPr>
          <w:rFonts w:eastAsia="Times New Roman"/>
          <w:b/>
          <w:iCs/>
          <w:sz w:val="24"/>
          <w:szCs w:val="24"/>
        </w:rPr>
        <w:t>Huddleston</w:t>
      </w:r>
      <w:r w:rsidRPr="00E00593">
        <w:rPr>
          <w:rFonts w:eastAsia="Times New Roman"/>
          <w:iCs/>
          <w:sz w:val="24"/>
          <w:szCs w:val="24"/>
        </w:rPr>
        <w:t xml:space="preserve">, 841 P.2d at 288; </w:t>
      </w:r>
      <w:r w:rsidRPr="00E00593">
        <w:rPr>
          <w:rFonts w:eastAsia="Times New Roman"/>
          <w:b/>
          <w:iCs/>
          <w:sz w:val="24"/>
          <w:szCs w:val="24"/>
        </w:rPr>
        <w:t>Bennett v. Greeley Gas Co.</w:t>
      </w:r>
      <w:r w:rsidRPr="00E00593">
        <w:rPr>
          <w:rFonts w:eastAsia="Times New Roman"/>
          <w:iCs/>
          <w:sz w:val="24"/>
          <w:szCs w:val="24"/>
        </w:rPr>
        <w:t xml:space="preserve">, 969 P.2d 754 (Colo. App. 1998); </w:t>
      </w:r>
      <w:r w:rsidRPr="00E00593">
        <w:rPr>
          <w:rFonts w:eastAsia="Times New Roman"/>
          <w:b/>
          <w:iCs/>
          <w:sz w:val="24"/>
          <w:szCs w:val="24"/>
        </w:rPr>
        <w:t>Vikell Inv’rs Pac., Inc. v. Kip Hampden, Ltd.</w:t>
      </w:r>
      <w:r w:rsidRPr="00E00593">
        <w:rPr>
          <w:rFonts w:eastAsia="Times New Roman"/>
          <w:iCs/>
          <w:sz w:val="24"/>
          <w:szCs w:val="24"/>
        </w:rPr>
        <w:t xml:space="preserve">, 946 P.2d 589 (Colo. App. 1997); </w:t>
      </w:r>
      <w:r w:rsidRPr="00E00593">
        <w:rPr>
          <w:rFonts w:eastAsia="Times New Roman"/>
          <w:i/>
          <w:iCs/>
          <w:sz w:val="24"/>
          <w:szCs w:val="24"/>
        </w:rPr>
        <w:t>cf.</w:t>
      </w:r>
      <w:r w:rsidRPr="00E00593">
        <w:rPr>
          <w:rFonts w:eastAsia="Times New Roman"/>
          <w:iCs/>
          <w:sz w:val="24"/>
          <w:szCs w:val="24"/>
        </w:rPr>
        <w:t xml:space="preserve"> </w:t>
      </w:r>
      <w:r w:rsidRPr="00E00593">
        <w:rPr>
          <w:rFonts w:eastAsia="Times New Roman"/>
          <w:b/>
          <w:iCs/>
          <w:sz w:val="24"/>
          <w:szCs w:val="24"/>
        </w:rPr>
        <w:t>Schell v. Navajo Freight Lines, Inc.</w:t>
      </w:r>
      <w:r w:rsidRPr="00E00593">
        <w:rPr>
          <w:rFonts w:eastAsia="Times New Roman"/>
          <w:iCs/>
          <w:sz w:val="24"/>
          <w:szCs w:val="24"/>
        </w:rPr>
        <w:t>, 693 P.2d 382 (Colo. App. 1984) (federal administrative regulation requiring independent contractor be treated as employee).</w:t>
      </w:r>
    </w:p>
    <w:p w14:paraId="6945100A" w14:textId="77777777" w:rsidR="00E01A1E" w:rsidRPr="00E00593" w:rsidRDefault="00771A51" w:rsidP="00E01A1E">
      <w:pPr>
        <w:spacing w:after="240"/>
        <w:ind w:firstLine="720"/>
        <w:rPr>
          <w:rFonts w:eastAsia="Times New Roman"/>
          <w:iCs/>
          <w:sz w:val="24"/>
          <w:szCs w:val="24"/>
        </w:rPr>
      </w:pPr>
      <w:r w:rsidRPr="00E00593">
        <w:rPr>
          <w:rFonts w:eastAsia="Times New Roman"/>
          <w:iCs/>
          <w:sz w:val="24"/>
          <w:szCs w:val="24"/>
        </w:rPr>
        <w:t xml:space="preserve">5. Colorado’s Premises Liability Act creates a nondelegable duty that burdens the landowner with full liability regardless of fault imputable to other parties or nonparties. The landowner’s liability does not depend on vicarious liability for injuries caused by conditions created by a landowner’s agent. </w:t>
      </w:r>
      <w:r w:rsidRPr="00E00593">
        <w:rPr>
          <w:rFonts w:eastAsia="Times New Roman"/>
          <w:b/>
          <w:iCs/>
          <w:sz w:val="24"/>
          <w:szCs w:val="24"/>
        </w:rPr>
        <w:t>Reid v. Berkowitz</w:t>
      </w:r>
      <w:r w:rsidRPr="00E00593">
        <w:rPr>
          <w:rFonts w:eastAsia="Times New Roman"/>
          <w:iCs/>
          <w:sz w:val="24"/>
          <w:szCs w:val="24"/>
        </w:rPr>
        <w:t>, 2016 COA 28, ¶</w:t>
      </w:r>
      <w:r>
        <w:rPr>
          <w:rFonts w:eastAsia="Times New Roman"/>
          <w:iCs/>
          <w:sz w:val="24"/>
          <w:szCs w:val="24"/>
        </w:rPr>
        <w:t>¶</w:t>
      </w:r>
      <w:r w:rsidRPr="00E00593">
        <w:rPr>
          <w:rFonts w:eastAsia="Times New Roman"/>
          <w:iCs/>
          <w:sz w:val="24"/>
          <w:szCs w:val="24"/>
        </w:rPr>
        <w:t xml:space="preserve"> 22-23, 370 P.3d 644.</w:t>
      </w:r>
    </w:p>
    <w:p w14:paraId="198549B2" w14:textId="77777777" w:rsidR="00E01A1E" w:rsidRDefault="00771A51" w:rsidP="00E01A1E">
      <w:pPr>
        <w:spacing w:after="240"/>
        <w:ind w:firstLine="720"/>
        <w:rPr>
          <w:rFonts w:eastAsia="Times New Roman"/>
          <w:iCs/>
          <w:sz w:val="24"/>
          <w:szCs w:val="24"/>
        </w:rPr>
      </w:pPr>
      <w:r w:rsidRPr="00E00593">
        <w:rPr>
          <w:rFonts w:eastAsia="Times New Roman"/>
          <w:iCs/>
          <w:sz w:val="24"/>
          <w:szCs w:val="24"/>
        </w:rPr>
        <w:lastRenderedPageBreak/>
        <w:t xml:space="preserve">6. A party may sue a principal on a theory of vicarious liability even if the party executes a covenant not to sue the agent and that covenant does not expressly reserve the right to sue the principal. </w:t>
      </w:r>
      <w:r w:rsidRPr="00E00593">
        <w:rPr>
          <w:rFonts w:eastAsia="Times New Roman"/>
          <w:b/>
          <w:iCs/>
          <w:sz w:val="24"/>
          <w:szCs w:val="24"/>
        </w:rPr>
        <w:t>McShane v. Stirling Ranch Prop. Owners Ass’n</w:t>
      </w:r>
      <w:r w:rsidRPr="00E00593">
        <w:rPr>
          <w:rFonts w:eastAsia="Times New Roman"/>
          <w:iCs/>
          <w:sz w:val="24"/>
          <w:szCs w:val="24"/>
        </w:rPr>
        <w:t xml:space="preserve">, 2017 CO 38, ¶¶ 25-26, 393 P.3d 978 (citing </w:t>
      </w:r>
      <w:r w:rsidRPr="00E00593">
        <w:rPr>
          <w:rFonts w:eastAsia="Times New Roman"/>
          <w:b/>
          <w:iCs/>
          <w:sz w:val="24"/>
          <w:szCs w:val="24"/>
        </w:rPr>
        <w:t>Dworak v. Olson Constr. Co.</w:t>
      </w:r>
      <w:r w:rsidRPr="00E00593">
        <w:rPr>
          <w:rFonts w:eastAsia="Times New Roman"/>
          <w:iCs/>
          <w:sz w:val="24"/>
          <w:szCs w:val="24"/>
        </w:rPr>
        <w:t>, 191 Colo. 161, 551 P.2d 198 (1976)).</w:t>
      </w:r>
    </w:p>
    <w:p w14:paraId="0E87D416" w14:textId="16B61D0D" w:rsidR="00D43091" w:rsidRPr="00777388" w:rsidRDefault="00D43091" w:rsidP="00D43091">
      <w:pPr>
        <w:spacing w:after="240"/>
        <w:ind w:firstLine="720"/>
        <w:rPr>
          <w:rFonts w:eastAsia="Times New Roman"/>
          <w:iCs/>
          <w:sz w:val="24"/>
          <w:szCs w:val="24"/>
        </w:rPr>
      </w:pPr>
      <w:r>
        <w:rPr>
          <w:rFonts w:eastAsia="Times New Roman"/>
          <w:iCs/>
          <w:sz w:val="24"/>
          <w:szCs w:val="24"/>
        </w:rPr>
        <w:t xml:space="preserve">7. A principal is subject to liability for an agent’s defamatory statement if the agent was authorized or apparently authorized to make the statement. </w:t>
      </w:r>
      <w:r>
        <w:rPr>
          <w:rFonts w:eastAsia="Times New Roman"/>
          <w:b/>
          <w:bCs/>
          <w:iCs/>
          <w:sz w:val="24"/>
          <w:szCs w:val="24"/>
        </w:rPr>
        <w:t>Coomer v. Donald J. Trump for President, Inc.</w:t>
      </w:r>
      <w:r>
        <w:rPr>
          <w:rFonts w:eastAsia="Times New Roman"/>
          <w:iCs/>
          <w:sz w:val="24"/>
          <w:szCs w:val="24"/>
        </w:rPr>
        <w:t xml:space="preserve">, 2024 COA 35, ¶ 108, 552 P.3d 562 (citing </w:t>
      </w:r>
      <w:r w:rsidRPr="00CA0E05">
        <w:rPr>
          <w:rFonts w:eastAsia="Times New Roman"/>
          <w:iCs/>
          <w:smallCaps/>
          <w:sz w:val="24"/>
          <w:szCs w:val="24"/>
        </w:rPr>
        <w:t>Restatement (Second) of Agency</w:t>
      </w:r>
      <w:r>
        <w:rPr>
          <w:rFonts w:eastAsia="Times New Roman"/>
          <w:iCs/>
          <w:sz w:val="24"/>
          <w:szCs w:val="24"/>
        </w:rPr>
        <w:t xml:space="preserve"> § 254 (Am. L. Inst. 1958)). </w:t>
      </w:r>
    </w:p>
    <w:p w14:paraId="0B2E9A15" w14:textId="77777777" w:rsidR="00D43091" w:rsidRDefault="00D43091" w:rsidP="00E01A1E">
      <w:pPr>
        <w:spacing w:after="240"/>
        <w:ind w:firstLine="720"/>
        <w:rPr>
          <w:rFonts w:eastAsia="Times New Roman"/>
          <w:iCs/>
          <w:sz w:val="24"/>
          <w:szCs w:val="24"/>
        </w:rPr>
      </w:pPr>
    </w:p>
    <w:p w14:paraId="2968E105" w14:textId="77777777" w:rsidR="00E01A1E" w:rsidRDefault="00771A51">
      <w:pPr>
        <w:rPr>
          <w:rFonts w:eastAsia="Times New Roman"/>
          <w:iCs/>
          <w:sz w:val="24"/>
          <w:szCs w:val="24"/>
        </w:rPr>
      </w:pPr>
      <w:r>
        <w:rPr>
          <w:rFonts w:eastAsia="Times New Roman"/>
          <w:iCs/>
          <w:sz w:val="24"/>
          <w:szCs w:val="24"/>
        </w:rPr>
        <w:br w:type="page"/>
      </w:r>
    </w:p>
    <w:p w14:paraId="378D4EDD" w14:textId="77777777" w:rsidR="00E01A1E" w:rsidRPr="009E3DA4" w:rsidRDefault="00771A51" w:rsidP="00E01A1E">
      <w:pPr>
        <w:spacing w:after="240"/>
        <w:ind w:left="720" w:hanging="720"/>
        <w:rPr>
          <w:rFonts w:eastAsia="Times New Roman"/>
          <w:b/>
          <w:sz w:val="24"/>
          <w:szCs w:val="24"/>
        </w:rPr>
      </w:pPr>
      <w:bookmarkStart w:id="22" w:name="a8_19"/>
      <w:bookmarkEnd w:id="22"/>
      <w:r w:rsidRPr="00C26751">
        <w:rPr>
          <w:rFonts w:eastAsia="Times New Roman"/>
          <w:b/>
          <w:sz w:val="24"/>
          <w:szCs w:val="24"/>
        </w:rPr>
        <w:lastRenderedPageBreak/>
        <w:t>8:1</w:t>
      </w:r>
      <w:r>
        <w:rPr>
          <w:rFonts w:eastAsia="Times New Roman"/>
          <w:b/>
          <w:sz w:val="24"/>
          <w:szCs w:val="24"/>
        </w:rPr>
        <w:t>9</w:t>
      </w:r>
      <w:r w:rsidRPr="00C26751">
        <w:rPr>
          <w:rFonts w:eastAsia="Times New Roman"/>
          <w:b/>
          <w:sz w:val="24"/>
          <w:szCs w:val="24"/>
        </w:rPr>
        <w:tab/>
      </w:r>
      <w:r>
        <w:rPr>
          <w:b/>
          <w:sz w:val="24"/>
          <w:szCs w:val="24"/>
        </w:rPr>
        <w:t xml:space="preserve">PRINCIPAL AND AGENT — </w:t>
      </w:r>
      <w:r w:rsidRPr="00CF4C1B">
        <w:rPr>
          <w:b/>
          <w:sz w:val="24"/>
          <w:szCs w:val="24"/>
        </w:rPr>
        <w:t>B</w:t>
      </w:r>
      <w:r>
        <w:rPr>
          <w:b/>
          <w:sz w:val="24"/>
          <w:szCs w:val="24"/>
        </w:rPr>
        <w:t xml:space="preserve">OTH PARTIES SUED — </w:t>
      </w:r>
      <w:r w:rsidRPr="00CF4C1B">
        <w:rPr>
          <w:b/>
          <w:sz w:val="24"/>
          <w:szCs w:val="24"/>
        </w:rPr>
        <w:t xml:space="preserve">NO ISSUE AS TO RELATIONSHIP AND SCOPE OF </w:t>
      </w:r>
      <w:r>
        <w:rPr>
          <w:b/>
          <w:sz w:val="24"/>
          <w:szCs w:val="24"/>
        </w:rPr>
        <w:t>AUTHORITY</w:t>
      </w:r>
    </w:p>
    <w:p w14:paraId="43174A27" w14:textId="77777777"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The defendant, </w:t>
      </w:r>
      <w:r w:rsidRPr="004348D7">
        <w:rPr>
          <w:rFonts w:eastAsia="Times New Roman"/>
          <w:i/>
          <w:sz w:val="24"/>
          <w:szCs w:val="24"/>
        </w:rPr>
        <w:t>(agent’s name)</w:t>
      </w:r>
      <w:r w:rsidRPr="004348D7">
        <w:rPr>
          <w:rFonts w:eastAsia="Times New Roman"/>
          <w:b/>
          <w:sz w:val="24"/>
          <w:szCs w:val="24"/>
        </w:rPr>
        <w:t xml:space="preserve">, was the agent of the defendant, </w:t>
      </w:r>
      <w:r w:rsidRPr="004348D7">
        <w:rPr>
          <w:rFonts w:eastAsia="Times New Roman"/>
          <w:i/>
          <w:sz w:val="24"/>
          <w:szCs w:val="24"/>
        </w:rPr>
        <w:t>(principal’s name)</w:t>
      </w:r>
      <w:r w:rsidRPr="004348D7">
        <w:rPr>
          <w:rFonts w:eastAsia="Times New Roman"/>
          <w:b/>
          <w:sz w:val="24"/>
          <w:szCs w:val="24"/>
        </w:rPr>
        <w:t xml:space="preserve">, at the time of the </w:t>
      </w:r>
      <w:r w:rsidRPr="004348D7">
        <w:rPr>
          <w:rFonts w:eastAsia="Times New Roman"/>
          <w:i/>
          <w:sz w:val="24"/>
          <w:szCs w:val="24"/>
        </w:rPr>
        <w:t>(insert appropriate description of events, e.g., “occurrence,” “promise was made,” “representation was made,” etc.)</w:t>
      </w:r>
      <w:r w:rsidRPr="004348D7">
        <w:rPr>
          <w:rFonts w:eastAsia="Times New Roman"/>
          <w:b/>
          <w:sz w:val="24"/>
          <w:szCs w:val="24"/>
        </w:rPr>
        <w:t xml:space="preserve">. </w:t>
      </w:r>
    </w:p>
    <w:p w14:paraId="6F849A26" w14:textId="15957B76"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For the plaintiff, </w:t>
      </w:r>
      <w:r w:rsidRPr="004348D7">
        <w:rPr>
          <w:rFonts w:eastAsia="Times New Roman"/>
          <w:i/>
          <w:sz w:val="24"/>
          <w:szCs w:val="24"/>
        </w:rPr>
        <w:t>(name)</w:t>
      </w:r>
      <w:r w:rsidRPr="004348D7">
        <w:rPr>
          <w:rFonts w:eastAsia="Times New Roman"/>
          <w:b/>
          <w:sz w:val="24"/>
          <w:szCs w:val="24"/>
        </w:rPr>
        <w:t xml:space="preserve">, to recover on </w:t>
      </w:r>
      <w:r w:rsidR="003E686C" w:rsidRPr="003E686C">
        <w:rPr>
          <w:rFonts w:eastAsia="Times New Roman"/>
          <w:bCs/>
          <w:i/>
          <w:iCs/>
          <w:sz w:val="24"/>
          <w:szCs w:val="24"/>
        </w:rPr>
        <w:t>(insert applicable pronoun)</w:t>
      </w:r>
      <w:r w:rsidRPr="004348D7">
        <w:rPr>
          <w:rFonts w:eastAsia="Times New Roman"/>
          <w:b/>
          <w:sz w:val="24"/>
          <w:szCs w:val="24"/>
        </w:rPr>
        <w:t xml:space="preserve"> claim(s) of </w:t>
      </w:r>
      <w:r w:rsidRPr="004348D7">
        <w:rPr>
          <w:rFonts w:eastAsia="Times New Roman"/>
          <w:i/>
          <w:sz w:val="24"/>
          <w:szCs w:val="24"/>
        </w:rPr>
        <w:t xml:space="preserve">(insert applicable theory of liability, e.g., “breach of fiduciary duty”) </w:t>
      </w:r>
      <w:r w:rsidRPr="004348D7">
        <w:rPr>
          <w:rFonts w:eastAsia="Times New Roman"/>
          <w:b/>
          <w:sz w:val="24"/>
          <w:szCs w:val="24"/>
        </w:rPr>
        <w:t xml:space="preserve">against the defendant, </w:t>
      </w:r>
      <w:r w:rsidRPr="004348D7">
        <w:rPr>
          <w:rFonts w:eastAsia="Times New Roman"/>
          <w:i/>
          <w:sz w:val="24"/>
          <w:szCs w:val="24"/>
        </w:rPr>
        <w:t>(principal’s name)</w:t>
      </w:r>
      <w:r w:rsidRPr="004348D7">
        <w:rPr>
          <w:rFonts w:eastAsia="Times New Roman"/>
          <w:b/>
          <w:sz w:val="24"/>
          <w:szCs w:val="24"/>
        </w:rPr>
        <w:t xml:space="preserve">, you must find that the plaintiff proved by a preponderance of the evidence </w:t>
      </w:r>
      <w:r w:rsidR="003E686C" w:rsidRPr="003E686C">
        <w:rPr>
          <w:rFonts w:eastAsia="Times New Roman"/>
          <w:bCs/>
          <w:i/>
          <w:iCs/>
          <w:sz w:val="24"/>
          <w:szCs w:val="24"/>
        </w:rPr>
        <w:t>(insert applicable pronoun)</w:t>
      </w:r>
      <w:r w:rsidRPr="004348D7">
        <w:rPr>
          <w:rFonts w:eastAsia="Times New Roman"/>
          <w:b/>
          <w:sz w:val="24"/>
          <w:szCs w:val="24"/>
        </w:rPr>
        <w:t xml:space="preserve"> </w:t>
      </w:r>
      <w:r w:rsidRPr="004348D7">
        <w:rPr>
          <w:rFonts w:eastAsia="Times New Roman"/>
          <w:i/>
          <w:sz w:val="24"/>
          <w:szCs w:val="24"/>
        </w:rPr>
        <w:t xml:space="preserve">(insert applicable theory of liability, e.g., “breach of fiduciary duty”) </w:t>
      </w:r>
      <w:r w:rsidRPr="004348D7">
        <w:rPr>
          <w:rFonts w:eastAsia="Times New Roman"/>
          <w:b/>
          <w:sz w:val="24"/>
          <w:szCs w:val="24"/>
        </w:rPr>
        <w:t xml:space="preserve">claim(s) against the defendant, </w:t>
      </w:r>
      <w:r w:rsidRPr="004348D7">
        <w:rPr>
          <w:rFonts w:eastAsia="Times New Roman"/>
          <w:i/>
          <w:sz w:val="24"/>
          <w:szCs w:val="24"/>
        </w:rPr>
        <w:t>(agent’s name)</w:t>
      </w:r>
      <w:r w:rsidRPr="004348D7">
        <w:rPr>
          <w:rFonts w:eastAsia="Times New Roman"/>
          <w:b/>
          <w:sz w:val="24"/>
          <w:szCs w:val="24"/>
        </w:rPr>
        <w:t>.</w:t>
      </w:r>
    </w:p>
    <w:p w14:paraId="4D1A97CB" w14:textId="32E12929"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If you find that the plaintiff, </w:t>
      </w:r>
      <w:r w:rsidRPr="004348D7">
        <w:rPr>
          <w:rFonts w:eastAsia="Times New Roman"/>
          <w:i/>
          <w:sz w:val="24"/>
          <w:szCs w:val="24"/>
        </w:rPr>
        <w:t>(name)</w:t>
      </w:r>
      <w:r w:rsidRPr="004348D7">
        <w:rPr>
          <w:rFonts w:eastAsia="Times New Roman"/>
          <w:b/>
          <w:sz w:val="24"/>
          <w:szCs w:val="24"/>
        </w:rPr>
        <w:t xml:space="preserve">, has not proved </w:t>
      </w:r>
      <w:r w:rsidR="003E686C" w:rsidRPr="003E686C">
        <w:rPr>
          <w:rFonts w:eastAsia="Times New Roman"/>
          <w:bCs/>
          <w:i/>
          <w:iCs/>
          <w:sz w:val="24"/>
          <w:szCs w:val="24"/>
        </w:rPr>
        <w:t>(insert applicable pronoun)</w:t>
      </w:r>
      <w:r w:rsidRPr="004348D7">
        <w:rPr>
          <w:rFonts w:eastAsia="Times New Roman"/>
          <w:b/>
          <w:sz w:val="24"/>
          <w:szCs w:val="24"/>
        </w:rPr>
        <w:t xml:space="preserve"> claim(s) against the defendant, </w:t>
      </w:r>
      <w:r w:rsidRPr="004348D7">
        <w:rPr>
          <w:rFonts w:eastAsia="Times New Roman"/>
          <w:i/>
          <w:sz w:val="24"/>
          <w:szCs w:val="24"/>
        </w:rPr>
        <w:t>(agent’s name)</w:t>
      </w:r>
      <w:r w:rsidRPr="004348D7">
        <w:rPr>
          <w:rFonts w:eastAsia="Times New Roman"/>
          <w:b/>
          <w:sz w:val="24"/>
          <w:szCs w:val="24"/>
        </w:rPr>
        <w:t xml:space="preserve">, then your verdict must be for the defendant, </w:t>
      </w:r>
      <w:r w:rsidRPr="004348D7">
        <w:rPr>
          <w:rFonts w:eastAsia="Times New Roman"/>
          <w:i/>
          <w:sz w:val="24"/>
          <w:szCs w:val="24"/>
        </w:rPr>
        <w:t>(principal’s name)</w:t>
      </w:r>
      <w:r w:rsidRPr="004348D7">
        <w:rPr>
          <w:rFonts w:eastAsia="Times New Roman"/>
          <w:sz w:val="24"/>
          <w:szCs w:val="24"/>
        </w:rPr>
        <w:t xml:space="preserve">, </w:t>
      </w:r>
      <w:r w:rsidRPr="004348D7">
        <w:rPr>
          <w:rFonts w:eastAsia="Times New Roman"/>
          <w:b/>
          <w:sz w:val="24"/>
          <w:szCs w:val="24"/>
        </w:rPr>
        <w:t xml:space="preserve">on the claim(s) of </w:t>
      </w:r>
      <w:r w:rsidRPr="004348D7">
        <w:rPr>
          <w:rFonts w:eastAsia="Times New Roman"/>
          <w:i/>
          <w:sz w:val="24"/>
          <w:szCs w:val="24"/>
        </w:rPr>
        <w:t>(insert applicable theory of liability, e.g., “breach of fiduciary duty”)</w:t>
      </w:r>
      <w:r w:rsidRPr="004348D7">
        <w:rPr>
          <w:rFonts w:eastAsia="Times New Roman"/>
          <w:b/>
          <w:sz w:val="24"/>
          <w:szCs w:val="24"/>
        </w:rPr>
        <w:t>.</w:t>
      </w:r>
    </w:p>
    <w:p w14:paraId="103E277B" w14:textId="31FE3CCB" w:rsidR="00E01A1E" w:rsidRPr="004348D7" w:rsidRDefault="00771A51" w:rsidP="00E01A1E">
      <w:pPr>
        <w:spacing w:after="240"/>
        <w:ind w:firstLine="720"/>
        <w:rPr>
          <w:rFonts w:eastAsia="Times New Roman"/>
          <w:b/>
          <w:sz w:val="24"/>
          <w:szCs w:val="24"/>
        </w:rPr>
      </w:pPr>
      <w:r w:rsidRPr="004348D7">
        <w:rPr>
          <w:rFonts w:eastAsia="Times New Roman"/>
          <w:b/>
          <w:sz w:val="24"/>
          <w:szCs w:val="24"/>
        </w:rPr>
        <w:t xml:space="preserve">On the other hand, if you find that the plaintiff, </w:t>
      </w:r>
      <w:r w:rsidRPr="004348D7">
        <w:rPr>
          <w:rFonts w:eastAsia="Times New Roman"/>
          <w:i/>
          <w:sz w:val="24"/>
          <w:szCs w:val="24"/>
        </w:rPr>
        <w:t>(name)</w:t>
      </w:r>
      <w:r w:rsidRPr="004348D7">
        <w:rPr>
          <w:rFonts w:eastAsia="Times New Roman"/>
          <w:b/>
          <w:sz w:val="24"/>
          <w:szCs w:val="24"/>
        </w:rPr>
        <w:t xml:space="preserve">, has proved </w:t>
      </w:r>
      <w:r w:rsidR="003E686C" w:rsidRPr="003E686C">
        <w:rPr>
          <w:rFonts w:eastAsia="Times New Roman"/>
          <w:bCs/>
          <w:i/>
          <w:iCs/>
          <w:sz w:val="24"/>
          <w:szCs w:val="24"/>
        </w:rPr>
        <w:t>(insert applicable pronoun)</w:t>
      </w:r>
      <w:r w:rsidRPr="004348D7">
        <w:rPr>
          <w:rFonts w:eastAsia="Times New Roman"/>
          <w:b/>
          <w:sz w:val="24"/>
          <w:szCs w:val="24"/>
        </w:rPr>
        <w:t xml:space="preserve"> claim(s) against the defendant, </w:t>
      </w:r>
      <w:r w:rsidRPr="004348D7">
        <w:rPr>
          <w:rFonts w:eastAsia="Times New Roman"/>
          <w:i/>
          <w:sz w:val="24"/>
          <w:szCs w:val="24"/>
        </w:rPr>
        <w:t>(agent’s name)</w:t>
      </w:r>
      <w:r w:rsidRPr="004348D7">
        <w:rPr>
          <w:rFonts w:eastAsia="Times New Roman"/>
          <w:b/>
          <w:sz w:val="24"/>
          <w:szCs w:val="24"/>
        </w:rPr>
        <w:t xml:space="preserve">, then your verdict must be for the plaintiff on </w:t>
      </w:r>
      <w:r w:rsidR="003E686C" w:rsidRPr="003E686C">
        <w:rPr>
          <w:rFonts w:eastAsia="Times New Roman"/>
          <w:bCs/>
          <w:i/>
          <w:iCs/>
          <w:sz w:val="24"/>
          <w:szCs w:val="24"/>
        </w:rPr>
        <w:t>(insert applicable pronoun)</w:t>
      </w:r>
      <w:r w:rsidRPr="004348D7">
        <w:rPr>
          <w:rFonts w:eastAsia="Times New Roman"/>
          <w:b/>
          <w:sz w:val="24"/>
          <w:szCs w:val="24"/>
        </w:rPr>
        <w:t xml:space="preserve"> claim(s) of </w:t>
      </w:r>
      <w:r w:rsidRPr="004348D7">
        <w:rPr>
          <w:rFonts w:eastAsia="Times New Roman"/>
          <w:i/>
          <w:sz w:val="24"/>
          <w:szCs w:val="24"/>
        </w:rPr>
        <w:t>(insert applicable theory of liability, e.g., “breach of fiduciary duty”)</w:t>
      </w:r>
      <w:r w:rsidRPr="004348D7">
        <w:rPr>
          <w:rFonts w:eastAsia="Times New Roman"/>
          <w:b/>
          <w:sz w:val="24"/>
          <w:szCs w:val="24"/>
        </w:rPr>
        <w:t xml:space="preserve">, against the defendant, </w:t>
      </w:r>
      <w:r w:rsidRPr="004348D7">
        <w:rPr>
          <w:rFonts w:eastAsia="Times New Roman"/>
          <w:i/>
          <w:sz w:val="24"/>
          <w:szCs w:val="24"/>
        </w:rPr>
        <w:t>(principal’s name)</w:t>
      </w:r>
      <w:r w:rsidRPr="004348D7">
        <w:rPr>
          <w:rFonts w:eastAsia="Times New Roman"/>
          <w:b/>
          <w:sz w:val="24"/>
          <w:szCs w:val="24"/>
        </w:rPr>
        <w:t>.</w:t>
      </w:r>
    </w:p>
    <w:p w14:paraId="3B7D6044" w14:textId="77777777" w:rsidR="00E01A1E" w:rsidRDefault="00E01A1E" w:rsidP="00E01A1E">
      <w:pPr>
        <w:jc w:val="center"/>
        <w:rPr>
          <w:rFonts w:eastAsia="Times New Roman"/>
          <w:sz w:val="24"/>
          <w:szCs w:val="24"/>
        </w:rPr>
      </w:pPr>
    </w:p>
    <w:p w14:paraId="53E2EE96"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3E7E12F"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4348D7">
        <w:rPr>
          <w:rFonts w:eastAsia="Times New Roman"/>
          <w:b/>
          <w:bCs/>
          <w:sz w:val="24"/>
          <w:szCs w:val="24"/>
        </w:rPr>
        <w:t>Grease Monkey Int’l v. Montoya</w:t>
      </w:r>
      <w:r w:rsidRPr="004348D7">
        <w:rPr>
          <w:rFonts w:eastAsia="Times New Roman"/>
          <w:sz w:val="24"/>
          <w:szCs w:val="24"/>
        </w:rPr>
        <w:t>, 904 P.2d 468, 473 (Colo. 1995)</w:t>
      </w:r>
      <w:r w:rsidRPr="00AD33E5">
        <w:rPr>
          <w:rFonts w:eastAsia="Times New Roman"/>
          <w:bCs/>
          <w:sz w:val="24"/>
          <w:szCs w:val="24"/>
        </w:rPr>
        <w:t xml:space="preserve">. </w:t>
      </w:r>
      <w:r w:rsidRPr="004348D7">
        <w:rPr>
          <w:rFonts w:eastAsia="Times New Roman"/>
          <w:sz w:val="24"/>
          <w:szCs w:val="24"/>
        </w:rPr>
        <w:t xml:space="preserve">A principal may be liable for the agent’s torts if the agent is acting with apparent authority. </w:t>
      </w:r>
      <w:r w:rsidRPr="004348D7">
        <w:rPr>
          <w:rFonts w:eastAsia="Times New Roman"/>
          <w:i/>
          <w:iCs/>
          <w:sz w:val="24"/>
          <w:szCs w:val="24"/>
        </w:rPr>
        <w:t xml:space="preserve">See </w:t>
      </w:r>
      <w:r w:rsidRPr="003D2114">
        <w:rPr>
          <w:rFonts w:eastAsia="Times New Roman"/>
          <w:bCs/>
          <w:i/>
          <w:sz w:val="24"/>
          <w:szCs w:val="24"/>
        </w:rPr>
        <w:t>id.</w:t>
      </w:r>
      <w:r w:rsidRPr="004348D7">
        <w:rPr>
          <w:rFonts w:eastAsia="Times New Roman"/>
          <w:sz w:val="24"/>
          <w:szCs w:val="24"/>
        </w:rPr>
        <w:t xml:space="preserve"> </w:t>
      </w:r>
      <w:r>
        <w:rPr>
          <w:rFonts w:eastAsia="Times New Roman"/>
          <w:sz w:val="24"/>
          <w:szCs w:val="24"/>
        </w:rPr>
        <w:t xml:space="preserve">at </w:t>
      </w:r>
      <w:r w:rsidRPr="004348D7">
        <w:rPr>
          <w:rFonts w:eastAsia="Times New Roman"/>
          <w:sz w:val="24"/>
          <w:szCs w:val="24"/>
        </w:rPr>
        <w:t>475-76 (holding principal liable for agent’s fraudulent misrepresentation).</w:t>
      </w:r>
    </w:p>
    <w:p w14:paraId="31B6A91C"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4348D7">
        <w:rPr>
          <w:rFonts w:eastAsia="Times New Roman"/>
          <w:b/>
          <w:bCs/>
          <w:sz w:val="24"/>
          <w:szCs w:val="24"/>
        </w:rPr>
        <w:t>Digital Landscape Inc. v. Media Kings LL</w:t>
      </w:r>
      <w:r>
        <w:rPr>
          <w:rFonts w:eastAsia="Times New Roman"/>
          <w:b/>
          <w:bCs/>
          <w:sz w:val="24"/>
          <w:szCs w:val="24"/>
        </w:rPr>
        <w:t>C</w:t>
      </w:r>
      <w:r w:rsidRPr="004348D7">
        <w:rPr>
          <w:rFonts w:eastAsia="Times New Roman"/>
          <w:sz w:val="24"/>
          <w:szCs w:val="24"/>
        </w:rPr>
        <w:t xml:space="preserve">, 2018 COA 142, ¶ 79, 440 P.3d 1200, 1212; </w:t>
      </w:r>
      <w:r w:rsidRPr="004348D7">
        <w:rPr>
          <w:rFonts w:eastAsia="Times New Roman"/>
          <w:i/>
          <w:iCs/>
          <w:sz w:val="24"/>
          <w:szCs w:val="24"/>
        </w:rPr>
        <w:t xml:space="preserve">see also </w:t>
      </w:r>
      <w:r w:rsidRPr="004348D7">
        <w:rPr>
          <w:rFonts w:eastAsia="Times New Roman"/>
          <w:b/>
          <w:bCs/>
          <w:sz w:val="24"/>
          <w:szCs w:val="24"/>
        </w:rPr>
        <w:t>Grease Monkey</w:t>
      </w:r>
      <w:r w:rsidRPr="004348D7">
        <w:rPr>
          <w:rFonts w:eastAsia="Times New Roman"/>
          <w:sz w:val="24"/>
          <w:szCs w:val="24"/>
        </w:rPr>
        <w:t xml:space="preserve">, 904 P.2d at 473. The general rule is subject to three limited exceptions: nondelegable duties, </w:t>
      </w:r>
      <w:r w:rsidRPr="004348D7">
        <w:rPr>
          <w:rFonts w:eastAsia="Times New Roman"/>
          <w:i/>
          <w:iCs/>
          <w:sz w:val="24"/>
          <w:szCs w:val="24"/>
        </w:rPr>
        <w:t>se</w:t>
      </w:r>
      <w:r>
        <w:rPr>
          <w:rFonts w:eastAsia="Times New Roman"/>
          <w:i/>
          <w:iCs/>
          <w:sz w:val="24"/>
          <w:szCs w:val="24"/>
        </w:rPr>
        <w:t xml:space="preserve">e, </w:t>
      </w:r>
      <w:r w:rsidRPr="004348D7">
        <w:rPr>
          <w:rFonts w:eastAsia="Times New Roman"/>
          <w:i/>
          <w:iCs/>
          <w:sz w:val="24"/>
          <w:szCs w:val="24"/>
        </w:rPr>
        <w:t>e.g.</w:t>
      </w:r>
      <w:r w:rsidRPr="004348D7">
        <w:rPr>
          <w:rFonts w:eastAsia="Times New Roman"/>
          <w:sz w:val="24"/>
          <w:szCs w:val="24"/>
        </w:rPr>
        <w:t>,</w:t>
      </w:r>
      <w:r w:rsidRPr="004348D7">
        <w:rPr>
          <w:rFonts w:eastAsia="Times New Roman"/>
          <w:i/>
          <w:iCs/>
          <w:sz w:val="24"/>
          <w:szCs w:val="24"/>
        </w:rPr>
        <w:t xml:space="preserve"> </w:t>
      </w:r>
      <w:r w:rsidRPr="004348D7">
        <w:rPr>
          <w:rFonts w:eastAsia="Times New Roman"/>
          <w:b/>
          <w:bCs/>
          <w:sz w:val="24"/>
          <w:szCs w:val="24"/>
        </w:rPr>
        <w:t>Springer v. City &amp; Cty. of Denver</w:t>
      </w:r>
      <w:r w:rsidRPr="004348D7">
        <w:rPr>
          <w:rFonts w:eastAsia="Times New Roman"/>
          <w:sz w:val="24"/>
          <w:szCs w:val="24"/>
        </w:rPr>
        <w:t xml:space="preserve">, 13 P.3d 794 (Colo. 2000) (Premises Liability Act); inherently dangerous activities, </w:t>
      </w:r>
      <w:r w:rsidRPr="004348D7">
        <w:rPr>
          <w:rFonts w:eastAsia="Times New Roman"/>
          <w:i/>
          <w:iCs/>
          <w:sz w:val="24"/>
          <w:szCs w:val="24"/>
        </w:rPr>
        <w:t>see</w:t>
      </w:r>
      <w:r w:rsidRPr="004348D7">
        <w:rPr>
          <w:rFonts w:eastAsia="Times New Roman"/>
          <w:sz w:val="24"/>
          <w:szCs w:val="24"/>
        </w:rPr>
        <w:t xml:space="preserve"> </w:t>
      </w:r>
      <w:r w:rsidRPr="004348D7">
        <w:rPr>
          <w:rFonts w:eastAsia="Times New Roman"/>
          <w:b/>
          <w:bCs/>
          <w:sz w:val="24"/>
          <w:szCs w:val="24"/>
        </w:rPr>
        <w:t>Huddleston v. Union Rural Elec. Ass’n</w:t>
      </w:r>
      <w:r w:rsidRPr="004348D7">
        <w:rPr>
          <w:rFonts w:eastAsia="Times New Roman"/>
          <w:sz w:val="24"/>
          <w:szCs w:val="24"/>
        </w:rPr>
        <w:t>, 841 P.2d 282</w:t>
      </w:r>
      <w:r>
        <w:rPr>
          <w:rFonts w:eastAsia="Times New Roman"/>
          <w:sz w:val="24"/>
          <w:szCs w:val="24"/>
        </w:rPr>
        <w:t xml:space="preserve"> </w:t>
      </w:r>
      <w:r w:rsidRPr="00D80FC7">
        <w:rPr>
          <w:sz w:val="24"/>
          <w:szCs w:val="24"/>
        </w:rPr>
        <w:t>(Colo. 1992)</w:t>
      </w:r>
      <w:r w:rsidRPr="004348D7">
        <w:rPr>
          <w:rFonts w:eastAsia="Times New Roman"/>
          <w:sz w:val="24"/>
          <w:szCs w:val="24"/>
        </w:rPr>
        <w:t xml:space="preserve">; </w:t>
      </w:r>
      <w:r>
        <w:rPr>
          <w:rFonts w:eastAsia="Times New Roman"/>
          <w:sz w:val="24"/>
          <w:szCs w:val="24"/>
        </w:rPr>
        <w:t xml:space="preserve">and </w:t>
      </w:r>
      <w:r w:rsidRPr="004348D7">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4348D7">
        <w:rPr>
          <w:rFonts w:eastAsia="Times New Roman"/>
          <w:sz w:val="24"/>
          <w:szCs w:val="24"/>
        </w:rPr>
        <w:t xml:space="preserve"> </w:t>
      </w:r>
      <w:r w:rsidRPr="004348D7">
        <w:rPr>
          <w:rFonts w:eastAsia="Times New Roman"/>
          <w:b/>
          <w:bCs/>
          <w:sz w:val="24"/>
          <w:szCs w:val="24"/>
        </w:rPr>
        <w:t>Garden of the Gods Vill., Inc. v. Hellman</w:t>
      </w:r>
      <w:r w:rsidRPr="004348D7">
        <w:rPr>
          <w:rFonts w:eastAsia="Times New Roman"/>
          <w:sz w:val="24"/>
          <w:szCs w:val="24"/>
        </w:rPr>
        <w:t xml:space="preserve">, 133 Colo. 286, 294 P.2d 597 (1956). This instruction should not be used in cases involving non-agent independent contractors. For instructions concerning those exceptions, </w:t>
      </w:r>
      <w:r w:rsidRPr="004348D7">
        <w:rPr>
          <w:rFonts w:eastAsia="Times New Roman"/>
          <w:i/>
          <w:iCs/>
          <w:sz w:val="24"/>
          <w:szCs w:val="24"/>
        </w:rPr>
        <w:t>see</w:t>
      </w:r>
      <w:r>
        <w:rPr>
          <w:rFonts w:eastAsia="Times New Roman"/>
          <w:iCs/>
          <w:sz w:val="24"/>
          <w:szCs w:val="24"/>
        </w:rPr>
        <w:t xml:space="preserve"> </w:t>
      </w:r>
      <w:r w:rsidRPr="004348D7">
        <w:rPr>
          <w:rFonts w:eastAsia="Times New Roman"/>
          <w:sz w:val="24"/>
          <w:szCs w:val="24"/>
        </w:rPr>
        <w:t>Instruction 9:7 (inherently dangerous activities); Instruction 9:7A (ultrahazardous activities); and Chapter 12 (premises liability).</w:t>
      </w:r>
    </w:p>
    <w:p w14:paraId="47825344"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t>3. This instruction should be given when there is no dispute as to the relationship and scope of authority.</w:t>
      </w:r>
    </w:p>
    <w:p w14:paraId="6DC1251A" w14:textId="77777777" w:rsidR="00E01A1E" w:rsidRPr="004348D7" w:rsidRDefault="00771A51" w:rsidP="00E01A1E">
      <w:pPr>
        <w:spacing w:after="240"/>
        <w:ind w:firstLine="720"/>
        <w:rPr>
          <w:rFonts w:eastAsia="Times New Roman"/>
          <w:sz w:val="24"/>
          <w:szCs w:val="24"/>
        </w:rPr>
      </w:pPr>
      <w:r w:rsidRPr="004348D7">
        <w:rPr>
          <w:rFonts w:eastAsia="Times New Roman"/>
          <w:sz w:val="24"/>
          <w:szCs w:val="24"/>
        </w:rPr>
        <w:lastRenderedPageBreak/>
        <w:t>4. For cases involving employment relationships, use the instructions in Part C of this chapter instead of this instruction.</w:t>
      </w:r>
    </w:p>
    <w:p w14:paraId="25B948A3"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50246829" w14:textId="77777777" w:rsidR="00E01A1E" w:rsidRDefault="00771A51" w:rsidP="00E01A1E">
      <w:pPr>
        <w:spacing w:after="240"/>
        <w:ind w:firstLine="720"/>
        <w:rPr>
          <w:rFonts w:eastAsia="Times New Roman"/>
          <w:iCs/>
          <w:sz w:val="24"/>
          <w:szCs w:val="24"/>
        </w:rPr>
      </w:pPr>
      <w:r w:rsidRPr="004348D7">
        <w:rPr>
          <w:rFonts w:eastAsia="Times New Roman"/>
          <w:iCs/>
          <w:sz w:val="24"/>
          <w:szCs w:val="24"/>
        </w:rPr>
        <w:t>See the Source and Authority to Instruction 8:18.</w:t>
      </w:r>
    </w:p>
    <w:p w14:paraId="1FBCC9A8" w14:textId="77777777" w:rsidR="00E01A1E" w:rsidRDefault="00771A51">
      <w:pPr>
        <w:rPr>
          <w:rFonts w:eastAsia="Times New Roman"/>
          <w:iCs/>
          <w:sz w:val="24"/>
          <w:szCs w:val="24"/>
        </w:rPr>
      </w:pPr>
      <w:r>
        <w:rPr>
          <w:rFonts w:eastAsia="Times New Roman"/>
          <w:iCs/>
          <w:sz w:val="24"/>
          <w:szCs w:val="24"/>
        </w:rPr>
        <w:br w:type="page"/>
      </w:r>
    </w:p>
    <w:p w14:paraId="289106ED" w14:textId="77777777" w:rsidR="00E01A1E" w:rsidRPr="009E3DA4" w:rsidRDefault="00771A51" w:rsidP="00E01A1E">
      <w:pPr>
        <w:spacing w:after="240"/>
        <w:ind w:left="720" w:hanging="720"/>
        <w:rPr>
          <w:rFonts w:eastAsia="Times New Roman"/>
          <w:b/>
          <w:sz w:val="24"/>
          <w:szCs w:val="24"/>
        </w:rPr>
      </w:pPr>
      <w:bookmarkStart w:id="23" w:name="a8_20"/>
      <w:bookmarkEnd w:id="23"/>
      <w:r w:rsidRPr="00C26751">
        <w:rPr>
          <w:rFonts w:eastAsia="Times New Roman"/>
          <w:b/>
          <w:sz w:val="24"/>
          <w:szCs w:val="24"/>
        </w:rPr>
        <w:lastRenderedPageBreak/>
        <w:t>8:</w:t>
      </w:r>
      <w:r>
        <w:rPr>
          <w:rFonts w:eastAsia="Times New Roman"/>
          <w:b/>
          <w:sz w:val="24"/>
          <w:szCs w:val="24"/>
        </w:rPr>
        <w:t>20</w:t>
      </w:r>
      <w:r w:rsidRPr="00C26751">
        <w:rPr>
          <w:rFonts w:eastAsia="Times New Roman"/>
          <w:b/>
          <w:sz w:val="24"/>
          <w:szCs w:val="24"/>
        </w:rPr>
        <w:tab/>
      </w:r>
      <w:r>
        <w:rPr>
          <w:b/>
          <w:sz w:val="24"/>
          <w:szCs w:val="24"/>
        </w:rPr>
        <w:t xml:space="preserve">PRINCIPAL AND AGENT — </w:t>
      </w:r>
      <w:r w:rsidRPr="004465D9">
        <w:rPr>
          <w:b/>
          <w:sz w:val="24"/>
          <w:szCs w:val="24"/>
        </w:rPr>
        <w:t xml:space="preserve">ONLY </w:t>
      </w:r>
      <w:r>
        <w:rPr>
          <w:b/>
          <w:sz w:val="24"/>
          <w:szCs w:val="24"/>
        </w:rPr>
        <w:t>PRINCIPAL</w:t>
      </w:r>
      <w:r w:rsidRPr="004465D9">
        <w:rPr>
          <w:b/>
          <w:sz w:val="24"/>
          <w:szCs w:val="24"/>
        </w:rPr>
        <w:t xml:space="preserve"> SUED</w:t>
      </w:r>
      <w:r>
        <w:rPr>
          <w:b/>
          <w:sz w:val="24"/>
          <w:szCs w:val="24"/>
        </w:rPr>
        <w:t xml:space="preserve"> — I</w:t>
      </w:r>
      <w:r w:rsidRPr="004465D9">
        <w:rPr>
          <w:b/>
          <w:sz w:val="24"/>
          <w:szCs w:val="24"/>
        </w:rPr>
        <w:t xml:space="preserve">SSUE AS TO RELATIONSHIP AND/OR SCOPE OF </w:t>
      </w:r>
      <w:r>
        <w:rPr>
          <w:b/>
          <w:sz w:val="24"/>
          <w:szCs w:val="24"/>
        </w:rPr>
        <w:t>AUTHORITY</w:t>
      </w:r>
    </w:p>
    <w:p w14:paraId="5EC38438" w14:textId="1DB19DBC"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For the plaintiff,</w:t>
      </w:r>
      <w:r w:rsidRPr="004B1149">
        <w:rPr>
          <w:rFonts w:eastAsia="Times New Roman"/>
          <w:sz w:val="24"/>
          <w:szCs w:val="24"/>
        </w:rPr>
        <w:t xml:space="preserve"> </w:t>
      </w:r>
      <w:r w:rsidRPr="004B1149">
        <w:rPr>
          <w:rFonts w:eastAsia="Times New Roman"/>
          <w:i/>
          <w:sz w:val="24"/>
          <w:szCs w:val="24"/>
        </w:rPr>
        <w:t>(name)</w:t>
      </w:r>
      <w:r w:rsidRPr="004B1149">
        <w:rPr>
          <w:rFonts w:eastAsia="Times New Roman"/>
          <w:b/>
          <w:sz w:val="24"/>
          <w:szCs w:val="24"/>
        </w:rPr>
        <w:t xml:space="preserve">, to recover on </w:t>
      </w:r>
      <w:r w:rsidR="003E686C" w:rsidRPr="003E686C">
        <w:rPr>
          <w:rFonts w:eastAsia="Times New Roman"/>
          <w:bCs/>
          <w:i/>
          <w:iCs/>
          <w:sz w:val="24"/>
          <w:szCs w:val="24"/>
        </w:rPr>
        <w:t>(insert applicable pronoun)</w:t>
      </w:r>
      <w:r w:rsidRPr="004B1149">
        <w:rPr>
          <w:rFonts w:eastAsia="Times New Roman"/>
          <w:b/>
          <w:sz w:val="24"/>
          <w:szCs w:val="24"/>
        </w:rPr>
        <w:t xml:space="preserve"> claim of </w:t>
      </w:r>
      <w:r w:rsidRPr="004B1149">
        <w:rPr>
          <w:rFonts w:eastAsia="Times New Roman"/>
          <w:i/>
          <w:sz w:val="24"/>
          <w:szCs w:val="24"/>
        </w:rPr>
        <w:t xml:space="preserve">(insert applicable theory of liability, e.g., “breach of fiduciary duty”) </w:t>
      </w:r>
      <w:r w:rsidRPr="004B1149">
        <w:rPr>
          <w:rFonts w:eastAsia="Times New Roman"/>
          <w:b/>
          <w:sz w:val="24"/>
          <w:szCs w:val="24"/>
        </w:rPr>
        <w:t xml:space="preserve">against defendant, </w:t>
      </w:r>
      <w:r w:rsidRPr="004B1149">
        <w:rPr>
          <w:rFonts w:eastAsia="Times New Roman"/>
          <w:i/>
          <w:sz w:val="24"/>
          <w:szCs w:val="24"/>
        </w:rPr>
        <w:t>(alleged principal’s name)</w:t>
      </w:r>
      <w:r w:rsidRPr="004B1149">
        <w:rPr>
          <w:rFonts w:eastAsia="Times New Roman"/>
          <w:b/>
          <w:sz w:val="24"/>
          <w:szCs w:val="24"/>
        </w:rPr>
        <w:t>, you must find that all of the following have been proved by a preponderance of the evidence:</w:t>
      </w:r>
    </w:p>
    <w:p w14:paraId="0DB4352F" w14:textId="1C298165"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1. The plaintiff proved </w:t>
      </w:r>
      <w:r w:rsidR="003E686C" w:rsidRPr="003E686C">
        <w:rPr>
          <w:rFonts w:eastAsia="Times New Roman"/>
          <w:bCs/>
          <w:i/>
          <w:iCs/>
          <w:sz w:val="24"/>
          <w:szCs w:val="24"/>
        </w:rPr>
        <w:t>(insert applicable pronoun)</w:t>
      </w:r>
      <w:r w:rsidRPr="004B1149">
        <w:rPr>
          <w:rFonts w:eastAsia="Times New Roman"/>
          <w:b/>
          <w:sz w:val="24"/>
          <w:szCs w:val="24"/>
        </w:rPr>
        <w:t xml:space="preserve"> </w:t>
      </w:r>
      <w:r w:rsidRPr="004B1149">
        <w:rPr>
          <w:rFonts w:eastAsia="Times New Roman"/>
          <w:i/>
          <w:sz w:val="24"/>
          <w:szCs w:val="24"/>
        </w:rPr>
        <w:t>(insert applicable theory of liability, e.g., “breach of fiduciary duty”)</w:t>
      </w:r>
      <w:r w:rsidRPr="004B1149">
        <w:rPr>
          <w:rFonts w:eastAsia="Times New Roman"/>
          <w:b/>
          <w:sz w:val="24"/>
          <w:szCs w:val="24"/>
        </w:rPr>
        <w:t xml:space="preserve"> claim(s);</w:t>
      </w:r>
    </w:p>
    <w:p w14:paraId="55690192" w14:textId="77777777"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(2. </w:t>
      </w:r>
      <w:r w:rsidRPr="004B1149">
        <w:rPr>
          <w:rFonts w:eastAsia="Times New Roman"/>
          <w:i/>
          <w:sz w:val="24"/>
          <w:szCs w:val="24"/>
        </w:rPr>
        <w:t>[Alleged agent’s name]</w:t>
      </w:r>
      <w:r w:rsidRPr="004B1149">
        <w:rPr>
          <w:rFonts w:eastAsia="Times New Roman"/>
          <w:b/>
          <w:sz w:val="24"/>
          <w:szCs w:val="24"/>
        </w:rPr>
        <w:t xml:space="preserve">, was the agent of the defendant, </w:t>
      </w:r>
      <w:r w:rsidRPr="004B1149">
        <w:rPr>
          <w:rFonts w:eastAsia="Times New Roman"/>
          <w:i/>
          <w:sz w:val="24"/>
          <w:szCs w:val="24"/>
        </w:rPr>
        <w:t>[alleged principal’s name]</w:t>
      </w:r>
      <w:r w:rsidRPr="004B1149">
        <w:rPr>
          <w:rFonts w:eastAsia="Times New Roman"/>
          <w:sz w:val="24"/>
          <w:szCs w:val="24"/>
        </w:rPr>
        <w:t xml:space="preserve">, </w:t>
      </w:r>
      <w:r w:rsidRPr="004B1149">
        <w:rPr>
          <w:rFonts w:eastAsia="Times New Roman"/>
          <w:b/>
          <w:sz w:val="24"/>
          <w:szCs w:val="24"/>
        </w:rPr>
        <w:t>at the time of the</w:t>
      </w:r>
      <w:r w:rsidRPr="004B1149">
        <w:rPr>
          <w:rFonts w:eastAsia="Times New Roman"/>
          <w:sz w:val="24"/>
          <w:szCs w:val="24"/>
        </w:rPr>
        <w:t xml:space="preserve"> </w:t>
      </w:r>
      <w:r w:rsidRPr="004B1149">
        <w:rPr>
          <w:rFonts w:eastAsia="Times New Roman"/>
          <w:i/>
          <w:sz w:val="24"/>
          <w:szCs w:val="24"/>
        </w:rPr>
        <w:t>[insert appropriate description of events, e.g., “occurrence,” “promise was made,” “representation was made,” etc.]</w:t>
      </w:r>
      <w:r w:rsidRPr="004B1149">
        <w:rPr>
          <w:rFonts w:eastAsia="Times New Roman"/>
          <w:b/>
          <w:sz w:val="24"/>
          <w:szCs w:val="24"/>
        </w:rPr>
        <w:t xml:space="preserve"> [.] [; and])</w:t>
      </w:r>
    </w:p>
    <w:p w14:paraId="386E3267" w14:textId="5B9E0D60"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(3. </w:t>
      </w:r>
      <w:r w:rsidRPr="004B1149">
        <w:rPr>
          <w:rFonts w:eastAsia="Times New Roman"/>
          <w:i/>
          <w:sz w:val="24"/>
          <w:szCs w:val="24"/>
        </w:rPr>
        <w:t>[Alleged agent’s name]</w:t>
      </w:r>
      <w:r w:rsidRPr="004B1149">
        <w:rPr>
          <w:rFonts w:eastAsia="Times New Roman"/>
          <w:b/>
          <w:sz w:val="24"/>
          <w:szCs w:val="24"/>
        </w:rPr>
        <w:t xml:space="preserve"> was acting within the scope of </w:t>
      </w:r>
      <w:r w:rsidR="003E686C">
        <w:rPr>
          <w:rFonts w:eastAsia="Times New Roman"/>
          <w:bCs/>
          <w:i/>
          <w:iCs/>
          <w:sz w:val="24"/>
          <w:szCs w:val="24"/>
        </w:rPr>
        <w:t>[</w:t>
      </w:r>
      <w:r w:rsidR="003E686C" w:rsidRPr="003E686C">
        <w:rPr>
          <w:rFonts w:eastAsia="Times New Roman"/>
          <w:bCs/>
          <w:i/>
          <w:iCs/>
          <w:sz w:val="24"/>
          <w:szCs w:val="24"/>
        </w:rPr>
        <w:t>insert applicable pronoun</w:t>
      </w:r>
      <w:r w:rsidR="003E686C">
        <w:rPr>
          <w:rFonts w:eastAsia="Times New Roman"/>
          <w:bCs/>
          <w:i/>
          <w:iCs/>
          <w:sz w:val="24"/>
          <w:szCs w:val="24"/>
        </w:rPr>
        <w:t>]</w:t>
      </w:r>
      <w:r w:rsidRPr="004B1149">
        <w:rPr>
          <w:rFonts w:eastAsia="Times New Roman"/>
          <w:b/>
          <w:sz w:val="24"/>
          <w:szCs w:val="24"/>
        </w:rPr>
        <w:t xml:space="preserve"> authority at the time of the </w:t>
      </w:r>
      <w:r w:rsidRPr="004B1149">
        <w:rPr>
          <w:rFonts w:eastAsia="Times New Roman"/>
          <w:i/>
          <w:sz w:val="24"/>
          <w:szCs w:val="24"/>
        </w:rPr>
        <w:t>[insert appropriate description of events, e.g., “occurrence,” “promise was made,” “representation was made,” etc.]</w:t>
      </w:r>
      <w:r w:rsidRPr="004B1149">
        <w:rPr>
          <w:rFonts w:eastAsia="Times New Roman"/>
          <w:b/>
          <w:sz w:val="24"/>
          <w:szCs w:val="24"/>
        </w:rPr>
        <w:t>.)</w:t>
      </w:r>
    </w:p>
    <w:p w14:paraId="769076A0" w14:textId="77777777"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If you find that any one or more of these </w:t>
      </w:r>
      <w:r w:rsidRPr="004B1149">
        <w:rPr>
          <w:rFonts w:eastAsia="Times New Roman"/>
          <w:i/>
          <w:sz w:val="24"/>
          <w:szCs w:val="24"/>
        </w:rPr>
        <w:t>(number)</w:t>
      </w:r>
      <w:r w:rsidRPr="004B1149">
        <w:rPr>
          <w:rFonts w:eastAsia="Times New Roman"/>
          <w:b/>
          <w:sz w:val="24"/>
          <w:szCs w:val="24"/>
        </w:rPr>
        <w:t xml:space="preserve"> statements has not been proved, then your verdict must be for the defendant, </w:t>
      </w:r>
      <w:r w:rsidRPr="004B1149">
        <w:rPr>
          <w:rFonts w:eastAsia="Times New Roman"/>
          <w:i/>
          <w:sz w:val="24"/>
          <w:szCs w:val="24"/>
        </w:rPr>
        <w:t>(alleged principal’s name)</w:t>
      </w:r>
      <w:r w:rsidRPr="004B1149">
        <w:rPr>
          <w:rFonts w:eastAsia="Times New Roman"/>
          <w:sz w:val="24"/>
          <w:szCs w:val="24"/>
        </w:rPr>
        <w:t xml:space="preserve">, </w:t>
      </w:r>
      <w:r w:rsidRPr="004B1149">
        <w:rPr>
          <w:rFonts w:eastAsia="Times New Roman"/>
          <w:b/>
          <w:sz w:val="24"/>
          <w:szCs w:val="24"/>
        </w:rPr>
        <w:t xml:space="preserve">on the claim(s) of </w:t>
      </w:r>
      <w:r w:rsidRPr="004B1149">
        <w:rPr>
          <w:rFonts w:eastAsia="Times New Roman"/>
          <w:i/>
          <w:sz w:val="24"/>
          <w:szCs w:val="24"/>
        </w:rPr>
        <w:t>(insert applicable theory of liability, e.g., “breach of fiduciary duty”)</w:t>
      </w:r>
      <w:r w:rsidRPr="004B1149">
        <w:rPr>
          <w:rFonts w:eastAsia="Times New Roman"/>
          <w:b/>
          <w:sz w:val="24"/>
          <w:szCs w:val="24"/>
        </w:rPr>
        <w:t>.</w:t>
      </w:r>
    </w:p>
    <w:p w14:paraId="1F23D6D5" w14:textId="77777777" w:rsidR="00E01A1E" w:rsidRPr="004B1149" w:rsidRDefault="00771A51" w:rsidP="00E01A1E">
      <w:pPr>
        <w:spacing w:after="240"/>
        <w:ind w:firstLine="720"/>
        <w:rPr>
          <w:rFonts w:eastAsia="Times New Roman"/>
          <w:b/>
          <w:sz w:val="24"/>
          <w:szCs w:val="24"/>
        </w:rPr>
      </w:pPr>
      <w:r w:rsidRPr="004B1149">
        <w:rPr>
          <w:rFonts w:eastAsia="Times New Roman"/>
          <w:b/>
          <w:sz w:val="24"/>
          <w:szCs w:val="24"/>
        </w:rPr>
        <w:t xml:space="preserve">On the other hand, if you find that all of these </w:t>
      </w:r>
      <w:r w:rsidRPr="004B1149">
        <w:rPr>
          <w:rFonts w:eastAsia="Times New Roman"/>
          <w:i/>
          <w:sz w:val="24"/>
          <w:szCs w:val="24"/>
        </w:rPr>
        <w:t>(number)</w:t>
      </w:r>
      <w:r w:rsidRPr="004B1149">
        <w:rPr>
          <w:rFonts w:eastAsia="Times New Roman"/>
          <w:b/>
          <w:sz w:val="24"/>
          <w:szCs w:val="24"/>
        </w:rPr>
        <w:t xml:space="preserve"> statements have been proved, then your verdict must be for the plaintiff on the claim(s) of </w:t>
      </w:r>
      <w:r w:rsidRPr="004B1149">
        <w:rPr>
          <w:rFonts w:eastAsia="Times New Roman"/>
          <w:i/>
          <w:sz w:val="24"/>
          <w:szCs w:val="24"/>
        </w:rPr>
        <w:t>(insert applicable theory of liability, e.g., “breach of fiduciary duty”)</w:t>
      </w:r>
      <w:r w:rsidRPr="004B1149">
        <w:rPr>
          <w:rFonts w:eastAsia="Times New Roman"/>
          <w:b/>
          <w:sz w:val="24"/>
          <w:szCs w:val="24"/>
        </w:rPr>
        <w:t>,</w:t>
      </w:r>
      <w:r w:rsidRPr="004B1149">
        <w:rPr>
          <w:rFonts w:eastAsia="Times New Roman"/>
          <w:sz w:val="24"/>
          <w:szCs w:val="24"/>
        </w:rPr>
        <w:t xml:space="preserve"> </w:t>
      </w:r>
      <w:r w:rsidRPr="004B1149">
        <w:rPr>
          <w:rFonts w:eastAsia="Times New Roman"/>
          <w:b/>
          <w:sz w:val="24"/>
          <w:szCs w:val="24"/>
        </w:rPr>
        <w:t xml:space="preserve">against the defendant, </w:t>
      </w:r>
      <w:r w:rsidRPr="004B1149">
        <w:rPr>
          <w:rFonts w:eastAsia="Times New Roman"/>
          <w:i/>
          <w:sz w:val="24"/>
          <w:szCs w:val="24"/>
        </w:rPr>
        <w:t>(alleged principal’s name</w:t>
      </w:r>
      <w:r w:rsidRPr="004B1149">
        <w:rPr>
          <w:rFonts w:eastAsia="Times New Roman"/>
          <w:sz w:val="24"/>
          <w:szCs w:val="24"/>
        </w:rPr>
        <w:t>).</w:t>
      </w:r>
    </w:p>
    <w:p w14:paraId="3CF562D9" w14:textId="77777777" w:rsidR="00E01A1E" w:rsidRDefault="00E01A1E" w:rsidP="00E01A1E">
      <w:pPr>
        <w:jc w:val="center"/>
        <w:rPr>
          <w:rFonts w:eastAsia="Times New Roman"/>
          <w:sz w:val="24"/>
          <w:szCs w:val="24"/>
        </w:rPr>
      </w:pPr>
    </w:p>
    <w:p w14:paraId="2CDE04E3"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C6E3B13"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4B1149">
        <w:rPr>
          <w:rFonts w:eastAsia="Times New Roman"/>
          <w:b/>
          <w:bCs/>
          <w:sz w:val="24"/>
          <w:szCs w:val="24"/>
        </w:rPr>
        <w:t>Grease Monkey Int’l v. Montoya</w:t>
      </w:r>
      <w:r w:rsidRPr="004B1149">
        <w:rPr>
          <w:rFonts w:eastAsia="Times New Roman"/>
          <w:sz w:val="24"/>
          <w:szCs w:val="24"/>
        </w:rPr>
        <w:t>, 904 P.2d 468, 473 (Colo. 1995)</w:t>
      </w:r>
      <w:r w:rsidRPr="004B1149">
        <w:rPr>
          <w:rFonts w:eastAsia="Times New Roman"/>
          <w:bCs/>
          <w:sz w:val="24"/>
          <w:szCs w:val="24"/>
        </w:rPr>
        <w:t xml:space="preserve">. </w:t>
      </w:r>
      <w:r w:rsidRPr="004B1149">
        <w:rPr>
          <w:rFonts w:eastAsia="Times New Roman"/>
          <w:sz w:val="24"/>
          <w:szCs w:val="24"/>
        </w:rPr>
        <w:t xml:space="preserve">A principal may be liable for the agent’s torts if the agent is acting with apparent authority. </w:t>
      </w:r>
      <w:r w:rsidRPr="004B1149">
        <w:rPr>
          <w:rFonts w:eastAsia="Times New Roman"/>
          <w:i/>
          <w:iCs/>
          <w:sz w:val="24"/>
          <w:szCs w:val="24"/>
        </w:rPr>
        <w:t>See</w:t>
      </w:r>
      <w:r>
        <w:rPr>
          <w:rFonts w:eastAsia="Times New Roman"/>
          <w:iCs/>
          <w:sz w:val="24"/>
          <w:szCs w:val="24"/>
        </w:rPr>
        <w:t xml:space="preserve"> </w:t>
      </w:r>
      <w:r>
        <w:rPr>
          <w:rFonts w:eastAsia="Times New Roman"/>
          <w:i/>
          <w:iCs/>
          <w:sz w:val="24"/>
          <w:szCs w:val="24"/>
        </w:rPr>
        <w:t>id.</w:t>
      </w:r>
      <w:r>
        <w:rPr>
          <w:rFonts w:eastAsia="Times New Roman"/>
          <w:iCs/>
          <w:sz w:val="24"/>
          <w:szCs w:val="24"/>
        </w:rPr>
        <w:t xml:space="preserve"> </w:t>
      </w:r>
      <w:r w:rsidRPr="004B1149">
        <w:rPr>
          <w:rFonts w:eastAsia="Times New Roman"/>
          <w:sz w:val="24"/>
          <w:szCs w:val="24"/>
        </w:rPr>
        <w:t>at 475-76 (holding principal liable for agent’s fraudulent misrepresentation).</w:t>
      </w:r>
    </w:p>
    <w:p w14:paraId="0BDD341A"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4B1149">
        <w:rPr>
          <w:rFonts w:eastAsia="Times New Roman"/>
          <w:b/>
          <w:bCs/>
          <w:sz w:val="24"/>
          <w:szCs w:val="24"/>
        </w:rPr>
        <w:t>Digital Landscape Inc. v. Media Kings LL</w:t>
      </w:r>
      <w:r>
        <w:rPr>
          <w:rFonts w:eastAsia="Times New Roman"/>
          <w:b/>
          <w:bCs/>
          <w:sz w:val="24"/>
          <w:szCs w:val="24"/>
        </w:rPr>
        <w:t>C</w:t>
      </w:r>
      <w:r w:rsidRPr="004B1149">
        <w:rPr>
          <w:rFonts w:eastAsia="Times New Roman"/>
          <w:sz w:val="24"/>
          <w:szCs w:val="24"/>
        </w:rPr>
        <w:t xml:space="preserve">, 2018 COA 142, ¶ 79, 440 P.3d 1200, 1212; </w:t>
      </w:r>
      <w:r w:rsidRPr="004B1149">
        <w:rPr>
          <w:rFonts w:eastAsia="Times New Roman"/>
          <w:i/>
          <w:iCs/>
          <w:sz w:val="24"/>
          <w:szCs w:val="24"/>
        </w:rPr>
        <w:t xml:space="preserve">see also </w:t>
      </w:r>
      <w:r w:rsidRPr="004B1149">
        <w:rPr>
          <w:rFonts w:eastAsia="Times New Roman"/>
          <w:b/>
          <w:bCs/>
          <w:sz w:val="24"/>
          <w:szCs w:val="24"/>
        </w:rPr>
        <w:t>Grease Monkey</w:t>
      </w:r>
      <w:r w:rsidRPr="004B1149">
        <w:rPr>
          <w:rFonts w:eastAsia="Times New Roman"/>
          <w:sz w:val="24"/>
          <w:szCs w:val="24"/>
        </w:rPr>
        <w:t xml:space="preserve">, 904 P.2d at 473. The general rule is subject to three limited exceptions: nondelegable duties, </w:t>
      </w:r>
      <w:r w:rsidRPr="004B1149">
        <w:rPr>
          <w:rFonts w:eastAsia="Times New Roman"/>
          <w:i/>
          <w:iCs/>
          <w:sz w:val="24"/>
          <w:szCs w:val="24"/>
        </w:rPr>
        <w:t>se</w:t>
      </w:r>
      <w:r>
        <w:rPr>
          <w:rFonts w:eastAsia="Times New Roman"/>
          <w:i/>
          <w:iCs/>
          <w:sz w:val="24"/>
          <w:szCs w:val="24"/>
        </w:rPr>
        <w:t xml:space="preserve">e, </w:t>
      </w:r>
      <w:r w:rsidRPr="004B1149">
        <w:rPr>
          <w:rFonts w:eastAsia="Times New Roman"/>
          <w:i/>
          <w:iCs/>
          <w:sz w:val="24"/>
          <w:szCs w:val="24"/>
        </w:rPr>
        <w:t>e.g.</w:t>
      </w:r>
      <w:r w:rsidRPr="004B1149">
        <w:rPr>
          <w:rFonts w:eastAsia="Times New Roman"/>
          <w:sz w:val="24"/>
          <w:szCs w:val="24"/>
        </w:rPr>
        <w:t>,</w:t>
      </w:r>
      <w:r w:rsidRPr="004B1149">
        <w:rPr>
          <w:rFonts w:eastAsia="Times New Roman"/>
          <w:i/>
          <w:iCs/>
          <w:sz w:val="24"/>
          <w:szCs w:val="24"/>
        </w:rPr>
        <w:t xml:space="preserve"> </w:t>
      </w:r>
      <w:r w:rsidRPr="004B1149">
        <w:rPr>
          <w:rFonts w:eastAsia="Times New Roman"/>
          <w:b/>
          <w:bCs/>
          <w:sz w:val="24"/>
          <w:szCs w:val="24"/>
        </w:rPr>
        <w:t>Springer v. City &amp; Cty. of Denver</w:t>
      </w:r>
      <w:r w:rsidRPr="004B1149">
        <w:rPr>
          <w:rFonts w:eastAsia="Times New Roman"/>
          <w:sz w:val="24"/>
          <w:szCs w:val="24"/>
        </w:rPr>
        <w:t xml:space="preserve">, 13 P.3d 794 (Colo. 2000) (Premises Liability Act); inherently dangerous activities, </w:t>
      </w:r>
      <w:r w:rsidRPr="004B1149">
        <w:rPr>
          <w:rFonts w:eastAsia="Times New Roman"/>
          <w:i/>
          <w:iCs/>
          <w:sz w:val="24"/>
          <w:szCs w:val="24"/>
        </w:rPr>
        <w:t>see</w:t>
      </w:r>
      <w:r w:rsidRPr="004B1149">
        <w:rPr>
          <w:rFonts w:eastAsia="Times New Roman"/>
          <w:sz w:val="24"/>
          <w:szCs w:val="24"/>
        </w:rPr>
        <w:t xml:space="preserve"> </w:t>
      </w:r>
      <w:r w:rsidRPr="004B1149">
        <w:rPr>
          <w:rFonts w:eastAsia="Times New Roman"/>
          <w:b/>
          <w:bCs/>
          <w:sz w:val="24"/>
          <w:szCs w:val="24"/>
        </w:rPr>
        <w:t>Huddleston v. Union Rural Elec. Ass’n</w:t>
      </w:r>
      <w:r w:rsidRPr="004B1149">
        <w:rPr>
          <w:rFonts w:eastAsia="Times New Roman"/>
          <w:sz w:val="24"/>
          <w:szCs w:val="24"/>
        </w:rPr>
        <w:t>, 841 P.2d 282</w:t>
      </w:r>
      <w:r>
        <w:rPr>
          <w:rFonts w:eastAsia="Times New Roman"/>
          <w:sz w:val="24"/>
          <w:szCs w:val="24"/>
        </w:rPr>
        <w:t xml:space="preserve"> </w:t>
      </w:r>
      <w:r w:rsidRPr="00D80FC7">
        <w:rPr>
          <w:sz w:val="24"/>
          <w:szCs w:val="24"/>
        </w:rPr>
        <w:t>(Colo. 1992)</w:t>
      </w:r>
      <w:r w:rsidRPr="004B1149">
        <w:rPr>
          <w:rFonts w:eastAsia="Times New Roman"/>
          <w:sz w:val="24"/>
          <w:szCs w:val="24"/>
        </w:rPr>
        <w:t xml:space="preserve">; </w:t>
      </w:r>
      <w:r>
        <w:rPr>
          <w:rFonts w:eastAsia="Times New Roman"/>
          <w:sz w:val="24"/>
          <w:szCs w:val="24"/>
        </w:rPr>
        <w:t xml:space="preserve">and </w:t>
      </w:r>
      <w:r w:rsidRPr="004B1149">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4B1149">
        <w:rPr>
          <w:rFonts w:eastAsia="Times New Roman"/>
          <w:sz w:val="24"/>
          <w:szCs w:val="24"/>
        </w:rPr>
        <w:t xml:space="preserve"> </w:t>
      </w:r>
      <w:r w:rsidRPr="004B1149">
        <w:rPr>
          <w:rFonts w:eastAsia="Times New Roman"/>
          <w:b/>
          <w:bCs/>
          <w:sz w:val="24"/>
          <w:szCs w:val="24"/>
        </w:rPr>
        <w:t>Garden of the Gods Vill., Inc. v. Hellman</w:t>
      </w:r>
      <w:r w:rsidRPr="004B1149">
        <w:rPr>
          <w:rFonts w:eastAsia="Times New Roman"/>
          <w:sz w:val="24"/>
          <w:szCs w:val="24"/>
        </w:rPr>
        <w:t xml:space="preserve">, 133 Colo. 286, 294 P.2d 597 (1956). This instruction should not be used in cases involving non-agent independent contractors. For instructions concerning those exceptions, </w:t>
      </w:r>
      <w:r w:rsidRPr="004B1149">
        <w:rPr>
          <w:rFonts w:eastAsia="Times New Roman"/>
          <w:i/>
          <w:iCs/>
          <w:sz w:val="24"/>
          <w:szCs w:val="24"/>
        </w:rPr>
        <w:lastRenderedPageBreak/>
        <w:t>see</w:t>
      </w:r>
      <w:r>
        <w:rPr>
          <w:rFonts w:eastAsia="Times New Roman"/>
          <w:iCs/>
          <w:sz w:val="24"/>
          <w:szCs w:val="24"/>
        </w:rPr>
        <w:t xml:space="preserve"> </w:t>
      </w:r>
      <w:r w:rsidRPr="004B1149">
        <w:rPr>
          <w:rFonts w:eastAsia="Times New Roman"/>
          <w:sz w:val="24"/>
          <w:szCs w:val="24"/>
        </w:rPr>
        <w:t>Instruction 9:7 (inherently dangerous activities); Instruction 9:7A (ultrahazardous activities); and Chapter 12 (premises liability).</w:t>
      </w:r>
    </w:p>
    <w:p w14:paraId="40248803"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3. Use whichever parenthesized phrases are appropriate depending on whether the relationship or scope of authority, or both, is at issue.</w:t>
      </w:r>
    </w:p>
    <w:p w14:paraId="5482A844"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4. When there is a dispute as to whether an agency relationship exists, Instruction 8:1 (defining the agency relationship) should be given along with this instruction.</w:t>
      </w:r>
    </w:p>
    <w:p w14:paraId="337E15FD"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5. When the scope of agency is at issue, Instruction 8:9 (defining scope of authority) should be given with this instruction.</w:t>
      </w:r>
    </w:p>
    <w:p w14:paraId="071E6A39" w14:textId="77777777" w:rsidR="00E01A1E" w:rsidRPr="004B1149" w:rsidRDefault="00771A51" w:rsidP="00E01A1E">
      <w:pPr>
        <w:spacing w:after="240"/>
        <w:ind w:firstLine="720"/>
        <w:rPr>
          <w:rFonts w:eastAsia="Times New Roman"/>
          <w:sz w:val="24"/>
          <w:szCs w:val="24"/>
        </w:rPr>
      </w:pPr>
      <w:r w:rsidRPr="004B1149">
        <w:rPr>
          <w:rFonts w:eastAsia="Times New Roman"/>
          <w:sz w:val="24"/>
          <w:szCs w:val="24"/>
        </w:rPr>
        <w:t>6. For cases involving employment relationships, use the instructions in Part C of this chapter instead of this instruction.</w:t>
      </w:r>
    </w:p>
    <w:p w14:paraId="34DDC1FB"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3A6799A5" w14:textId="77777777" w:rsidR="00E01A1E" w:rsidRDefault="00771A51" w:rsidP="00E01A1E">
      <w:pPr>
        <w:spacing w:after="240"/>
        <w:ind w:firstLine="720"/>
        <w:rPr>
          <w:rFonts w:eastAsia="Times New Roman"/>
          <w:iCs/>
          <w:sz w:val="24"/>
          <w:szCs w:val="24"/>
        </w:rPr>
      </w:pPr>
      <w:r>
        <w:rPr>
          <w:sz w:val="24"/>
          <w:szCs w:val="24"/>
        </w:rPr>
        <w:t>See the Source and Authority to Instruction 8:18.</w:t>
      </w:r>
    </w:p>
    <w:p w14:paraId="337E1227" w14:textId="77777777" w:rsidR="00E01A1E" w:rsidRDefault="00771A51">
      <w:pPr>
        <w:rPr>
          <w:rFonts w:eastAsia="Times New Roman"/>
          <w:iCs/>
          <w:sz w:val="24"/>
          <w:szCs w:val="24"/>
        </w:rPr>
      </w:pPr>
      <w:r>
        <w:rPr>
          <w:rFonts w:eastAsia="Times New Roman"/>
          <w:iCs/>
          <w:sz w:val="24"/>
          <w:szCs w:val="24"/>
        </w:rPr>
        <w:br w:type="page"/>
      </w:r>
    </w:p>
    <w:p w14:paraId="068B3963" w14:textId="77777777" w:rsidR="00E01A1E" w:rsidRPr="009E3DA4" w:rsidRDefault="00771A51" w:rsidP="00E01A1E">
      <w:pPr>
        <w:spacing w:after="240"/>
        <w:ind w:left="720" w:hanging="720"/>
        <w:rPr>
          <w:rFonts w:eastAsia="Times New Roman"/>
          <w:b/>
          <w:sz w:val="24"/>
          <w:szCs w:val="24"/>
        </w:rPr>
      </w:pPr>
      <w:bookmarkStart w:id="24" w:name="a8_21"/>
      <w:bookmarkEnd w:id="24"/>
      <w:r w:rsidRPr="00C26751">
        <w:rPr>
          <w:rFonts w:eastAsia="Times New Roman"/>
          <w:b/>
          <w:sz w:val="24"/>
          <w:szCs w:val="24"/>
        </w:rPr>
        <w:lastRenderedPageBreak/>
        <w:t>8:</w:t>
      </w:r>
      <w:r>
        <w:rPr>
          <w:rFonts w:eastAsia="Times New Roman"/>
          <w:b/>
          <w:sz w:val="24"/>
          <w:szCs w:val="24"/>
        </w:rPr>
        <w:t>21</w:t>
      </w:r>
      <w:r w:rsidRPr="00C26751">
        <w:rPr>
          <w:rFonts w:eastAsia="Times New Roman"/>
          <w:b/>
          <w:sz w:val="24"/>
          <w:szCs w:val="24"/>
        </w:rPr>
        <w:tab/>
      </w:r>
      <w:r>
        <w:rPr>
          <w:b/>
          <w:sz w:val="24"/>
          <w:szCs w:val="24"/>
        </w:rPr>
        <w:t xml:space="preserve">PRINCIPAL AND AGENT — </w:t>
      </w:r>
      <w:r w:rsidRPr="00085CD8">
        <w:rPr>
          <w:b/>
          <w:sz w:val="24"/>
          <w:szCs w:val="24"/>
        </w:rPr>
        <w:t xml:space="preserve">ONLY </w:t>
      </w:r>
      <w:r>
        <w:rPr>
          <w:b/>
          <w:sz w:val="24"/>
          <w:szCs w:val="24"/>
        </w:rPr>
        <w:t>PRINCIPAL</w:t>
      </w:r>
      <w:r w:rsidRPr="00085CD8">
        <w:rPr>
          <w:b/>
          <w:sz w:val="24"/>
          <w:szCs w:val="24"/>
        </w:rPr>
        <w:t xml:space="preserve"> SUED</w:t>
      </w:r>
      <w:r>
        <w:rPr>
          <w:b/>
          <w:sz w:val="24"/>
          <w:szCs w:val="24"/>
        </w:rPr>
        <w:t xml:space="preserve"> — NO </w:t>
      </w:r>
      <w:r w:rsidRPr="00085CD8">
        <w:rPr>
          <w:b/>
          <w:sz w:val="24"/>
          <w:szCs w:val="24"/>
        </w:rPr>
        <w:t xml:space="preserve">ISSUE AS TO RELATIONSHIP AND SCOPE OF </w:t>
      </w:r>
      <w:r>
        <w:rPr>
          <w:b/>
          <w:sz w:val="24"/>
          <w:szCs w:val="24"/>
        </w:rPr>
        <w:t>AUTHORITY</w:t>
      </w:r>
    </w:p>
    <w:p w14:paraId="26254EED" w14:textId="77777777" w:rsidR="00E01A1E" w:rsidRPr="00F939E4" w:rsidRDefault="00771A51" w:rsidP="00E01A1E">
      <w:pPr>
        <w:spacing w:after="240"/>
        <w:ind w:firstLine="720"/>
        <w:rPr>
          <w:rFonts w:eastAsia="Times New Roman"/>
          <w:sz w:val="24"/>
          <w:szCs w:val="24"/>
        </w:rPr>
      </w:pPr>
      <w:r w:rsidRPr="00F939E4">
        <w:rPr>
          <w:rFonts w:eastAsia="Times New Roman"/>
          <w:i/>
          <w:sz w:val="24"/>
          <w:szCs w:val="24"/>
        </w:rPr>
        <w:t>(Agent’s name)</w:t>
      </w:r>
      <w:r w:rsidRPr="00F939E4">
        <w:rPr>
          <w:rFonts w:eastAsia="Times New Roman"/>
          <w:b/>
          <w:sz w:val="24"/>
          <w:szCs w:val="24"/>
        </w:rPr>
        <w:t xml:space="preserve"> was the agent of the defendant, </w:t>
      </w:r>
      <w:r w:rsidRPr="00F939E4">
        <w:rPr>
          <w:rFonts w:eastAsia="Times New Roman"/>
          <w:i/>
          <w:sz w:val="24"/>
          <w:szCs w:val="24"/>
        </w:rPr>
        <w:t>(principal’s name)</w:t>
      </w:r>
      <w:r w:rsidRPr="00F939E4">
        <w:rPr>
          <w:rFonts w:eastAsia="Times New Roman"/>
          <w:b/>
          <w:sz w:val="24"/>
          <w:szCs w:val="24"/>
        </w:rPr>
        <w:t xml:space="preserve">, at the time of the </w:t>
      </w:r>
      <w:r w:rsidRPr="00F939E4">
        <w:rPr>
          <w:rFonts w:eastAsia="Times New Roman"/>
          <w:i/>
          <w:sz w:val="24"/>
          <w:szCs w:val="24"/>
        </w:rPr>
        <w:t>(insert appropriate description of events, e.g., “occurrence,” “promise was made,” “representation was made,” etc.)</w:t>
      </w:r>
      <w:r w:rsidRPr="00F939E4">
        <w:rPr>
          <w:rFonts w:eastAsia="Times New Roman"/>
          <w:b/>
          <w:sz w:val="24"/>
          <w:szCs w:val="24"/>
        </w:rPr>
        <w:t xml:space="preserve">. Any act or omission of </w:t>
      </w:r>
      <w:r w:rsidRPr="00F939E4">
        <w:rPr>
          <w:rFonts w:eastAsia="Times New Roman"/>
          <w:i/>
          <w:sz w:val="24"/>
          <w:szCs w:val="24"/>
        </w:rPr>
        <w:t xml:space="preserve">(agent’s name) </w:t>
      </w:r>
      <w:r w:rsidRPr="00F939E4">
        <w:rPr>
          <w:rFonts w:eastAsia="Times New Roman"/>
          <w:b/>
          <w:sz w:val="24"/>
          <w:szCs w:val="24"/>
        </w:rPr>
        <w:t xml:space="preserve">is the act or omission of the defendant, </w:t>
      </w:r>
      <w:r w:rsidRPr="00F939E4">
        <w:rPr>
          <w:rFonts w:eastAsia="Times New Roman"/>
          <w:i/>
          <w:sz w:val="24"/>
          <w:szCs w:val="24"/>
        </w:rPr>
        <w:t>(principal’s name)</w:t>
      </w:r>
      <w:r w:rsidRPr="00F939E4">
        <w:rPr>
          <w:rFonts w:eastAsia="Times New Roman"/>
          <w:b/>
          <w:sz w:val="24"/>
          <w:szCs w:val="24"/>
        </w:rPr>
        <w:t>.</w:t>
      </w:r>
    </w:p>
    <w:p w14:paraId="0051AA46" w14:textId="77777777" w:rsidR="00E01A1E" w:rsidRDefault="00E01A1E" w:rsidP="00E01A1E">
      <w:pPr>
        <w:jc w:val="center"/>
        <w:rPr>
          <w:rFonts w:eastAsia="Times New Roman"/>
          <w:sz w:val="24"/>
          <w:szCs w:val="24"/>
        </w:rPr>
      </w:pPr>
    </w:p>
    <w:p w14:paraId="57FE008B"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667A86B"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 xml:space="preserve">1. This instruction should be used in cases involving agent independent contractors. An agent independent contractor is one who represents the principal contractually and may, with proper authorization, make contracts or other negotiations on the principal’s behalf and bind the principal in contract. </w:t>
      </w:r>
      <w:r w:rsidRPr="00F939E4">
        <w:rPr>
          <w:rFonts w:eastAsia="Times New Roman"/>
          <w:b/>
          <w:bCs/>
          <w:sz w:val="24"/>
          <w:szCs w:val="24"/>
        </w:rPr>
        <w:t>Grease Monkey Int’l v. Montoya</w:t>
      </w:r>
      <w:r w:rsidRPr="00F939E4">
        <w:rPr>
          <w:rFonts w:eastAsia="Times New Roman"/>
          <w:sz w:val="24"/>
          <w:szCs w:val="24"/>
        </w:rPr>
        <w:t>, 904 P.2d 468, 473 (Colo. 1995</w:t>
      </w:r>
      <w:r>
        <w:rPr>
          <w:rFonts w:eastAsia="Times New Roman"/>
          <w:sz w:val="24"/>
          <w:szCs w:val="24"/>
        </w:rPr>
        <w:t xml:space="preserve">). </w:t>
      </w:r>
      <w:r w:rsidRPr="00F939E4">
        <w:rPr>
          <w:rFonts w:eastAsia="Times New Roman"/>
          <w:sz w:val="24"/>
          <w:szCs w:val="24"/>
        </w:rPr>
        <w:t xml:space="preserve">A principal may be liable for the agent’s torts if the agent is acting with apparent authority. </w:t>
      </w:r>
      <w:r w:rsidRPr="00F939E4">
        <w:rPr>
          <w:rFonts w:eastAsia="Times New Roman"/>
          <w:i/>
          <w:iCs/>
          <w:sz w:val="24"/>
          <w:szCs w:val="24"/>
        </w:rPr>
        <w:t>See</w:t>
      </w:r>
      <w:r>
        <w:rPr>
          <w:rFonts w:eastAsia="Times New Roman"/>
          <w:iCs/>
          <w:sz w:val="24"/>
          <w:szCs w:val="24"/>
        </w:rPr>
        <w:t xml:space="preserve"> </w:t>
      </w:r>
      <w:r>
        <w:rPr>
          <w:rFonts w:eastAsia="Times New Roman"/>
          <w:bCs/>
          <w:i/>
          <w:sz w:val="24"/>
          <w:szCs w:val="24"/>
        </w:rPr>
        <w:t>id.</w:t>
      </w:r>
      <w:r w:rsidRPr="00F939E4">
        <w:rPr>
          <w:rFonts w:eastAsia="Times New Roman"/>
          <w:sz w:val="24"/>
          <w:szCs w:val="24"/>
        </w:rPr>
        <w:t xml:space="preserve"> at 475-76 (holding principal liable for agent’s fraudulent misrepresentation).</w:t>
      </w:r>
    </w:p>
    <w:p w14:paraId="11B4E385"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 xml:space="preserve">2. A principal is generally not liable for the torts of a non-agent independent contractor. A non-agent independent contractor is one who “is not a fiduciary, has no power to make the one employing him a party to a transaction, and is subject to no control over his conduct.” </w:t>
      </w:r>
      <w:r w:rsidRPr="00F939E4">
        <w:rPr>
          <w:rFonts w:eastAsia="Times New Roman"/>
          <w:b/>
          <w:bCs/>
          <w:sz w:val="24"/>
          <w:szCs w:val="24"/>
        </w:rPr>
        <w:t>Digital Landscape Inc. v. Media Kings LL</w:t>
      </w:r>
      <w:r>
        <w:rPr>
          <w:rFonts w:eastAsia="Times New Roman"/>
          <w:b/>
          <w:bCs/>
          <w:sz w:val="24"/>
          <w:szCs w:val="24"/>
        </w:rPr>
        <w:t>C</w:t>
      </w:r>
      <w:r w:rsidRPr="00F939E4">
        <w:rPr>
          <w:rFonts w:eastAsia="Times New Roman"/>
          <w:sz w:val="24"/>
          <w:szCs w:val="24"/>
        </w:rPr>
        <w:t xml:space="preserve">, 2018 COA 142, ¶ 79, 440 P.3d 1200, 1212; </w:t>
      </w:r>
      <w:r w:rsidRPr="00F939E4">
        <w:rPr>
          <w:rFonts w:eastAsia="Times New Roman"/>
          <w:i/>
          <w:iCs/>
          <w:sz w:val="24"/>
          <w:szCs w:val="24"/>
        </w:rPr>
        <w:t>see also</w:t>
      </w:r>
      <w:r>
        <w:rPr>
          <w:rFonts w:eastAsia="Times New Roman"/>
          <w:iCs/>
          <w:sz w:val="24"/>
          <w:szCs w:val="24"/>
        </w:rPr>
        <w:t xml:space="preserve"> </w:t>
      </w:r>
      <w:r w:rsidRPr="00F939E4">
        <w:rPr>
          <w:rFonts w:eastAsia="Times New Roman"/>
          <w:b/>
          <w:bCs/>
          <w:sz w:val="24"/>
          <w:szCs w:val="24"/>
        </w:rPr>
        <w:t>Grease Monkey</w:t>
      </w:r>
      <w:r w:rsidRPr="00F939E4">
        <w:rPr>
          <w:rFonts w:eastAsia="Times New Roman"/>
          <w:sz w:val="24"/>
          <w:szCs w:val="24"/>
        </w:rPr>
        <w:t xml:space="preserve">, 904 P.2d at 473. The general rule is subject to three limited exceptions: nondelegable duties, </w:t>
      </w:r>
      <w:r w:rsidRPr="00F939E4">
        <w:rPr>
          <w:rFonts w:eastAsia="Times New Roman"/>
          <w:i/>
          <w:iCs/>
          <w:sz w:val="24"/>
          <w:szCs w:val="24"/>
        </w:rPr>
        <w:t>see</w:t>
      </w:r>
      <w:r>
        <w:rPr>
          <w:rFonts w:eastAsia="Times New Roman"/>
          <w:i/>
          <w:iCs/>
          <w:sz w:val="24"/>
          <w:szCs w:val="24"/>
        </w:rPr>
        <w:t xml:space="preserve">, </w:t>
      </w:r>
      <w:r w:rsidRPr="00F939E4">
        <w:rPr>
          <w:rFonts w:eastAsia="Times New Roman"/>
          <w:i/>
          <w:iCs/>
          <w:sz w:val="24"/>
          <w:szCs w:val="24"/>
        </w:rPr>
        <w:t>e.g.</w:t>
      </w:r>
      <w:r w:rsidRPr="00F939E4">
        <w:rPr>
          <w:rFonts w:eastAsia="Times New Roman"/>
          <w:sz w:val="24"/>
          <w:szCs w:val="24"/>
        </w:rPr>
        <w:t>,</w:t>
      </w:r>
      <w:r w:rsidRPr="00F939E4">
        <w:rPr>
          <w:rFonts w:eastAsia="Times New Roman"/>
          <w:i/>
          <w:iCs/>
          <w:sz w:val="24"/>
          <w:szCs w:val="24"/>
        </w:rPr>
        <w:t xml:space="preserve"> </w:t>
      </w:r>
      <w:r w:rsidRPr="00F939E4">
        <w:rPr>
          <w:rFonts w:eastAsia="Times New Roman"/>
          <w:b/>
          <w:bCs/>
          <w:sz w:val="24"/>
          <w:szCs w:val="24"/>
        </w:rPr>
        <w:t>Springer v. City &amp; Cty. of Denver</w:t>
      </w:r>
      <w:r w:rsidRPr="00F939E4">
        <w:rPr>
          <w:rFonts w:eastAsia="Times New Roman"/>
          <w:sz w:val="24"/>
          <w:szCs w:val="24"/>
        </w:rPr>
        <w:t xml:space="preserve">, 13 P.3d 794 (Colo. 2000) (Premises Liability Act); inherently dangerous activities, </w:t>
      </w:r>
      <w:r w:rsidRPr="00F939E4">
        <w:rPr>
          <w:rFonts w:eastAsia="Times New Roman"/>
          <w:i/>
          <w:iCs/>
          <w:sz w:val="24"/>
          <w:szCs w:val="24"/>
        </w:rPr>
        <w:t>see</w:t>
      </w:r>
      <w:r w:rsidRPr="00F939E4">
        <w:rPr>
          <w:rFonts w:eastAsia="Times New Roman"/>
          <w:sz w:val="24"/>
          <w:szCs w:val="24"/>
        </w:rPr>
        <w:t xml:space="preserve"> </w:t>
      </w:r>
      <w:r w:rsidRPr="00F939E4">
        <w:rPr>
          <w:rFonts w:eastAsia="Times New Roman"/>
          <w:b/>
          <w:bCs/>
          <w:sz w:val="24"/>
          <w:szCs w:val="24"/>
        </w:rPr>
        <w:t>Huddleston v. Union Rural Elec. Ass’n</w:t>
      </w:r>
      <w:r w:rsidRPr="00F939E4">
        <w:rPr>
          <w:rFonts w:eastAsia="Times New Roman"/>
          <w:sz w:val="24"/>
          <w:szCs w:val="24"/>
        </w:rPr>
        <w:t>, 841 P.2d 282</w:t>
      </w:r>
      <w:r>
        <w:rPr>
          <w:rFonts w:eastAsia="Times New Roman"/>
          <w:sz w:val="24"/>
          <w:szCs w:val="24"/>
        </w:rPr>
        <w:t xml:space="preserve"> (Colo. 1992)</w:t>
      </w:r>
      <w:r w:rsidRPr="00F939E4">
        <w:rPr>
          <w:rFonts w:eastAsia="Times New Roman"/>
          <w:sz w:val="24"/>
          <w:szCs w:val="24"/>
        </w:rPr>
        <w:t xml:space="preserve">; </w:t>
      </w:r>
      <w:r>
        <w:rPr>
          <w:rFonts w:eastAsia="Times New Roman"/>
          <w:sz w:val="24"/>
          <w:szCs w:val="24"/>
        </w:rPr>
        <w:t xml:space="preserve">and </w:t>
      </w:r>
      <w:r w:rsidRPr="00F939E4">
        <w:rPr>
          <w:rFonts w:eastAsia="Times New Roman"/>
          <w:sz w:val="24"/>
          <w:szCs w:val="24"/>
        </w:rPr>
        <w:t>ultrahazardous activities</w:t>
      </w:r>
      <w:r>
        <w:rPr>
          <w:rFonts w:eastAsia="Times New Roman"/>
          <w:sz w:val="24"/>
          <w:szCs w:val="24"/>
        </w:rPr>
        <w:t xml:space="preserve">, </w:t>
      </w:r>
      <w:r w:rsidRPr="00935FBA">
        <w:rPr>
          <w:rFonts w:eastAsia="Times New Roman"/>
          <w:i/>
          <w:sz w:val="24"/>
          <w:szCs w:val="24"/>
        </w:rPr>
        <w:t>see</w:t>
      </w:r>
      <w:r w:rsidRPr="00F939E4">
        <w:rPr>
          <w:rFonts w:eastAsia="Times New Roman"/>
          <w:sz w:val="24"/>
          <w:szCs w:val="24"/>
        </w:rPr>
        <w:t xml:space="preserve"> </w:t>
      </w:r>
      <w:r w:rsidRPr="00F939E4">
        <w:rPr>
          <w:rFonts w:eastAsia="Times New Roman"/>
          <w:b/>
          <w:bCs/>
          <w:sz w:val="24"/>
          <w:szCs w:val="24"/>
        </w:rPr>
        <w:t>Garden of the Gods Vill., Inc. v. Hellman</w:t>
      </w:r>
      <w:r w:rsidRPr="00F939E4">
        <w:rPr>
          <w:rFonts w:eastAsia="Times New Roman"/>
          <w:sz w:val="24"/>
          <w:szCs w:val="24"/>
        </w:rPr>
        <w:t xml:space="preserve">, 133 Colo. 286, 294 P.2d 597 (1956). This instruction should not be used in cases involving non-agent independent contractors. For instructions concerning those exceptions, </w:t>
      </w:r>
      <w:r w:rsidRPr="00F939E4">
        <w:rPr>
          <w:rFonts w:eastAsia="Times New Roman"/>
          <w:i/>
          <w:iCs/>
          <w:sz w:val="24"/>
          <w:szCs w:val="24"/>
        </w:rPr>
        <w:t>see</w:t>
      </w:r>
      <w:r>
        <w:rPr>
          <w:rFonts w:eastAsia="Times New Roman"/>
          <w:iCs/>
          <w:sz w:val="24"/>
          <w:szCs w:val="24"/>
        </w:rPr>
        <w:t xml:space="preserve"> </w:t>
      </w:r>
      <w:r w:rsidRPr="00F939E4">
        <w:rPr>
          <w:rFonts w:eastAsia="Times New Roman"/>
          <w:sz w:val="24"/>
          <w:szCs w:val="24"/>
        </w:rPr>
        <w:t>Instruction 9:7 (inherently dangerous activities); Instruction 9:7A (ultrahazardous activities); and Chapter 12 (premises liability).</w:t>
      </w:r>
    </w:p>
    <w:p w14:paraId="63892634"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3. This instruction should be given when there is no dispute as to the relationship and scope of agency.</w:t>
      </w:r>
    </w:p>
    <w:p w14:paraId="1F8B7E45" w14:textId="77777777" w:rsidR="00E01A1E" w:rsidRPr="00F939E4" w:rsidRDefault="00771A51" w:rsidP="00E01A1E">
      <w:pPr>
        <w:spacing w:after="240"/>
        <w:ind w:firstLine="720"/>
        <w:rPr>
          <w:rFonts w:eastAsia="Times New Roman"/>
          <w:sz w:val="24"/>
          <w:szCs w:val="24"/>
        </w:rPr>
      </w:pPr>
      <w:r w:rsidRPr="00F939E4">
        <w:rPr>
          <w:rFonts w:eastAsia="Times New Roman"/>
          <w:sz w:val="24"/>
          <w:szCs w:val="24"/>
        </w:rPr>
        <w:t>4. For cases involving employment relationships, use the instructions in Part C of this chapter instead of this instruction.</w:t>
      </w:r>
    </w:p>
    <w:p w14:paraId="4577EDB0"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24E663DD" w14:textId="77777777" w:rsidR="00E01A1E" w:rsidRDefault="00771A51" w:rsidP="00E01A1E">
      <w:pPr>
        <w:spacing w:after="240"/>
        <w:ind w:firstLine="720"/>
        <w:rPr>
          <w:rFonts w:eastAsia="Times New Roman"/>
          <w:iCs/>
          <w:sz w:val="24"/>
          <w:szCs w:val="24"/>
        </w:rPr>
      </w:pPr>
      <w:r>
        <w:rPr>
          <w:sz w:val="24"/>
          <w:szCs w:val="24"/>
        </w:rPr>
        <w:t>See the Source and Authority to Instruction 8:18.</w:t>
      </w:r>
    </w:p>
    <w:p w14:paraId="3591D07B" w14:textId="77777777" w:rsidR="00E01A1E" w:rsidRDefault="00771A51">
      <w:pPr>
        <w:rPr>
          <w:rFonts w:eastAsia="Times New Roman"/>
          <w:iCs/>
          <w:sz w:val="24"/>
          <w:szCs w:val="24"/>
        </w:rPr>
      </w:pPr>
      <w:r>
        <w:rPr>
          <w:rFonts w:eastAsia="Times New Roman"/>
          <w:iCs/>
          <w:sz w:val="24"/>
          <w:szCs w:val="24"/>
        </w:rPr>
        <w:br w:type="page"/>
      </w:r>
    </w:p>
    <w:p w14:paraId="35F7C531" w14:textId="77777777" w:rsidR="00E01A1E" w:rsidRDefault="00771A51" w:rsidP="00E01A1E">
      <w:pPr>
        <w:spacing w:after="240"/>
        <w:jc w:val="center"/>
        <w:rPr>
          <w:rFonts w:eastAsia="Times New Roman"/>
          <w:b/>
          <w:sz w:val="24"/>
          <w:szCs w:val="24"/>
        </w:rPr>
      </w:pPr>
      <w:bookmarkStart w:id="25" w:name="a8_22"/>
      <w:bookmarkEnd w:id="25"/>
      <w:r w:rsidRPr="00327209">
        <w:rPr>
          <w:b/>
          <w:sz w:val="24"/>
          <w:szCs w:val="24"/>
        </w:rPr>
        <w:lastRenderedPageBreak/>
        <w:t>C. LIABILITY ARISING FROM RESPONDEAT SUPERIOR</w:t>
      </w:r>
    </w:p>
    <w:p w14:paraId="7D54BFB7" w14:textId="77777777" w:rsidR="00E01A1E" w:rsidRPr="009E3DA4" w:rsidRDefault="00771A51" w:rsidP="00E01A1E">
      <w:pPr>
        <w:spacing w:after="240"/>
        <w:ind w:left="720" w:hanging="720"/>
        <w:rPr>
          <w:rFonts w:eastAsia="Times New Roman"/>
          <w:b/>
          <w:sz w:val="24"/>
          <w:szCs w:val="24"/>
        </w:rPr>
      </w:pPr>
      <w:r w:rsidRPr="00C26751">
        <w:rPr>
          <w:rFonts w:eastAsia="Times New Roman"/>
          <w:b/>
          <w:sz w:val="24"/>
          <w:szCs w:val="24"/>
        </w:rPr>
        <w:t>8:</w:t>
      </w:r>
      <w:r>
        <w:rPr>
          <w:rFonts w:eastAsia="Times New Roman"/>
          <w:b/>
          <w:sz w:val="24"/>
          <w:szCs w:val="24"/>
        </w:rPr>
        <w:t>22</w:t>
      </w:r>
      <w:r w:rsidRPr="00C26751">
        <w:rPr>
          <w:rFonts w:eastAsia="Times New Roman"/>
          <w:b/>
          <w:sz w:val="24"/>
          <w:szCs w:val="24"/>
        </w:rPr>
        <w:tab/>
      </w:r>
      <w:r>
        <w:rPr>
          <w:b/>
          <w:sz w:val="24"/>
          <w:szCs w:val="24"/>
        </w:rPr>
        <w:t xml:space="preserve">EMPLOYER AND </w:t>
      </w:r>
      <w:r w:rsidRPr="00321E79">
        <w:rPr>
          <w:b/>
          <w:sz w:val="24"/>
          <w:szCs w:val="24"/>
        </w:rPr>
        <w:t>EMPLOYEE — BOTH PARTIES SUED — ISSUE AS TO RELATIONSHIP AND</w:t>
      </w:r>
      <w:r>
        <w:rPr>
          <w:b/>
          <w:sz w:val="24"/>
          <w:szCs w:val="24"/>
        </w:rPr>
        <w:t>/OR</w:t>
      </w:r>
      <w:r w:rsidRPr="00321E79">
        <w:rPr>
          <w:b/>
          <w:sz w:val="24"/>
          <w:szCs w:val="24"/>
        </w:rPr>
        <w:t xml:space="preserve"> SCOPE OF EMPLOYMENT</w:t>
      </w:r>
    </w:p>
    <w:p w14:paraId="374BC44B" w14:textId="0E44E66E"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For the plaintiff,</w:t>
      </w:r>
      <w:r w:rsidRPr="00E33EF9">
        <w:rPr>
          <w:rFonts w:eastAsia="Times New Roman"/>
          <w:sz w:val="24"/>
          <w:szCs w:val="24"/>
        </w:rPr>
        <w:t xml:space="preserve"> </w:t>
      </w:r>
      <w:r w:rsidRPr="00E33EF9">
        <w:rPr>
          <w:rFonts w:eastAsia="Times New Roman"/>
          <w:i/>
          <w:sz w:val="24"/>
          <w:szCs w:val="24"/>
        </w:rPr>
        <w:t>(name)</w:t>
      </w:r>
      <w:r w:rsidRPr="00E33EF9">
        <w:rPr>
          <w:rFonts w:eastAsia="Times New Roman"/>
          <w:b/>
          <w:sz w:val="24"/>
          <w:szCs w:val="24"/>
        </w:rPr>
        <w:t xml:space="preserve">, to recover on </w:t>
      </w:r>
      <w:r w:rsidR="003E686C" w:rsidRPr="003E686C">
        <w:rPr>
          <w:rFonts w:eastAsia="Times New Roman"/>
          <w:bCs/>
          <w:i/>
          <w:iCs/>
          <w:sz w:val="24"/>
          <w:szCs w:val="24"/>
        </w:rPr>
        <w:t>(insert applicable pronoun)</w:t>
      </w:r>
      <w:r w:rsidRPr="00E33EF9">
        <w:rPr>
          <w:rFonts w:eastAsia="Times New Roman"/>
          <w:b/>
          <w:sz w:val="24"/>
          <w:szCs w:val="24"/>
        </w:rPr>
        <w:t xml:space="preserve"> claims of </w:t>
      </w:r>
      <w:r w:rsidRPr="00E33EF9">
        <w:rPr>
          <w:rFonts w:eastAsia="Times New Roman"/>
          <w:i/>
          <w:sz w:val="24"/>
          <w:szCs w:val="24"/>
        </w:rPr>
        <w:t>(insert applicable theory of liability, e.g., “negligence”)</w:t>
      </w:r>
      <w:r w:rsidRPr="00E33EF9">
        <w:rPr>
          <w:rFonts w:eastAsia="Times New Roman"/>
          <w:b/>
          <w:sz w:val="24"/>
          <w:szCs w:val="24"/>
        </w:rPr>
        <w:t xml:space="preserve"> against defendant, </w:t>
      </w:r>
      <w:r w:rsidRPr="00E33EF9">
        <w:rPr>
          <w:rFonts w:eastAsia="Times New Roman"/>
          <w:i/>
          <w:sz w:val="24"/>
          <w:szCs w:val="24"/>
        </w:rPr>
        <w:t>(alleged employer’s name)</w:t>
      </w:r>
      <w:r w:rsidRPr="00E33EF9">
        <w:rPr>
          <w:rFonts w:eastAsia="Times New Roman"/>
          <w:b/>
          <w:sz w:val="24"/>
          <w:szCs w:val="24"/>
        </w:rPr>
        <w:t>, you must find that all of the following have been proved by a preponderance of the evidence:</w:t>
      </w:r>
    </w:p>
    <w:p w14:paraId="70B651FA" w14:textId="43F9DD09"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1. The plaintiff proved </w:t>
      </w:r>
      <w:r w:rsidR="003E686C" w:rsidRPr="003E686C">
        <w:rPr>
          <w:rFonts w:eastAsia="Times New Roman"/>
          <w:bCs/>
          <w:i/>
          <w:iCs/>
          <w:sz w:val="24"/>
          <w:szCs w:val="24"/>
        </w:rPr>
        <w:t>(insert applicable pronoun)</w:t>
      </w:r>
      <w:r w:rsidRPr="00E33EF9">
        <w:rPr>
          <w:rFonts w:eastAsia="Times New Roman"/>
          <w:b/>
          <w:sz w:val="24"/>
          <w:szCs w:val="24"/>
        </w:rPr>
        <w:t xml:space="preserve"> </w:t>
      </w:r>
      <w:r w:rsidRPr="00E33EF9">
        <w:rPr>
          <w:rFonts w:eastAsia="Times New Roman"/>
          <w:i/>
          <w:sz w:val="24"/>
          <w:szCs w:val="24"/>
        </w:rPr>
        <w:t>(insert applicable theory of liability, e.g., “negligence”)</w:t>
      </w:r>
      <w:r w:rsidRPr="00E33EF9">
        <w:rPr>
          <w:rFonts w:eastAsia="Times New Roman"/>
          <w:b/>
          <w:sz w:val="24"/>
          <w:szCs w:val="24"/>
        </w:rPr>
        <w:t xml:space="preserve"> claim(s) against the defendant, </w:t>
      </w:r>
      <w:r w:rsidRPr="00E33EF9">
        <w:rPr>
          <w:rFonts w:eastAsia="Times New Roman"/>
          <w:i/>
          <w:sz w:val="24"/>
          <w:szCs w:val="24"/>
        </w:rPr>
        <w:t>(alleged employee’s name)</w:t>
      </w:r>
      <w:r w:rsidRPr="00E33EF9">
        <w:rPr>
          <w:rFonts w:eastAsia="Times New Roman"/>
          <w:b/>
          <w:sz w:val="24"/>
          <w:szCs w:val="24"/>
        </w:rPr>
        <w:t>;</w:t>
      </w:r>
    </w:p>
    <w:p w14:paraId="1D73D0C5" w14:textId="77777777"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(2. The defendant, </w:t>
      </w:r>
      <w:r w:rsidRPr="00E33EF9">
        <w:rPr>
          <w:rFonts w:eastAsia="Times New Roman"/>
          <w:i/>
          <w:sz w:val="24"/>
          <w:szCs w:val="24"/>
        </w:rPr>
        <w:t>[alleged employee’s name]</w:t>
      </w:r>
      <w:r w:rsidRPr="00E33EF9">
        <w:rPr>
          <w:rFonts w:eastAsia="Times New Roman"/>
          <w:b/>
          <w:sz w:val="24"/>
          <w:szCs w:val="24"/>
        </w:rPr>
        <w:t xml:space="preserve">, was the employee of the defendant, </w:t>
      </w:r>
      <w:r w:rsidRPr="00E33EF9">
        <w:rPr>
          <w:rFonts w:eastAsia="Times New Roman"/>
          <w:i/>
          <w:sz w:val="24"/>
          <w:szCs w:val="24"/>
        </w:rPr>
        <w:t>[alleged employer’s name]</w:t>
      </w:r>
      <w:r w:rsidRPr="00E33EF9">
        <w:rPr>
          <w:rFonts w:eastAsia="Times New Roman"/>
          <w:sz w:val="24"/>
          <w:szCs w:val="24"/>
        </w:rPr>
        <w:t xml:space="preserve">, </w:t>
      </w:r>
      <w:r w:rsidRPr="00E33EF9">
        <w:rPr>
          <w:rFonts w:eastAsia="Times New Roman"/>
          <w:b/>
          <w:sz w:val="24"/>
          <w:szCs w:val="24"/>
        </w:rPr>
        <w:t>at the time of the</w:t>
      </w:r>
      <w:r w:rsidRPr="00E33EF9">
        <w:rPr>
          <w:rFonts w:eastAsia="Times New Roman"/>
          <w:sz w:val="24"/>
          <w:szCs w:val="24"/>
        </w:rPr>
        <w:t xml:space="preserve"> </w:t>
      </w:r>
      <w:r w:rsidRPr="00E33EF9">
        <w:rPr>
          <w:rFonts w:eastAsia="Times New Roman"/>
          <w:i/>
          <w:sz w:val="24"/>
          <w:szCs w:val="24"/>
        </w:rPr>
        <w:t>[insert appropriate description of events, e.g., “occurrence,” “collision,” “accident,” etc.]</w:t>
      </w:r>
      <w:r w:rsidRPr="00E33EF9">
        <w:rPr>
          <w:rFonts w:eastAsia="Times New Roman"/>
          <w:sz w:val="24"/>
          <w:szCs w:val="24"/>
        </w:rPr>
        <w:t xml:space="preserve"> </w:t>
      </w:r>
      <w:r w:rsidRPr="00E33EF9">
        <w:rPr>
          <w:rFonts w:eastAsia="Times New Roman"/>
          <w:b/>
          <w:sz w:val="24"/>
          <w:szCs w:val="24"/>
        </w:rPr>
        <w:t>[.] [; and])</w:t>
      </w:r>
    </w:p>
    <w:p w14:paraId="7F1CCD3C" w14:textId="65C3DEF2"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(3. The defendant, </w:t>
      </w:r>
      <w:r w:rsidRPr="00E33EF9">
        <w:rPr>
          <w:rFonts w:eastAsia="Times New Roman"/>
          <w:i/>
          <w:sz w:val="24"/>
          <w:szCs w:val="24"/>
        </w:rPr>
        <w:t>[alleged employee’s name]</w:t>
      </w:r>
      <w:r w:rsidRPr="00E33EF9">
        <w:rPr>
          <w:rFonts w:eastAsia="Times New Roman"/>
          <w:b/>
          <w:sz w:val="24"/>
          <w:szCs w:val="24"/>
        </w:rPr>
        <w:t xml:space="preserve">, was acting within the scope of </w:t>
      </w:r>
      <w:r w:rsidR="003E686C">
        <w:rPr>
          <w:rFonts w:eastAsia="Times New Roman"/>
          <w:bCs/>
          <w:i/>
          <w:iCs/>
          <w:sz w:val="24"/>
          <w:szCs w:val="24"/>
        </w:rPr>
        <w:t>[</w:t>
      </w:r>
      <w:r w:rsidR="003E686C" w:rsidRPr="003E686C">
        <w:rPr>
          <w:rFonts w:eastAsia="Times New Roman"/>
          <w:bCs/>
          <w:i/>
          <w:iCs/>
          <w:sz w:val="24"/>
          <w:szCs w:val="24"/>
        </w:rPr>
        <w:t>insert applicable pronoun</w:t>
      </w:r>
      <w:r w:rsidR="003E686C">
        <w:rPr>
          <w:rFonts w:eastAsia="Times New Roman"/>
          <w:bCs/>
          <w:i/>
          <w:iCs/>
          <w:sz w:val="24"/>
          <w:szCs w:val="24"/>
        </w:rPr>
        <w:t>]</w:t>
      </w:r>
      <w:r w:rsidRPr="00E33EF9">
        <w:rPr>
          <w:rFonts w:eastAsia="Times New Roman"/>
          <w:b/>
          <w:sz w:val="24"/>
          <w:szCs w:val="24"/>
        </w:rPr>
        <w:t xml:space="preserve"> employment at the time of the </w:t>
      </w:r>
      <w:r w:rsidRPr="00E33EF9">
        <w:rPr>
          <w:rFonts w:eastAsia="Times New Roman"/>
          <w:i/>
          <w:sz w:val="24"/>
          <w:szCs w:val="24"/>
        </w:rPr>
        <w:t>[insert appropriate description of events, e.g., “occurrence,” “collision,” “accident,” etc.]</w:t>
      </w:r>
      <w:r w:rsidRPr="00E33EF9">
        <w:rPr>
          <w:rFonts w:eastAsia="Times New Roman"/>
          <w:b/>
          <w:sz w:val="24"/>
          <w:szCs w:val="24"/>
        </w:rPr>
        <w:t>.)</w:t>
      </w:r>
    </w:p>
    <w:p w14:paraId="0EFA756E" w14:textId="77777777" w:rsidR="00E01A1E" w:rsidRPr="00E33EF9" w:rsidRDefault="00771A51" w:rsidP="00E01A1E">
      <w:pPr>
        <w:spacing w:after="240"/>
        <w:ind w:firstLine="720"/>
        <w:rPr>
          <w:rFonts w:eastAsia="Times New Roman"/>
          <w:b/>
          <w:sz w:val="24"/>
          <w:szCs w:val="24"/>
        </w:rPr>
      </w:pPr>
      <w:r w:rsidRPr="00E33EF9">
        <w:rPr>
          <w:rFonts w:eastAsia="Times New Roman"/>
          <w:b/>
          <w:sz w:val="24"/>
          <w:szCs w:val="24"/>
        </w:rPr>
        <w:t xml:space="preserve">If you find that any one or more of these </w:t>
      </w:r>
      <w:r w:rsidRPr="00E33EF9">
        <w:rPr>
          <w:rFonts w:eastAsia="Times New Roman"/>
          <w:i/>
          <w:sz w:val="24"/>
          <w:szCs w:val="24"/>
        </w:rPr>
        <w:t>(number)</w:t>
      </w:r>
      <w:r w:rsidRPr="00E33EF9">
        <w:rPr>
          <w:rFonts w:eastAsia="Times New Roman"/>
          <w:b/>
          <w:sz w:val="24"/>
          <w:szCs w:val="24"/>
        </w:rPr>
        <w:t xml:space="preserve"> statements has not been proved, then your verdict must be for the defendant, </w:t>
      </w:r>
      <w:r w:rsidRPr="00E33EF9">
        <w:rPr>
          <w:rFonts w:eastAsia="Times New Roman"/>
          <w:i/>
          <w:sz w:val="24"/>
          <w:szCs w:val="24"/>
        </w:rPr>
        <w:t>(alleged employer’s name)</w:t>
      </w:r>
      <w:r w:rsidRPr="00E33EF9">
        <w:rPr>
          <w:rFonts w:eastAsia="Times New Roman"/>
          <w:sz w:val="24"/>
          <w:szCs w:val="24"/>
        </w:rPr>
        <w:t xml:space="preserve">, </w:t>
      </w:r>
      <w:r w:rsidRPr="00E33EF9">
        <w:rPr>
          <w:rFonts w:eastAsia="Times New Roman"/>
          <w:b/>
          <w:sz w:val="24"/>
          <w:szCs w:val="24"/>
        </w:rPr>
        <w:t xml:space="preserve">on the claim(s) of </w:t>
      </w:r>
      <w:r w:rsidRPr="00E33EF9">
        <w:rPr>
          <w:rFonts w:eastAsia="Times New Roman"/>
          <w:i/>
          <w:sz w:val="24"/>
          <w:szCs w:val="24"/>
        </w:rPr>
        <w:t>(insert applicable theory of liability, e.g., “negligence”)</w:t>
      </w:r>
      <w:r w:rsidRPr="00E33EF9">
        <w:rPr>
          <w:rFonts w:eastAsia="Times New Roman"/>
          <w:b/>
          <w:sz w:val="24"/>
          <w:szCs w:val="24"/>
        </w:rPr>
        <w:t>.</w:t>
      </w:r>
    </w:p>
    <w:p w14:paraId="3977AF8A" w14:textId="77777777" w:rsidR="00E01A1E" w:rsidRPr="00E33EF9" w:rsidRDefault="00771A51" w:rsidP="00E01A1E">
      <w:pPr>
        <w:spacing w:after="240"/>
        <w:ind w:firstLine="720"/>
        <w:rPr>
          <w:rFonts w:eastAsia="Times New Roman"/>
          <w:sz w:val="24"/>
          <w:szCs w:val="24"/>
        </w:rPr>
      </w:pPr>
      <w:r w:rsidRPr="00E33EF9">
        <w:rPr>
          <w:rFonts w:eastAsia="Times New Roman"/>
          <w:b/>
          <w:sz w:val="24"/>
          <w:szCs w:val="24"/>
        </w:rPr>
        <w:t xml:space="preserve">On the other hand, if you find that all of these </w:t>
      </w:r>
      <w:r w:rsidRPr="00E33EF9">
        <w:rPr>
          <w:rFonts w:eastAsia="Times New Roman"/>
          <w:i/>
          <w:sz w:val="24"/>
          <w:szCs w:val="24"/>
        </w:rPr>
        <w:t>(number)</w:t>
      </w:r>
      <w:r w:rsidRPr="00E33EF9">
        <w:rPr>
          <w:rFonts w:eastAsia="Times New Roman"/>
          <w:b/>
          <w:sz w:val="24"/>
          <w:szCs w:val="24"/>
        </w:rPr>
        <w:t xml:space="preserve"> statements have been proved, then your verdict must be for the plaintiff on the claim(s) of </w:t>
      </w:r>
      <w:r w:rsidRPr="00E33EF9">
        <w:rPr>
          <w:rFonts w:eastAsia="Times New Roman"/>
          <w:i/>
          <w:sz w:val="24"/>
          <w:szCs w:val="24"/>
        </w:rPr>
        <w:t>(insert applicable theory of liability, e.g., “negligence”)</w:t>
      </w:r>
      <w:r w:rsidRPr="00E33EF9">
        <w:rPr>
          <w:rFonts w:eastAsia="Times New Roman"/>
          <w:b/>
          <w:sz w:val="24"/>
          <w:szCs w:val="24"/>
        </w:rPr>
        <w:t xml:space="preserve">, against the defendant, </w:t>
      </w:r>
      <w:r w:rsidRPr="00E33EF9">
        <w:rPr>
          <w:rFonts w:eastAsia="Times New Roman"/>
          <w:i/>
          <w:sz w:val="24"/>
          <w:szCs w:val="24"/>
        </w:rPr>
        <w:t>(insert alleged employer’s name</w:t>
      </w:r>
      <w:r w:rsidRPr="00E33EF9">
        <w:rPr>
          <w:rFonts w:eastAsia="Times New Roman"/>
          <w:sz w:val="24"/>
          <w:szCs w:val="24"/>
        </w:rPr>
        <w:t>)</w:t>
      </w:r>
      <w:r w:rsidRPr="00E33EF9">
        <w:rPr>
          <w:rFonts w:eastAsia="Times New Roman"/>
          <w:b/>
          <w:sz w:val="24"/>
          <w:szCs w:val="24"/>
        </w:rPr>
        <w:t>.</w:t>
      </w:r>
    </w:p>
    <w:p w14:paraId="3F960BE9" w14:textId="77777777" w:rsidR="00E01A1E" w:rsidRDefault="00E01A1E" w:rsidP="00E01A1E">
      <w:pPr>
        <w:jc w:val="center"/>
        <w:rPr>
          <w:rFonts w:eastAsia="Times New Roman"/>
          <w:sz w:val="24"/>
          <w:szCs w:val="24"/>
        </w:rPr>
      </w:pPr>
    </w:p>
    <w:p w14:paraId="7A53CE1F"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7C176B5A"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1. This instruction should be given in cases involving employer-employee relationships. For other agency relationships, use the instructions in Part B of this chapter.</w:t>
      </w:r>
    </w:p>
    <w:p w14:paraId="297E51B6"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2. Use whichever parenthesized phrases are appropriate depending on whether the relationship or scope of employment, or both, is at issue.</w:t>
      </w:r>
    </w:p>
    <w:p w14:paraId="6E1169E3"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3. When there is a dispute as to whether the alleged tortfeasor is an employee or an independent contractor, Instructions 8:4 (defining employer and employee) and 8:5 (defining independent contractor) should be given along with this instruction.</w:t>
      </w:r>
    </w:p>
    <w:p w14:paraId="2D182134" w14:textId="77777777" w:rsidR="00E01A1E" w:rsidRPr="00E33EF9" w:rsidRDefault="00771A51" w:rsidP="00E01A1E">
      <w:pPr>
        <w:spacing w:after="240"/>
        <w:ind w:firstLine="720"/>
        <w:rPr>
          <w:rFonts w:eastAsia="Times New Roman"/>
          <w:sz w:val="24"/>
          <w:szCs w:val="24"/>
        </w:rPr>
      </w:pPr>
      <w:r w:rsidRPr="00E33EF9">
        <w:rPr>
          <w:rFonts w:eastAsia="Times New Roman"/>
          <w:sz w:val="24"/>
          <w:szCs w:val="24"/>
        </w:rPr>
        <w:t>4. When the scope of employment is at issue, Instruction 8:8 (defining scope of employment) should be given with this instruction.</w:t>
      </w:r>
    </w:p>
    <w:p w14:paraId="11BE858F"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lastRenderedPageBreak/>
        <w:t>Source and Authority</w:t>
      </w:r>
    </w:p>
    <w:p w14:paraId="5516853B" w14:textId="3D334E93"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1. This instruction is supported by </w:t>
      </w:r>
      <w:r w:rsidRPr="00E33EF9">
        <w:rPr>
          <w:rFonts w:eastAsia="Times New Roman"/>
          <w:b/>
          <w:iCs/>
          <w:sz w:val="24"/>
          <w:szCs w:val="24"/>
        </w:rPr>
        <w:t>Raleigh v. Performance Plumbing &amp; Heating</w:t>
      </w:r>
      <w:r w:rsidRPr="00E33EF9">
        <w:rPr>
          <w:rFonts w:eastAsia="Times New Roman"/>
          <w:iCs/>
          <w:sz w:val="24"/>
          <w:szCs w:val="24"/>
        </w:rPr>
        <w:t>, 130 P.3d 1011 (Colo. 2006);</w:t>
      </w:r>
      <w:r w:rsidRPr="00E33EF9">
        <w:rPr>
          <w:rFonts w:eastAsia="Times New Roman"/>
          <w:b/>
          <w:iCs/>
          <w:sz w:val="24"/>
          <w:szCs w:val="24"/>
        </w:rPr>
        <w:t xml:space="preserve"> </w:t>
      </w:r>
      <w:r w:rsidRPr="00E33EF9">
        <w:rPr>
          <w:rFonts w:eastAsia="Times New Roman"/>
          <w:iCs/>
          <w:sz w:val="24"/>
          <w:szCs w:val="24"/>
        </w:rPr>
        <w:t xml:space="preserve">and </w:t>
      </w:r>
      <w:r w:rsidRPr="00E33EF9">
        <w:rPr>
          <w:rFonts w:eastAsia="Times New Roman"/>
          <w:b/>
          <w:iCs/>
          <w:sz w:val="24"/>
          <w:szCs w:val="24"/>
        </w:rPr>
        <w:t>Grease Monkey International, Inc. v. Montoya</w:t>
      </w:r>
      <w:r w:rsidRPr="00E33EF9">
        <w:rPr>
          <w:rFonts w:eastAsia="Times New Roman"/>
          <w:iCs/>
          <w:sz w:val="24"/>
          <w:szCs w:val="24"/>
        </w:rPr>
        <w:t xml:space="preserve">, 904 P.2d 468 (Colo. 1995).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McDonald v. Lakewood Country Club</w:t>
      </w:r>
      <w:r w:rsidRPr="00E33EF9">
        <w:rPr>
          <w:rFonts w:eastAsia="Times New Roman"/>
          <w:iCs/>
          <w:sz w:val="24"/>
          <w:szCs w:val="24"/>
        </w:rPr>
        <w:t xml:space="preserve">, 170 Colo. 355, 461 P.2d 437 (1969) (employer liable for torts of employee committed while acting within scope of employment); </w:t>
      </w:r>
      <w:r w:rsidRPr="00E33EF9">
        <w:rPr>
          <w:rFonts w:eastAsia="Times New Roman"/>
          <w:b/>
          <w:iCs/>
          <w:sz w:val="24"/>
          <w:szCs w:val="24"/>
        </w:rPr>
        <w:t>Bernardi v. Cmty. Hosp. Ass’n</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166 Colo. 280, 443 P.2d 708 (1968) (hospital employer liable for negligence of employee nurse acting within scope of employment); </w:t>
      </w:r>
      <w:r w:rsidRPr="00E33EF9">
        <w:rPr>
          <w:rFonts w:eastAsia="Times New Roman"/>
          <w:b/>
          <w:iCs/>
          <w:sz w:val="24"/>
          <w:szCs w:val="24"/>
        </w:rPr>
        <w:t>Hynes v. Donaldson</w:t>
      </w:r>
      <w:r w:rsidRPr="00E33EF9">
        <w:rPr>
          <w:rFonts w:eastAsia="Times New Roman"/>
          <w:iCs/>
          <w:sz w:val="24"/>
          <w:szCs w:val="24"/>
        </w:rPr>
        <w:t xml:space="preserve">, 155 Colo. 456, 395 P.2d 221 (1964) (traveling employee acting within scope </w:t>
      </w:r>
      <w:r>
        <w:rPr>
          <w:rFonts w:eastAsia="Times New Roman"/>
          <w:iCs/>
          <w:sz w:val="24"/>
          <w:szCs w:val="24"/>
        </w:rPr>
        <w:t xml:space="preserve">of </w:t>
      </w:r>
      <w:r w:rsidRPr="00E33EF9">
        <w:rPr>
          <w:rFonts w:eastAsia="Times New Roman"/>
          <w:iCs/>
          <w:sz w:val="24"/>
          <w:szCs w:val="24"/>
        </w:rPr>
        <w:t xml:space="preserve">employment because dining and lodging are activities incidental to employment); </w:t>
      </w:r>
      <w:r w:rsidRPr="00E33EF9">
        <w:rPr>
          <w:rFonts w:eastAsia="Times New Roman"/>
          <w:b/>
          <w:iCs/>
          <w:sz w:val="24"/>
          <w:szCs w:val="24"/>
        </w:rPr>
        <w:t>Gibbons &amp; Reed Co. v. Howard</w:t>
      </w:r>
      <w:r w:rsidRPr="00E33EF9">
        <w:rPr>
          <w:rFonts w:eastAsia="Times New Roman"/>
          <w:iCs/>
          <w:sz w:val="24"/>
          <w:szCs w:val="24"/>
        </w:rPr>
        <w:t xml:space="preserve">, 129 Colo. 262, 269 P.2d 701 (1954) (employees not acting within scope of employment when borrowing company vehicle to move personal belongings); </w:t>
      </w:r>
      <w:r w:rsidRPr="00E33EF9">
        <w:rPr>
          <w:rFonts w:eastAsia="Times New Roman"/>
          <w:b/>
          <w:iCs/>
          <w:sz w:val="24"/>
          <w:szCs w:val="24"/>
        </w:rPr>
        <w:t>Marron v. Helmecke</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100 Colo. 364, 67 P.2d 1034 (1937) (employee not acting within scope of employment when conduct is not connected with the employer’s business); </w:t>
      </w:r>
      <w:r w:rsidRPr="00E33EF9">
        <w:rPr>
          <w:rFonts w:eastAsia="Times New Roman"/>
          <w:b/>
          <w:iCs/>
          <w:sz w:val="24"/>
          <w:szCs w:val="24"/>
        </w:rPr>
        <w:t>Crosswaith v. Thomason</w:t>
      </w:r>
      <w:r w:rsidRPr="00E33EF9">
        <w:rPr>
          <w:rFonts w:eastAsia="Times New Roman"/>
          <w:iCs/>
          <w:sz w:val="24"/>
          <w:szCs w:val="24"/>
        </w:rPr>
        <w:t xml:space="preserve">, 95 Colo. 240, 35 P.2d 849 (1934); </w:t>
      </w:r>
      <w:r w:rsidRPr="00E33EF9">
        <w:rPr>
          <w:rFonts w:eastAsia="Times New Roman"/>
          <w:b/>
          <w:iCs/>
          <w:sz w:val="24"/>
          <w:szCs w:val="24"/>
        </w:rPr>
        <w:t>Lovejoy v. Denver &amp; Rio Grande R.R.</w:t>
      </w:r>
      <w:r w:rsidRPr="00E33EF9">
        <w:rPr>
          <w:rFonts w:eastAsia="Times New Roman"/>
          <w:iCs/>
          <w:sz w:val="24"/>
          <w:szCs w:val="24"/>
        </w:rPr>
        <w:t xml:space="preserve">, 59 Colo. 222, 146 P. 263 (1915); </w:t>
      </w:r>
      <w:r w:rsidRPr="00E33EF9">
        <w:rPr>
          <w:rFonts w:eastAsia="Times New Roman"/>
          <w:b/>
          <w:iCs/>
          <w:sz w:val="24"/>
          <w:szCs w:val="24"/>
        </w:rPr>
        <w:t>Novelty Theater Co. v. Whitcomb</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47 Colo. 110, 106 P. 1012 (1909); </w:t>
      </w:r>
      <w:r w:rsidRPr="00E33EF9">
        <w:rPr>
          <w:rFonts w:eastAsia="Times New Roman"/>
          <w:b/>
          <w:iCs/>
          <w:sz w:val="24"/>
          <w:szCs w:val="24"/>
        </w:rPr>
        <w:t>Pierce v. Conners</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20 Colo. 178, 37 P. 721 (1894); </w:t>
      </w:r>
      <w:r w:rsidRPr="00E33EF9">
        <w:rPr>
          <w:rFonts w:eastAsia="Times New Roman"/>
          <w:b/>
          <w:iCs/>
          <w:sz w:val="24"/>
          <w:szCs w:val="24"/>
        </w:rPr>
        <w:t>Denver, S. Park &amp; Pac. R.R. v. Conway</w:t>
      </w:r>
      <w:r w:rsidRPr="00E33EF9">
        <w:rPr>
          <w:rFonts w:eastAsia="Times New Roman"/>
          <w:iCs/>
          <w:sz w:val="24"/>
          <w:szCs w:val="24"/>
        </w:rPr>
        <w:t>, 8 Colo. 1, 5 P. 142 (1884) (corporate employer held liable for negligence of employee)</w:t>
      </w:r>
      <w:r>
        <w:rPr>
          <w:rFonts w:eastAsia="Times New Roman"/>
          <w:iCs/>
          <w:sz w:val="24"/>
          <w:szCs w:val="24"/>
        </w:rPr>
        <w:t xml:space="preserve">; </w:t>
      </w:r>
      <w:r w:rsidR="004A04BC" w:rsidRPr="0000701C">
        <w:rPr>
          <w:rFonts w:eastAsia="Times New Roman"/>
          <w:b/>
          <w:bCs/>
          <w:iCs/>
          <w:sz w:val="24"/>
          <w:szCs w:val="24"/>
        </w:rPr>
        <w:t>Dodge v. Padilla</w:t>
      </w:r>
      <w:r w:rsidR="004A04BC">
        <w:rPr>
          <w:rFonts w:eastAsia="Times New Roman"/>
          <w:iCs/>
          <w:sz w:val="24"/>
          <w:szCs w:val="24"/>
        </w:rPr>
        <w:t>, 2023 COA 67, ¶ 37</w:t>
      </w:r>
      <w:r w:rsidR="00D43091">
        <w:rPr>
          <w:rFonts w:eastAsia="Times New Roman"/>
          <w:iCs/>
          <w:sz w:val="24"/>
          <w:szCs w:val="24"/>
        </w:rPr>
        <w:t>, 537 P.3d 409, 417</w:t>
      </w:r>
      <w:r w:rsidR="004A04BC">
        <w:rPr>
          <w:rFonts w:eastAsia="Times New Roman"/>
          <w:iCs/>
          <w:sz w:val="24"/>
          <w:szCs w:val="24"/>
        </w:rPr>
        <w:t xml:space="preserve"> (“The common law doctrine of respondeat superior establishes that ‘an employer is liable for the torts committed</w:t>
      </w:r>
      <w:r w:rsidR="004E4ACB">
        <w:rPr>
          <w:rFonts w:eastAsia="Times New Roman"/>
          <w:iCs/>
          <w:sz w:val="24"/>
          <w:szCs w:val="24"/>
        </w:rPr>
        <w:t xml:space="preserve"> by an employee</w:t>
      </w:r>
      <w:r w:rsidR="0000701C">
        <w:rPr>
          <w:rFonts w:eastAsia="Times New Roman"/>
          <w:iCs/>
          <w:sz w:val="24"/>
          <w:szCs w:val="24"/>
        </w:rPr>
        <w:t xml:space="preserve"> . . . </w:t>
      </w:r>
      <w:r w:rsidR="004E4ACB">
        <w:rPr>
          <w:rFonts w:eastAsia="Times New Roman"/>
          <w:iCs/>
          <w:sz w:val="24"/>
          <w:szCs w:val="24"/>
        </w:rPr>
        <w:t xml:space="preserve">while acting within the scope of his or her employment.’” (quoting </w:t>
      </w:r>
      <w:r w:rsidR="004E4ACB" w:rsidRPr="0000701C">
        <w:rPr>
          <w:rFonts w:eastAsia="Times New Roman"/>
          <w:b/>
          <w:bCs/>
          <w:iCs/>
          <w:sz w:val="24"/>
          <w:szCs w:val="24"/>
        </w:rPr>
        <w:t>Perkins v. Reg’l Transp. Dist.</w:t>
      </w:r>
      <w:r w:rsidR="004E4ACB">
        <w:rPr>
          <w:rFonts w:eastAsia="Times New Roman"/>
          <w:iCs/>
          <w:sz w:val="24"/>
          <w:szCs w:val="24"/>
        </w:rPr>
        <w:t>, 907 P.2d 672, 674 (Colo. App. 1995))</w:t>
      </w:r>
      <w:r w:rsidR="004349B7">
        <w:rPr>
          <w:rFonts w:eastAsia="Times New Roman"/>
          <w:iCs/>
          <w:sz w:val="24"/>
          <w:szCs w:val="24"/>
        </w:rPr>
        <w:t>)</w:t>
      </w:r>
      <w:r w:rsidR="004E4ACB">
        <w:rPr>
          <w:rFonts w:eastAsia="Times New Roman"/>
          <w:iCs/>
          <w:sz w:val="24"/>
          <w:szCs w:val="24"/>
        </w:rPr>
        <w:t>;</w:t>
      </w:r>
      <w:r w:rsidR="004A04BC">
        <w:rPr>
          <w:rFonts w:eastAsia="Times New Roman"/>
          <w:iCs/>
          <w:sz w:val="24"/>
          <w:szCs w:val="24"/>
        </w:rPr>
        <w:t xml:space="preserve"> </w:t>
      </w:r>
      <w:r>
        <w:rPr>
          <w:rFonts w:eastAsia="Times New Roman"/>
          <w:b/>
          <w:bCs/>
          <w:iCs/>
          <w:sz w:val="24"/>
          <w:szCs w:val="24"/>
        </w:rPr>
        <w:t>Suydam v. FLI Fort Pierce, Inc.,</w:t>
      </w:r>
      <w:r>
        <w:rPr>
          <w:rFonts w:eastAsia="Times New Roman"/>
          <w:iCs/>
          <w:sz w:val="24"/>
          <w:szCs w:val="24"/>
        </w:rPr>
        <w:t xml:space="preserve"> 2020 COA 144M, ¶ 13</w:t>
      </w:r>
      <w:r w:rsidR="001915D6">
        <w:rPr>
          <w:rFonts w:eastAsia="Times New Roman"/>
          <w:iCs/>
          <w:sz w:val="24"/>
          <w:szCs w:val="24"/>
        </w:rPr>
        <w:t>, 490 P.3d 930, 934</w:t>
      </w:r>
      <w:r>
        <w:rPr>
          <w:rFonts w:eastAsia="Times New Roman"/>
          <w:iCs/>
          <w:sz w:val="24"/>
          <w:szCs w:val="24"/>
        </w:rPr>
        <w:t xml:space="preserve"> (“</w:t>
      </w:r>
      <w:r w:rsidRPr="007D7C2E">
        <w:rPr>
          <w:rFonts w:eastAsia="Times New Roman"/>
          <w:iCs/>
          <w:sz w:val="24"/>
          <w:szCs w:val="24"/>
        </w:rPr>
        <w:t>Under the doctrine of respondeat superior, an employer is liable for torts committed by its employee while acting within the scope of his or her employment. The emp</w:t>
      </w:r>
      <w:r>
        <w:rPr>
          <w:rFonts w:eastAsia="Times New Roman"/>
          <w:iCs/>
          <w:sz w:val="24"/>
          <w:szCs w:val="24"/>
        </w:rPr>
        <w:t>loyer is liable if the employee’</w:t>
      </w:r>
      <w:r w:rsidRPr="007D7C2E">
        <w:rPr>
          <w:rFonts w:eastAsia="Times New Roman"/>
          <w:iCs/>
          <w:sz w:val="24"/>
          <w:szCs w:val="24"/>
        </w:rPr>
        <w:t xml:space="preserve">s conduct was motivated by </w:t>
      </w:r>
      <w:r>
        <w:rPr>
          <w:rFonts w:eastAsia="Times New Roman"/>
          <w:iCs/>
          <w:sz w:val="24"/>
          <w:szCs w:val="24"/>
        </w:rPr>
        <w:t>an intent to serve the employer’</w:t>
      </w:r>
      <w:r w:rsidRPr="007D7C2E">
        <w:rPr>
          <w:rFonts w:eastAsia="Times New Roman"/>
          <w:iCs/>
          <w:sz w:val="24"/>
          <w:szCs w:val="24"/>
        </w:rPr>
        <w:t>s interests and connected to acts the employee was authorized to perform.”</w:t>
      </w:r>
      <w:r>
        <w:rPr>
          <w:rFonts w:eastAsia="Times New Roman"/>
          <w:iCs/>
          <w:sz w:val="24"/>
          <w:szCs w:val="24"/>
        </w:rPr>
        <w:t xml:space="preserve"> (citation omitted))</w:t>
      </w:r>
      <w:r w:rsidRPr="00E33EF9">
        <w:rPr>
          <w:rFonts w:eastAsia="Times New Roman"/>
          <w:iCs/>
          <w:sz w:val="24"/>
          <w:szCs w:val="24"/>
        </w:rPr>
        <w:t>.</w:t>
      </w:r>
    </w:p>
    <w:p w14:paraId="5C0210CF"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2. The doctrine of respondeat superior is based on the theory that the employee is the agent of the employer. </w:t>
      </w:r>
      <w:r w:rsidRPr="00E33EF9">
        <w:rPr>
          <w:rFonts w:eastAsia="Times New Roman"/>
          <w:b/>
          <w:iCs/>
          <w:sz w:val="24"/>
          <w:szCs w:val="24"/>
        </w:rPr>
        <w:t>Daly v. Aspen Ctr. for Women’s Health, Inc.</w:t>
      </w:r>
      <w:r w:rsidRPr="00E33EF9">
        <w:rPr>
          <w:rFonts w:eastAsia="Times New Roman"/>
          <w:iCs/>
          <w:sz w:val="24"/>
          <w:szCs w:val="24"/>
        </w:rPr>
        <w:t xml:space="preserve">, 134 P.3d 450 (Colo. App. 2005); </w:t>
      </w:r>
      <w:r w:rsidRPr="00E33EF9">
        <w:rPr>
          <w:rFonts w:eastAsia="Times New Roman"/>
          <w:i/>
          <w:iCs/>
          <w:sz w:val="24"/>
          <w:szCs w:val="24"/>
        </w:rPr>
        <w:t>see</w:t>
      </w:r>
      <w:r w:rsidRPr="00E33EF9">
        <w:rPr>
          <w:rFonts w:eastAsia="Times New Roman"/>
          <w:iCs/>
          <w:sz w:val="24"/>
          <w:szCs w:val="24"/>
        </w:rPr>
        <w:t xml:space="preserve"> </w:t>
      </w:r>
      <w:r w:rsidRPr="00E33EF9">
        <w:rPr>
          <w:rFonts w:eastAsia="Times New Roman"/>
          <w:b/>
          <w:iCs/>
          <w:sz w:val="24"/>
          <w:szCs w:val="24"/>
        </w:rPr>
        <w:t>Connes v. Molalla Transp. Sys., Inc.</w:t>
      </w:r>
      <w:r w:rsidRPr="00E33EF9">
        <w:rPr>
          <w:rFonts w:eastAsia="Times New Roman"/>
          <w:iCs/>
          <w:sz w:val="24"/>
          <w:szCs w:val="24"/>
        </w:rPr>
        <w:t>, 831 P.2d 1316, 1320–21 (Colo. 1992</w:t>
      </w:r>
      <w:r>
        <w:rPr>
          <w:rFonts w:eastAsia="Times New Roman"/>
          <w:iCs/>
          <w:sz w:val="24"/>
          <w:szCs w:val="24"/>
        </w:rPr>
        <w:t>).</w:t>
      </w:r>
      <w:r w:rsidRPr="00E33EF9">
        <w:rPr>
          <w:rFonts w:eastAsia="Times New Roman"/>
          <w:iCs/>
          <w:sz w:val="24"/>
          <w:szCs w:val="24"/>
        </w:rPr>
        <w:t xml:space="preserve"> </w:t>
      </w:r>
    </w:p>
    <w:p w14:paraId="564BB003" w14:textId="3DEFE8B9"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3. Respondeat superior applies only to those acts committed while the employee was acting within the scope of employment. </w:t>
      </w:r>
      <w:r w:rsidRPr="00E33EF9">
        <w:rPr>
          <w:rFonts w:eastAsia="Times New Roman"/>
          <w:b/>
          <w:iCs/>
          <w:sz w:val="24"/>
          <w:szCs w:val="24"/>
        </w:rPr>
        <w:t>Grease Monkey Int’l</w:t>
      </w:r>
      <w:r w:rsidRPr="00E33EF9">
        <w:rPr>
          <w:rFonts w:eastAsia="Times New Roman"/>
          <w:iCs/>
          <w:sz w:val="24"/>
          <w:szCs w:val="24"/>
        </w:rPr>
        <w:t>, 904 P.2d at 473</w:t>
      </w:r>
      <w:r>
        <w:rPr>
          <w:rFonts w:eastAsia="Times New Roman"/>
          <w:iCs/>
          <w:sz w:val="24"/>
          <w:szCs w:val="24"/>
        </w:rPr>
        <w:t xml:space="preserve">; </w:t>
      </w:r>
      <w:r>
        <w:rPr>
          <w:rFonts w:eastAsia="Times New Roman"/>
          <w:i/>
          <w:sz w:val="24"/>
          <w:szCs w:val="24"/>
        </w:rPr>
        <w:t xml:space="preserve">see </w:t>
      </w:r>
      <w:r>
        <w:rPr>
          <w:rFonts w:eastAsia="Times New Roman"/>
          <w:b/>
          <w:bCs/>
          <w:iCs/>
          <w:sz w:val="24"/>
          <w:szCs w:val="24"/>
        </w:rPr>
        <w:t>Suydam</w:t>
      </w:r>
      <w:r>
        <w:rPr>
          <w:rFonts w:eastAsia="Times New Roman"/>
          <w:iCs/>
          <w:sz w:val="24"/>
          <w:szCs w:val="24"/>
        </w:rPr>
        <w:t>, ¶ 14</w:t>
      </w:r>
      <w:r w:rsidR="0090551B">
        <w:rPr>
          <w:rFonts w:eastAsia="Times New Roman"/>
          <w:iCs/>
          <w:sz w:val="24"/>
          <w:szCs w:val="24"/>
        </w:rPr>
        <w:t>, 490 P.3d at 934</w:t>
      </w:r>
      <w:r>
        <w:rPr>
          <w:rFonts w:eastAsia="Times New Roman"/>
          <w:iCs/>
          <w:sz w:val="24"/>
          <w:szCs w:val="24"/>
        </w:rPr>
        <w:t>.</w:t>
      </w:r>
      <w:r w:rsidRPr="00E33EF9">
        <w:rPr>
          <w:rFonts w:eastAsia="Times New Roman"/>
          <w:iCs/>
          <w:sz w:val="24"/>
          <w:szCs w:val="24"/>
        </w:rPr>
        <w:t xml:space="preserve"> </w:t>
      </w:r>
    </w:p>
    <w:p w14:paraId="30AC42A0"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4. A supervising employee is not individually liable under the doctrine of respondeat superior for torts committed by subordinate employees. </w:t>
      </w:r>
      <w:r w:rsidRPr="00E33EF9">
        <w:rPr>
          <w:rFonts w:eastAsia="Times New Roman"/>
          <w:b/>
          <w:iCs/>
          <w:sz w:val="24"/>
          <w:szCs w:val="24"/>
        </w:rPr>
        <w:t>Bauer v. Sw. Denver Mental Health Ctr., Inc.</w:t>
      </w:r>
      <w:r w:rsidRPr="00E33EF9">
        <w:rPr>
          <w:rFonts w:eastAsia="Times New Roman"/>
          <w:iCs/>
          <w:sz w:val="24"/>
          <w:szCs w:val="24"/>
        </w:rPr>
        <w:t>, 701 P.2d 114 (Colo. App. 1985).</w:t>
      </w:r>
    </w:p>
    <w:p w14:paraId="5B84BE4D"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5. The doctrine of respondeat superior does not bar recovery against individual corporate agents for torts committed while acting on behalf of the corporation. </w:t>
      </w:r>
      <w:r w:rsidRPr="00E33EF9">
        <w:rPr>
          <w:rFonts w:eastAsia="Times New Roman"/>
          <w:b/>
          <w:iCs/>
          <w:sz w:val="24"/>
          <w:szCs w:val="24"/>
        </w:rPr>
        <w:t>JW Constr. Co. v. Elliott</w:t>
      </w:r>
      <w:r w:rsidRPr="00E33EF9">
        <w:rPr>
          <w:rFonts w:eastAsia="Times New Roman"/>
          <w:iCs/>
          <w:sz w:val="24"/>
          <w:szCs w:val="24"/>
        </w:rPr>
        <w:t>, 253 P.3d 1265, 1270 (Colo. App. 2011) (“[A]n officer of a corporation is liable for torts that he or she personally commits even if acting in an official capacity on behalf of the corporation.”);</w:t>
      </w:r>
      <w:r w:rsidRPr="00E33EF9">
        <w:rPr>
          <w:rFonts w:eastAsia="Times New Roman"/>
          <w:b/>
          <w:iCs/>
          <w:sz w:val="24"/>
          <w:szCs w:val="24"/>
        </w:rPr>
        <w:t xml:space="preserve"> Colo. Coffee Bean, LLC v. Peaberry Coffee Inc.</w:t>
      </w:r>
      <w:r w:rsidRPr="00E33EF9">
        <w:rPr>
          <w:rFonts w:eastAsia="Times New Roman"/>
          <w:iCs/>
          <w:sz w:val="24"/>
          <w:szCs w:val="24"/>
        </w:rPr>
        <w:t xml:space="preserve">, 251 P.3d 9, 28 (Colo. App. 2010) (“Corporate agents are liable for torts of the corporation if they approved of, sanctioned, directed, actively participated in, or cooperated in such conduct.”); </w:t>
      </w:r>
      <w:r w:rsidRPr="00E33EF9">
        <w:rPr>
          <w:rFonts w:eastAsia="Times New Roman"/>
          <w:b/>
          <w:iCs/>
          <w:sz w:val="24"/>
          <w:szCs w:val="24"/>
        </w:rPr>
        <w:t>Hoang v. Arbess</w:t>
      </w:r>
      <w:r w:rsidRPr="00E33EF9">
        <w:rPr>
          <w:rFonts w:eastAsia="Times New Roman"/>
          <w:iCs/>
          <w:sz w:val="24"/>
          <w:szCs w:val="24"/>
        </w:rPr>
        <w:t xml:space="preserve">, 80 P.3d </w:t>
      </w:r>
      <w:r w:rsidRPr="00E33EF9">
        <w:rPr>
          <w:rFonts w:eastAsia="Times New Roman"/>
          <w:iCs/>
          <w:sz w:val="24"/>
          <w:szCs w:val="24"/>
        </w:rPr>
        <w:lastRenderedPageBreak/>
        <w:t xml:space="preserve">863, 867 (Colo. App. 2003) (a corporate officer may “be held personally liable for his or her individual acts . . . even though committed on behalf of the corporation, which is also held liable”); </w:t>
      </w:r>
      <w:r w:rsidRPr="00E33EF9">
        <w:rPr>
          <w:rFonts w:eastAsia="Times New Roman"/>
          <w:b/>
          <w:iCs/>
          <w:sz w:val="24"/>
          <w:szCs w:val="24"/>
        </w:rPr>
        <w:t>Sanford v. Kobey Bros. Constr. Corp.</w:t>
      </w:r>
      <w:r w:rsidRPr="00E33EF9">
        <w:rPr>
          <w:rFonts w:eastAsia="Times New Roman"/>
          <w:iCs/>
          <w:sz w:val="24"/>
          <w:szCs w:val="24"/>
        </w:rPr>
        <w:t xml:space="preserve">, 689 P.2d 724, 725 (Colo. App.1984) (when an officer, director, or agent of a corporation “personally commit[s] any negligent act, judgment should also [enter] against [the individual] personally”);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Hildebrand v. New Vista Homes II, LLC</w:t>
      </w:r>
      <w:r w:rsidRPr="00E33EF9">
        <w:rPr>
          <w:rFonts w:eastAsia="Times New Roman"/>
          <w:iCs/>
          <w:sz w:val="24"/>
          <w:szCs w:val="24"/>
        </w:rPr>
        <w:t>, 252 P.3d 1159 (Colo. App. 2010) (whether an individual defendant approved of, directed, actively participated in, or cooperated in the corporation’s negligent conduct is usually a question of fact for the jury).</w:t>
      </w:r>
    </w:p>
    <w:p w14:paraId="0E85896F"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6. Although an employer may not be liable under the doctrine of respondeat superior</w:t>
      </w:r>
      <w:r w:rsidRPr="00E33EF9">
        <w:rPr>
          <w:rFonts w:eastAsia="Times New Roman"/>
          <w:i/>
          <w:iCs/>
          <w:sz w:val="24"/>
          <w:szCs w:val="24"/>
        </w:rPr>
        <w:t xml:space="preserve"> </w:t>
      </w:r>
      <w:r w:rsidRPr="00E33EF9">
        <w:rPr>
          <w:rFonts w:eastAsia="Times New Roman"/>
          <w:iCs/>
          <w:sz w:val="24"/>
          <w:szCs w:val="24"/>
        </w:rPr>
        <w:t xml:space="preserve">for a tort committed by an employee acting outside the scope of employment, the employer may be liable for the harm caused by the employee if it resulted from the employer’s negligent supervision of the employee. </w:t>
      </w:r>
      <w:r w:rsidRPr="00E33EF9">
        <w:rPr>
          <w:rFonts w:eastAsia="Times New Roman"/>
          <w:b/>
          <w:iCs/>
          <w:sz w:val="24"/>
          <w:szCs w:val="24"/>
        </w:rPr>
        <w:t>Destefano v. Grabrian</w:t>
      </w:r>
      <w:r w:rsidRPr="00E33EF9">
        <w:rPr>
          <w:rFonts w:eastAsia="Times New Roman"/>
          <w:iCs/>
          <w:sz w:val="24"/>
          <w:szCs w:val="24"/>
        </w:rPr>
        <w:t xml:space="preserve">, 763 P.2d 275 (Colo. 1988);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Moses v. Diocese of Colo.</w:t>
      </w:r>
      <w:r w:rsidRPr="00E33EF9">
        <w:rPr>
          <w:rFonts w:eastAsia="Times New Roman"/>
          <w:iCs/>
          <w:sz w:val="24"/>
          <w:szCs w:val="24"/>
        </w:rPr>
        <w:t>, 863 P.2d 310 (Colo. 1993) (negligent hiring and supervision).</w:t>
      </w:r>
    </w:p>
    <w:p w14:paraId="33F62BA9" w14:textId="3C68337A"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7. Respondeat superior liability is a derivative, or secondary, liability. </w:t>
      </w:r>
      <w:r w:rsidRPr="00E33EF9">
        <w:rPr>
          <w:rFonts w:eastAsia="Times New Roman"/>
          <w:i/>
          <w:iCs/>
          <w:sz w:val="24"/>
          <w:szCs w:val="24"/>
        </w:rPr>
        <w:t>See</w:t>
      </w:r>
      <w:r w:rsidRPr="00E33EF9">
        <w:rPr>
          <w:rFonts w:eastAsia="Times New Roman"/>
          <w:iCs/>
          <w:sz w:val="24"/>
          <w:szCs w:val="24"/>
        </w:rPr>
        <w:t xml:space="preserve"> </w:t>
      </w:r>
      <w:r w:rsidRPr="00E33EF9">
        <w:rPr>
          <w:rFonts w:eastAsia="Times New Roman"/>
          <w:b/>
          <w:iCs/>
          <w:sz w:val="24"/>
          <w:szCs w:val="24"/>
        </w:rPr>
        <w:t>Ferrer v. Okbamicael</w:t>
      </w:r>
      <w:r w:rsidRPr="00E33EF9">
        <w:rPr>
          <w:rFonts w:eastAsia="Times New Roman"/>
          <w:iCs/>
          <w:sz w:val="24"/>
          <w:szCs w:val="24"/>
        </w:rPr>
        <w:t>, 2017 CO 14M, ¶ 30, 390 P.3d 836, 845</w:t>
      </w:r>
      <w:r>
        <w:rPr>
          <w:rFonts w:eastAsia="Times New Roman"/>
          <w:iCs/>
          <w:sz w:val="24"/>
          <w:szCs w:val="24"/>
        </w:rPr>
        <w:t xml:space="preserve"> (subsequently abrogated by </w:t>
      </w:r>
      <w:r w:rsidR="006E28D1">
        <w:rPr>
          <w:rFonts w:eastAsia="Times New Roman"/>
          <w:iCs/>
          <w:sz w:val="24"/>
          <w:szCs w:val="24"/>
        </w:rPr>
        <w:t xml:space="preserve">section 13-21-111.5(1.5), C.R.S., effective for cases filed on or after </w:t>
      </w:r>
      <w:r w:rsidR="00FC1B44">
        <w:rPr>
          <w:rFonts w:eastAsia="Times New Roman"/>
          <w:iCs/>
          <w:sz w:val="24"/>
          <w:szCs w:val="24"/>
        </w:rPr>
        <w:t>September 7</w:t>
      </w:r>
      <w:r w:rsidR="006E28D1">
        <w:rPr>
          <w:rFonts w:eastAsia="Times New Roman"/>
          <w:iCs/>
          <w:sz w:val="24"/>
          <w:szCs w:val="24"/>
        </w:rPr>
        <w:t>, 2021</w:t>
      </w:r>
      <w:r>
        <w:rPr>
          <w:rFonts w:eastAsia="Times New Roman"/>
          <w:iCs/>
          <w:sz w:val="24"/>
          <w:szCs w:val="24"/>
        </w:rPr>
        <w:t>)</w:t>
      </w:r>
      <w:r w:rsidRPr="00E33EF9">
        <w:rPr>
          <w:rFonts w:eastAsia="Times New Roman"/>
          <w:iCs/>
          <w:sz w:val="24"/>
          <w:szCs w:val="24"/>
        </w:rPr>
        <w:t xml:space="preserve">; </w:t>
      </w:r>
      <w:r w:rsidRPr="00E33EF9">
        <w:rPr>
          <w:rFonts w:eastAsia="Times New Roman"/>
          <w:i/>
          <w:iCs/>
          <w:sz w:val="24"/>
          <w:szCs w:val="24"/>
        </w:rPr>
        <w:t>see also</w:t>
      </w:r>
      <w:r w:rsidRPr="00E33EF9">
        <w:rPr>
          <w:rFonts w:eastAsia="Times New Roman"/>
          <w:iCs/>
          <w:sz w:val="24"/>
          <w:szCs w:val="24"/>
        </w:rPr>
        <w:t xml:space="preserve"> </w:t>
      </w:r>
      <w:r w:rsidRPr="00E33EF9">
        <w:rPr>
          <w:rFonts w:eastAsia="Times New Roman"/>
          <w:b/>
          <w:iCs/>
          <w:sz w:val="24"/>
          <w:szCs w:val="24"/>
        </w:rPr>
        <w:t>Arnold v. Colo. State Hosp.</w:t>
      </w:r>
      <w:r w:rsidRPr="00E33EF9">
        <w:rPr>
          <w:rFonts w:eastAsia="Times New Roman"/>
          <w:iCs/>
          <w:sz w:val="24"/>
          <w:szCs w:val="24"/>
        </w:rPr>
        <w:t xml:space="preserve">, 910 P.2d 104, 107 (Colo. App. 1995) (“An employer’s liability for an employee’s negligence based upon respondeat superior is only a secondary liability.”). Derivative liability means there must be some finding of employee culpability in order to find liability on the part of the employer. </w:t>
      </w:r>
      <w:r w:rsidRPr="00E33EF9">
        <w:rPr>
          <w:rFonts w:eastAsia="Times New Roman"/>
          <w:b/>
          <w:iCs/>
          <w:sz w:val="24"/>
          <w:szCs w:val="24"/>
        </w:rPr>
        <w:t>Ferrer</w:t>
      </w:r>
      <w:r w:rsidRPr="00E33EF9">
        <w:rPr>
          <w:rFonts w:eastAsia="Times New Roman"/>
          <w:iCs/>
          <w:sz w:val="24"/>
          <w:szCs w:val="24"/>
        </w:rPr>
        <w:t xml:space="preserve">, ¶ 30. An employer cannot be found liable for direct negligence claims, such as negligent hiring, supervision and retention, or entrustment, unless the employee’s own negligence causes an injury. </w:t>
      </w:r>
      <w:r w:rsidRPr="00E33EF9">
        <w:rPr>
          <w:rFonts w:eastAsia="Times New Roman"/>
          <w:i/>
          <w:iCs/>
          <w:sz w:val="24"/>
          <w:szCs w:val="24"/>
        </w:rPr>
        <w:t>Id.</w:t>
      </w:r>
      <w:r w:rsidRPr="00E33EF9">
        <w:rPr>
          <w:rFonts w:eastAsia="Times New Roman"/>
          <w:iCs/>
          <w:sz w:val="24"/>
          <w:szCs w:val="24"/>
        </w:rPr>
        <w:t xml:space="preserve"> at ¶ 29. Therefore, when “an employer acknowledges vicarious liability for its employee’s negligence, a plaintiff’s direct negligence claims against the employer are barred.” </w:t>
      </w:r>
      <w:r w:rsidRPr="00E33EF9">
        <w:rPr>
          <w:rFonts w:eastAsia="Times New Roman"/>
          <w:i/>
          <w:iCs/>
          <w:sz w:val="24"/>
          <w:szCs w:val="24"/>
        </w:rPr>
        <w:t>Id.</w:t>
      </w:r>
      <w:r w:rsidRPr="00E33EF9">
        <w:rPr>
          <w:rFonts w:eastAsia="Times New Roman"/>
          <w:iCs/>
          <w:sz w:val="24"/>
          <w:szCs w:val="24"/>
        </w:rPr>
        <w:t xml:space="preserve"> at ¶ 19</w:t>
      </w:r>
      <w:r w:rsidR="00D12113">
        <w:rPr>
          <w:rFonts w:eastAsia="Times New Roman"/>
          <w:iCs/>
          <w:sz w:val="24"/>
          <w:szCs w:val="24"/>
        </w:rPr>
        <w:t>.</w:t>
      </w:r>
      <w:r>
        <w:rPr>
          <w:rFonts w:eastAsia="Times New Roman"/>
          <w:iCs/>
          <w:sz w:val="24"/>
          <w:szCs w:val="24"/>
        </w:rPr>
        <w:t xml:space="preserve"> </w:t>
      </w:r>
      <w:r w:rsidR="00D12113">
        <w:rPr>
          <w:rFonts w:eastAsia="Times New Roman"/>
          <w:i/>
          <w:sz w:val="24"/>
          <w:szCs w:val="24"/>
        </w:rPr>
        <w:t>B</w:t>
      </w:r>
      <w:r>
        <w:rPr>
          <w:rFonts w:eastAsia="Times New Roman"/>
          <w:i/>
          <w:sz w:val="24"/>
          <w:szCs w:val="24"/>
        </w:rPr>
        <w:t xml:space="preserve">ut see </w:t>
      </w:r>
      <w:r>
        <w:rPr>
          <w:rFonts w:eastAsia="Times New Roman"/>
          <w:b/>
          <w:bCs/>
          <w:iCs/>
          <w:sz w:val="24"/>
          <w:szCs w:val="24"/>
        </w:rPr>
        <w:t>Brown v. Long Romero</w:t>
      </w:r>
      <w:r>
        <w:rPr>
          <w:rFonts w:eastAsia="Times New Roman"/>
          <w:iCs/>
          <w:sz w:val="24"/>
          <w:szCs w:val="24"/>
        </w:rPr>
        <w:t>, 2021 CO 67, ¶ 29</w:t>
      </w:r>
      <w:r w:rsidR="0090551B">
        <w:rPr>
          <w:rFonts w:eastAsia="Times New Roman"/>
          <w:iCs/>
          <w:sz w:val="24"/>
          <w:szCs w:val="24"/>
        </w:rPr>
        <w:t>, 495 P.3d 955</w:t>
      </w:r>
      <w:r>
        <w:rPr>
          <w:rFonts w:eastAsia="Times New Roman"/>
          <w:iCs/>
          <w:sz w:val="24"/>
          <w:szCs w:val="24"/>
        </w:rPr>
        <w:t xml:space="preserve"> (</w:t>
      </w:r>
      <w:r w:rsidR="00AF12DA">
        <w:rPr>
          <w:sz w:val="24"/>
          <w:szCs w:val="24"/>
        </w:rPr>
        <w:t>plaintiff’s direct negligence claims against an employer are not barred where the plaintiff does not assert vicarious liability for an employee’s negligence)</w:t>
      </w:r>
      <w:r w:rsidRPr="00E33EF9">
        <w:rPr>
          <w:rFonts w:eastAsia="Times New Roman"/>
          <w:iCs/>
          <w:sz w:val="24"/>
          <w:szCs w:val="24"/>
        </w:rPr>
        <w:t>.</w:t>
      </w:r>
    </w:p>
    <w:p w14:paraId="05F5BF0D"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8. Further, because the doctrine of respondeat superior is derivative in nature, the employer and employee are not joint tortfeasors. </w:t>
      </w:r>
      <w:r w:rsidRPr="00E33EF9">
        <w:rPr>
          <w:rFonts w:eastAsia="Times New Roman"/>
          <w:b/>
          <w:iCs/>
          <w:sz w:val="24"/>
          <w:szCs w:val="24"/>
        </w:rPr>
        <w:t>Marso v. Homeowners Realty, Inc.</w:t>
      </w:r>
      <w:r w:rsidRPr="00E33EF9">
        <w:rPr>
          <w:rFonts w:eastAsia="Times New Roman"/>
          <w:iCs/>
          <w:sz w:val="24"/>
          <w:szCs w:val="24"/>
        </w:rPr>
        <w:t xml:space="preserve">, 2018 COA 15M, ¶ 17, 418 P.3d 542; </w:t>
      </w:r>
      <w:r w:rsidRPr="00E33EF9">
        <w:rPr>
          <w:rFonts w:eastAsia="Times New Roman"/>
          <w:b/>
          <w:iCs/>
          <w:sz w:val="24"/>
          <w:szCs w:val="24"/>
        </w:rPr>
        <w:t>Arnold</w:t>
      </w:r>
      <w:r w:rsidRPr="00E33EF9">
        <w:rPr>
          <w:rFonts w:eastAsia="Times New Roman"/>
          <w:iCs/>
          <w:sz w:val="24"/>
          <w:szCs w:val="24"/>
        </w:rPr>
        <w:t xml:space="preserve">, 910 P.2d </w:t>
      </w:r>
      <w:r>
        <w:rPr>
          <w:rFonts w:eastAsia="Times New Roman"/>
          <w:iCs/>
          <w:sz w:val="24"/>
          <w:szCs w:val="24"/>
        </w:rPr>
        <w:t>at 107</w:t>
      </w:r>
      <w:r w:rsidRPr="00E33EF9">
        <w:rPr>
          <w:rFonts w:eastAsia="Times New Roman"/>
          <w:iCs/>
          <w:sz w:val="24"/>
          <w:szCs w:val="24"/>
        </w:rPr>
        <w:t xml:space="preserve"> (Uniform Contribution Among Tortfeasors Act, §§ 13-50.5-101 to -106, C.R.S., is not applicable). </w:t>
      </w:r>
    </w:p>
    <w:p w14:paraId="3FAF023B"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9. A defense available to an employee may also be applicable to the employer. </w:t>
      </w:r>
      <w:r w:rsidRPr="00E33EF9">
        <w:rPr>
          <w:rFonts w:eastAsia="Times New Roman"/>
          <w:i/>
          <w:iCs/>
          <w:sz w:val="24"/>
          <w:szCs w:val="24"/>
        </w:rPr>
        <w:t>See, e.g.</w:t>
      </w:r>
      <w:r w:rsidRPr="00E33EF9">
        <w:rPr>
          <w:rFonts w:eastAsia="Times New Roman"/>
          <w:iCs/>
          <w:sz w:val="24"/>
          <w:szCs w:val="24"/>
        </w:rPr>
        <w:t>, § 13-21-108</w:t>
      </w:r>
      <w:r>
        <w:rPr>
          <w:rFonts w:eastAsia="Times New Roman"/>
          <w:iCs/>
          <w:sz w:val="24"/>
          <w:szCs w:val="24"/>
        </w:rPr>
        <w:t>, C.R.S.</w:t>
      </w:r>
      <w:r w:rsidRPr="00E33EF9">
        <w:rPr>
          <w:rFonts w:eastAsia="Times New Roman"/>
          <w:iCs/>
          <w:sz w:val="24"/>
          <w:szCs w:val="24"/>
        </w:rPr>
        <w:t xml:space="preserve"> (exemption for civil liability while rendering emergency assistance). However</w:t>
      </w:r>
      <w:r>
        <w:rPr>
          <w:rFonts w:eastAsia="Times New Roman"/>
          <w:iCs/>
          <w:sz w:val="24"/>
          <w:szCs w:val="24"/>
        </w:rPr>
        <w:t>,</w:t>
      </w:r>
      <w:r w:rsidRPr="00E33EF9">
        <w:rPr>
          <w:rFonts w:eastAsia="Times New Roman"/>
          <w:iCs/>
          <w:sz w:val="24"/>
          <w:szCs w:val="24"/>
        </w:rPr>
        <w:t xml:space="preserve"> “although a finding that an employee is not negligent requires a finding that the employer is not legally responsible, an action may proceed against an employer if the claim against the employee has been dismissed or barred, not on the merits of the claim, but on procedural grounds.” </w:t>
      </w:r>
      <w:r w:rsidRPr="00E33EF9">
        <w:rPr>
          <w:rFonts w:eastAsia="Times New Roman"/>
          <w:b/>
          <w:iCs/>
          <w:sz w:val="24"/>
          <w:szCs w:val="24"/>
        </w:rPr>
        <w:t>Gallegos v. City of Monte Vista</w:t>
      </w:r>
      <w:r w:rsidRPr="00E33EF9">
        <w:rPr>
          <w:rFonts w:eastAsia="Times New Roman"/>
          <w:iCs/>
          <w:sz w:val="24"/>
          <w:szCs w:val="24"/>
        </w:rPr>
        <w:t>, 976 P.2d 299, 301 (Colo. App. 1998) (statute of limitations defense by employee did not bar respondeat superior claim against employer).</w:t>
      </w:r>
    </w:p>
    <w:p w14:paraId="37F5673A"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10. A principal may also be vicariously liable for the fraudulent acts of the employee or nonemployee agent if those acts were committed while the agent was acting with apparent authority. </w:t>
      </w:r>
      <w:r w:rsidRPr="00E33EF9">
        <w:rPr>
          <w:rFonts w:eastAsia="Times New Roman"/>
          <w:b/>
          <w:iCs/>
          <w:sz w:val="24"/>
          <w:szCs w:val="24"/>
        </w:rPr>
        <w:t>Grease Monkey Int’l</w:t>
      </w:r>
      <w:r w:rsidRPr="00E33EF9">
        <w:rPr>
          <w:rFonts w:eastAsia="Times New Roman"/>
          <w:iCs/>
          <w:sz w:val="24"/>
          <w:szCs w:val="24"/>
        </w:rPr>
        <w:t>, 904 P.2d at 473</w:t>
      </w:r>
      <w:r w:rsidRPr="00E33EF9">
        <w:rPr>
          <w:rFonts w:eastAsia="Times New Roman"/>
          <w:i/>
          <w:iCs/>
          <w:sz w:val="24"/>
          <w:szCs w:val="24"/>
        </w:rPr>
        <w:t>.</w:t>
      </w:r>
      <w:r w:rsidRPr="00E33EF9">
        <w:rPr>
          <w:rFonts w:eastAsia="Times New Roman"/>
          <w:iCs/>
          <w:sz w:val="24"/>
          <w:szCs w:val="24"/>
        </w:rPr>
        <w:t xml:space="preserve"> To find vicarious liability under this theory, the plaintiff must establish that the “agent was put in a position which enabled the agent to </w:t>
      </w:r>
      <w:r w:rsidRPr="00E33EF9">
        <w:rPr>
          <w:rFonts w:eastAsia="Times New Roman"/>
          <w:iCs/>
          <w:sz w:val="24"/>
          <w:szCs w:val="24"/>
        </w:rPr>
        <w:lastRenderedPageBreak/>
        <w:t xml:space="preserve">commit fraud, the agent acted within his [or her] apparent authority, and the agent committed fraud.” </w:t>
      </w:r>
      <w:r w:rsidRPr="00E33EF9">
        <w:rPr>
          <w:rFonts w:eastAsia="Times New Roman"/>
          <w:i/>
          <w:iCs/>
          <w:sz w:val="24"/>
          <w:szCs w:val="24"/>
        </w:rPr>
        <w:t>Id.</w:t>
      </w:r>
      <w:r w:rsidRPr="00E33EF9">
        <w:rPr>
          <w:rFonts w:eastAsia="Times New Roman"/>
          <w:iCs/>
          <w:sz w:val="24"/>
          <w:szCs w:val="24"/>
        </w:rPr>
        <w:t xml:space="preserve"> at 475 (citing </w:t>
      </w:r>
      <w:r w:rsidRPr="00E33EF9">
        <w:rPr>
          <w:rFonts w:eastAsia="Times New Roman"/>
          <w:iCs/>
          <w:smallCaps/>
          <w:sz w:val="24"/>
          <w:szCs w:val="24"/>
        </w:rPr>
        <w:t>Restatement (Second) of Torts</w:t>
      </w:r>
      <w:r w:rsidRPr="00E33EF9">
        <w:rPr>
          <w:rFonts w:eastAsia="Times New Roman"/>
          <w:iCs/>
          <w:sz w:val="24"/>
          <w:szCs w:val="24"/>
        </w:rPr>
        <w:t xml:space="preserve"> § 261 (1958)).</w:t>
      </w:r>
    </w:p>
    <w:p w14:paraId="5C85F515" w14:textId="77777777" w:rsidR="00E01A1E" w:rsidRPr="00E33EF9" w:rsidRDefault="00771A51" w:rsidP="00E01A1E">
      <w:pPr>
        <w:spacing w:after="240"/>
        <w:ind w:firstLine="720"/>
        <w:rPr>
          <w:rFonts w:eastAsia="Times New Roman"/>
          <w:iCs/>
          <w:sz w:val="24"/>
          <w:szCs w:val="24"/>
        </w:rPr>
      </w:pPr>
      <w:r w:rsidRPr="00E33EF9">
        <w:rPr>
          <w:rFonts w:eastAsia="Times New Roman"/>
          <w:iCs/>
          <w:sz w:val="24"/>
          <w:szCs w:val="24"/>
        </w:rPr>
        <w:t xml:space="preserve">11. For a discussion of the applicability of the doctrine of respondeat superior to medical professional service corporations, see </w:t>
      </w:r>
      <w:r w:rsidRPr="00E33EF9">
        <w:rPr>
          <w:rFonts w:eastAsia="Times New Roman"/>
          <w:b/>
          <w:iCs/>
          <w:sz w:val="24"/>
          <w:szCs w:val="24"/>
        </w:rPr>
        <w:t>Pediatric Neurosurgery, P.C. v. Russell</w:t>
      </w:r>
      <w:r w:rsidRPr="00E33EF9">
        <w:rPr>
          <w:rFonts w:eastAsia="Times New Roman"/>
          <w:iCs/>
          <w:sz w:val="24"/>
          <w:szCs w:val="24"/>
        </w:rPr>
        <w:t xml:space="preserve">, 44 P.3d 1063 (Colo. 2002) (interpreting statute governing the formation and operation of medical professional service corporations, § 12-36-134, C.R.S.). However, in 2003, the General Assembly declared that the supreme court’s decision in </w:t>
      </w:r>
      <w:r w:rsidRPr="00E33EF9">
        <w:rPr>
          <w:rFonts w:eastAsia="Times New Roman"/>
          <w:b/>
          <w:iCs/>
          <w:sz w:val="24"/>
          <w:szCs w:val="24"/>
        </w:rPr>
        <w:t>Russell</w:t>
      </w:r>
      <w:r w:rsidRPr="00E33EF9">
        <w:rPr>
          <w:rFonts w:eastAsia="Times New Roman"/>
          <w:iCs/>
          <w:sz w:val="24"/>
          <w:szCs w:val="24"/>
        </w:rPr>
        <w:t xml:space="preserve"> would “no longer” reflect the law of section 12-36-134.</w:t>
      </w:r>
      <w:r w:rsidRPr="00E33EF9">
        <w:rPr>
          <w:rFonts w:eastAsia="Times New Roman"/>
          <w:i/>
          <w:iCs/>
          <w:sz w:val="24"/>
          <w:szCs w:val="24"/>
        </w:rPr>
        <w:t xml:space="preserve"> </w:t>
      </w:r>
      <w:r w:rsidRPr="00E33EF9">
        <w:rPr>
          <w:rFonts w:eastAsia="Times New Roman"/>
          <w:iCs/>
          <w:sz w:val="24"/>
          <w:szCs w:val="24"/>
        </w:rPr>
        <w:t>Ch. 240, sec. 1, § 12-36-134, 2003 Colo. Sess. Laws 1598.</w:t>
      </w:r>
      <w:r w:rsidRPr="00E33EF9">
        <w:rPr>
          <w:rFonts w:eastAsia="Times New Roman"/>
          <w:i/>
          <w:iCs/>
          <w:sz w:val="24"/>
          <w:szCs w:val="24"/>
        </w:rPr>
        <w:t xml:space="preserve"> See </w:t>
      </w:r>
      <w:r w:rsidRPr="00E33EF9">
        <w:rPr>
          <w:rFonts w:eastAsia="Times New Roman"/>
          <w:b/>
          <w:iCs/>
          <w:sz w:val="24"/>
          <w:szCs w:val="24"/>
        </w:rPr>
        <w:t>Daly</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134 P.3d at 452 (healthcare facility did not “employ doctors, perform medical services, or interfere with a doctor’s independent medical judgment . . . [and thus could] not be held accountable under the doctrine of respondeat superior for the doctor’s alleged negligence”).</w:t>
      </w:r>
    </w:p>
    <w:p w14:paraId="1A181EBE" w14:textId="77777777" w:rsidR="00E01A1E" w:rsidRDefault="00771A51" w:rsidP="00E01A1E">
      <w:pPr>
        <w:spacing w:after="240"/>
        <w:ind w:firstLine="720"/>
        <w:rPr>
          <w:rFonts w:eastAsia="Times New Roman"/>
          <w:iCs/>
          <w:sz w:val="24"/>
          <w:szCs w:val="24"/>
        </w:rPr>
      </w:pPr>
      <w:r w:rsidRPr="00E33EF9">
        <w:rPr>
          <w:rFonts w:eastAsia="Times New Roman"/>
          <w:iCs/>
          <w:sz w:val="24"/>
          <w:szCs w:val="24"/>
        </w:rPr>
        <w:t xml:space="preserve">12. Employees commuting between home and work are not ordinarily acting within the scope of employment. </w:t>
      </w:r>
      <w:r w:rsidRPr="00E33EF9">
        <w:rPr>
          <w:rFonts w:eastAsia="Times New Roman"/>
          <w:b/>
          <w:iCs/>
          <w:sz w:val="24"/>
          <w:szCs w:val="24"/>
        </w:rPr>
        <w:t>Stokes v. Denver Newspaper Agency, LLP</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 xml:space="preserve">159 P.3d 691 (Colo. App. 2006) (worker’s compensation cases differ from respondeat superior cases); </w:t>
      </w:r>
      <w:r w:rsidRPr="00E33EF9">
        <w:rPr>
          <w:rFonts w:eastAsia="Times New Roman"/>
          <w:b/>
          <w:iCs/>
          <w:sz w:val="24"/>
          <w:szCs w:val="24"/>
        </w:rPr>
        <w:t>Beeson v. Kelran Constructors, Inc.</w:t>
      </w:r>
      <w:r w:rsidRPr="00E33EF9">
        <w:rPr>
          <w:rFonts w:eastAsia="Times New Roman"/>
          <w:iCs/>
          <w:sz w:val="24"/>
          <w:szCs w:val="24"/>
        </w:rPr>
        <w:t>,</w:t>
      </w:r>
      <w:r w:rsidRPr="00E33EF9">
        <w:rPr>
          <w:rFonts w:eastAsia="Times New Roman"/>
          <w:b/>
          <w:iCs/>
          <w:sz w:val="24"/>
          <w:szCs w:val="24"/>
        </w:rPr>
        <w:t xml:space="preserve"> </w:t>
      </w:r>
      <w:r w:rsidRPr="00E33EF9">
        <w:rPr>
          <w:rFonts w:eastAsia="Times New Roman"/>
          <w:iCs/>
          <w:sz w:val="24"/>
          <w:szCs w:val="24"/>
        </w:rPr>
        <w:t>43</w:t>
      </w:r>
      <w:r w:rsidRPr="00E33EF9">
        <w:rPr>
          <w:rFonts w:eastAsia="Times New Roman"/>
          <w:b/>
          <w:iCs/>
          <w:sz w:val="24"/>
          <w:szCs w:val="24"/>
        </w:rPr>
        <w:t xml:space="preserve"> </w:t>
      </w:r>
      <w:r w:rsidRPr="00E33EF9">
        <w:rPr>
          <w:rFonts w:eastAsia="Times New Roman"/>
          <w:iCs/>
          <w:sz w:val="24"/>
          <w:szCs w:val="24"/>
        </w:rPr>
        <w:t>Colo. App. 505, 608 P.2d 369</w:t>
      </w:r>
      <w:r w:rsidRPr="00E33EF9">
        <w:rPr>
          <w:rFonts w:eastAsia="Times New Roman"/>
          <w:i/>
          <w:iCs/>
          <w:sz w:val="24"/>
          <w:szCs w:val="24"/>
        </w:rPr>
        <w:t xml:space="preserve"> </w:t>
      </w:r>
      <w:r w:rsidRPr="00E33EF9">
        <w:rPr>
          <w:rFonts w:eastAsia="Times New Roman"/>
          <w:iCs/>
          <w:sz w:val="24"/>
          <w:szCs w:val="24"/>
        </w:rPr>
        <w:t xml:space="preserve">(1979). Therefore, an employee’s negligence while driving to or from work will not create respondeat superior liability. </w:t>
      </w:r>
      <w:r w:rsidRPr="00E33EF9">
        <w:rPr>
          <w:rFonts w:eastAsia="Times New Roman"/>
          <w:b/>
          <w:iCs/>
          <w:sz w:val="24"/>
          <w:szCs w:val="24"/>
        </w:rPr>
        <w:t>Stokes</w:t>
      </w:r>
      <w:r w:rsidRPr="00E33EF9">
        <w:rPr>
          <w:rFonts w:eastAsia="Times New Roman"/>
          <w:iCs/>
          <w:sz w:val="24"/>
          <w:szCs w:val="24"/>
        </w:rPr>
        <w:t xml:space="preserve">, 159 P.3d at 693; </w:t>
      </w:r>
      <w:r w:rsidRPr="00E33EF9">
        <w:rPr>
          <w:rFonts w:eastAsia="Times New Roman"/>
          <w:i/>
          <w:iCs/>
          <w:sz w:val="24"/>
          <w:szCs w:val="24"/>
        </w:rPr>
        <w:t>cf.</w:t>
      </w:r>
      <w:r w:rsidRPr="00E33EF9">
        <w:rPr>
          <w:rFonts w:eastAsia="Times New Roman"/>
          <w:iCs/>
          <w:sz w:val="24"/>
          <w:szCs w:val="24"/>
        </w:rPr>
        <w:t xml:space="preserve"> </w:t>
      </w:r>
      <w:r w:rsidRPr="00E33EF9">
        <w:rPr>
          <w:rFonts w:eastAsia="Times New Roman"/>
          <w:b/>
          <w:iCs/>
          <w:sz w:val="24"/>
          <w:szCs w:val="24"/>
        </w:rPr>
        <w:t>Goettman v. N. Fork Valley Rest.</w:t>
      </w:r>
      <w:r w:rsidRPr="00E33EF9">
        <w:rPr>
          <w:rFonts w:eastAsia="Times New Roman"/>
          <w:iCs/>
          <w:sz w:val="24"/>
          <w:szCs w:val="24"/>
        </w:rPr>
        <w:t>, 176 P.3d 60, 70 (Colo. 2007) (a traveling employee is acting within the scope of his or her employment while lodging and dining on business trip because those activities are incident to employment).</w:t>
      </w:r>
    </w:p>
    <w:p w14:paraId="2A601905" w14:textId="2CB24C2F" w:rsidR="00E01A1E" w:rsidRDefault="00771A51" w:rsidP="00E01A1E">
      <w:pPr>
        <w:spacing w:after="240"/>
        <w:ind w:firstLine="720"/>
        <w:rPr>
          <w:rFonts w:eastAsia="Times New Roman"/>
          <w:iCs/>
          <w:sz w:val="24"/>
          <w:szCs w:val="24"/>
        </w:rPr>
      </w:pPr>
      <w:r>
        <w:rPr>
          <w:rFonts w:eastAsia="Times New Roman"/>
          <w:iCs/>
          <w:sz w:val="24"/>
          <w:szCs w:val="24"/>
        </w:rPr>
        <w:t xml:space="preserve">13. Whether an employee was acting within the scope of employment is a question of fact. </w:t>
      </w:r>
      <w:r>
        <w:rPr>
          <w:rFonts w:eastAsia="Times New Roman"/>
          <w:b/>
          <w:bCs/>
          <w:iCs/>
          <w:sz w:val="24"/>
          <w:szCs w:val="24"/>
        </w:rPr>
        <w:t>Suydam</w:t>
      </w:r>
      <w:r>
        <w:rPr>
          <w:rFonts w:eastAsia="Times New Roman"/>
          <w:iCs/>
          <w:sz w:val="24"/>
          <w:szCs w:val="24"/>
        </w:rPr>
        <w:t>, ¶ 15</w:t>
      </w:r>
      <w:r w:rsidR="0090551B">
        <w:rPr>
          <w:rFonts w:eastAsia="Times New Roman"/>
          <w:iCs/>
          <w:sz w:val="24"/>
          <w:szCs w:val="24"/>
        </w:rPr>
        <w:t>, 490 P.3d at 934</w:t>
      </w:r>
      <w:r>
        <w:rPr>
          <w:rFonts w:eastAsia="Times New Roman"/>
          <w:iCs/>
          <w:sz w:val="24"/>
          <w:szCs w:val="24"/>
        </w:rPr>
        <w:t>.</w:t>
      </w:r>
    </w:p>
    <w:p w14:paraId="149185A8" w14:textId="165D90A2" w:rsidR="004E4ACB" w:rsidRPr="004E4ACB" w:rsidRDefault="004E4ACB" w:rsidP="00E01A1E">
      <w:pPr>
        <w:spacing w:after="240"/>
        <w:ind w:firstLine="720"/>
        <w:rPr>
          <w:rFonts w:eastAsia="Times New Roman"/>
          <w:iCs/>
          <w:sz w:val="24"/>
          <w:szCs w:val="24"/>
        </w:rPr>
      </w:pPr>
      <w:r>
        <w:rPr>
          <w:rFonts w:eastAsia="Times New Roman"/>
          <w:iCs/>
          <w:sz w:val="24"/>
          <w:szCs w:val="24"/>
        </w:rPr>
        <w:t xml:space="preserve">14. The common law doctrine of respondeat superior applies to a public entity in circumstances where governmental immunity is waived. </w:t>
      </w:r>
      <w:r>
        <w:rPr>
          <w:rFonts w:eastAsia="Times New Roman"/>
          <w:b/>
          <w:bCs/>
          <w:iCs/>
          <w:sz w:val="24"/>
          <w:szCs w:val="24"/>
        </w:rPr>
        <w:t>Dodge</w:t>
      </w:r>
      <w:r>
        <w:rPr>
          <w:rFonts w:eastAsia="Times New Roman"/>
          <w:iCs/>
          <w:sz w:val="24"/>
          <w:szCs w:val="24"/>
        </w:rPr>
        <w:t>, ¶¶ 40-44</w:t>
      </w:r>
      <w:r w:rsidR="00D43091">
        <w:rPr>
          <w:rFonts w:eastAsia="Times New Roman"/>
          <w:iCs/>
          <w:sz w:val="24"/>
          <w:szCs w:val="24"/>
        </w:rPr>
        <w:t>, 537 P.3d at 417-18</w:t>
      </w:r>
      <w:r>
        <w:rPr>
          <w:rFonts w:eastAsia="Times New Roman"/>
          <w:iCs/>
          <w:sz w:val="24"/>
          <w:szCs w:val="24"/>
        </w:rPr>
        <w:t>.</w:t>
      </w:r>
    </w:p>
    <w:p w14:paraId="43AC9EEC" w14:textId="77777777" w:rsidR="00E01A1E" w:rsidRDefault="00771A51">
      <w:pPr>
        <w:rPr>
          <w:rFonts w:eastAsia="Times New Roman"/>
          <w:iCs/>
          <w:sz w:val="24"/>
          <w:szCs w:val="24"/>
        </w:rPr>
      </w:pPr>
      <w:r>
        <w:rPr>
          <w:rFonts w:eastAsia="Times New Roman"/>
          <w:iCs/>
          <w:sz w:val="24"/>
          <w:szCs w:val="24"/>
        </w:rPr>
        <w:br w:type="page"/>
      </w:r>
    </w:p>
    <w:p w14:paraId="50598FDC" w14:textId="77777777" w:rsidR="00E01A1E" w:rsidRPr="009E3DA4" w:rsidRDefault="00771A51" w:rsidP="00E01A1E">
      <w:pPr>
        <w:spacing w:after="240"/>
        <w:ind w:left="720" w:hanging="720"/>
        <w:rPr>
          <w:rFonts w:eastAsia="Times New Roman"/>
          <w:b/>
          <w:sz w:val="24"/>
          <w:szCs w:val="24"/>
        </w:rPr>
      </w:pPr>
      <w:bookmarkStart w:id="26" w:name="a8_23"/>
      <w:bookmarkEnd w:id="26"/>
      <w:r w:rsidRPr="00C26751">
        <w:rPr>
          <w:rFonts w:eastAsia="Times New Roman"/>
          <w:b/>
          <w:sz w:val="24"/>
          <w:szCs w:val="24"/>
        </w:rPr>
        <w:lastRenderedPageBreak/>
        <w:t>8:</w:t>
      </w:r>
      <w:r>
        <w:rPr>
          <w:rFonts w:eastAsia="Times New Roman"/>
          <w:b/>
          <w:sz w:val="24"/>
          <w:szCs w:val="24"/>
        </w:rPr>
        <w:t>23</w:t>
      </w:r>
      <w:r w:rsidRPr="00C26751">
        <w:rPr>
          <w:rFonts w:eastAsia="Times New Roman"/>
          <w:b/>
          <w:sz w:val="24"/>
          <w:szCs w:val="24"/>
        </w:rPr>
        <w:tab/>
      </w:r>
      <w:r>
        <w:rPr>
          <w:b/>
          <w:sz w:val="24"/>
          <w:szCs w:val="24"/>
        </w:rPr>
        <w:t xml:space="preserve">EMPLOYER AND EMPLOYEE — </w:t>
      </w:r>
      <w:r w:rsidRPr="00CF4C1B">
        <w:rPr>
          <w:b/>
          <w:sz w:val="24"/>
          <w:szCs w:val="24"/>
        </w:rPr>
        <w:t>B</w:t>
      </w:r>
      <w:r>
        <w:rPr>
          <w:b/>
          <w:sz w:val="24"/>
          <w:szCs w:val="24"/>
        </w:rPr>
        <w:t xml:space="preserve">OTH PARTIES SUED — </w:t>
      </w:r>
      <w:r w:rsidRPr="00CF4C1B">
        <w:rPr>
          <w:b/>
          <w:sz w:val="24"/>
          <w:szCs w:val="24"/>
        </w:rPr>
        <w:t>NO ISSUE AS TO RELATIONSHIP AND SCOPE OF EMPLOYMENT</w:t>
      </w:r>
    </w:p>
    <w:p w14:paraId="16F0D9BE" w14:textId="77777777"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The defendant, </w:t>
      </w:r>
      <w:r w:rsidRPr="002D3065">
        <w:rPr>
          <w:rFonts w:eastAsia="Times New Roman"/>
          <w:i/>
          <w:sz w:val="24"/>
          <w:szCs w:val="24"/>
        </w:rPr>
        <w:t>(employee’s name)</w:t>
      </w:r>
      <w:r w:rsidRPr="002D3065">
        <w:rPr>
          <w:rFonts w:eastAsia="Times New Roman"/>
          <w:b/>
          <w:sz w:val="24"/>
          <w:szCs w:val="24"/>
        </w:rPr>
        <w:t xml:space="preserve">, was the employee of the defendant, </w:t>
      </w:r>
      <w:r w:rsidRPr="002D3065">
        <w:rPr>
          <w:rFonts w:eastAsia="Times New Roman"/>
          <w:i/>
          <w:sz w:val="24"/>
          <w:szCs w:val="24"/>
        </w:rPr>
        <w:t>(employer’s name)</w:t>
      </w:r>
      <w:r w:rsidRPr="002D3065">
        <w:rPr>
          <w:rFonts w:eastAsia="Times New Roman"/>
          <w:b/>
          <w:sz w:val="24"/>
          <w:szCs w:val="24"/>
        </w:rPr>
        <w:t xml:space="preserve">, at the time of the </w:t>
      </w:r>
      <w:r w:rsidRPr="002D3065">
        <w:rPr>
          <w:rFonts w:eastAsia="Times New Roman"/>
          <w:i/>
          <w:sz w:val="24"/>
          <w:szCs w:val="24"/>
        </w:rPr>
        <w:t>(insert appropriate description of events, e.g., “occurrence,” “collision,” “accident,” etc.)</w:t>
      </w:r>
      <w:r w:rsidRPr="002D3065">
        <w:rPr>
          <w:rFonts w:eastAsia="Times New Roman"/>
          <w:b/>
          <w:sz w:val="24"/>
          <w:szCs w:val="24"/>
        </w:rPr>
        <w:t xml:space="preserve">. </w:t>
      </w:r>
    </w:p>
    <w:p w14:paraId="30DE1A4D" w14:textId="54D4C085"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For the plaintiff, </w:t>
      </w:r>
      <w:r w:rsidRPr="002D3065">
        <w:rPr>
          <w:rFonts w:eastAsia="Times New Roman"/>
          <w:i/>
          <w:sz w:val="24"/>
          <w:szCs w:val="24"/>
        </w:rPr>
        <w:t>(name)</w:t>
      </w:r>
      <w:r w:rsidRPr="002D3065">
        <w:rPr>
          <w:rFonts w:eastAsia="Times New Roman"/>
          <w:b/>
          <w:sz w:val="24"/>
          <w:szCs w:val="24"/>
        </w:rPr>
        <w:t xml:space="preserve">, to recover on </w:t>
      </w:r>
      <w:r w:rsidR="003E686C" w:rsidRPr="003E686C">
        <w:rPr>
          <w:rFonts w:eastAsia="Times New Roman"/>
          <w:bCs/>
          <w:i/>
          <w:iCs/>
          <w:sz w:val="24"/>
          <w:szCs w:val="24"/>
        </w:rPr>
        <w:t>(insert applicable pronoun)</w:t>
      </w:r>
      <w:r w:rsidRPr="002D3065">
        <w:rPr>
          <w:rFonts w:eastAsia="Times New Roman"/>
          <w:b/>
          <w:sz w:val="24"/>
          <w:szCs w:val="24"/>
        </w:rPr>
        <w:t xml:space="preserve"> claim(s) of </w:t>
      </w:r>
      <w:r w:rsidRPr="002D3065">
        <w:rPr>
          <w:rFonts w:eastAsia="Times New Roman"/>
          <w:i/>
          <w:sz w:val="24"/>
          <w:szCs w:val="24"/>
        </w:rPr>
        <w:t xml:space="preserve">(insert applicable theory of liability, e.g., “negligence”) </w:t>
      </w:r>
      <w:r w:rsidRPr="002D3065">
        <w:rPr>
          <w:rFonts w:eastAsia="Times New Roman"/>
          <w:b/>
          <w:sz w:val="24"/>
          <w:szCs w:val="24"/>
        </w:rPr>
        <w:t xml:space="preserve">against the defendant, </w:t>
      </w:r>
      <w:r w:rsidRPr="002D3065">
        <w:rPr>
          <w:rFonts w:eastAsia="Times New Roman"/>
          <w:i/>
          <w:sz w:val="24"/>
          <w:szCs w:val="24"/>
        </w:rPr>
        <w:t>(employer’s name)</w:t>
      </w:r>
      <w:r w:rsidRPr="002D3065">
        <w:rPr>
          <w:rFonts w:eastAsia="Times New Roman"/>
          <w:b/>
          <w:sz w:val="24"/>
          <w:szCs w:val="24"/>
        </w:rPr>
        <w:t xml:space="preserve">, you must find that the plaintiff proved by a preponderance of the evidence </w:t>
      </w:r>
      <w:r w:rsidR="003E686C" w:rsidRPr="003E686C">
        <w:rPr>
          <w:rFonts w:eastAsia="Times New Roman"/>
          <w:bCs/>
          <w:i/>
          <w:iCs/>
          <w:sz w:val="24"/>
          <w:szCs w:val="24"/>
        </w:rPr>
        <w:t>(insert applicable pronoun)</w:t>
      </w:r>
      <w:r w:rsidRPr="002D3065">
        <w:rPr>
          <w:rFonts w:eastAsia="Times New Roman"/>
          <w:b/>
          <w:sz w:val="24"/>
          <w:szCs w:val="24"/>
        </w:rPr>
        <w:t xml:space="preserve"> </w:t>
      </w:r>
      <w:r w:rsidRPr="002D3065">
        <w:rPr>
          <w:rFonts w:eastAsia="Times New Roman"/>
          <w:i/>
          <w:sz w:val="24"/>
          <w:szCs w:val="24"/>
        </w:rPr>
        <w:t>(insert appropriate theory of liability, e.g., “negligence”)</w:t>
      </w:r>
      <w:r w:rsidRPr="002D3065">
        <w:rPr>
          <w:rFonts w:eastAsia="Times New Roman"/>
          <w:b/>
          <w:sz w:val="24"/>
          <w:szCs w:val="24"/>
        </w:rPr>
        <w:t xml:space="preserve"> claim(s) against the defendant, </w:t>
      </w:r>
      <w:r w:rsidRPr="002D3065">
        <w:rPr>
          <w:rFonts w:eastAsia="Times New Roman"/>
          <w:i/>
          <w:sz w:val="24"/>
          <w:szCs w:val="24"/>
        </w:rPr>
        <w:t>(employee’s name)</w:t>
      </w:r>
      <w:r w:rsidRPr="002D3065">
        <w:rPr>
          <w:rFonts w:eastAsia="Times New Roman"/>
          <w:b/>
          <w:sz w:val="24"/>
          <w:szCs w:val="24"/>
        </w:rPr>
        <w:t>.</w:t>
      </w:r>
    </w:p>
    <w:p w14:paraId="53A3D25D" w14:textId="226AD96B"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If you find that the plaintiff, </w:t>
      </w:r>
      <w:r w:rsidRPr="002D3065">
        <w:rPr>
          <w:rFonts w:eastAsia="Times New Roman"/>
          <w:i/>
          <w:sz w:val="24"/>
          <w:szCs w:val="24"/>
        </w:rPr>
        <w:t>(name)</w:t>
      </w:r>
      <w:r w:rsidRPr="002D3065">
        <w:rPr>
          <w:rFonts w:eastAsia="Times New Roman"/>
          <w:b/>
          <w:sz w:val="24"/>
          <w:szCs w:val="24"/>
        </w:rPr>
        <w:t xml:space="preserve">, has not proved </w:t>
      </w:r>
      <w:r w:rsidR="003E686C" w:rsidRPr="003E686C">
        <w:rPr>
          <w:rFonts w:eastAsia="Times New Roman"/>
          <w:bCs/>
          <w:i/>
          <w:iCs/>
          <w:sz w:val="24"/>
          <w:szCs w:val="24"/>
        </w:rPr>
        <w:t>(insert applicable pronoun)</w:t>
      </w:r>
      <w:r w:rsidRPr="002D3065">
        <w:rPr>
          <w:rFonts w:eastAsia="Times New Roman"/>
          <w:b/>
          <w:sz w:val="24"/>
          <w:szCs w:val="24"/>
        </w:rPr>
        <w:t xml:space="preserve"> claim(s) against the defendant, </w:t>
      </w:r>
      <w:r w:rsidRPr="002D3065">
        <w:rPr>
          <w:rFonts w:eastAsia="Times New Roman"/>
          <w:i/>
          <w:sz w:val="24"/>
          <w:szCs w:val="24"/>
        </w:rPr>
        <w:t>(employee’s name)</w:t>
      </w:r>
      <w:r w:rsidRPr="002D3065">
        <w:rPr>
          <w:rFonts w:eastAsia="Times New Roman"/>
          <w:b/>
          <w:sz w:val="24"/>
          <w:szCs w:val="24"/>
        </w:rPr>
        <w:t xml:space="preserve">, then your verdict must be for the defendant, </w:t>
      </w:r>
      <w:r w:rsidRPr="002D3065">
        <w:rPr>
          <w:rFonts w:eastAsia="Times New Roman"/>
          <w:i/>
          <w:sz w:val="24"/>
          <w:szCs w:val="24"/>
        </w:rPr>
        <w:t>(employer’s name)</w:t>
      </w:r>
      <w:r w:rsidRPr="002D3065">
        <w:rPr>
          <w:rFonts w:eastAsia="Times New Roman"/>
          <w:sz w:val="24"/>
          <w:szCs w:val="24"/>
        </w:rPr>
        <w:t xml:space="preserve">, </w:t>
      </w:r>
      <w:r w:rsidRPr="002D3065">
        <w:rPr>
          <w:rFonts w:eastAsia="Times New Roman"/>
          <w:b/>
          <w:sz w:val="24"/>
          <w:szCs w:val="24"/>
        </w:rPr>
        <w:t xml:space="preserve">on the claim(s) of </w:t>
      </w:r>
      <w:r w:rsidRPr="002D3065">
        <w:rPr>
          <w:rFonts w:eastAsia="Times New Roman"/>
          <w:i/>
          <w:sz w:val="24"/>
          <w:szCs w:val="24"/>
        </w:rPr>
        <w:t>(insert applicable theories of liability, e.g., “negligence”)</w:t>
      </w:r>
      <w:r w:rsidRPr="002D3065">
        <w:rPr>
          <w:rFonts w:eastAsia="Times New Roman"/>
          <w:b/>
          <w:sz w:val="24"/>
          <w:szCs w:val="24"/>
        </w:rPr>
        <w:t>.</w:t>
      </w:r>
    </w:p>
    <w:p w14:paraId="4ECA242F" w14:textId="17446787" w:rsidR="00E01A1E" w:rsidRPr="002D3065" w:rsidRDefault="00771A51" w:rsidP="00E01A1E">
      <w:pPr>
        <w:spacing w:after="240"/>
        <w:ind w:firstLine="720"/>
        <w:rPr>
          <w:rFonts w:eastAsia="Times New Roman"/>
          <w:b/>
          <w:sz w:val="24"/>
          <w:szCs w:val="24"/>
        </w:rPr>
      </w:pPr>
      <w:r w:rsidRPr="002D3065">
        <w:rPr>
          <w:rFonts w:eastAsia="Times New Roman"/>
          <w:b/>
          <w:sz w:val="24"/>
          <w:szCs w:val="24"/>
        </w:rPr>
        <w:t xml:space="preserve">On the other hand, if you find that the plaintiff, </w:t>
      </w:r>
      <w:r w:rsidRPr="002D3065">
        <w:rPr>
          <w:rFonts w:eastAsia="Times New Roman"/>
          <w:i/>
          <w:sz w:val="24"/>
          <w:szCs w:val="24"/>
        </w:rPr>
        <w:t>(name)</w:t>
      </w:r>
      <w:r w:rsidRPr="002D3065">
        <w:rPr>
          <w:rFonts w:eastAsia="Times New Roman"/>
          <w:b/>
          <w:sz w:val="24"/>
          <w:szCs w:val="24"/>
        </w:rPr>
        <w:t xml:space="preserve">, has proved </w:t>
      </w:r>
      <w:r w:rsidR="003E686C" w:rsidRPr="003E686C">
        <w:rPr>
          <w:rFonts w:eastAsia="Times New Roman"/>
          <w:bCs/>
          <w:i/>
          <w:iCs/>
          <w:sz w:val="24"/>
          <w:szCs w:val="24"/>
        </w:rPr>
        <w:t>(insert applicable pronoun)</w:t>
      </w:r>
      <w:r w:rsidRPr="002D3065">
        <w:rPr>
          <w:rFonts w:eastAsia="Times New Roman"/>
          <w:b/>
          <w:sz w:val="24"/>
          <w:szCs w:val="24"/>
        </w:rPr>
        <w:t xml:space="preserve"> claim(s) against the defendant, </w:t>
      </w:r>
      <w:r w:rsidRPr="002D3065">
        <w:rPr>
          <w:rFonts w:eastAsia="Times New Roman"/>
          <w:i/>
          <w:sz w:val="24"/>
          <w:szCs w:val="24"/>
        </w:rPr>
        <w:t>(employee’s name)</w:t>
      </w:r>
      <w:r w:rsidRPr="002D3065">
        <w:rPr>
          <w:rFonts w:eastAsia="Times New Roman"/>
          <w:b/>
          <w:sz w:val="24"/>
          <w:szCs w:val="24"/>
        </w:rPr>
        <w:t xml:space="preserve">, then your verdict must be for the plaintiff on </w:t>
      </w:r>
      <w:r w:rsidR="003E686C" w:rsidRPr="003E686C">
        <w:rPr>
          <w:rFonts w:eastAsia="Times New Roman"/>
          <w:bCs/>
          <w:i/>
          <w:iCs/>
          <w:sz w:val="24"/>
          <w:szCs w:val="24"/>
        </w:rPr>
        <w:t>(insert applicable pronoun)</w:t>
      </w:r>
      <w:r w:rsidRPr="002D3065">
        <w:rPr>
          <w:rFonts w:eastAsia="Times New Roman"/>
          <w:b/>
          <w:sz w:val="24"/>
          <w:szCs w:val="24"/>
        </w:rPr>
        <w:t xml:space="preserve"> claim(s) of </w:t>
      </w:r>
      <w:r w:rsidRPr="002D3065">
        <w:rPr>
          <w:rFonts w:eastAsia="Times New Roman"/>
          <w:i/>
          <w:sz w:val="24"/>
          <w:szCs w:val="24"/>
        </w:rPr>
        <w:t>(insert applicable theories of liability, e.g., “negligence”)</w:t>
      </w:r>
      <w:r w:rsidRPr="002D3065">
        <w:rPr>
          <w:rFonts w:eastAsia="Times New Roman"/>
          <w:b/>
          <w:sz w:val="24"/>
          <w:szCs w:val="24"/>
        </w:rPr>
        <w:t xml:space="preserve">, against the defendant, </w:t>
      </w:r>
      <w:r w:rsidRPr="002D3065">
        <w:rPr>
          <w:rFonts w:eastAsia="Times New Roman"/>
          <w:i/>
          <w:sz w:val="24"/>
          <w:szCs w:val="24"/>
        </w:rPr>
        <w:t>(employer’s name)</w:t>
      </w:r>
      <w:r w:rsidRPr="002D3065">
        <w:rPr>
          <w:rFonts w:eastAsia="Times New Roman"/>
          <w:b/>
          <w:sz w:val="24"/>
          <w:szCs w:val="24"/>
        </w:rPr>
        <w:t>.</w:t>
      </w:r>
    </w:p>
    <w:p w14:paraId="3BDAF637" w14:textId="77777777" w:rsidR="00E01A1E" w:rsidRDefault="00E01A1E" w:rsidP="00E01A1E">
      <w:pPr>
        <w:jc w:val="center"/>
        <w:rPr>
          <w:rFonts w:eastAsia="Times New Roman"/>
          <w:sz w:val="24"/>
          <w:szCs w:val="24"/>
        </w:rPr>
      </w:pPr>
    </w:p>
    <w:p w14:paraId="5A247F56"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4535DA89" w14:textId="77777777" w:rsidR="00E01A1E" w:rsidRPr="0041190B" w:rsidRDefault="00771A51" w:rsidP="00E01A1E">
      <w:pPr>
        <w:spacing w:after="240"/>
        <w:ind w:firstLine="720"/>
        <w:rPr>
          <w:rFonts w:eastAsia="Times New Roman"/>
          <w:sz w:val="24"/>
          <w:szCs w:val="24"/>
        </w:rPr>
      </w:pPr>
      <w:r w:rsidRPr="0041190B">
        <w:rPr>
          <w:rFonts w:eastAsia="Times New Roman"/>
          <w:sz w:val="24"/>
          <w:szCs w:val="24"/>
        </w:rPr>
        <w:t>1. This instruction should be given in cases involving employer-employee relationships. For other agency relationships, use the instructions in Part B of this chapter.</w:t>
      </w:r>
    </w:p>
    <w:p w14:paraId="3E0DA0DF" w14:textId="77777777" w:rsidR="00E01A1E" w:rsidRPr="0041190B" w:rsidRDefault="00771A51" w:rsidP="00E01A1E">
      <w:pPr>
        <w:spacing w:after="240"/>
        <w:ind w:firstLine="720"/>
        <w:rPr>
          <w:rFonts w:eastAsia="Times New Roman"/>
          <w:sz w:val="24"/>
          <w:szCs w:val="24"/>
        </w:rPr>
      </w:pPr>
      <w:r w:rsidRPr="0041190B">
        <w:rPr>
          <w:rFonts w:eastAsia="Times New Roman"/>
          <w:sz w:val="24"/>
          <w:szCs w:val="24"/>
        </w:rPr>
        <w:t>2. This instruction should be given whenever there is no dispute as to the relationship and scope of employment.</w:t>
      </w:r>
    </w:p>
    <w:p w14:paraId="2BE16274"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008AD503" w14:textId="77777777" w:rsidR="00E01A1E" w:rsidRDefault="00771A51" w:rsidP="00E01A1E">
      <w:pPr>
        <w:spacing w:after="240"/>
        <w:ind w:firstLine="720"/>
        <w:rPr>
          <w:rFonts w:eastAsia="Times New Roman"/>
          <w:iCs/>
          <w:sz w:val="24"/>
          <w:szCs w:val="24"/>
        </w:rPr>
      </w:pPr>
      <w:r w:rsidRPr="0041190B">
        <w:rPr>
          <w:rFonts w:eastAsia="Times New Roman"/>
          <w:iCs/>
          <w:sz w:val="24"/>
          <w:szCs w:val="24"/>
        </w:rPr>
        <w:t>See the Source and Authority to Instruction 8:22.</w:t>
      </w:r>
    </w:p>
    <w:p w14:paraId="691A7189" w14:textId="77777777" w:rsidR="00E01A1E" w:rsidRDefault="00771A51">
      <w:pPr>
        <w:rPr>
          <w:rFonts w:eastAsia="Times New Roman"/>
          <w:iCs/>
          <w:sz w:val="24"/>
          <w:szCs w:val="24"/>
        </w:rPr>
      </w:pPr>
      <w:r>
        <w:rPr>
          <w:rFonts w:eastAsia="Times New Roman"/>
          <w:iCs/>
          <w:sz w:val="24"/>
          <w:szCs w:val="24"/>
        </w:rPr>
        <w:br w:type="page"/>
      </w:r>
    </w:p>
    <w:p w14:paraId="36827D5F" w14:textId="77777777" w:rsidR="00E01A1E" w:rsidRPr="009E3DA4" w:rsidRDefault="00771A51" w:rsidP="00E01A1E">
      <w:pPr>
        <w:spacing w:after="240"/>
        <w:ind w:left="720" w:hanging="720"/>
        <w:rPr>
          <w:rFonts w:eastAsia="Times New Roman"/>
          <w:b/>
          <w:sz w:val="24"/>
          <w:szCs w:val="24"/>
        </w:rPr>
      </w:pPr>
      <w:bookmarkStart w:id="27" w:name="a8_24"/>
      <w:bookmarkEnd w:id="27"/>
      <w:r w:rsidRPr="00C26751">
        <w:rPr>
          <w:rFonts w:eastAsia="Times New Roman"/>
          <w:b/>
          <w:sz w:val="24"/>
          <w:szCs w:val="24"/>
        </w:rPr>
        <w:lastRenderedPageBreak/>
        <w:t>8:</w:t>
      </w:r>
      <w:r>
        <w:rPr>
          <w:rFonts w:eastAsia="Times New Roman"/>
          <w:b/>
          <w:sz w:val="24"/>
          <w:szCs w:val="24"/>
        </w:rPr>
        <w:t>24</w:t>
      </w:r>
      <w:r w:rsidRPr="00C26751">
        <w:rPr>
          <w:rFonts w:eastAsia="Times New Roman"/>
          <w:b/>
          <w:sz w:val="24"/>
          <w:szCs w:val="24"/>
        </w:rPr>
        <w:tab/>
      </w:r>
      <w:r>
        <w:rPr>
          <w:b/>
          <w:sz w:val="24"/>
          <w:szCs w:val="24"/>
        </w:rPr>
        <w:t xml:space="preserve">EMPLOYER AND EMPLOYEE — </w:t>
      </w:r>
      <w:r w:rsidRPr="004465D9">
        <w:rPr>
          <w:b/>
          <w:sz w:val="24"/>
          <w:szCs w:val="24"/>
        </w:rPr>
        <w:t>ONLY EMPLOYER SUED</w:t>
      </w:r>
      <w:r>
        <w:rPr>
          <w:b/>
          <w:sz w:val="24"/>
          <w:szCs w:val="24"/>
        </w:rPr>
        <w:t xml:space="preserve"> — I</w:t>
      </w:r>
      <w:r w:rsidRPr="004465D9">
        <w:rPr>
          <w:b/>
          <w:sz w:val="24"/>
          <w:szCs w:val="24"/>
        </w:rPr>
        <w:t>SSUE AS TO RELATIONSHIP AND/OR SCOPE OF EMPLOYMENT</w:t>
      </w:r>
    </w:p>
    <w:p w14:paraId="47107A55" w14:textId="33B620E1"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For the plaintiff,</w:t>
      </w:r>
      <w:r w:rsidRPr="00B1795D">
        <w:rPr>
          <w:rFonts w:eastAsia="Times New Roman"/>
          <w:sz w:val="24"/>
          <w:szCs w:val="24"/>
        </w:rPr>
        <w:t xml:space="preserve"> </w:t>
      </w:r>
      <w:r w:rsidRPr="00B1795D">
        <w:rPr>
          <w:rFonts w:eastAsia="Times New Roman"/>
          <w:i/>
          <w:sz w:val="24"/>
          <w:szCs w:val="24"/>
        </w:rPr>
        <w:t>(name)</w:t>
      </w:r>
      <w:r w:rsidRPr="00B1795D">
        <w:rPr>
          <w:rFonts w:eastAsia="Times New Roman"/>
          <w:b/>
          <w:sz w:val="24"/>
          <w:szCs w:val="24"/>
        </w:rPr>
        <w:t xml:space="preserve">, to recover on </w:t>
      </w:r>
      <w:r w:rsidR="003E686C" w:rsidRPr="003E686C">
        <w:rPr>
          <w:rFonts w:eastAsia="Times New Roman"/>
          <w:bCs/>
          <w:i/>
          <w:iCs/>
          <w:sz w:val="24"/>
          <w:szCs w:val="24"/>
        </w:rPr>
        <w:t>(insert applicable pronoun)</w:t>
      </w:r>
      <w:r w:rsidRPr="00B1795D">
        <w:rPr>
          <w:rFonts w:eastAsia="Times New Roman"/>
          <w:b/>
          <w:sz w:val="24"/>
          <w:szCs w:val="24"/>
        </w:rPr>
        <w:t xml:space="preserve"> claim of </w:t>
      </w:r>
      <w:r w:rsidRPr="00B1795D">
        <w:rPr>
          <w:rFonts w:eastAsia="Times New Roman"/>
          <w:i/>
          <w:sz w:val="24"/>
          <w:szCs w:val="24"/>
        </w:rPr>
        <w:t xml:space="preserve">(insert appropriate theories of liability, e.g., “negligence”) </w:t>
      </w:r>
      <w:r w:rsidRPr="00B1795D">
        <w:rPr>
          <w:rFonts w:eastAsia="Times New Roman"/>
          <w:b/>
          <w:sz w:val="24"/>
          <w:szCs w:val="24"/>
        </w:rPr>
        <w:t xml:space="preserve">against the defendant, </w:t>
      </w:r>
      <w:r w:rsidRPr="00B1795D">
        <w:rPr>
          <w:rFonts w:eastAsia="Times New Roman"/>
          <w:i/>
          <w:sz w:val="24"/>
          <w:szCs w:val="24"/>
        </w:rPr>
        <w:t>(alleged employer’s name)</w:t>
      </w:r>
      <w:r w:rsidRPr="00B1795D">
        <w:rPr>
          <w:rFonts w:eastAsia="Times New Roman"/>
          <w:b/>
          <w:sz w:val="24"/>
          <w:szCs w:val="24"/>
        </w:rPr>
        <w:t>, you must find that all of the following have been proved by a preponderance of the evidence:</w:t>
      </w:r>
    </w:p>
    <w:p w14:paraId="5E31DA08" w14:textId="22047340"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1. The plaintiff proved </w:t>
      </w:r>
      <w:r w:rsidR="003E686C" w:rsidRPr="003E686C">
        <w:rPr>
          <w:rFonts w:eastAsia="Times New Roman"/>
          <w:bCs/>
          <w:i/>
          <w:iCs/>
          <w:sz w:val="24"/>
          <w:szCs w:val="24"/>
        </w:rPr>
        <w:t>(insert applicable pronoun)</w:t>
      </w:r>
      <w:r w:rsidRPr="00B1795D">
        <w:rPr>
          <w:rFonts w:eastAsia="Times New Roman"/>
          <w:b/>
          <w:sz w:val="24"/>
          <w:szCs w:val="24"/>
        </w:rPr>
        <w:t xml:space="preserve"> </w:t>
      </w:r>
      <w:r w:rsidRPr="00B1795D">
        <w:rPr>
          <w:rFonts w:eastAsia="Times New Roman"/>
          <w:i/>
          <w:sz w:val="24"/>
          <w:szCs w:val="24"/>
        </w:rPr>
        <w:t>(insert applicable theory of liability, e.g., “negligence”)</w:t>
      </w:r>
      <w:r w:rsidRPr="00B1795D">
        <w:rPr>
          <w:rFonts w:eastAsia="Times New Roman"/>
          <w:b/>
          <w:sz w:val="24"/>
          <w:szCs w:val="24"/>
        </w:rPr>
        <w:t xml:space="preserve"> claim(s);</w:t>
      </w:r>
    </w:p>
    <w:p w14:paraId="398645DD" w14:textId="77777777"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(2. </w:t>
      </w:r>
      <w:r w:rsidRPr="00B1795D">
        <w:rPr>
          <w:rFonts w:eastAsia="Times New Roman"/>
          <w:i/>
          <w:sz w:val="24"/>
          <w:szCs w:val="24"/>
        </w:rPr>
        <w:t>[Alleged employee’s name]</w:t>
      </w:r>
      <w:r w:rsidRPr="00B1795D">
        <w:rPr>
          <w:rFonts w:eastAsia="Times New Roman"/>
          <w:b/>
          <w:sz w:val="24"/>
          <w:szCs w:val="24"/>
        </w:rPr>
        <w:t xml:space="preserve">, was the employee of the defendant, </w:t>
      </w:r>
      <w:r w:rsidRPr="00B1795D">
        <w:rPr>
          <w:rFonts w:eastAsia="Times New Roman"/>
          <w:i/>
          <w:sz w:val="24"/>
          <w:szCs w:val="24"/>
        </w:rPr>
        <w:t>[alleged employer’s name]</w:t>
      </w:r>
      <w:r w:rsidRPr="00B1795D">
        <w:rPr>
          <w:rFonts w:eastAsia="Times New Roman"/>
          <w:sz w:val="24"/>
          <w:szCs w:val="24"/>
        </w:rPr>
        <w:t xml:space="preserve">, </w:t>
      </w:r>
      <w:r w:rsidRPr="00B1795D">
        <w:rPr>
          <w:rFonts w:eastAsia="Times New Roman"/>
          <w:b/>
          <w:sz w:val="24"/>
          <w:szCs w:val="24"/>
        </w:rPr>
        <w:t>at the time of the</w:t>
      </w:r>
      <w:r w:rsidRPr="00B1795D">
        <w:rPr>
          <w:rFonts w:eastAsia="Times New Roman"/>
          <w:sz w:val="24"/>
          <w:szCs w:val="24"/>
        </w:rPr>
        <w:t xml:space="preserve"> </w:t>
      </w:r>
      <w:r w:rsidRPr="00B1795D">
        <w:rPr>
          <w:rFonts w:eastAsia="Times New Roman"/>
          <w:i/>
          <w:sz w:val="24"/>
          <w:szCs w:val="24"/>
        </w:rPr>
        <w:t>[insert appropriate description of events, e.g., “occurrence,” “collision,” “accident,” etc.]</w:t>
      </w:r>
      <w:r w:rsidRPr="00B1795D">
        <w:rPr>
          <w:rFonts w:eastAsia="Times New Roman"/>
          <w:b/>
          <w:sz w:val="24"/>
          <w:szCs w:val="24"/>
        </w:rPr>
        <w:t xml:space="preserve"> [.] [; and])</w:t>
      </w:r>
    </w:p>
    <w:p w14:paraId="6F330AC5" w14:textId="08E813BA"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(3. </w:t>
      </w:r>
      <w:r w:rsidRPr="00B1795D">
        <w:rPr>
          <w:rFonts w:eastAsia="Times New Roman"/>
          <w:i/>
          <w:sz w:val="24"/>
          <w:szCs w:val="24"/>
        </w:rPr>
        <w:t>[Alleged employee’s name]</w:t>
      </w:r>
      <w:r w:rsidRPr="00B1795D">
        <w:rPr>
          <w:rFonts w:eastAsia="Times New Roman"/>
          <w:b/>
          <w:sz w:val="24"/>
          <w:szCs w:val="24"/>
        </w:rPr>
        <w:t xml:space="preserve"> was acting within the scope of </w:t>
      </w:r>
      <w:r w:rsidR="003E686C">
        <w:rPr>
          <w:rFonts w:eastAsia="Times New Roman"/>
          <w:bCs/>
          <w:i/>
          <w:iCs/>
          <w:sz w:val="24"/>
          <w:szCs w:val="24"/>
        </w:rPr>
        <w:t>[</w:t>
      </w:r>
      <w:r w:rsidR="003E686C" w:rsidRPr="003E686C">
        <w:rPr>
          <w:rFonts w:eastAsia="Times New Roman"/>
          <w:bCs/>
          <w:i/>
          <w:iCs/>
          <w:sz w:val="24"/>
          <w:szCs w:val="24"/>
        </w:rPr>
        <w:t>insert applicable pronoun</w:t>
      </w:r>
      <w:r w:rsidR="003E686C">
        <w:rPr>
          <w:rFonts w:eastAsia="Times New Roman"/>
          <w:bCs/>
          <w:i/>
          <w:iCs/>
          <w:sz w:val="24"/>
          <w:szCs w:val="24"/>
        </w:rPr>
        <w:t>]</w:t>
      </w:r>
      <w:r w:rsidRPr="00B1795D">
        <w:rPr>
          <w:rFonts w:eastAsia="Times New Roman"/>
          <w:b/>
          <w:sz w:val="24"/>
          <w:szCs w:val="24"/>
        </w:rPr>
        <w:t xml:space="preserve"> employment at the time of the </w:t>
      </w:r>
      <w:r w:rsidRPr="00B1795D">
        <w:rPr>
          <w:rFonts w:eastAsia="Times New Roman"/>
          <w:i/>
          <w:sz w:val="24"/>
          <w:szCs w:val="24"/>
        </w:rPr>
        <w:t>[insert appropriate description of events, e.g., “occurrence,” “collision,” “accident,” etc.]</w:t>
      </w:r>
      <w:r w:rsidRPr="00B1795D">
        <w:rPr>
          <w:rFonts w:eastAsia="Times New Roman"/>
          <w:b/>
          <w:sz w:val="24"/>
          <w:szCs w:val="24"/>
        </w:rPr>
        <w:t>.)</w:t>
      </w:r>
    </w:p>
    <w:p w14:paraId="14311F74" w14:textId="77777777"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If you find that any one or more of these </w:t>
      </w:r>
      <w:r w:rsidRPr="00B1795D">
        <w:rPr>
          <w:rFonts w:eastAsia="Times New Roman"/>
          <w:i/>
          <w:sz w:val="24"/>
          <w:szCs w:val="24"/>
        </w:rPr>
        <w:t>(number)</w:t>
      </w:r>
      <w:r w:rsidRPr="00B1795D">
        <w:rPr>
          <w:rFonts w:eastAsia="Times New Roman"/>
          <w:b/>
          <w:sz w:val="24"/>
          <w:szCs w:val="24"/>
        </w:rPr>
        <w:t xml:space="preserve"> statements has not been proved, then your verdict must be for the defendant, </w:t>
      </w:r>
      <w:r w:rsidRPr="00B1795D">
        <w:rPr>
          <w:rFonts w:eastAsia="Times New Roman"/>
          <w:i/>
          <w:sz w:val="24"/>
          <w:szCs w:val="24"/>
        </w:rPr>
        <w:t>(alleged employer’s name)</w:t>
      </w:r>
      <w:r w:rsidRPr="00B1795D">
        <w:rPr>
          <w:rFonts w:eastAsia="Times New Roman"/>
          <w:sz w:val="24"/>
          <w:szCs w:val="24"/>
        </w:rPr>
        <w:t xml:space="preserve">, </w:t>
      </w:r>
      <w:r w:rsidRPr="00B1795D">
        <w:rPr>
          <w:rFonts w:eastAsia="Times New Roman"/>
          <w:b/>
          <w:sz w:val="24"/>
          <w:szCs w:val="24"/>
        </w:rPr>
        <w:t xml:space="preserve">on the claim(s) of </w:t>
      </w:r>
      <w:r w:rsidRPr="00B1795D">
        <w:rPr>
          <w:rFonts w:eastAsia="Times New Roman"/>
          <w:i/>
          <w:sz w:val="24"/>
          <w:szCs w:val="24"/>
        </w:rPr>
        <w:t>(insert applicable theory of liability, e.g., “negligence”)</w:t>
      </w:r>
      <w:r w:rsidRPr="00B1795D">
        <w:rPr>
          <w:rFonts w:eastAsia="Times New Roman"/>
          <w:b/>
          <w:sz w:val="24"/>
          <w:szCs w:val="24"/>
        </w:rPr>
        <w:t>.</w:t>
      </w:r>
    </w:p>
    <w:p w14:paraId="3B907098" w14:textId="77777777" w:rsidR="00E01A1E" w:rsidRPr="00B1795D" w:rsidRDefault="00771A51" w:rsidP="00E01A1E">
      <w:pPr>
        <w:spacing w:after="240"/>
        <w:ind w:firstLine="720"/>
        <w:rPr>
          <w:rFonts w:eastAsia="Times New Roman"/>
          <w:b/>
          <w:sz w:val="24"/>
          <w:szCs w:val="24"/>
        </w:rPr>
      </w:pPr>
      <w:r w:rsidRPr="00B1795D">
        <w:rPr>
          <w:rFonts w:eastAsia="Times New Roman"/>
          <w:b/>
          <w:sz w:val="24"/>
          <w:szCs w:val="24"/>
        </w:rPr>
        <w:t xml:space="preserve">On the other hand, if you find that all of these </w:t>
      </w:r>
      <w:r w:rsidRPr="00B1795D">
        <w:rPr>
          <w:rFonts w:eastAsia="Times New Roman"/>
          <w:i/>
          <w:sz w:val="24"/>
          <w:szCs w:val="24"/>
        </w:rPr>
        <w:t>(number)</w:t>
      </w:r>
      <w:r w:rsidRPr="00B1795D">
        <w:rPr>
          <w:rFonts w:eastAsia="Times New Roman"/>
          <w:b/>
          <w:sz w:val="24"/>
          <w:szCs w:val="24"/>
        </w:rPr>
        <w:t xml:space="preserve"> statements have been proved, then your verdict must be for the plaintiff on the claim(s) of </w:t>
      </w:r>
      <w:r w:rsidRPr="00B1795D">
        <w:rPr>
          <w:rFonts w:eastAsia="Times New Roman"/>
          <w:i/>
          <w:sz w:val="24"/>
          <w:szCs w:val="24"/>
        </w:rPr>
        <w:t>(insert applicable theory of liability, e.g., “negligence”)</w:t>
      </w:r>
      <w:r w:rsidRPr="00B1795D">
        <w:rPr>
          <w:rFonts w:eastAsia="Times New Roman"/>
          <w:sz w:val="24"/>
          <w:szCs w:val="24"/>
        </w:rPr>
        <w:t xml:space="preserve">, </w:t>
      </w:r>
      <w:r w:rsidRPr="00B1795D">
        <w:rPr>
          <w:rFonts w:eastAsia="Times New Roman"/>
          <w:b/>
          <w:sz w:val="24"/>
          <w:szCs w:val="24"/>
        </w:rPr>
        <w:t xml:space="preserve">against the defendant, </w:t>
      </w:r>
      <w:r w:rsidRPr="00B1795D">
        <w:rPr>
          <w:rFonts w:eastAsia="Times New Roman"/>
          <w:i/>
          <w:sz w:val="24"/>
          <w:szCs w:val="24"/>
        </w:rPr>
        <w:t>(insert alleged employer’s name</w:t>
      </w:r>
      <w:r w:rsidRPr="00B1795D">
        <w:rPr>
          <w:rFonts w:eastAsia="Times New Roman"/>
          <w:sz w:val="24"/>
          <w:szCs w:val="24"/>
        </w:rPr>
        <w:t>)</w:t>
      </w:r>
      <w:r w:rsidRPr="00B1795D">
        <w:rPr>
          <w:rFonts w:eastAsia="Times New Roman"/>
          <w:b/>
          <w:sz w:val="24"/>
          <w:szCs w:val="24"/>
        </w:rPr>
        <w:t>.</w:t>
      </w:r>
    </w:p>
    <w:p w14:paraId="2F3C4DB0" w14:textId="77777777" w:rsidR="00E01A1E" w:rsidRDefault="00E01A1E" w:rsidP="00E01A1E">
      <w:pPr>
        <w:jc w:val="center"/>
        <w:rPr>
          <w:rFonts w:eastAsia="Times New Roman"/>
          <w:sz w:val="24"/>
          <w:szCs w:val="24"/>
        </w:rPr>
      </w:pPr>
    </w:p>
    <w:p w14:paraId="377D23F1"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56D8A792"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1. This instruction should be given in cases involving employer-employee relationships. For other agency relationships, use the instructions in Part B of this chapter.</w:t>
      </w:r>
    </w:p>
    <w:p w14:paraId="50A16FC5"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2. Use whichever parenthesized phrases are appropriate depending on whether the relationship or scope of employment, or both, is at issue.</w:t>
      </w:r>
    </w:p>
    <w:p w14:paraId="5C49A956"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3. When there is a dispute as to whether the alleged tortfeasor is an employee or an independent contractor, Instructions 8:4 (defining employer and employee) and 8:5 (defining independent contractor) should be given along with this instruction.</w:t>
      </w:r>
    </w:p>
    <w:p w14:paraId="10F2411B" w14:textId="77777777" w:rsidR="00E01A1E" w:rsidRPr="00B1795D" w:rsidRDefault="00771A51" w:rsidP="00E01A1E">
      <w:pPr>
        <w:spacing w:after="240"/>
        <w:ind w:firstLine="720"/>
        <w:rPr>
          <w:rFonts w:eastAsia="Times New Roman"/>
          <w:sz w:val="24"/>
          <w:szCs w:val="24"/>
        </w:rPr>
      </w:pPr>
      <w:r w:rsidRPr="00B1795D">
        <w:rPr>
          <w:rFonts w:eastAsia="Times New Roman"/>
          <w:sz w:val="24"/>
          <w:szCs w:val="24"/>
        </w:rPr>
        <w:t>4. When the scope of employment is at issue, Instruction 8:8 (defining scope of employment) should be given with this instruction.</w:t>
      </w:r>
    </w:p>
    <w:p w14:paraId="38B85BC3"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13A50F1A" w14:textId="77777777" w:rsidR="00E01A1E" w:rsidRDefault="00771A51" w:rsidP="00E01A1E">
      <w:pPr>
        <w:spacing w:after="240"/>
        <w:ind w:firstLine="720"/>
        <w:rPr>
          <w:rFonts w:eastAsia="Times New Roman"/>
          <w:iCs/>
          <w:sz w:val="24"/>
          <w:szCs w:val="24"/>
        </w:rPr>
      </w:pPr>
      <w:r w:rsidRPr="0041190B">
        <w:rPr>
          <w:rFonts w:eastAsia="Times New Roman"/>
          <w:iCs/>
          <w:sz w:val="24"/>
          <w:szCs w:val="24"/>
        </w:rPr>
        <w:t>See the Source and Authority to Instruction 8:22.</w:t>
      </w:r>
    </w:p>
    <w:p w14:paraId="3E4101F5" w14:textId="77777777" w:rsidR="00E01A1E" w:rsidRDefault="00771A51">
      <w:pPr>
        <w:rPr>
          <w:rFonts w:eastAsia="Times New Roman"/>
          <w:iCs/>
          <w:sz w:val="24"/>
          <w:szCs w:val="24"/>
        </w:rPr>
      </w:pPr>
      <w:r>
        <w:rPr>
          <w:rFonts w:eastAsia="Times New Roman"/>
          <w:iCs/>
          <w:sz w:val="24"/>
          <w:szCs w:val="24"/>
        </w:rPr>
        <w:br w:type="page"/>
      </w:r>
    </w:p>
    <w:p w14:paraId="5EF4DF9B" w14:textId="77777777" w:rsidR="00E01A1E" w:rsidRPr="009E3DA4" w:rsidRDefault="00771A51" w:rsidP="00E01A1E">
      <w:pPr>
        <w:spacing w:after="240"/>
        <w:ind w:left="720" w:hanging="720"/>
        <w:rPr>
          <w:rFonts w:eastAsia="Times New Roman"/>
          <w:b/>
          <w:sz w:val="24"/>
          <w:szCs w:val="24"/>
        </w:rPr>
      </w:pPr>
      <w:bookmarkStart w:id="28" w:name="a8_25"/>
      <w:bookmarkEnd w:id="28"/>
      <w:r w:rsidRPr="00C26751">
        <w:rPr>
          <w:rFonts w:eastAsia="Times New Roman"/>
          <w:b/>
          <w:sz w:val="24"/>
          <w:szCs w:val="24"/>
        </w:rPr>
        <w:lastRenderedPageBreak/>
        <w:t>8:</w:t>
      </w:r>
      <w:r>
        <w:rPr>
          <w:rFonts w:eastAsia="Times New Roman"/>
          <w:b/>
          <w:sz w:val="24"/>
          <w:szCs w:val="24"/>
        </w:rPr>
        <w:t>25</w:t>
      </w:r>
      <w:r w:rsidRPr="00C26751">
        <w:rPr>
          <w:rFonts w:eastAsia="Times New Roman"/>
          <w:b/>
          <w:sz w:val="24"/>
          <w:szCs w:val="24"/>
        </w:rPr>
        <w:tab/>
      </w:r>
      <w:r>
        <w:rPr>
          <w:b/>
          <w:sz w:val="24"/>
          <w:szCs w:val="24"/>
        </w:rPr>
        <w:t xml:space="preserve">EMPLOYER AND EMPLOYEE — </w:t>
      </w:r>
      <w:r w:rsidRPr="00085CD8">
        <w:rPr>
          <w:b/>
          <w:sz w:val="24"/>
          <w:szCs w:val="24"/>
        </w:rPr>
        <w:t>ONLY EMPLOYER SUED</w:t>
      </w:r>
      <w:r>
        <w:rPr>
          <w:b/>
          <w:sz w:val="24"/>
          <w:szCs w:val="24"/>
        </w:rPr>
        <w:t xml:space="preserve"> — NO </w:t>
      </w:r>
      <w:r w:rsidRPr="00085CD8">
        <w:rPr>
          <w:b/>
          <w:sz w:val="24"/>
          <w:szCs w:val="24"/>
        </w:rPr>
        <w:t>ISSUE AS TO RELATIONSHIP AND SCOPE OF EMPLOYMENT</w:t>
      </w:r>
    </w:p>
    <w:p w14:paraId="733321B6" w14:textId="77777777" w:rsidR="00E01A1E" w:rsidRPr="001E7D74" w:rsidRDefault="00771A51" w:rsidP="00E01A1E">
      <w:pPr>
        <w:spacing w:after="240"/>
        <w:ind w:firstLine="720"/>
        <w:rPr>
          <w:rFonts w:eastAsia="Times New Roman"/>
          <w:sz w:val="24"/>
          <w:szCs w:val="24"/>
        </w:rPr>
      </w:pPr>
      <w:r w:rsidRPr="001E7D74">
        <w:rPr>
          <w:rFonts w:eastAsia="Times New Roman"/>
          <w:i/>
          <w:sz w:val="24"/>
          <w:szCs w:val="24"/>
        </w:rPr>
        <w:t>(Employee’s name)</w:t>
      </w:r>
      <w:r w:rsidRPr="001E7D74">
        <w:rPr>
          <w:rFonts w:eastAsia="Times New Roman"/>
          <w:b/>
          <w:sz w:val="24"/>
          <w:szCs w:val="24"/>
        </w:rPr>
        <w:t xml:space="preserve"> was the employee of the defendant, </w:t>
      </w:r>
      <w:r w:rsidRPr="001E7D74">
        <w:rPr>
          <w:rFonts w:eastAsia="Times New Roman"/>
          <w:i/>
          <w:sz w:val="24"/>
          <w:szCs w:val="24"/>
        </w:rPr>
        <w:t>(employer’s name)</w:t>
      </w:r>
      <w:r w:rsidRPr="001E7D74">
        <w:rPr>
          <w:rFonts w:eastAsia="Times New Roman"/>
          <w:b/>
          <w:sz w:val="24"/>
          <w:szCs w:val="24"/>
        </w:rPr>
        <w:t xml:space="preserve">, at the time of the </w:t>
      </w:r>
      <w:r w:rsidRPr="001E7D74">
        <w:rPr>
          <w:rFonts w:eastAsia="Times New Roman"/>
          <w:i/>
          <w:sz w:val="24"/>
          <w:szCs w:val="24"/>
        </w:rPr>
        <w:t>(insert appropriate description of events, e.g., “occurrence,” “collision,” “accident,” etc.)</w:t>
      </w:r>
      <w:r w:rsidRPr="001E7D74">
        <w:rPr>
          <w:rFonts w:eastAsia="Times New Roman"/>
          <w:b/>
          <w:sz w:val="24"/>
          <w:szCs w:val="24"/>
        </w:rPr>
        <w:t xml:space="preserve">. Any act or omission of </w:t>
      </w:r>
      <w:r w:rsidRPr="001E7D74">
        <w:rPr>
          <w:rFonts w:eastAsia="Times New Roman"/>
          <w:i/>
          <w:sz w:val="24"/>
          <w:szCs w:val="24"/>
        </w:rPr>
        <w:t xml:space="preserve">(employee’s name) </w:t>
      </w:r>
      <w:r w:rsidRPr="001E7D74">
        <w:rPr>
          <w:rFonts w:eastAsia="Times New Roman"/>
          <w:b/>
          <w:sz w:val="24"/>
          <w:szCs w:val="24"/>
        </w:rPr>
        <w:t xml:space="preserve">is the act or omission of the defendant, </w:t>
      </w:r>
      <w:r w:rsidRPr="001E7D74">
        <w:rPr>
          <w:rFonts w:eastAsia="Times New Roman"/>
          <w:i/>
          <w:sz w:val="24"/>
          <w:szCs w:val="24"/>
        </w:rPr>
        <w:t>(employer’s name)</w:t>
      </w:r>
      <w:r w:rsidRPr="001E7D74">
        <w:rPr>
          <w:rFonts w:eastAsia="Times New Roman"/>
          <w:b/>
          <w:sz w:val="24"/>
          <w:szCs w:val="24"/>
        </w:rPr>
        <w:t>.</w:t>
      </w:r>
    </w:p>
    <w:p w14:paraId="0BA12C3F" w14:textId="77777777" w:rsidR="00E01A1E" w:rsidRDefault="00E01A1E" w:rsidP="00E01A1E">
      <w:pPr>
        <w:jc w:val="center"/>
        <w:rPr>
          <w:rFonts w:eastAsia="Times New Roman"/>
          <w:sz w:val="24"/>
          <w:szCs w:val="24"/>
        </w:rPr>
      </w:pPr>
    </w:p>
    <w:p w14:paraId="412B1A5E" w14:textId="77777777" w:rsidR="00E01A1E" w:rsidRPr="0054263B" w:rsidRDefault="00771A51" w:rsidP="00E01A1E">
      <w:pPr>
        <w:keepNext/>
        <w:spacing w:after="240"/>
        <w:jc w:val="center"/>
        <w:rPr>
          <w:rFonts w:eastAsia="Times New Roman"/>
          <w:b/>
          <w:sz w:val="24"/>
          <w:szCs w:val="24"/>
        </w:rPr>
      </w:pPr>
      <w:r w:rsidRPr="0054263B">
        <w:rPr>
          <w:rFonts w:eastAsia="Times New Roman"/>
          <w:b/>
          <w:sz w:val="24"/>
          <w:szCs w:val="24"/>
        </w:rPr>
        <w:t>Notes on Use</w:t>
      </w:r>
    </w:p>
    <w:p w14:paraId="2D9F6BCE" w14:textId="77777777" w:rsidR="00E01A1E" w:rsidRPr="001E7D74" w:rsidRDefault="00771A51" w:rsidP="00E01A1E">
      <w:pPr>
        <w:spacing w:after="240"/>
        <w:ind w:firstLine="720"/>
        <w:rPr>
          <w:rFonts w:eastAsia="Times New Roman"/>
          <w:sz w:val="24"/>
          <w:szCs w:val="24"/>
        </w:rPr>
      </w:pPr>
      <w:r w:rsidRPr="001E7D74">
        <w:rPr>
          <w:rFonts w:eastAsia="Times New Roman"/>
          <w:sz w:val="24"/>
          <w:szCs w:val="24"/>
        </w:rPr>
        <w:t>1. This instruction should be given in cases involving employer-employee relationships. For other agency relationships, use the instructions in Part B of this chapter.</w:t>
      </w:r>
    </w:p>
    <w:p w14:paraId="57F787A4" w14:textId="77777777" w:rsidR="00E01A1E" w:rsidRPr="001E7D74" w:rsidRDefault="00771A51" w:rsidP="00E01A1E">
      <w:pPr>
        <w:spacing w:after="240"/>
        <w:ind w:firstLine="720"/>
        <w:rPr>
          <w:rFonts w:eastAsia="Times New Roman"/>
          <w:sz w:val="24"/>
          <w:szCs w:val="24"/>
        </w:rPr>
      </w:pPr>
      <w:r w:rsidRPr="001E7D74">
        <w:rPr>
          <w:rFonts w:eastAsia="Times New Roman"/>
          <w:sz w:val="24"/>
          <w:szCs w:val="24"/>
        </w:rPr>
        <w:t>2. This instruction should be given whenever there is no dispute as to the relationship and scope of employment.</w:t>
      </w:r>
    </w:p>
    <w:p w14:paraId="4E1B7532" w14:textId="77777777" w:rsidR="00E01A1E" w:rsidRPr="0054263B" w:rsidRDefault="00771A51" w:rsidP="00E01A1E">
      <w:pPr>
        <w:keepNext/>
        <w:spacing w:after="240"/>
        <w:jc w:val="center"/>
        <w:rPr>
          <w:rFonts w:eastAsia="Times New Roman"/>
          <w:b/>
          <w:sz w:val="24"/>
          <w:szCs w:val="24"/>
        </w:rPr>
      </w:pPr>
      <w:r>
        <w:rPr>
          <w:rFonts w:eastAsia="Times New Roman"/>
          <w:b/>
          <w:sz w:val="24"/>
          <w:szCs w:val="24"/>
        </w:rPr>
        <w:t>Source and Authority</w:t>
      </w:r>
    </w:p>
    <w:p w14:paraId="0E6BD81B" w14:textId="77777777" w:rsidR="00E01A1E" w:rsidRDefault="00771A51" w:rsidP="00E01A1E">
      <w:pPr>
        <w:spacing w:after="240"/>
        <w:ind w:firstLine="720"/>
        <w:rPr>
          <w:rFonts w:eastAsia="Times New Roman"/>
          <w:iCs/>
          <w:sz w:val="24"/>
          <w:szCs w:val="24"/>
        </w:rPr>
      </w:pPr>
      <w:r w:rsidRPr="0041190B">
        <w:rPr>
          <w:rFonts w:eastAsia="Times New Roman"/>
          <w:iCs/>
          <w:sz w:val="24"/>
          <w:szCs w:val="24"/>
        </w:rPr>
        <w:t>See the Source and Authority to Instruction 8:22.</w:t>
      </w:r>
    </w:p>
    <w:sectPr w:rsidR="00E01A1E" w:rsidSect="00E01A1E">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D22D" w14:textId="77777777" w:rsidR="0049350E" w:rsidRDefault="0049350E">
      <w:r>
        <w:separator/>
      </w:r>
    </w:p>
  </w:endnote>
  <w:endnote w:type="continuationSeparator" w:id="0">
    <w:p w14:paraId="21FE446D" w14:textId="77777777" w:rsidR="0049350E" w:rsidRDefault="0049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D959" w14:textId="77777777" w:rsidR="003F6403" w:rsidRDefault="00E01A1E">
    <w:pPr>
      <w:pStyle w:val="Footer"/>
      <w:jc w:val="center"/>
      <w:rPr>
        <w:noProof/>
      </w:rPr>
    </w:pPr>
    <w:r w:rsidRPr="006909EA">
      <w:fldChar w:fldCharType="begin"/>
    </w:r>
    <w:r w:rsidRPr="006909EA">
      <w:instrText xml:space="preserve"> PAGE   \* MERGEFORMAT </w:instrText>
    </w:r>
    <w:r w:rsidRPr="006909EA">
      <w:fldChar w:fldCharType="separate"/>
    </w:r>
    <w:r>
      <w:rPr>
        <w:noProof/>
      </w:rPr>
      <w:t>46</w:t>
    </w:r>
    <w:r w:rsidRPr="006909EA">
      <w:rPr>
        <w:noProof/>
      </w:rPr>
      <w:fldChar w:fldCharType="end"/>
    </w:r>
  </w:p>
  <w:p w14:paraId="038881DF" w14:textId="77777777" w:rsidR="003F6403" w:rsidRDefault="00000000">
    <w:pPr>
      <w:pStyle w:val="Footer"/>
    </w:pPr>
    <w:r>
      <w:rPr>
        <w:noProof/>
      </w:rPr>
      <w:pict w14:anchorId="2CEDE755">
        <v:shapetype id="_x0000_t202" coordsize="21600,21600" o:spt="202" path="m,l,21600r21600,l21600,xe">
          <v:stroke joinstyle="miter"/>
          <v:path gradientshapeok="t" o:connecttype="rect"/>
        </v:shapetype>
        <v:shape id="zzmpTrailer_1078_19" o:spid="_x0000_s1053"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017513E2" w14:textId="4988AEAC" w:rsidR="003F6403" w:rsidRDefault="003F6403">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D7D4" w14:textId="77777777" w:rsidR="005A2C37" w:rsidRDefault="005A2C37" w:rsidP="005A2C37">
    <w:pPr>
      <w:pStyle w:val="MacPacTrailer"/>
    </w:pPr>
  </w:p>
  <w:p w14:paraId="620E40A8" w14:textId="77777777" w:rsidR="003F6403" w:rsidRDefault="00000000">
    <w:pPr>
      <w:pStyle w:val="Footer"/>
    </w:pPr>
    <w:r>
      <w:rPr>
        <w:noProof/>
      </w:rPr>
      <w:pict w14:anchorId="5AEA8C0B">
        <v:shapetype id="_x0000_t202" coordsize="21600,21600" o:spt="202" path="m,l,21600r21600,l21600,xe">
          <v:stroke joinstyle="miter"/>
          <v:path gradientshapeok="t" o:connecttype="rect"/>
        </v:shapetype>
        <v:shape id="zzmpTrailer_1078_1B" o:spid="_x0000_s1054"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196F68A5" w14:textId="4BA68973" w:rsidR="003F6403" w:rsidRDefault="003F6403">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E7BAB" w14:textId="77777777" w:rsidR="0049350E" w:rsidRDefault="0049350E">
      <w:r>
        <w:separator/>
      </w:r>
    </w:p>
  </w:footnote>
  <w:footnote w:type="continuationSeparator" w:id="0">
    <w:p w14:paraId="48304CA7" w14:textId="77777777" w:rsidR="0049350E" w:rsidRDefault="00493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583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FIRM||1~122422741||2~1||3~Chapter 8 (2)||5~KBECKWITH||6~KBECKWITH||7~WORDX||8~WEBDOC||10~1/1/0001 12:00:00 AM||11~1/1/0001 12:00:00 AM||13~77586||17~public||25~888888||26~85793||28~00||29~0225||60~PERSONAL CHARGES||61~Kendra N. Beckwith||63~Accounting Use Only||64~Other||74~Beckwith, Kendra||77~infoLink Web Page||82~docx||85~1/1/0001 12:00:00 AM||99~1/1/0001 12:00:00 AM||107~1/1/0001 12:00:00 AM||109~1/1/0001 12:00:00 AM||113~9/16/2023 1:17:22 AM||114~9/16/2023 1:17:22 AM||"/>
    <w:docVar w:name="ForteTempFile" w:val="C:\Users\Cinda\AppData\Local\Temp\dd800fc4-d0a7-49c4-ba19-d8f6b2f74fb7.docx"/>
    <w:docVar w:name="zzmp10LastTrailerInserted" w:val="^`~#mp!@.%*#8┗┨:5}Ŗ7mi3d5j´eÓ⌉×pţ⌐%ëÊåÌ⌖Éã⌑!⌛4h5⌇F⌚3m⌕§⌓@ÆeŤ⌑⌅ŗ⌗⌊»UY3PLJYL8@AS011"/>
    <w:docVar w:name="zzmp10LastTrailerInserted_1078" w:val="^`~#mp!@.%*#8┗┨:5}Ŗ7mi3d5j´eÓ⌉×pţ⌐%ëÊåÌ⌖Éã⌑!⌛4h5⌇F⌚3m⌕§⌓@ÆeŤ⌑⌅ŗ⌗⌊»UY3PLJYL8@AS011"/>
    <w:docVar w:name="zzmp10mSEGsValidated" w:val="1"/>
    <w:docVar w:name="zzmpLegacyTrailerRemoved" w:val="True"/>
  </w:docVars>
  <w:rsids>
    <w:rsidRoot w:val="00D12113"/>
    <w:rsid w:val="0000701C"/>
    <w:rsid w:val="0000738E"/>
    <w:rsid w:val="0004785B"/>
    <w:rsid w:val="00054557"/>
    <w:rsid w:val="00064DD2"/>
    <w:rsid w:val="00081466"/>
    <w:rsid w:val="00090C4E"/>
    <w:rsid w:val="000A4BE5"/>
    <w:rsid w:val="000C1CC8"/>
    <w:rsid w:val="00107FE8"/>
    <w:rsid w:val="0011469E"/>
    <w:rsid w:val="00130D7F"/>
    <w:rsid w:val="00140F42"/>
    <w:rsid w:val="0016520C"/>
    <w:rsid w:val="00191320"/>
    <w:rsid w:val="001915D6"/>
    <w:rsid w:val="001A49DA"/>
    <w:rsid w:val="001A7D87"/>
    <w:rsid w:val="001B1C65"/>
    <w:rsid w:val="001E33CE"/>
    <w:rsid w:val="001F5286"/>
    <w:rsid w:val="001F5A20"/>
    <w:rsid w:val="00245B4F"/>
    <w:rsid w:val="00247A98"/>
    <w:rsid w:val="002576C2"/>
    <w:rsid w:val="00271250"/>
    <w:rsid w:val="00283861"/>
    <w:rsid w:val="002C4C13"/>
    <w:rsid w:val="002D43A4"/>
    <w:rsid w:val="002F72BA"/>
    <w:rsid w:val="00304DB7"/>
    <w:rsid w:val="00314BA0"/>
    <w:rsid w:val="00322B69"/>
    <w:rsid w:val="00326311"/>
    <w:rsid w:val="00333987"/>
    <w:rsid w:val="0035458F"/>
    <w:rsid w:val="0037177A"/>
    <w:rsid w:val="0037602F"/>
    <w:rsid w:val="003772B2"/>
    <w:rsid w:val="00377EF6"/>
    <w:rsid w:val="00380695"/>
    <w:rsid w:val="00381601"/>
    <w:rsid w:val="003967D6"/>
    <w:rsid w:val="00397C89"/>
    <w:rsid w:val="003B2BAE"/>
    <w:rsid w:val="003C1DF1"/>
    <w:rsid w:val="003E0FD1"/>
    <w:rsid w:val="003E686C"/>
    <w:rsid w:val="003F392C"/>
    <w:rsid w:val="003F6403"/>
    <w:rsid w:val="004031ED"/>
    <w:rsid w:val="0041214E"/>
    <w:rsid w:val="00431B98"/>
    <w:rsid w:val="004349B7"/>
    <w:rsid w:val="004521B1"/>
    <w:rsid w:val="00487FF9"/>
    <w:rsid w:val="0049350E"/>
    <w:rsid w:val="004A04BC"/>
    <w:rsid w:val="004B7CD3"/>
    <w:rsid w:val="004C41DD"/>
    <w:rsid w:val="004E4ACB"/>
    <w:rsid w:val="004E4EB5"/>
    <w:rsid w:val="004E5CEC"/>
    <w:rsid w:val="00507AD5"/>
    <w:rsid w:val="00524D52"/>
    <w:rsid w:val="00541166"/>
    <w:rsid w:val="005840CD"/>
    <w:rsid w:val="005A2C37"/>
    <w:rsid w:val="005B6EF1"/>
    <w:rsid w:val="005C5868"/>
    <w:rsid w:val="005C5989"/>
    <w:rsid w:val="005D1A80"/>
    <w:rsid w:val="005E29A7"/>
    <w:rsid w:val="006215F9"/>
    <w:rsid w:val="006241AC"/>
    <w:rsid w:val="00627001"/>
    <w:rsid w:val="00635FA4"/>
    <w:rsid w:val="0068383D"/>
    <w:rsid w:val="00687633"/>
    <w:rsid w:val="006971DD"/>
    <w:rsid w:val="006A006C"/>
    <w:rsid w:val="006E28D1"/>
    <w:rsid w:val="006E6DDB"/>
    <w:rsid w:val="006F5A17"/>
    <w:rsid w:val="00716F96"/>
    <w:rsid w:val="00717104"/>
    <w:rsid w:val="00720933"/>
    <w:rsid w:val="00764EDC"/>
    <w:rsid w:val="0076512D"/>
    <w:rsid w:val="00771A51"/>
    <w:rsid w:val="007E7A2D"/>
    <w:rsid w:val="00805752"/>
    <w:rsid w:val="00807BA3"/>
    <w:rsid w:val="00807F4B"/>
    <w:rsid w:val="00813FE0"/>
    <w:rsid w:val="00822D91"/>
    <w:rsid w:val="00834ACB"/>
    <w:rsid w:val="008367EC"/>
    <w:rsid w:val="008713F2"/>
    <w:rsid w:val="00875042"/>
    <w:rsid w:val="00894658"/>
    <w:rsid w:val="008A200F"/>
    <w:rsid w:val="008A7A20"/>
    <w:rsid w:val="008C2D4E"/>
    <w:rsid w:val="008F2B54"/>
    <w:rsid w:val="008F5428"/>
    <w:rsid w:val="0090551B"/>
    <w:rsid w:val="00907C37"/>
    <w:rsid w:val="009231F0"/>
    <w:rsid w:val="00926D8C"/>
    <w:rsid w:val="00967DFE"/>
    <w:rsid w:val="009948B8"/>
    <w:rsid w:val="009C4C42"/>
    <w:rsid w:val="009D0F94"/>
    <w:rsid w:val="009D1FA9"/>
    <w:rsid w:val="00A254B8"/>
    <w:rsid w:val="00A504FD"/>
    <w:rsid w:val="00A5250C"/>
    <w:rsid w:val="00A77123"/>
    <w:rsid w:val="00AA5222"/>
    <w:rsid w:val="00AB2035"/>
    <w:rsid w:val="00AB330F"/>
    <w:rsid w:val="00AB5C2B"/>
    <w:rsid w:val="00AF12DA"/>
    <w:rsid w:val="00B045F4"/>
    <w:rsid w:val="00B33010"/>
    <w:rsid w:val="00B54C91"/>
    <w:rsid w:val="00B70731"/>
    <w:rsid w:val="00BA1514"/>
    <w:rsid w:val="00BD66D5"/>
    <w:rsid w:val="00BF515F"/>
    <w:rsid w:val="00C02D54"/>
    <w:rsid w:val="00C06AA9"/>
    <w:rsid w:val="00C34841"/>
    <w:rsid w:val="00C37D33"/>
    <w:rsid w:val="00C5367C"/>
    <w:rsid w:val="00CA7F33"/>
    <w:rsid w:val="00CF7AE3"/>
    <w:rsid w:val="00D12113"/>
    <w:rsid w:val="00D21D0E"/>
    <w:rsid w:val="00D22DE9"/>
    <w:rsid w:val="00D43091"/>
    <w:rsid w:val="00D813E6"/>
    <w:rsid w:val="00DA3154"/>
    <w:rsid w:val="00DC1AE2"/>
    <w:rsid w:val="00DD022B"/>
    <w:rsid w:val="00E01A1E"/>
    <w:rsid w:val="00E11484"/>
    <w:rsid w:val="00E1279E"/>
    <w:rsid w:val="00E14870"/>
    <w:rsid w:val="00E25398"/>
    <w:rsid w:val="00E26BE0"/>
    <w:rsid w:val="00E26DB9"/>
    <w:rsid w:val="00E35115"/>
    <w:rsid w:val="00E36478"/>
    <w:rsid w:val="00E821F7"/>
    <w:rsid w:val="00E93DE9"/>
    <w:rsid w:val="00EA6C76"/>
    <w:rsid w:val="00EE5AC5"/>
    <w:rsid w:val="00EF1E2D"/>
    <w:rsid w:val="00EF402E"/>
    <w:rsid w:val="00F25E27"/>
    <w:rsid w:val="00F32CBF"/>
    <w:rsid w:val="00F6773D"/>
    <w:rsid w:val="00F768F7"/>
    <w:rsid w:val="00F77DD8"/>
    <w:rsid w:val="00FA6D19"/>
    <w:rsid w:val="00FB5056"/>
    <w:rsid w:val="00FC1B44"/>
    <w:rsid w:val="00FD5ADE"/>
    <w:rsid w:val="00FE150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7CD9D"/>
  <w15:docId w15:val="{A5148DF2-CE51-4560-8E3F-B9AA07E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166F6B"/>
    <w:rPr>
      <w:sz w:val="22"/>
      <w:szCs w:val="26"/>
    </w:rPr>
  </w:style>
  <w:style w:type="character" w:styleId="Emphasis">
    <w:name w:val="Emphasis"/>
    <w:basedOn w:val="DefaultParagraphFont"/>
    <w:uiPriority w:val="20"/>
    <w:qFormat/>
    <w:rsid w:val="0053092F"/>
    <w:rPr>
      <w:i/>
      <w:iCs/>
    </w:rPr>
  </w:style>
  <w:style w:type="character" w:customStyle="1" w:styleId="UnresolvedMention1">
    <w:name w:val="Unresolved Mention1"/>
    <w:basedOn w:val="DefaultParagraphFont"/>
    <w:uiPriority w:val="99"/>
    <w:semiHidden/>
    <w:unhideWhenUsed/>
    <w:rsid w:val="00CC1E15"/>
    <w:rPr>
      <w:color w:val="605E5C"/>
      <w:shd w:val="clear" w:color="auto" w:fill="E1DFDD"/>
    </w:rPr>
  </w:style>
  <w:style w:type="character" w:customStyle="1" w:styleId="UnresolvedMention2">
    <w:name w:val="Unresolved Mention2"/>
    <w:basedOn w:val="DefaultParagraphFont"/>
    <w:uiPriority w:val="99"/>
    <w:semiHidden/>
    <w:unhideWhenUsed/>
    <w:rsid w:val="00CA7F33"/>
    <w:rPr>
      <w:color w:val="605E5C"/>
      <w:shd w:val="clear" w:color="auto" w:fill="E1DFDD"/>
    </w:rPr>
  </w:style>
  <w:style w:type="paragraph" w:customStyle="1" w:styleId="MacPacTrailer">
    <w:name w:val="MacPac Trailer"/>
    <w:rsid w:val="003F6403"/>
    <w:pPr>
      <w:widowControl w:val="0"/>
      <w:spacing w:line="200" w:lineRule="exact"/>
    </w:pPr>
    <w:rPr>
      <w:rFonts w:eastAsia="Times New Roman"/>
      <w:sz w:val="16"/>
      <w:szCs w:val="22"/>
    </w:rPr>
  </w:style>
  <w:style w:type="character" w:styleId="PlaceholderText">
    <w:name w:val="Placeholder Text"/>
    <w:basedOn w:val="DefaultParagraphFont"/>
    <w:uiPriority w:val="99"/>
    <w:semiHidden/>
    <w:rsid w:val="00967D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2031">
      <w:bodyDiv w:val="1"/>
      <w:marLeft w:val="0"/>
      <w:marRight w:val="0"/>
      <w:marTop w:val="0"/>
      <w:marBottom w:val="0"/>
      <w:divBdr>
        <w:top w:val="none" w:sz="0" w:space="0" w:color="auto"/>
        <w:left w:val="none" w:sz="0" w:space="0" w:color="auto"/>
        <w:bottom w:val="none" w:sz="0" w:space="0" w:color="auto"/>
        <w:right w:val="none" w:sz="0" w:space="0" w:color="auto"/>
      </w:divBdr>
      <w:divsChild>
        <w:div w:id="685133840">
          <w:marLeft w:val="0"/>
          <w:marRight w:val="0"/>
          <w:marTop w:val="0"/>
          <w:marBottom w:val="0"/>
          <w:divBdr>
            <w:top w:val="none" w:sz="0" w:space="0" w:color="auto"/>
            <w:left w:val="none" w:sz="0" w:space="0" w:color="auto"/>
            <w:bottom w:val="none" w:sz="0" w:space="0" w:color="auto"/>
            <w:right w:val="none" w:sz="0" w:space="0" w:color="auto"/>
          </w:divBdr>
          <w:divsChild>
            <w:div w:id="905994645">
              <w:marLeft w:val="0"/>
              <w:marRight w:val="0"/>
              <w:marTop w:val="0"/>
              <w:marBottom w:val="0"/>
              <w:divBdr>
                <w:top w:val="none" w:sz="0" w:space="0" w:color="auto"/>
                <w:left w:val="none" w:sz="0" w:space="0" w:color="auto"/>
                <w:bottom w:val="none" w:sz="0" w:space="0" w:color="auto"/>
                <w:right w:val="none" w:sz="0" w:space="0" w:color="auto"/>
              </w:divBdr>
              <w:divsChild>
                <w:div w:id="16319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12588">
      <w:bodyDiv w:val="1"/>
      <w:marLeft w:val="0"/>
      <w:marRight w:val="0"/>
      <w:marTop w:val="0"/>
      <w:marBottom w:val="0"/>
      <w:divBdr>
        <w:top w:val="none" w:sz="0" w:space="0" w:color="auto"/>
        <w:left w:val="none" w:sz="0" w:space="0" w:color="auto"/>
        <w:bottom w:val="none" w:sz="0" w:space="0" w:color="auto"/>
        <w:right w:val="none" w:sz="0" w:space="0" w:color="auto"/>
      </w:divBdr>
      <w:divsChild>
        <w:div w:id="1260331099">
          <w:marLeft w:val="0"/>
          <w:marRight w:val="0"/>
          <w:marTop w:val="0"/>
          <w:marBottom w:val="0"/>
          <w:divBdr>
            <w:top w:val="none" w:sz="0" w:space="0" w:color="auto"/>
            <w:left w:val="none" w:sz="0" w:space="0" w:color="auto"/>
            <w:bottom w:val="none" w:sz="0" w:space="0" w:color="auto"/>
            <w:right w:val="none" w:sz="0" w:space="0" w:color="auto"/>
          </w:divBdr>
          <w:divsChild>
            <w:div w:id="141241075">
              <w:marLeft w:val="0"/>
              <w:marRight w:val="0"/>
              <w:marTop w:val="0"/>
              <w:marBottom w:val="0"/>
              <w:divBdr>
                <w:top w:val="none" w:sz="0" w:space="0" w:color="auto"/>
                <w:left w:val="none" w:sz="0" w:space="0" w:color="auto"/>
                <w:bottom w:val="none" w:sz="0" w:space="0" w:color="auto"/>
                <w:right w:val="none" w:sz="0" w:space="0" w:color="auto"/>
              </w:divBdr>
              <w:divsChild>
                <w:div w:id="4046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6952">
      <w:bodyDiv w:val="1"/>
      <w:marLeft w:val="0"/>
      <w:marRight w:val="0"/>
      <w:marTop w:val="0"/>
      <w:marBottom w:val="0"/>
      <w:divBdr>
        <w:top w:val="none" w:sz="0" w:space="0" w:color="auto"/>
        <w:left w:val="none" w:sz="0" w:space="0" w:color="auto"/>
        <w:bottom w:val="none" w:sz="0" w:space="0" w:color="auto"/>
        <w:right w:val="none" w:sz="0" w:space="0" w:color="auto"/>
      </w:divBdr>
      <w:divsChild>
        <w:div w:id="1431389455">
          <w:marLeft w:val="0"/>
          <w:marRight w:val="0"/>
          <w:marTop w:val="0"/>
          <w:marBottom w:val="0"/>
          <w:divBdr>
            <w:top w:val="none" w:sz="0" w:space="0" w:color="auto"/>
            <w:left w:val="none" w:sz="0" w:space="0" w:color="auto"/>
            <w:bottom w:val="none" w:sz="0" w:space="0" w:color="auto"/>
            <w:right w:val="none" w:sz="0" w:space="0" w:color="auto"/>
          </w:divBdr>
          <w:divsChild>
            <w:div w:id="1468932237">
              <w:marLeft w:val="0"/>
              <w:marRight w:val="0"/>
              <w:marTop w:val="0"/>
              <w:marBottom w:val="0"/>
              <w:divBdr>
                <w:top w:val="none" w:sz="0" w:space="0" w:color="auto"/>
                <w:left w:val="none" w:sz="0" w:space="0" w:color="auto"/>
                <w:bottom w:val="none" w:sz="0" w:space="0" w:color="auto"/>
                <w:right w:val="none" w:sz="0" w:space="0" w:color="auto"/>
              </w:divBdr>
              <w:divsChild>
                <w:div w:id="15174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 F I R M ! 1 2 2 4 2 2 7 4 1 . 1 < / d o c u m e n t i d >  
     < s e n d e r i d > K B E C K W I T H < / s e n d e r i d >  
     < s e n d e r e m a i l > K B E C K W I T H @ L E W I S R O C A . C O M < / s e n d e r e m a i l >  
     < l a s t m o d i f i e d > 2 0 2 3 - 0 9 - 1 5 T 1 9 : 1 7 : 0 0 . 0 0 0 0 0 0 0 - 0 6 : 0 0 < / l a s t m o d i f i e d >  
     < d a t a b a s e > F I R M < / d a t a b a s e >  
 < / p r o p e r t i e s > 
</file>

<file path=customXml/itemProps1.xml><?xml version="1.0" encoding="utf-8"?>
<ds:datastoreItem xmlns:ds="http://schemas.openxmlformats.org/officeDocument/2006/customXml" ds:itemID="{2BE484F4-691E-4879-BC1D-159F07E2FEF8}">
  <ds:schemaRefs>
    <ds:schemaRef ds:uri="http://schemas.openxmlformats.org/officeDocument/2006/bibliography"/>
  </ds:schemaRefs>
</ds:datastoreItem>
</file>

<file path=customXml/itemProps2.xml><?xml version="1.0" encoding="utf-8"?>
<ds:datastoreItem xmlns:ds="http://schemas.openxmlformats.org/officeDocument/2006/customXml" ds:itemID="{8CB7DA08-26B4-4AED-9F61-D25678E8CE8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14345</Words>
  <Characters>81769</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Chapter 8</vt:lpstr>
    </vt:vector>
  </TitlesOfParts>
  <Company/>
  <LinksUpToDate>false</LinksUpToDate>
  <CharactersWithSpaces>95923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dc:title>
  <dc:creator>Krista Schelhaas</dc:creator>
  <cp:lastModifiedBy>krista schelhaas</cp:lastModifiedBy>
  <cp:revision>2</cp:revision>
  <dcterms:created xsi:type="dcterms:W3CDTF">2026-02-22T18:17:00Z</dcterms:created>
  <dcterms:modified xsi:type="dcterms:W3CDTF">2026-02-22T18:17:00Z</dcterms:modified>
</cp:coreProperties>
</file>