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03AF" w14:textId="513CEF85" w:rsidR="00222BF2" w:rsidRPr="00222BF2" w:rsidRDefault="00971E51" w:rsidP="00222BF2">
      <w:pPr>
        <w:pStyle w:val="BodyText"/>
        <w:spacing w:before="140" w:line="360" w:lineRule="auto"/>
        <w:ind w:left="0" w:right="255" w:firstLine="0"/>
        <w:rPr>
          <w:b/>
          <w:bCs/>
        </w:rPr>
      </w:pPr>
      <w:r>
        <w:rPr>
          <w:b/>
          <w:bCs/>
        </w:rPr>
        <w:t xml:space="preserve">Order Regarding Request for a </w:t>
      </w:r>
      <w:r w:rsidR="00222BF2" w:rsidRPr="00222BF2">
        <w:rPr>
          <w:b/>
          <w:bCs/>
        </w:rPr>
        <w:t xml:space="preserve">Continuance: </w:t>
      </w:r>
    </w:p>
    <w:p w14:paraId="3C0DB7F7" w14:textId="09A93C35" w:rsidR="00222BF2" w:rsidRPr="007C76C3" w:rsidRDefault="00222BF2" w:rsidP="00EE6669">
      <w:pPr>
        <w:pStyle w:val="BodyText"/>
        <w:ind w:left="0" w:right="255" w:firstLine="0"/>
      </w:pPr>
      <w:r>
        <w:t xml:space="preserve">Motions for continuance should only be granted for good cause.  C.R.C.P. 121 § 1-11.  In determining whether good cause exists, the trial court must evaluate the totality of the circumstances, weighing the rights of the party requesting the continuance to a fair hearing against prejudice that may result from delay.  </w:t>
      </w:r>
      <w:r w:rsidRPr="00076B81">
        <w:rPr>
          <w:i/>
          <w:iCs/>
        </w:rPr>
        <w:t>Lane v. Gooding</w:t>
      </w:r>
      <w:r>
        <w:t xml:space="preserve">, 166 P. 245, 246 (Colo. 1917).  </w:t>
      </w:r>
      <w:r w:rsidRPr="007C76C3">
        <w:t>Decisions to grant or deny a continuance are reviewed for a</w:t>
      </w:r>
      <w:r>
        <w:t>n</w:t>
      </w:r>
      <w:r w:rsidRPr="007C76C3">
        <w:t xml:space="preserve"> abuse of discretion.</w:t>
      </w:r>
      <w:r>
        <w:t xml:space="preserve">  Valley Nat’s Bank of Cortez v. Chaffin, 718 P.2d 259, 261 (Colo. App. 1986). </w:t>
      </w:r>
      <w:r w:rsidRPr="007C76C3">
        <w:t xml:space="preserve">  </w:t>
      </w:r>
    </w:p>
    <w:p w14:paraId="520B91AF" w14:textId="77777777" w:rsidR="008B6F8F" w:rsidRDefault="008B6F8F" w:rsidP="00222BF2">
      <w:pPr>
        <w:spacing w:line="240" w:lineRule="auto"/>
        <w:ind w:left="0"/>
      </w:pPr>
    </w:p>
    <w:p w14:paraId="34498B51" w14:textId="3ED0F460" w:rsidR="00222BF2" w:rsidRPr="00222BF2" w:rsidRDefault="00222BF2" w:rsidP="00222BF2">
      <w:pPr>
        <w:spacing w:line="240" w:lineRule="auto"/>
        <w:ind w:left="0"/>
        <w:rPr>
          <w:b/>
          <w:bCs/>
        </w:rPr>
      </w:pPr>
      <w:r>
        <w:rPr>
          <w:b/>
          <w:bCs/>
        </w:rPr>
        <w:t xml:space="preserve">Deny- </w:t>
      </w:r>
      <w:r w:rsidRPr="00222BF2">
        <w:rPr>
          <w:b/>
          <w:bCs/>
        </w:rPr>
        <w:t xml:space="preserve">No Conferral: </w:t>
      </w:r>
    </w:p>
    <w:p w14:paraId="2FF21EEF" w14:textId="4515E7C9" w:rsidR="00222BF2" w:rsidRDefault="00222BF2" w:rsidP="00222BF2">
      <w:pPr>
        <w:spacing w:line="240" w:lineRule="auto"/>
        <w:ind w:left="0"/>
      </w:pPr>
      <w:r w:rsidRPr="00222BF2">
        <w:t>The Motion is denied without prejudice. Pursuant to Colo. R. Civ. P. 121 § 1-15(8), any "motion shall, at the beginning, contain a certification that the movant in good faith has conferred with opposing counsel and any self-represented parties about the motion. If the relief sought by the motion has been agreed to by the parties or will not be opposed, the court shall be so advised in the motion. If no conference has occurred, the reason why, including all efforts to confer, shall be stated." Colo. R. Civ. P. 121 § 1-15(8).</w:t>
      </w:r>
    </w:p>
    <w:p w14:paraId="3CB28599" w14:textId="32E7398E" w:rsidR="00222BF2" w:rsidRDefault="00222BF2" w:rsidP="00222BF2">
      <w:pPr>
        <w:spacing w:line="240" w:lineRule="auto"/>
        <w:ind w:left="0"/>
        <w:rPr>
          <w:b/>
          <w:bCs/>
        </w:rPr>
      </w:pPr>
    </w:p>
    <w:p w14:paraId="2082F80E" w14:textId="4346D81D" w:rsidR="00222BF2" w:rsidRPr="00971E51" w:rsidRDefault="00222BF2" w:rsidP="00222BF2">
      <w:pPr>
        <w:spacing w:line="240" w:lineRule="auto"/>
        <w:ind w:left="0"/>
        <w:rPr>
          <w:b/>
          <w:bCs/>
        </w:rPr>
      </w:pPr>
      <w:r>
        <w:rPr>
          <w:b/>
          <w:bCs/>
        </w:rPr>
        <w:t xml:space="preserve">Deny- No Service: </w:t>
      </w:r>
      <w:r w:rsidRPr="00222BF2">
        <w:br/>
        <w:t xml:space="preserve">The Court has reviewed this case file. Service of this action has not been completed on Respondent, Jennah Duggan, as required by C.R.C.P. 4. "A court may not exercise personal jurisdiction over a defendant without valid service of process." </w:t>
      </w:r>
      <w:proofErr w:type="spellStart"/>
      <w:r w:rsidRPr="00222BF2">
        <w:t>Ledroit</w:t>
      </w:r>
      <w:proofErr w:type="spellEnd"/>
      <w:r w:rsidRPr="00222BF2">
        <w:t xml:space="preserve"> Law v. Kim, 360 P.3d 247, 250 (Colo. App.2015). A court must have personal jurisdiction to enter any valid, binding judgment against a party. Whitten v. Coit, 385 P.2d 131, 140-41 (Colo. 1963); see 13-1-124, C.R.S. (2016) (describing the jurisdiction of Colorado courts). Before exercising personal jurisdiction, fair and adequate notice must be provided to the responding party. Stone's Farm Supply, Inc. v. Deacon 805 P.2d 1109, 113 (Colo. 1991).</w:t>
      </w:r>
    </w:p>
    <w:p w14:paraId="23508553" w14:textId="77777777" w:rsidR="00222BF2" w:rsidRDefault="00222BF2" w:rsidP="00222BF2">
      <w:pPr>
        <w:spacing w:line="240" w:lineRule="auto"/>
        <w:ind w:left="0"/>
      </w:pPr>
    </w:p>
    <w:p w14:paraId="29FC2A6D" w14:textId="7049CDA3" w:rsidR="00222BF2" w:rsidRDefault="00420706" w:rsidP="00420706">
      <w:pPr>
        <w:spacing w:line="240" w:lineRule="auto"/>
        <w:ind w:left="0"/>
      </w:pPr>
      <w:r w:rsidRPr="00F60066">
        <w:rPr>
          <w:b/>
          <w:bCs/>
        </w:rPr>
        <w:t>Partition:</w:t>
      </w:r>
      <w:r>
        <w:t xml:space="preserve"> </w:t>
      </w:r>
      <w:r w:rsidRPr="00941AF9">
        <w:t>Any person who has an interest in a property shall be made a party to an action involving partition. C.R.S. § 38-28-102</w:t>
      </w:r>
      <w:r w:rsidR="00F60066">
        <w:t>.</w:t>
      </w:r>
    </w:p>
    <w:p w14:paraId="1D8ABB80" w14:textId="77777777" w:rsidR="00F60066" w:rsidRDefault="00F60066" w:rsidP="00420706">
      <w:pPr>
        <w:spacing w:line="240" w:lineRule="auto"/>
        <w:ind w:left="0"/>
      </w:pPr>
    </w:p>
    <w:p w14:paraId="3F6641BE" w14:textId="1F411BDB" w:rsidR="00222BF2" w:rsidRDefault="009F5F4D" w:rsidP="00222BF2">
      <w:pPr>
        <w:spacing w:line="240" w:lineRule="auto"/>
        <w:ind w:left="0"/>
      </w:pPr>
      <w:r w:rsidRPr="00CE75F3">
        <w:rPr>
          <w:b/>
          <w:bCs/>
        </w:rPr>
        <w:t>Bankruptcy</w:t>
      </w:r>
      <w:r>
        <w:t xml:space="preserve">: </w:t>
      </w:r>
      <w:r w:rsidR="00080C61" w:rsidRPr="00080C61">
        <w:t>All proceedings for property distribution are stayed when one of the parties to a dissolution files for bankruptcy. However, the non-debtor spouse wishing to proceed with the dissolution action may petition the bankruptcy court for relief from the stay. If the bankruptcy court finds cause, it shall grant relief such as terminating, annulling, modifying, or conditioning the stay</w:t>
      </w:r>
      <w:r w:rsidR="00080C61">
        <w:t xml:space="preserve">. </w:t>
      </w:r>
      <w:r w:rsidR="00CE75F3" w:rsidRPr="00CE75F3">
        <w:rPr>
          <w:i/>
          <w:iCs/>
        </w:rPr>
        <w:t>In re Marriage of Ebel</w:t>
      </w:r>
      <w:r w:rsidR="00CE75F3" w:rsidRPr="00CE75F3">
        <w:t>, 874 P.2d 406, 408 (Colo. App. 1993)</w:t>
      </w:r>
      <w:r w:rsidR="00CE75F3">
        <w:t>.</w:t>
      </w:r>
    </w:p>
    <w:p w14:paraId="00EBFAB3" w14:textId="77777777" w:rsidR="00CE75F3" w:rsidRDefault="00CE75F3" w:rsidP="00222BF2">
      <w:pPr>
        <w:spacing w:line="240" w:lineRule="auto"/>
        <w:ind w:left="0"/>
      </w:pPr>
    </w:p>
    <w:p w14:paraId="335EDB80" w14:textId="4E0D84F2" w:rsidR="00CF0098" w:rsidRPr="00CF0098" w:rsidRDefault="00CF0098" w:rsidP="00CF0098">
      <w:pPr>
        <w:spacing w:line="240" w:lineRule="auto"/>
        <w:ind w:left="0"/>
      </w:pPr>
      <w:r w:rsidRPr="00CF0098">
        <w:rPr>
          <w:b/>
          <w:bCs/>
        </w:rPr>
        <w:t xml:space="preserve">Hearsay in </w:t>
      </w:r>
      <w:r w:rsidR="005F3BFD">
        <w:rPr>
          <w:b/>
          <w:bCs/>
        </w:rPr>
        <w:t>PRE/</w:t>
      </w:r>
      <w:r w:rsidRPr="00CF0098">
        <w:rPr>
          <w:b/>
          <w:bCs/>
        </w:rPr>
        <w:t xml:space="preserve">CFI Report: </w:t>
      </w:r>
      <w:r w:rsidRPr="00971E51">
        <w:t>U</w:t>
      </w:r>
      <w:r w:rsidRPr="00CF0098">
        <w:t xml:space="preserve">nless a party notifies the court and the opposing party within 10 days after receipt of a copy of the report that he intends to object to the admission of the report on the grounds of noncompliance with the 10-day rule or the hearsay nature of the report, any such objections are waived. </w:t>
      </w:r>
      <w:r w:rsidRPr="00CF0098">
        <w:rPr>
          <w:i/>
          <w:iCs/>
        </w:rPr>
        <w:t>Pacheco v. Pacheco</w:t>
      </w:r>
      <w:r w:rsidRPr="00CF0098">
        <w:t xml:space="preserve">, 554 </w:t>
      </w:r>
      <w:r w:rsidRPr="00CF0098">
        <w:lastRenderedPageBreak/>
        <w:t>P.2d 720, 722-23 (Colo. App. 1976)</w:t>
      </w:r>
      <w:r w:rsidR="005A1EE6">
        <w:t xml:space="preserve">.  </w:t>
      </w:r>
      <w:r w:rsidRPr="00CF0098">
        <w:t xml:space="preserve">Because any party has the right to call for cross-examination the investigator and any person he has consulted, and because the investigator's file is available to counsel, ample opportunity exists for a party to test the reliability of the report and to offer evidence in explanation of or to disprove any statements or conclusions based on hearsay. </w:t>
      </w:r>
      <w:r w:rsidRPr="00CF0098">
        <w:rPr>
          <w:i/>
          <w:iCs/>
        </w:rPr>
        <w:t>Id.</w:t>
      </w:r>
    </w:p>
    <w:p w14:paraId="4430A4BB" w14:textId="77777777" w:rsidR="00CF0098" w:rsidRDefault="00CF0098" w:rsidP="00222BF2">
      <w:pPr>
        <w:spacing w:line="240" w:lineRule="auto"/>
        <w:ind w:left="0"/>
      </w:pPr>
    </w:p>
    <w:p w14:paraId="1C880A9C" w14:textId="7CD2E966" w:rsidR="001D0103" w:rsidRDefault="001D0103" w:rsidP="00222BF2">
      <w:pPr>
        <w:spacing w:line="240" w:lineRule="auto"/>
        <w:ind w:left="0"/>
        <w:rPr>
          <w:i/>
          <w:iCs/>
        </w:rPr>
      </w:pPr>
      <w:r w:rsidRPr="001D0103">
        <w:rPr>
          <w:b/>
          <w:bCs/>
        </w:rPr>
        <w:t xml:space="preserve">Admissibility of Police Reports: </w:t>
      </w:r>
      <w:r w:rsidR="00971E51">
        <w:t xml:space="preserve">See </w:t>
      </w:r>
      <w:r w:rsidR="00971E51" w:rsidRPr="00971E51">
        <w:rPr>
          <w:i/>
          <w:iCs/>
        </w:rPr>
        <w:t>Lannon v. Taco Bell, Inc.</w:t>
      </w:r>
    </w:p>
    <w:p w14:paraId="4074E302" w14:textId="77777777" w:rsidR="000A131E" w:rsidRDefault="000A131E" w:rsidP="00222BF2">
      <w:pPr>
        <w:spacing w:line="240" w:lineRule="auto"/>
        <w:ind w:left="0"/>
        <w:rPr>
          <w:i/>
          <w:iCs/>
        </w:rPr>
      </w:pPr>
    </w:p>
    <w:p w14:paraId="33F29F4E" w14:textId="2954A3DE" w:rsidR="000A131E" w:rsidRPr="00065E58" w:rsidRDefault="000A131E" w:rsidP="000A131E">
      <w:pPr>
        <w:spacing w:line="240" w:lineRule="auto"/>
        <w:ind w:left="0"/>
        <w:jc w:val="both"/>
        <w:rPr>
          <w:rFonts w:eastAsia="Times New Roman"/>
          <w:b/>
          <w:bCs/>
          <w:color w:val="000000" w:themeColor="text1"/>
        </w:rPr>
      </w:pPr>
      <w:r w:rsidRPr="000A131E">
        <w:rPr>
          <w:b/>
          <w:bCs/>
        </w:rPr>
        <w:t xml:space="preserve">Insufficiency of Evidence to Value Property: </w:t>
      </w:r>
      <w:r>
        <w:t>The</w:t>
      </w:r>
      <w:r w:rsidRPr="00065E58">
        <w:t xml:space="preserve"> parties are responsible for presenting the Court with the sufficient data to make a finding of the valuation of marital property, and failure by the parties to provide this information to a court at trial does not provide grounds for reversal. </w:t>
      </w:r>
      <w:r w:rsidRPr="00065E58">
        <w:rPr>
          <w:i/>
          <w:iCs/>
        </w:rPr>
        <w:t>In re Marriage of Zappanti</w:t>
      </w:r>
      <w:r w:rsidRPr="00065E58">
        <w:t>, 80 P.3d 889, 892 (Colo.App.</w:t>
      </w:r>
      <w:r>
        <w:t xml:space="preserve"> </w:t>
      </w:r>
      <w:r w:rsidRPr="00065E58">
        <w:t>2003).</w:t>
      </w:r>
    </w:p>
    <w:p w14:paraId="2507B68A" w14:textId="77777777" w:rsidR="000A131E" w:rsidRDefault="000A131E" w:rsidP="00222BF2">
      <w:pPr>
        <w:spacing w:line="240" w:lineRule="auto"/>
        <w:ind w:left="0"/>
      </w:pPr>
    </w:p>
    <w:p w14:paraId="6B87CEFD" w14:textId="15438EAF" w:rsidR="00D8516A" w:rsidRDefault="00D8516A" w:rsidP="00222BF2">
      <w:pPr>
        <w:spacing w:line="240" w:lineRule="auto"/>
        <w:ind w:left="0"/>
      </w:pPr>
      <w:r w:rsidRPr="00D8516A">
        <w:rPr>
          <w:b/>
          <w:bCs/>
        </w:rPr>
        <w:t>New Motion Made in Response or Reply:</w:t>
      </w:r>
      <w:r w:rsidRPr="009C5F3C">
        <w:t xml:space="preserve"> </w:t>
      </w:r>
      <w:r w:rsidR="009C5F3C">
        <w:t>“</w:t>
      </w:r>
      <w:r w:rsidR="009C5F3C" w:rsidRPr="009C5F3C">
        <w:t>A motion shall not be included in a response or reply to the original motion.</w:t>
      </w:r>
      <w:r w:rsidR="009C5F3C">
        <w:t xml:space="preserve">” C.R.C.P. 121, </w:t>
      </w:r>
      <w:r w:rsidR="00EE25BD">
        <w:t>Section 1-15(1)(d)</w:t>
      </w:r>
    </w:p>
    <w:p w14:paraId="6FEF63AE" w14:textId="77777777" w:rsidR="005E4F68" w:rsidRDefault="005E4F68" w:rsidP="005E4F68">
      <w:pPr>
        <w:ind w:left="0"/>
      </w:pPr>
    </w:p>
    <w:p w14:paraId="411B1708" w14:textId="6EF9379A" w:rsidR="005E4F68" w:rsidRPr="005E4F68" w:rsidRDefault="005E4F68" w:rsidP="005E4F68">
      <w:pPr>
        <w:ind w:left="0"/>
        <w:rPr>
          <w:b/>
          <w:bCs/>
        </w:rPr>
      </w:pPr>
      <w:r>
        <w:rPr>
          <w:b/>
          <w:bCs/>
        </w:rPr>
        <w:t>Publication</w:t>
      </w:r>
    </w:p>
    <w:p w14:paraId="2B521BB0" w14:textId="4DD009F7" w:rsidR="005E4F68" w:rsidRDefault="005E4F68" w:rsidP="005E4F68">
      <w:pPr>
        <w:ind w:left="0"/>
      </w:pPr>
      <w:r w:rsidRPr="00567FFA">
        <w:t xml:space="preserve">The Petitioner has used due diligence to obtain personal service upon the Respondent and all such efforts have failed. The Court orders </w:t>
      </w:r>
      <w:r>
        <w:t xml:space="preserve">one </w:t>
      </w:r>
      <w:r w:rsidRPr="00567FFA">
        <w:t>publication</w:t>
      </w:r>
      <w:r>
        <w:t xml:space="preserve"> </w:t>
      </w:r>
      <w:r w:rsidRPr="00567FFA">
        <w:t>by consolidated notice</w:t>
      </w:r>
      <w:r>
        <w:t xml:space="preserve"> during a calendar month.</w:t>
      </w:r>
    </w:p>
    <w:p w14:paraId="07FCF12E" w14:textId="768D433E" w:rsidR="005E4F68" w:rsidRDefault="005E4F68" w:rsidP="005E4F68">
      <w:pPr>
        <w:ind w:left="0"/>
      </w:pPr>
      <w:r w:rsidRPr="00567FFA">
        <w:t xml:space="preserve">Petitioner shall make the necessary arrangements with the local paper for said notice in accordance with C.R.S. section 14-10-107(4). </w:t>
      </w:r>
    </w:p>
    <w:p w14:paraId="0DBD14B5" w14:textId="12673AFC" w:rsidR="005E4F68" w:rsidRDefault="005E4F68" w:rsidP="005E4F68">
      <w:pPr>
        <w:ind w:left="0"/>
      </w:pPr>
      <w:r w:rsidRPr="00567FFA">
        <w:t xml:space="preserve">The Clerk shall post the process on the local bulletin board for 35 consecutive days and shall send by certified mail a copy of the process to the last known address of the Respondent. </w:t>
      </w:r>
    </w:p>
    <w:p w14:paraId="29D01090" w14:textId="77777777" w:rsidR="005E4F68" w:rsidRDefault="005E4F68" w:rsidP="005E4F68">
      <w:pPr>
        <w:ind w:left="0"/>
      </w:pPr>
      <w:r w:rsidRPr="00567FFA">
        <w:t>If Petitioner is indigent or otherwise unable to pay such publications costs, the costs shall be paid by the court from funds appropriated for this purpose.</w:t>
      </w:r>
    </w:p>
    <w:p w14:paraId="79938A4C" w14:textId="77777777" w:rsidR="005B09A4" w:rsidRDefault="005B09A4" w:rsidP="005E4F68">
      <w:pPr>
        <w:ind w:left="0"/>
      </w:pPr>
    </w:p>
    <w:p w14:paraId="6828BD1B" w14:textId="1945D894" w:rsidR="005B09A4" w:rsidRPr="005B09A4" w:rsidRDefault="005B09A4" w:rsidP="005E4F68">
      <w:pPr>
        <w:ind w:left="0"/>
        <w:rPr>
          <w:b/>
          <w:bCs/>
        </w:rPr>
      </w:pPr>
      <w:r>
        <w:rPr>
          <w:b/>
          <w:bCs/>
        </w:rPr>
        <w:t>Restriction</w:t>
      </w:r>
    </w:p>
    <w:p w14:paraId="4B19795F" w14:textId="77777777" w:rsidR="005E4F68" w:rsidRDefault="005E4F68" w:rsidP="00222BF2">
      <w:pPr>
        <w:spacing w:line="240" w:lineRule="auto"/>
        <w:ind w:left="0"/>
      </w:pPr>
    </w:p>
    <w:p w14:paraId="26602F2D" w14:textId="77777777" w:rsidR="00FD6242" w:rsidRPr="00FD6242" w:rsidRDefault="00FD6242" w:rsidP="00FD6242">
      <w:pPr>
        <w:spacing w:line="240" w:lineRule="auto"/>
        <w:ind w:left="0"/>
      </w:pPr>
      <w:r w:rsidRPr="00FD6242">
        <w:t xml:space="preserve">he Court has reviewed a Motion to Restrict Parenting Time filed on _________. The Court finds that the motion sets forth a prima facie case that the child is in imminent physical or emotional danger due to parenting time pursuant to 14-10-129(4). </w:t>
      </w:r>
    </w:p>
    <w:p w14:paraId="52FE8A84" w14:textId="77777777" w:rsidR="00FD6242" w:rsidRPr="00FD6242" w:rsidRDefault="00FD6242" w:rsidP="00FD6242">
      <w:pPr>
        <w:spacing w:line="240" w:lineRule="auto"/>
        <w:ind w:left="0"/>
      </w:pPr>
    </w:p>
    <w:p w14:paraId="0A14DA80" w14:textId="77777777" w:rsidR="00FD6242" w:rsidRPr="00FD6242" w:rsidRDefault="00FD6242" w:rsidP="00FD6242">
      <w:pPr>
        <w:spacing w:line="240" w:lineRule="auto"/>
        <w:ind w:left="0"/>
      </w:pPr>
      <w:r w:rsidRPr="00FD6242">
        <w:t>This matter is set for hearing on the motion on _________ at ______with one hour reserved. Parties and counsel shall appear in person.</w:t>
      </w:r>
    </w:p>
    <w:p w14:paraId="5D0F0D3B" w14:textId="77777777" w:rsidR="00FD6242" w:rsidRPr="00FD6242" w:rsidRDefault="00FD6242" w:rsidP="00FD6242">
      <w:pPr>
        <w:spacing w:line="240" w:lineRule="auto"/>
        <w:ind w:left="0"/>
      </w:pPr>
    </w:p>
    <w:p w14:paraId="257B7B22" w14:textId="77777777" w:rsidR="00FD6242" w:rsidRPr="00FD6242" w:rsidRDefault="00FD6242" w:rsidP="00FD6242">
      <w:pPr>
        <w:spacing w:line="240" w:lineRule="auto"/>
        <w:ind w:left="0"/>
      </w:pPr>
      <w:r w:rsidRPr="00FD6242">
        <w:t xml:space="preserve">Until the above scheduled hearing or further order of the Court, any parenting time by the restricted party shall be supervised by a licensed mental health professional as defined by 14-10-127(1)(b). </w:t>
      </w:r>
    </w:p>
    <w:p w14:paraId="0D2F9402" w14:textId="77777777" w:rsidR="00FD6242" w:rsidRPr="00FD6242" w:rsidRDefault="00FD6242" w:rsidP="00FD6242">
      <w:pPr>
        <w:spacing w:line="240" w:lineRule="auto"/>
        <w:ind w:left="0"/>
      </w:pPr>
    </w:p>
    <w:p w14:paraId="754DBD3B" w14:textId="77777777" w:rsidR="00FD6242" w:rsidRPr="00FD6242" w:rsidRDefault="00FD6242" w:rsidP="00FD6242">
      <w:pPr>
        <w:spacing w:line="240" w:lineRule="auto"/>
        <w:ind w:left="0"/>
      </w:pPr>
      <w:r w:rsidRPr="00FD6242">
        <w:lastRenderedPageBreak/>
        <w:t>The moving party shall have a copy of this Order and the original motion personally served upon the restricted parties not less than 4 days before the date and time of the hearing set above.</w:t>
      </w:r>
    </w:p>
    <w:p w14:paraId="191335CF" w14:textId="77777777" w:rsidR="00EE25BD" w:rsidRDefault="00EE25BD" w:rsidP="00222BF2">
      <w:pPr>
        <w:spacing w:line="240" w:lineRule="auto"/>
        <w:ind w:left="0"/>
      </w:pPr>
    </w:p>
    <w:p w14:paraId="63C16EA9" w14:textId="77777777" w:rsidR="00EE25BD" w:rsidRDefault="00EE25BD" w:rsidP="00222BF2">
      <w:pPr>
        <w:spacing w:line="240" w:lineRule="auto"/>
        <w:ind w:left="0"/>
      </w:pPr>
    </w:p>
    <w:p w14:paraId="5C9CE41C" w14:textId="77777777" w:rsidR="00EE25BD" w:rsidRDefault="00EE25BD" w:rsidP="00222BF2">
      <w:pPr>
        <w:spacing w:line="240" w:lineRule="auto"/>
        <w:ind w:left="0"/>
      </w:pPr>
    </w:p>
    <w:p w14:paraId="21A063B6" w14:textId="77777777" w:rsidR="00EE25BD" w:rsidRPr="00D8516A" w:rsidRDefault="00EE25BD" w:rsidP="00222BF2">
      <w:pPr>
        <w:spacing w:line="240" w:lineRule="auto"/>
        <w:ind w:left="0"/>
        <w:rPr>
          <w:b/>
          <w:bCs/>
        </w:rPr>
      </w:pPr>
    </w:p>
    <w:p w14:paraId="72E176D6" w14:textId="77777777" w:rsidR="005A1EE6" w:rsidRDefault="005A1EE6" w:rsidP="00222BF2">
      <w:pPr>
        <w:spacing w:line="240" w:lineRule="auto"/>
        <w:ind w:left="0"/>
      </w:pPr>
    </w:p>
    <w:sectPr w:rsidR="005A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F2"/>
    <w:rsid w:val="00080C61"/>
    <w:rsid w:val="000A131E"/>
    <w:rsid w:val="00136E21"/>
    <w:rsid w:val="001D0103"/>
    <w:rsid w:val="00222BF2"/>
    <w:rsid w:val="0023021C"/>
    <w:rsid w:val="00287FE5"/>
    <w:rsid w:val="00420706"/>
    <w:rsid w:val="004D00E8"/>
    <w:rsid w:val="005971F4"/>
    <w:rsid w:val="005A1EE6"/>
    <w:rsid w:val="005B09A4"/>
    <w:rsid w:val="005E4F68"/>
    <w:rsid w:val="005F3BFD"/>
    <w:rsid w:val="00674C36"/>
    <w:rsid w:val="00690967"/>
    <w:rsid w:val="008B6F8F"/>
    <w:rsid w:val="00971E51"/>
    <w:rsid w:val="009C5F3C"/>
    <w:rsid w:val="009F5F4D"/>
    <w:rsid w:val="00B2091B"/>
    <w:rsid w:val="00CE75F3"/>
    <w:rsid w:val="00CF0098"/>
    <w:rsid w:val="00D3290D"/>
    <w:rsid w:val="00D8516A"/>
    <w:rsid w:val="00E17798"/>
    <w:rsid w:val="00EE25BD"/>
    <w:rsid w:val="00EE6669"/>
    <w:rsid w:val="00F60066"/>
    <w:rsid w:val="00F60BB8"/>
    <w:rsid w:val="00F9716A"/>
    <w:rsid w:val="00FD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F95B"/>
  <w15:chartTrackingRefBased/>
  <w15:docId w15:val="{6636F2D4-3177-44D3-9B26-BA15C0A1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line="259"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B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B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2B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2B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2B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2B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2B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B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B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2B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2B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2B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2B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2B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BF2"/>
    <w:pPr>
      <w:numPr>
        <w:ilvl w:val="1"/>
      </w:numPr>
      <w:spacing w:after="160"/>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B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2B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2BF2"/>
    <w:rPr>
      <w:i/>
      <w:iCs/>
      <w:color w:val="404040" w:themeColor="text1" w:themeTint="BF"/>
    </w:rPr>
  </w:style>
  <w:style w:type="paragraph" w:styleId="ListParagraph">
    <w:name w:val="List Paragraph"/>
    <w:basedOn w:val="Normal"/>
    <w:uiPriority w:val="34"/>
    <w:qFormat/>
    <w:rsid w:val="00222BF2"/>
    <w:pPr>
      <w:contextualSpacing/>
    </w:pPr>
  </w:style>
  <w:style w:type="character" w:styleId="IntenseEmphasis">
    <w:name w:val="Intense Emphasis"/>
    <w:basedOn w:val="DefaultParagraphFont"/>
    <w:uiPriority w:val="21"/>
    <w:qFormat/>
    <w:rsid w:val="00222BF2"/>
    <w:rPr>
      <w:i/>
      <w:iCs/>
      <w:color w:val="0F4761" w:themeColor="accent1" w:themeShade="BF"/>
    </w:rPr>
  </w:style>
  <w:style w:type="paragraph" w:styleId="IntenseQuote">
    <w:name w:val="Intense Quote"/>
    <w:basedOn w:val="Normal"/>
    <w:next w:val="Normal"/>
    <w:link w:val="IntenseQuoteChar"/>
    <w:uiPriority w:val="30"/>
    <w:qFormat/>
    <w:rsid w:val="0022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BF2"/>
    <w:rPr>
      <w:i/>
      <w:iCs/>
      <w:color w:val="0F4761" w:themeColor="accent1" w:themeShade="BF"/>
    </w:rPr>
  </w:style>
  <w:style w:type="character" w:styleId="IntenseReference">
    <w:name w:val="Intense Reference"/>
    <w:basedOn w:val="DefaultParagraphFont"/>
    <w:uiPriority w:val="32"/>
    <w:qFormat/>
    <w:rsid w:val="00222BF2"/>
    <w:rPr>
      <w:b/>
      <w:bCs/>
      <w:smallCaps/>
      <w:color w:val="0F4761" w:themeColor="accent1" w:themeShade="BF"/>
      <w:spacing w:val="5"/>
    </w:rPr>
  </w:style>
  <w:style w:type="paragraph" w:styleId="BodyText">
    <w:name w:val="Body Text"/>
    <w:basedOn w:val="Normal"/>
    <w:link w:val="BodyTextChar"/>
    <w:uiPriority w:val="1"/>
    <w:qFormat/>
    <w:rsid w:val="00222BF2"/>
    <w:pPr>
      <w:widowControl w:val="0"/>
      <w:autoSpaceDE w:val="0"/>
      <w:autoSpaceDN w:val="0"/>
      <w:spacing w:line="240" w:lineRule="auto"/>
      <w:ind w:left="100" w:firstLine="719"/>
      <w:jc w:val="both"/>
    </w:pPr>
    <w:rPr>
      <w:rFonts w:eastAsia="Times New Roman"/>
      <w:kern w:val="0"/>
      <w14:ligatures w14:val="none"/>
    </w:rPr>
  </w:style>
  <w:style w:type="character" w:customStyle="1" w:styleId="BodyTextChar">
    <w:name w:val="Body Text Char"/>
    <w:basedOn w:val="DefaultParagraphFont"/>
    <w:link w:val="BodyText"/>
    <w:uiPriority w:val="1"/>
    <w:rsid w:val="00222BF2"/>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2112">
      <w:bodyDiv w:val="1"/>
      <w:marLeft w:val="0"/>
      <w:marRight w:val="0"/>
      <w:marTop w:val="0"/>
      <w:marBottom w:val="0"/>
      <w:divBdr>
        <w:top w:val="none" w:sz="0" w:space="0" w:color="auto"/>
        <w:left w:val="none" w:sz="0" w:space="0" w:color="auto"/>
        <w:bottom w:val="none" w:sz="0" w:space="0" w:color="auto"/>
        <w:right w:val="none" w:sz="0" w:space="0" w:color="auto"/>
      </w:divBdr>
    </w:div>
    <w:div w:id="18981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gokli, rayna</dc:creator>
  <cp:keywords/>
  <dc:description/>
  <cp:lastModifiedBy>cheroutes, catherine</cp:lastModifiedBy>
  <cp:revision>22</cp:revision>
  <dcterms:created xsi:type="dcterms:W3CDTF">2024-12-06T22:43:00Z</dcterms:created>
  <dcterms:modified xsi:type="dcterms:W3CDTF">2025-12-01T21:40:00Z</dcterms:modified>
</cp:coreProperties>
</file>