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75BB" w14:textId="6D5AA73E" w:rsidR="00CA41CC" w:rsidRPr="00914128" w:rsidRDefault="0068336D" w:rsidP="00914128">
      <w:pPr>
        <w:pStyle w:val="Heading1"/>
      </w:pPr>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9C22FE" w:rsidP="00914128">
      <w:pPr>
        <w:pStyle w:val="ToC"/>
      </w:pPr>
      <w:hyperlink w:anchor="a26_01" w:history="1">
        <w:r w:rsidRPr="00D9448D">
          <w:rPr>
            <w:rStyle w:val="Hyperlink"/>
          </w:rPr>
          <w:t>26:1</w:t>
        </w:r>
      </w:hyperlink>
      <w:r w:rsidRPr="00D9448D">
        <w:t xml:space="preserve"> </w:t>
      </w:r>
      <w:r w:rsidRPr="00D9448D">
        <w:tab/>
        <w:t xml:space="preserve">Elements </w:t>
      </w:r>
      <w:r>
        <w:t>o</w:t>
      </w:r>
      <w:r w:rsidRPr="00D9448D">
        <w:t>f Liability</w:t>
      </w:r>
    </w:p>
    <w:p w14:paraId="1BD3FC88" w14:textId="77777777" w:rsidR="00D9448D" w:rsidRDefault="009C22FE" w:rsidP="00914128">
      <w:pPr>
        <w:pStyle w:val="ToC"/>
      </w:pPr>
      <w:hyperlink w:anchor="a26_02" w:history="1">
        <w:r w:rsidRPr="00D9448D">
          <w:rPr>
            <w:rStyle w:val="Hyperlink"/>
          </w:rPr>
          <w:t>26:2</w:t>
        </w:r>
      </w:hyperlink>
      <w:r w:rsidRPr="00D9448D">
        <w:t xml:space="preserve"> </w:t>
      </w:r>
      <w:r w:rsidRPr="00D9448D">
        <w:tab/>
        <w:t>Fiduciary Relationship — Defined</w:t>
      </w:r>
    </w:p>
    <w:p w14:paraId="2E8BB7D0" w14:textId="77777777" w:rsidR="00D9448D" w:rsidRDefault="009C22FE" w:rsidP="00914128">
      <w:pPr>
        <w:pStyle w:val="ToC"/>
      </w:pPr>
      <w:hyperlink w:anchor="a26_03" w:history="1">
        <w:r w:rsidRPr="00D9448D">
          <w:rPr>
            <w:rStyle w:val="Hyperlink"/>
          </w:rPr>
          <w:t>26:3</w:t>
        </w:r>
      </w:hyperlink>
      <w:r w:rsidRPr="00D9448D">
        <w:t xml:space="preserve"> </w:t>
      </w:r>
      <w:r w:rsidRPr="00D9448D">
        <w:tab/>
        <w:t xml:space="preserve">Fiduciary Relationship Arising Out </w:t>
      </w:r>
      <w:r>
        <w:t>o</w:t>
      </w:r>
      <w:r w:rsidRPr="00D9448D">
        <w:t xml:space="preserve">f </w:t>
      </w:r>
      <w:r>
        <w:t>a</w:t>
      </w:r>
      <w:r w:rsidRPr="00D9448D">
        <w:t xml:space="preserve"> Confidential Relationship</w:t>
      </w:r>
    </w:p>
    <w:p w14:paraId="41176833" w14:textId="77777777" w:rsidR="00D9448D" w:rsidRDefault="009C22FE" w:rsidP="00914128">
      <w:pPr>
        <w:pStyle w:val="ToC"/>
      </w:pPr>
      <w:hyperlink w:anchor="a26_04" w:history="1">
        <w:r w:rsidRPr="00D9448D">
          <w:rPr>
            <w:rStyle w:val="Hyperlink"/>
          </w:rPr>
          <w:t>26:4</w:t>
        </w:r>
      </w:hyperlink>
      <w:r w:rsidRPr="00D9448D">
        <w:t xml:space="preserve"> </w:t>
      </w:r>
      <w:r w:rsidRPr="00D9448D">
        <w:tab/>
        <w:t>Confidential Relationship — Defined</w:t>
      </w:r>
    </w:p>
    <w:p w14:paraId="3A054ADD" w14:textId="77777777" w:rsidR="00D9448D" w:rsidRDefault="009C22FE" w:rsidP="00914128">
      <w:pPr>
        <w:pStyle w:val="ToC"/>
      </w:pPr>
      <w:hyperlink w:anchor="a26_05" w:history="1">
        <w:r w:rsidRPr="00485635">
          <w:rPr>
            <w:rStyle w:val="Hyperlink"/>
          </w:rPr>
          <w:t>26:5</w:t>
        </w:r>
      </w:hyperlink>
      <w:r w:rsidRPr="00485635">
        <w:t xml:space="preserve"> </w:t>
      </w:r>
      <w:r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0" w:name="a26_01"/>
      <w:bookmarkEnd w:id="0"/>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0A84D05E"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xml:space="preserve">, on </w:t>
      </w:r>
      <w:r w:rsidR="00B15CF8">
        <w:rPr>
          <w:rFonts w:eastAsia="Times New Roman"/>
          <w:bCs/>
          <w:i/>
          <w:iCs/>
          <w:sz w:val="24"/>
          <w:szCs w:val="24"/>
        </w:rPr>
        <w:t>(insert applicable pronoun)</w:t>
      </w:r>
      <w:r w:rsidRPr="00DC2F89">
        <w:rPr>
          <w:rFonts w:eastAsia="Times New Roman"/>
          <w:b/>
          <w:sz w:val="24"/>
          <w:szCs w:val="24"/>
        </w:rPr>
        <w:t xml:space="preserve">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party,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2CC64AAB"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00CB3643" w:rsidRPr="00CB3643">
        <w:rPr>
          <w:rFonts w:eastAsia="Times New Roman"/>
          <w:b/>
          <w:bCs/>
          <w:sz w:val="24"/>
          <w:szCs w:val="24"/>
        </w:rPr>
        <w:t>In re Estate of Chavez</w:t>
      </w:r>
      <w:r w:rsidR="00CB3643" w:rsidRPr="00CB3643">
        <w:rPr>
          <w:rFonts w:eastAsia="Times New Roman"/>
          <w:sz w:val="24"/>
          <w:szCs w:val="24"/>
        </w:rPr>
        <w:t>, 2022 COA 89M, ¶ 36</w:t>
      </w:r>
      <w:r w:rsidR="00CB3643">
        <w:rPr>
          <w:rFonts w:eastAsia="Times New Roman"/>
          <w:sz w:val="24"/>
          <w:szCs w:val="24"/>
        </w:rPr>
        <w:t xml:space="preserve">, </w:t>
      </w:r>
      <w:r w:rsidR="00CB3643" w:rsidRPr="00CB3643">
        <w:rPr>
          <w:rFonts w:eastAsia="Times New Roman"/>
          <w:sz w:val="24"/>
          <w:szCs w:val="24"/>
        </w:rPr>
        <w:t>520 P.3d 194</w:t>
      </w:r>
      <w:r w:rsidR="00CB3643">
        <w:rPr>
          <w:rFonts w:eastAsia="Times New Roman"/>
          <w:sz w:val="24"/>
          <w:szCs w:val="24"/>
        </w:rPr>
        <w:t xml:space="preserve">; </w:t>
      </w:r>
      <w:r w:rsidR="00CB3643" w:rsidRPr="00DC2F89">
        <w:rPr>
          <w:rFonts w:eastAsia="Times New Roman"/>
          <w:b/>
          <w:sz w:val="24"/>
          <w:szCs w:val="24"/>
        </w:rPr>
        <w:t>Graphic Directions, Inc. v. Bush</w:t>
      </w:r>
      <w:r w:rsidR="00CB3643" w:rsidRPr="00DC2F89">
        <w:rPr>
          <w:rFonts w:eastAsia="Times New Roman"/>
          <w:sz w:val="24"/>
          <w:szCs w:val="24"/>
        </w:rPr>
        <w:t>, 862 P.2d 1020</w:t>
      </w:r>
      <w:r w:rsidR="00CB3643">
        <w:rPr>
          <w:rFonts w:eastAsia="Times New Roman"/>
          <w:sz w:val="24"/>
          <w:szCs w:val="24"/>
        </w:rPr>
        <w:t>, 1022</w:t>
      </w:r>
      <w:r w:rsidR="00CB3643" w:rsidRPr="00DC2F89">
        <w:rPr>
          <w:rFonts w:eastAsia="Times New Roman"/>
          <w:sz w:val="24"/>
          <w:szCs w:val="24"/>
        </w:rPr>
        <w:t xml:space="preserve"> (</w:t>
      </w:r>
      <w:r w:rsidR="00CB3643">
        <w:rPr>
          <w:rFonts w:eastAsia="Times New Roman"/>
          <w:sz w:val="24"/>
          <w:szCs w:val="24"/>
        </w:rPr>
        <w:t xml:space="preserve">Colo. App. </w:t>
      </w:r>
      <w:r w:rsidR="00CB3643" w:rsidRPr="00DC2F89">
        <w:rPr>
          <w:rFonts w:eastAsia="Times New Roman"/>
          <w:sz w:val="24"/>
          <w:szCs w:val="24"/>
        </w:rPr>
        <w:t xml:space="preserve">1993) </w:t>
      </w:r>
      <w:r w:rsidR="00CB3643">
        <w:rPr>
          <w:rFonts w:eastAsia="Times New Roman"/>
          <w:sz w:val="24"/>
          <w:szCs w:val="24"/>
        </w:rPr>
        <w:t xml:space="preserve">(citing this instruction);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 xml:space="preserve">Accident &amp; Injury Med. </w:t>
      </w:r>
      <w:r w:rsidRPr="00DC2F89">
        <w:rPr>
          <w:rFonts w:eastAsia="Times New Roman"/>
          <w:b/>
          <w:sz w:val="24"/>
          <w:szCs w:val="24"/>
        </w:rPr>
        <w:lastRenderedPageBreak/>
        <w:t>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3C288D5F"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010538" w:rsidRPr="007171CC">
        <w:rPr>
          <w:rFonts w:eastAsia="Times New Roman"/>
          <w:b/>
          <w:bCs/>
          <w:sz w:val="24"/>
          <w:szCs w:val="24"/>
        </w:rPr>
        <w:t>Froid v. Zacheis</w:t>
      </w:r>
      <w:r w:rsidR="00010538">
        <w:rPr>
          <w:rFonts w:eastAsia="Times New Roman"/>
          <w:sz w:val="24"/>
          <w:szCs w:val="24"/>
        </w:rPr>
        <w:t>, 2021 COA 74, ¶ 9 n.2</w:t>
      </w:r>
      <w:r w:rsidR="00BF333D">
        <w:rPr>
          <w:rFonts w:eastAsia="Times New Roman"/>
          <w:sz w:val="24"/>
          <w:szCs w:val="24"/>
        </w:rPr>
        <w:t>, 494 P.3d 673</w:t>
      </w:r>
      <w:r w:rsidR="00010538">
        <w:rPr>
          <w:rFonts w:eastAsia="Times New Roman"/>
          <w:sz w:val="24"/>
          <w:szCs w:val="24"/>
        </w:rPr>
        <w:t xml:space="preserve">; </w:t>
      </w:r>
      <w:r w:rsidR="00010538" w:rsidRPr="007171CC">
        <w:rPr>
          <w:rFonts w:eastAsia="Times New Roman"/>
          <w:b/>
          <w:bCs/>
          <w:sz w:val="24"/>
          <w:szCs w:val="24"/>
        </w:rPr>
        <w:t>Aller v.</w:t>
      </w:r>
      <w:r w:rsidR="00010538">
        <w:rPr>
          <w:rFonts w:eastAsia="Times New Roman"/>
          <w:b/>
          <w:bCs/>
          <w:sz w:val="24"/>
          <w:szCs w:val="24"/>
        </w:rPr>
        <w:t xml:space="preserve"> </w:t>
      </w:r>
      <w:r w:rsidR="00010538" w:rsidRPr="007171CC">
        <w:rPr>
          <w:rFonts w:eastAsia="Times New Roman"/>
          <w:b/>
          <w:bCs/>
          <w:sz w:val="24"/>
          <w:szCs w:val="24"/>
        </w:rPr>
        <w:t xml:space="preserve">Law </w:t>
      </w:r>
      <w:r w:rsidR="00010538">
        <w:rPr>
          <w:rFonts w:eastAsia="Times New Roman"/>
          <w:b/>
          <w:bCs/>
          <w:sz w:val="24"/>
          <w:szCs w:val="24"/>
        </w:rPr>
        <w:t>O</w:t>
      </w:r>
      <w:r w:rsidR="00010538" w:rsidRPr="007171CC">
        <w:rPr>
          <w:rFonts w:eastAsia="Times New Roman"/>
          <w:b/>
          <w:bCs/>
          <w:sz w:val="24"/>
          <w:szCs w:val="24"/>
        </w:rPr>
        <w:t>ff</w:t>
      </w:r>
      <w:r w:rsidR="00010538">
        <w:rPr>
          <w:rFonts w:eastAsia="Times New Roman"/>
          <w:b/>
          <w:bCs/>
          <w:sz w:val="24"/>
          <w:szCs w:val="24"/>
        </w:rPr>
        <w:t>ice</w:t>
      </w:r>
      <w:r w:rsidR="00010538" w:rsidRPr="007171CC">
        <w:rPr>
          <w:rFonts w:eastAsia="Times New Roman"/>
          <w:b/>
          <w:bCs/>
          <w:sz w:val="24"/>
          <w:szCs w:val="24"/>
        </w:rPr>
        <w:t xml:space="preserve"> </w:t>
      </w:r>
      <w:r w:rsidR="00010538">
        <w:rPr>
          <w:rFonts w:eastAsia="Times New Roman"/>
          <w:b/>
          <w:bCs/>
          <w:sz w:val="24"/>
          <w:szCs w:val="24"/>
        </w:rPr>
        <w:t>o</w:t>
      </w:r>
      <w:r w:rsidR="00010538" w:rsidRPr="007171CC">
        <w:rPr>
          <w:rFonts w:eastAsia="Times New Roman"/>
          <w:b/>
          <w:bCs/>
          <w:sz w:val="24"/>
          <w:szCs w:val="24"/>
        </w:rPr>
        <w:t>f Carole C. Schr</w:t>
      </w:r>
      <w:r w:rsidR="00010538">
        <w:rPr>
          <w:rFonts w:eastAsia="Times New Roman"/>
          <w:b/>
          <w:bCs/>
          <w:sz w:val="24"/>
          <w:szCs w:val="24"/>
        </w:rPr>
        <w:t>i</w:t>
      </w:r>
      <w:r w:rsidR="00010538" w:rsidRPr="007171CC">
        <w:rPr>
          <w:rFonts w:eastAsia="Times New Roman"/>
          <w:b/>
          <w:bCs/>
          <w:sz w:val="24"/>
          <w:szCs w:val="24"/>
        </w:rPr>
        <w:t>efer, P.C.</w:t>
      </w:r>
      <w:r w:rsidR="00010538" w:rsidRPr="00397288">
        <w:rPr>
          <w:rFonts w:eastAsia="Times New Roman"/>
          <w:bCs/>
          <w:sz w:val="24"/>
          <w:szCs w:val="24"/>
        </w:rPr>
        <w:t>,</w:t>
      </w:r>
      <w:r w:rsidR="00010538">
        <w:rPr>
          <w:rFonts w:eastAsia="Times New Roman"/>
          <w:sz w:val="24"/>
          <w:szCs w:val="24"/>
        </w:rPr>
        <w:t xml:space="preserve"> 140 P.3d 23 (Colo. App. 2005);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 xml:space="preserve">2000). Expert testimony is necessary to support causation in a breach of fiduciary case arising out of an attorney-client relationship. </w:t>
      </w:r>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116E4F5D"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r w:rsidR="00DC2F89" w:rsidRPr="00DC2F89">
        <w:rPr>
          <w:rFonts w:eastAsia="Times New Roman"/>
          <w:b/>
          <w:sz w:val="24"/>
          <w:szCs w:val="24"/>
        </w:rPr>
        <w:t>Estate of Foiles</w:t>
      </w:r>
      <w:r w:rsidR="00DC2F89" w:rsidRPr="00DC2F89">
        <w:rPr>
          <w:rFonts w:eastAsia="Times New Roman"/>
          <w:sz w:val="24"/>
          <w:szCs w:val="24"/>
        </w:rPr>
        <w:t xml:space="preserve">, </w:t>
      </w:r>
      <w:r w:rsidR="00265D86">
        <w:rPr>
          <w:rFonts w:eastAsia="Times New Roman"/>
          <w:sz w:val="24"/>
          <w:szCs w:val="24"/>
        </w:rPr>
        <w:t>¶ 43</w:t>
      </w:r>
      <w:r w:rsidR="000C7A2E">
        <w:rPr>
          <w:rFonts w:eastAsia="Times New Roman"/>
          <w:sz w:val="24"/>
          <w:szCs w:val="24"/>
        </w:rPr>
        <w:t>, 338 P.3d at 1104</w:t>
      </w:r>
      <w:r w:rsidR="00DC2F89" w:rsidRPr="00DC2F89">
        <w:rPr>
          <w:rFonts w:eastAsia="Times New Roman"/>
          <w:sz w:val="24"/>
          <w:szCs w:val="24"/>
        </w:rPr>
        <w:t>.</w:t>
      </w:r>
    </w:p>
    <w:p w14:paraId="2AF473A8" w14:textId="3857D8B1"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w:t>
      </w:r>
      <w:r w:rsidR="00FA53D7">
        <w:rPr>
          <w:rFonts w:eastAsia="Times New Roman"/>
          <w:sz w:val="24"/>
          <w:szCs w:val="24"/>
        </w:rPr>
        <w:lastRenderedPageBreak/>
        <w:t xml:space="preserve">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w:t>
      </w:r>
      <w:r w:rsidR="00DC2F89" w:rsidRPr="00DC2F89">
        <w:rPr>
          <w:rFonts w:eastAsia="Times New Roman"/>
          <w:sz w:val="24"/>
          <w:szCs w:val="24"/>
        </w:rPr>
        <w:t xml:space="preserve">, 862 P.2d </w:t>
      </w:r>
      <w:r w:rsidR="00CB3643">
        <w:rPr>
          <w:rFonts w:eastAsia="Times New Roman"/>
          <w:sz w:val="24"/>
          <w:szCs w:val="24"/>
        </w:rPr>
        <w:t xml:space="preserve">at </w:t>
      </w:r>
      <w:r w:rsidR="00DC2F89" w:rsidRPr="00DC2F89">
        <w:rPr>
          <w:rFonts w:eastAsia="Times New Roman"/>
          <w:sz w:val="24"/>
          <w:szCs w:val="24"/>
        </w:rPr>
        <w:t>102</w:t>
      </w:r>
      <w:r w:rsidR="00CB3643">
        <w:rPr>
          <w:rFonts w:eastAsia="Times New Roman"/>
          <w:sz w:val="24"/>
          <w:szCs w:val="24"/>
        </w:rPr>
        <w:t>2-23</w:t>
      </w:r>
      <w:r w:rsidR="00DC2F89" w:rsidRPr="00DC2F89">
        <w:rPr>
          <w:rFonts w:eastAsia="Times New Roman"/>
          <w:sz w:val="24"/>
          <w:szCs w:val="24"/>
        </w:rPr>
        <w:t xml:space="preserve"> (</w:t>
      </w:r>
      <w:r w:rsidR="005575D0">
        <w:rPr>
          <w:rFonts w:eastAsia="Times New Roman"/>
          <w:sz w:val="24"/>
          <w:szCs w:val="24"/>
        </w:rPr>
        <w:t>employee 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1" w:name="a26_02"/>
      <w:bookmarkEnd w:id="1"/>
      <w:r w:rsidRPr="00E41870">
        <w:rPr>
          <w:rFonts w:eastAsia="Times New Roman"/>
          <w:b/>
          <w:sz w:val="24"/>
          <w:szCs w:val="24"/>
        </w:rPr>
        <w:lastRenderedPageBreak/>
        <w:t xml:space="preserve">26:2 </w:t>
      </w:r>
      <w:r w:rsidRPr="00E41870">
        <w:rPr>
          <w:rFonts w:eastAsia="Times New Roman"/>
          <w:b/>
          <w:sz w:val="24"/>
          <w:szCs w:val="24"/>
        </w:rPr>
        <w:tab/>
        <w:t>FIDUCIARY RELATIONSHIP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Assocs.,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340C5289"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 19</w:t>
      </w:r>
      <w:r w:rsidR="000C7A2E">
        <w:rPr>
          <w:rFonts w:eastAsia="Times New Roman"/>
          <w:sz w:val="24"/>
          <w:szCs w:val="24"/>
        </w:rPr>
        <w:t>, 279 P.3d at 662</w:t>
      </w:r>
      <w:r w:rsidRPr="00E41870">
        <w:rPr>
          <w:rFonts w:eastAsia="Times New Roman"/>
          <w:sz w:val="24"/>
          <w:szCs w:val="24"/>
        </w:rPr>
        <w:t xml:space="preserve">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 35-40</w:t>
      </w:r>
      <w:r w:rsidR="000C7A2E">
        <w:rPr>
          <w:rFonts w:eastAsia="Times New Roman"/>
          <w:sz w:val="24"/>
          <w:szCs w:val="24"/>
        </w:rPr>
        <w:t>, 428 P.3d at 563-64</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w:t>
      </w:r>
      <w:r w:rsidR="000C7A2E">
        <w:rPr>
          <w:rFonts w:eastAsia="Times New Roman"/>
          <w:sz w:val="24"/>
          <w:szCs w:val="24"/>
        </w:rPr>
        <w:t>, 488 P.3d 53</w:t>
      </w:r>
      <w:r w:rsidRPr="00E41870">
        <w:rPr>
          <w:rFonts w:eastAsia="Times New Roman"/>
          <w:sz w:val="24"/>
          <w:szCs w:val="24"/>
        </w:rPr>
        <w:t xml:space="preserve">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w:t>
      </w:r>
      <w:r w:rsidRPr="00E41870">
        <w:rPr>
          <w:rFonts w:eastAsia="Times New Roman"/>
          <w:sz w:val="24"/>
          <w:szCs w:val="24"/>
        </w:rPr>
        <w:lastRenderedPageBreak/>
        <w:t xml:space="preserve">P.2d 320 (Colo. App. 1994) (contractual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2" w:name="a26_03"/>
      <w:bookmarkEnd w:id="2"/>
      <w:r w:rsidRPr="00E41870">
        <w:rPr>
          <w:rFonts w:eastAsia="Times New Roman"/>
          <w:b/>
          <w:sz w:val="24"/>
          <w:szCs w:val="24"/>
        </w:rPr>
        <w:lastRenderedPageBreak/>
        <w:t xml:space="preserve">26:3 </w:t>
      </w:r>
      <w:r w:rsidRPr="00E41870">
        <w:rPr>
          <w:rFonts w:eastAsia="Times New Roman"/>
          <w:b/>
          <w:sz w:val="24"/>
          <w:szCs w:val="24"/>
        </w:rPr>
        <w:tab/>
        <w:t>FIDUCIARY RELATIONSHIP ARISING OUT OF A CONFIDENTIAL RELATIONSHIP</w:t>
      </w:r>
    </w:p>
    <w:p w14:paraId="3071B80B" w14:textId="74B01B38"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xml:space="preserve">, on </w:t>
      </w:r>
      <w:r w:rsidR="00B15CF8">
        <w:rPr>
          <w:rFonts w:eastAsia="Times New Roman"/>
          <w:bCs/>
          <w:i/>
          <w:iCs/>
          <w:sz w:val="24"/>
          <w:szCs w:val="24"/>
        </w:rPr>
        <w:t>(insert applicable pronoun)</w:t>
      </w:r>
      <w:r w:rsidRPr="00E41870">
        <w:rPr>
          <w:rFonts w:eastAsia="Times New Roman"/>
          <w:b/>
          <w:sz w:val="24"/>
          <w:szCs w:val="24"/>
        </w:rPr>
        <w:t xml:space="preserve">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Dolton v. Capitol Fed. Sav. &amp;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642 P.2d 21 (Colo. App. 1981).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718 P.2d 508 (Colo. 1986).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3" w:name="a26_04"/>
      <w:bookmarkEnd w:id="3"/>
      <w:r w:rsidRPr="00E41870">
        <w:rPr>
          <w:rFonts w:eastAsia="Times New Roman"/>
          <w:b/>
          <w:sz w:val="24"/>
          <w:szCs w:val="24"/>
        </w:rPr>
        <w:lastRenderedPageBreak/>
        <w:t xml:space="preserve">26:4 </w:t>
      </w:r>
      <w:r w:rsidRPr="00E41870">
        <w:rPr>
          <w:rFonts w:eastAsia="Times New Roman"/>
          <w:b/>
          <w:sz w:val="24"/>
          <w:szCs w:val="24"/>
        </w:rPr>
        <w:tab/>
        <w:t>CONFIDENTIAL RELATIONSHIP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 xml:space="preserve">1990).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Dolton v. Capital Fed. Sav. &amp;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4" w:name="a26_05"/>
      <w:bookmarkEnd w:id="4"/>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15C651DA"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w:t>
      </w:r>
      <w:r w:rsidR="00B15CF8">
        <w:rPr>
          <w:rFonts w:eastAsia="Times New Roman"/>
          <w:bCs/>
          <w:i/>
          <w:iCs/>
          <w:sz w:val="24"/>
          <w:szCs w:val="24"/>
        </w:rPr>
        <w:t>(insert applicable pronoun)</w:t>
      </w:r>
      <w:r w:rsidRPr="00E71646">
        <w:rPr>
          <w:rFonts w:eastAsia="Times New Roman"/>
          <w:b/>
          <w:sz w:val="24"/>
          <w:szCs w:val="24"/>
        </w:rPr>
        <w:t xml:space="preserve">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734BD0DA"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B15CF8">
        <w:rPr>
          <w:rFonts w:eastAsia="Times New Roman"/>
          <w:bCs/>
          <w:i/>
          <w:iCs/>
          <w:sz w:val="24"/>
          <w:szCs w:val="24"/>
        </w:rPr>
        <w:t>[insert applicable pronoun]</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
    <w:p w14:paraId="6DABAD32" w14:textId="3E982140"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6D405702"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r w:rsidR="00E71646" w:rsidRPr="00E71646">
        <w:rPr>
          <w:rFonts w:eastAsia="Times New Roman"/>
          <w:b/>
          <w:sz w:val="24"/>
          <w:szCs w:val="24"/>
        </w:rPr>
        <w:t>A Good Time Rental, LLC v. 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
    <w:sectPr w:rsidR="00E41870"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A172" w14:textId="77777777" w:rsidR="004E5A84" w:rsidRDefault="004E5A84" w:rsidP="0054263B">
      <w:r>
        <w:separator/>
      </w:r>
    </w:p>
    <w:p w14:paraId="615363C9" w14:textId="77777777" w:rsidR="004E5A84" w:rsidRDefault="004E5A84"/>
  </w:endnote>
  <w:endnote w:type="continuationSeparator" w:id="0">
    <w:p w14:paraId="33AACB44" w14:textId="77777777" w:rsidR="004E5A84" w:rsidRDefault="004E5A84" w:rsidP="0054263B">
      <w:r>
        <w:continuationSeparator/>
      </w:r>
    </w:p>
    <w:p w14:paraId="3A44B9F5" w14:textId="77777777" w:rsidR="004E5A84" w:rsidRDefault="004E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C1697F">
          <w:rPr>
            <w:noProof/>
          </w:rPr>
          <w:t>4</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032B" w14:textId="77777777" w:rsidR="004E5A84" w:rsidRDefault="004E5A84" w:rsidP="0054263B">
      <w:r>
        <w:separator/>
      </w:r>
    </w:p>
    <w:p w14:paraId="2BF76190" w14:textId="77777777" w:rsidR="004E5A84" w:rsidRDefault="004E5A84"/>
  </w:footnote>
  <w:footnote w:type="continuationSeparator" w:id="0">
    <w:p w14:paraId="177F02D6" w14:textId="77777777" w:rsidR="004E5A84" w:rsidRDefault="004E5A84" w:rsidP="0054263B">
      <w:r>
        <w:continuationSeparator/>
      </w:r>
    </w:p>
    <w:p w14:paraId="7E9C9578" w14:textId="77777777" w:rsidR="004E5A84" w:rsidRDefault="004E5A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4435768">
    <w:abstractNumId w:val="0"/>
  </w:num>
  <w:num w:numId="2" w16cid:durableId="36995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0538"/>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C7A2E"/>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520C"/>
    <w:rsid w:val="001671A9"/>
    <w:rsid w:val="00171705"/>
    <w:rsid w:val="00172674"/>
    <w:rsid w:val="00174BB5"/>
    <w:rsid w:val="0018302F"/>
    <w:rsid w:val="0018388B"/>
    <w:rsid w:val="00184D62"/>
    <w:rsid w:val="001903CB"/>
    <w:rsid w:val="001913B1"/>
    <w:rsid w:val="00191498"/>
    <w:rsid w:val="00191C86"/>
    <w:rsid w:val="00195972"/>
    <w:rsid w:val="0019684F"/>
    <w:rsid w:val="001A2648"/>
    <w:rsid w:val="001A2841"/>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3985"/>
    <w:rsid w:val="002247C8"/>
    <w:rsid w:val="00226E36"/>
    <w:rsid w:val="00227D3A"/>
    <w:rsid w:val="00231BC4"/>
    <w:rsid w:val="00232C53"/>
    <w:rsid w:val="0024003A"/>
    <w:rsid w:val="0024062B"/>
    <w:rsid w:val="0024597C"/>
    <w:rsid w:val="00254258"/>
    <w:rsid w:val="002547C3"/>
    <w:rsid w:val="00264198"/>
    <w:rsid w:val="002654B4"/>
    <w:rsid w:val="00265D86"/>
    <w:rsid w:val="00267805"/>
    <w:rsid w:val="00273777"/>
    <w:rsid w:val="0027486C"/>
    <w:rsid w:val="0028301A"/>
    <w:rsid w:val="00290935"/>
    <w:rsid w:val="00293941"/>
    <w:rsid w:val="00293F7E"/>
    <w:rsid w:val="00295B39"/>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9728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24EA"/>
    <w:rsid w:val="00433162"/>
    <w:rsid w:val="00434371"/>
    <w:rsid w:val="004425AA"/>
    <w:rsid w:val="00456038"/>
    <w:rsid w:val="00456B2B"/>
    <w:rsid w:val="00460071"/>
    <w:rsid w:val="00462E17"/>
    <w:rsid w:val="00466A57"/>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D57DB"/>
    <w:rsid w:val="004D704E"/>
    <w:rsid w:val="004E0408"/>
    <w:rsid w:val="004E5A84"/>
    <w:rsid w:val="004E7EF1"/>
    <w:rsid w:val="004F003D"/>
    <w:rsid w:val="004F48CF"/>
    <w:rsid w:val="00502D97"/>
    <w:rsid w:val="005065E6"/>
    <w:rsid w:val="0051385E"/>
    <w:rsid w:val="00514DC0"/>
    <w:rsid w:val="00516447"/>
    <w:rsid w:val="0052537F"/>
    <w:rsid w:val="00527A18"/>
    <w:rsid w:val="00531F87"/>
    <w:rsid w:val="0053544D"/>
    <w:rsid w:val="00535BC0"/>
    <w:rsid w:val="0054263B"/>
    <w:rsid w:val="00547D97"/>
    <w:rsid w:val="00550AFD"/>
    <w:rsid w:val="005575D0"/>
    <w:rsid w:val="00557FCC"/>
    <w:rsid w:val="005626B2"/>
    <w:rsid w:val="005648EF"/>
    <w:rsid w:val="00564FCD"/>
    <w:rsid w:val="00576EAD"/>
    <w:rsid w:val="0057771F"/>
    <w:rsid w:val="00583F4A"/>
    <w:rsid w:val="00596900"/>
    <w:rsid w:val="005A22A6"/>
    <w:rsid w:val="005A3C3D"/>
    <w:rsid w:val="005B27FE"/>
    <w:rsid w:val="005B3A78"/>
    <w:rsid w:val="005C56C9"/>
    <w:rsid w:val="005C5CCB"/>
    <w:rsid w:val="005D1AD3"/>
    <w:rsid w:val="005D3156"/>
    <w:rsid w:val="005E712D"/>
    <w:rsid w:val="005F1017"/>
    <w:rsid w:val="005F19FD"/>
    <w:rsid w:val="005F5A94"/>
    <w:rsid w:val="00604F03"/>
    <w:rsid w:val="006050B3"/>
    <w:rsid w:val="006053F6"/>
    <w:rsid w:val="0062126B"/>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2964"/>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4300C"/>
    <w:rsid w:val="007532AB"/>
    <w:rsid w:val="00766F81"/>
    <w:rsid w:val="00770FFC"/>
    <w:rsid w:val="00776F3F"/>
    <w:rsid w:val="00787065"/>
    <w:rsid w:val="00792028"/>
    <w:rsid w:val="007A1E8C"/>
    <w:rsid w:val="007A2454"/>
    <w:rsid w:val="007A2BD1"/>
    <w:rsid w:val="007A3A0E"/>
    <w:rsid w:val="007A3C33"/>
    <w:rsid w:val="007A56C2"/>
    <w:rsid w:val="007A612E"/>
    <w:rsid w:val="007B1633"/>
    <w:rsid w:val="007C42D5"/>
    <w:rsid w:val="007C4B23"/>
    <w:rsid w:val="007C65DD"/>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0D33"/>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0E50"/>
    <w:rsid w:val="00950692"/>
    <w:rsid w:val="00952BBB"/>
    <w:rsid w:val="0095709A"/>
    <w:rsid w:val="009603E5"/>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5881"/>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07C5D"/>
    <w:rsid w:val="00B120C8"/>
    <w:rsid w:val="00B134C5"/>
    <w:rsid w:val="00B15CF8"/>
    <w:rsid w:val="00B27F5C"/>
    <w:rsid w:val="00B328BA"/>
    <w:rsid w:val="00B32E46"/>
    <w:rsid w:val="00B338E2"/>
    <w:rsid w:val="00B35185"/>
    <w:rsid w:val="00B37722"/>
    <w:rsid w:val="00B567C1"/>
    <w:rsid w:val="00B579DF"/>
    <w:rsid w:val="00B6275E"/>
    <w:rsid w:val="00B649E0"/>
    <w:rsid w:val="00B66112"/>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333D"/>
    <w:rsid w:val="00BF5DF3"/>
    <w:rsid w:val="00C13C73"/>
    <w:rsid w:val="00C161A1"/>
    <w:rsid w:val="00C1697F"/>
    <w:rsid w:val="00C21D93"/>
    <w:rsid w:val="00C225C9"/>
    <w:rsid w:val="00C26751"/>
    <w:rsid w:val="00C40968"/>
    <w:rsid w:val="00C473A2"/>
    <w:rsid w:val="00C60E95"/>
    <w:rsid w:val="00C610EC"/>
    <w:rsid w:val="00C724B6"/>
    <w:rsid w:val="00C84E71"/>
    <w:rsid w:val="00C87463"/>
    <w:rsid w:val="00C8797B"/>
    <w:rsid w:val="00C901D7"/>
    <w:rsid w:val="00C93313"/>
    <w:rsid w:val="00C93B0B"/>
    <w:rsid w:val="00C94C5E"/>
    <w:rsid w:val="00CA41CC"/>
    <w:rsid w:val="00CA7EF2"/>
    <w:rsid w:val="00CB008B"/>
    <w:rsid w:val="00CB0E16"/>
    <w:rsid w:val="00CB3643"/>
    <w:rsid w:val="00CB5C67"/>
    <w:rsid w:val="00CB62DC"/>
    <w:rsid w:val="00CC0502"/>
    <w:rsid w:val="00CC1AC8"/>
    <w:rsid w:val="00CC6A95"/>
    <w:rsid w:val="00CC7E17"/>
    <w:rsid w:val="00CD23A0"/>
    <w:rsid w:val="00CD4A7D"/>
    <w:rsid w:val="00CE1DC8"/>
    <w:rsid w:val="00CE2A2F"/>
    <w:rsid w:val="00CE593D"/>
    <w:rsid w:val="00CF07F1"/>
    <w:rsid w:val="00CF76E9"/>
    <w:rsid w:val="00CF79FC"/>
    <w:rsid w:val="00D00330"/>
    <w:rsid w:val="00D0050C"/>
    <w:rsid w:val="00D014AE"/>
    <w:rsid w:val="00D04DAC"/>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3878"/>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4221"/>
    <w:rsid w:val="00E0552C"/>
    <w:rsid w:val="00E058BA"/>
    <w:rsid w:val="00E111AA"/>
    <w:rsid w:val="00E172C8"/>
    <w:rsid w:val="00E21120"/>
    <w:rsid w:val="00E24E10"/>
    <w:rsid w:val="00E2724A"/>
    <w:rsid w:val="00E30D4B"/>
    <w:rsid w:val="00E372EA"/>
    <w:rsid w:val="00E41870"/>
    <w:rsid w:val="00E42C46"/>
    <w:rsid w:val="00E50187"/>
    <w:rsid w:val="00E55147"/>
    <w:rsid w:val="00E551EB"/>
    <w:rsid w:val="00E57F5F"/>
    <w:rsid w:val="00E67638"/>
    <w:rsid w:val="00E70C9B"/>
    <w:rsid w:val="00E71646"/>
    <w:rsid w:val="00E71BCE"/>
    <w:rsid w:val="00E72FF1"/>
    <w:rsid w:val="00E7526A"/>
    <w:rsid w:val="00E87248"/>
    <w:rsid w:val="00E87C31"/>
    <w:rsid w:val="00E87FFB"/>
    <w:rsid w:val="00E90DDC"/>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1E2D"/>
    <w:rsid w:val="00EF4043"/>
    <w:rsid w:val="00F00661"/>
    <w:rsid w:val="00F022D4"/>
    <w:rsid w:val="00F062A4"/>
    <w:rsid w:val="00F25E27"/>
    <w:rsid w:val="00F32AA4"/>
    <w:rsid w:val="00F573CF"/>
    <w:rsid w:val="00F57A2B"/>
    <w:rsid w:val="00F60050"/>
    <w:rsid w:val="00F64213"/>
    <w:rsid w:val="00F658E5"/>
    <w:rsid w:val="00F70E62"/>
    <w:rsid w:val="00F764F4"/>
    <w:rsid w:val="00F82676"/>
    <w:rsid w:val="00F8277D"/>
    <w:rsid w:val="00F86F49"/>
    <w:rsid w:val="00F9124B"/>
    <w:rsid w:val="00F94DD6"/>
    <w:rsid w:val="00FA333E"/>
    <w:rsid w:val="00FA53D7"/>
    <w:rsid w:val="00FA7B76"/>
    <w:rsid w:val="00FC1E82"/>
    <w:rsid w:val="00FC544C"/>
    <w:rsid w:val="00FD2DF4"/>
    <w:rsid w:val="00FD7D4E"/>
    <w:rsid w:val="00FE00D7"/>
    <w:rsid w:val="00FE156B"/>
    <w:rsid w:val="00FE15A4"/>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3">
    <w:name w:val="heading 3"/>
    <w:basedOn w:val="Normal"/>
    <w:next w:val="Normal"/>
    <w:link w:val="Heading3Char"/>
    <w:uiPriority w:val="9"/>
    <w:semiHidden/>
    <w:unhideWhenUsed/>
    <w:qFormat/>
    <w:rsid w:val="00CB36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C7A2E"/>
    <w:rPr>
      <w:sz w:val="22"/>
      <w:szCs w:val="26"/>
    </w:rPr>
  </w:style>
  <w:style w:type="character" w:customStyle="1" w:styleId="Heading3Char">
    <w:name w:val="Heading 3 Char"/>
    <w:basedOn w:val="DefaultParagraphFont"/>
    <w:link w:val="Heading3"/>
    <w:uiPriority w:val="9"/>
    <w:semiHidden/>
    <w:rsid w:val="00CB36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15664599">
      <w:bodyDiv w:val="1"/>
      <w:marLeft w:val="0"/>
      <w:marRight w:val="0"/>
      <w:marTop w:val="0"/>
      <w:marBottom w:val="0"/>
      <w:divBdr>
        <w:top w:val="none" w:sz="0" w:space="0" w:color="auto"/>
        <w:left w:val="none" w:sz="0" w:space="0" w:color="auto"/>
        <w:bottom w:val="none" w:sz="0" w:space="0" w:color="auto"/>
        <w:right w:val="none" w:sz="0" w:space="0" w:color="auto"/>
      </w:divBdr>
    </w:div>
    <w:div w:id="1415396371">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ACCC-6FA5-4207-B58E-3E51C41B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dc:title>
  <dc:creator>Ellen Buckley</dc:creator>
  <cp:lastModifiedBy>beck, jeremy</cp:lastModifiedBy>
  <cp:revision>3</cp:revision>
  <dcterms:created xsi:type="dcterms:W3CDTF">2025-01-27T22:31:00Z</dcterms:created>
  <dcterms:modified xsi:type="dcterms:W3CDTF">2025-02-11T19:20:00Z</dcterms:modified>
</cp:coreProperties>
</file>