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19D42" w14:textId="12D33CF5" w:rsidR="00CA41CC" w:rsidRPr="00914128" w:rsidRDefault="0068336D" w:rsidP="00914128">
      <w:pPr>
        <w:pStyle w:val="Heading1"/>
      </w:pPr>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232C53" w:rsidP="00914128">
      <w:pPr>
        <w:pStyle w:val="ToC"/>
      </w:pPr>
      <w:hyperlink w:anchor="a25_01" w:history="1">
        <w:r w:rsidRPr="00107079">
          <w:rPr>
            <w:rStyle w:val="Hyperlink"/>
          </w:rPr>
          <w:t>25:1</w:t>
        </w:r>
      </w:hyperlink>
      <w:r w:rsidRPr="00107079">
        <w:t xml:space="preserve"> </w:t>
      </w:r>
      <w:r w:rsidRPr="00107079">
        <w:tab/>
        <w:t xml:space="preserve">Elements </w:t>
      </w:r>
      <w:r>
        <w:t>of</w:t>
      </w:r>
      <w:r w:rsidRPr="00107079">
        <w:t xml:space="preserve"> Liability — Third-Party Claims</w:t>
      </w:r>
    </w:p>
    <w:p w14:paraId="66B2F1F5" w14:textId="77777777" w:rsidR="00107079" w:rsidRDefault="00232C53" w:rsidP="00914128">
      <w:pPr>
        <w:pStyle w:val="ToC"/>
      </w:pPr>
      <w:hyperlink w:anchor="a25_02" w:history="1">
        <w:r w:rsidRPr="00107079">
          <w:rPr>
            <w:rStyle w:val="Hyperlink"/>
          </w:rPr>
          <w:t>25:2</w:t>
        </w:r>
      </w:hyperlink>
      <w:r w:rsidRPr="00107079">
        <w:t xml:space="preserve"> </w:t>
      </w:r>
      <w:r w:rsidRPr="00107079">
        <w:tab/>
        <w:t xml:space="preserve">Elements </w:t>
      </w:r>
      <w:r>
        <w:t>of</w:t>
      </w:r>
      <w:r w:rsidRPr="00107079">
        <w:t xml:space="preserve"> Liability — First-Party Common-Law Claims</w:t>
      </w:r>
    </w:p>
    <w:p w14:paraId="79F92256" w14:textId="77777777" w:rsidR="00107079" w:rsidRDefault="00232C53" w:rsidP="00914128">
      <w:pPr>
        <w:pStyle w:val="ToC"/>
      </w:pPr>
      <w:hyperlink w:anchor="a25_03" w:history="1">
        <w:r w:rsidRPr="00107079">
          <w:rPr>
            <w:rStyle w:val="Hyperlink"/>
          </w:rPr>
          <w:t>25:3</w:t>
        </w:r>
      </w:hyperlink>
      <w:r w:rsidRPr="00107079">
        <w:t xml:space="preserve"> </w:t>
      </w:r>
      <w:r w:rsidRPr="00107079">
        <w:tab/>
        <w:t xml:space="preserve">Unreasonable Conduct/Unreasonable </w:t>
      </w:r>
      <w:r>
        <w:t xml:space="preserve">Position — Common-Law Claims — </w:t>
      </w:r>
      <w:r w:rsidRPr="00107079">
        <w:t>Defined</w:t>
      </w:r>
    </w:p>
    <w:p w14:paraId="65A73161" w14:textId="77777777" w:rsidR="00107079" w:rsidRDefault="00232C53" w:rsidP="00914128">
      <w:pPr>
        <w:pStyle w:val="ToC"/>
      </w:pPr>
      <w:hyperlink w:anchor="a25_04" w:history="1">
        <w:r w:rsidRPr="00107079">
          <w:rPr>
            <w:rStyle w:val="Hyperlink"/>
          </w:rPr>
          <w:t>25:4</w:t>
        </w:r>
      </w:hyperlink>
      <w:r w:rsidRPr="00107079">
        <w:t xml:space="preserve"> </w:t>
      </w:r>
      <w:r w:rsidRPr="00107079">
        <w:tab/>
        <w:t xml:space="preserve">Elements </w:t>
      </w:r>
      <w:r>
        <w:t>of</w:t>
      </w:r>
      <w:r w:rsidRPr="00107079">
        <w:t xml:space="preserve"> Liability — First-Party Statutory Claims</w:t>
      </w:r>
    </w:p>
    <w:p w14:paraId="5A1E450E" w14:textId="2A1D178F" w:rsidR="00107079" w:rsidRDefault="00232C53" w:rsidP="00914128">
      <w:pPr>
        <w:pStyle w:val="ToC"/>
      </w:pPr>
      <w:hyperlink w:anchor="a25_05" w:history="1">
        <w:r w:rsidRPr="00107079">
          <w:rPr>
            <w:rStyle w:val="Hyperlink"/>
          </w:rPr>
          <w:t>25:5</w:t>
        </w:r>
      </w:hyperlink>
      <w:r w:rsidRPr="00107079">
        <w:tab/>
        <w:t xml:space="preserve">Unreasonable Delay </w:t>
      </w:r>
      <w:r>
        <w:t>or</w:t>
      </w:r>
      <w:r w:rsidRPr="00107079">
        <w:t xml:space="preserve"> Denial</w:t>
      </w:r>
    </w:p>
    <w:p w14:paraId="564C1CBA" w14:textId="77777777" w:rsidR="00107079" w:rsidRDefault="00232C53" w:rsidP="00914128">
      <w:pPr>
        <w:pStyle w:val="ToC"/>
      </w:pPr>
      <w:hyperlink w:anchor="a25_06" w:history="1">
        <w:r w:rsidRPr="00107079">
          <w:rPr>
            <w:rStyle w:val="Hyperlink"/>
          </w:rPr>
          <w:t>25:6</w:t>
        </w:r>
      </w:hyperlink>
      <w:r w:rsidRPr="00107079">
        <w:t xml:space="preserve"> </w:t>
      </w:r>
      <w:r w:rsidRPr="00107079">
        <w:tab/>
        <w:t>Unreasonable Conduct/Unreasonable Position — Statutory Violations — Defined</w:t>
      </w:r>
    </w:p>
    <w:p w14:paraId="40F6E1F7" w14:textId="77777777" w:rsidR="00107079" w:rsidRDefault="00232C53" w:rsidP="00914128">
      <w:pPr>
        <w:pStyle w:val="ToC"/>
      </w:pPr>
      <w:hyperlink w:anchor="a25_07" w:history="1">
        <w:r w:rsidRPr="00107079">
          <w:rPr>
            <w:rStyle w:val="Hyperlink"/>
          </w:rPr>
          <w:t>25:7</w:t>
        </w:r>
      </w:hyperlink>
      <w:r w:rsidRPr="00107079">
        <w:t xml:space="preserve"> </w:t>
      </w:r>
      <w:r w:rsidRPr="00107079">
        <w:tab/>
        <w:t>Reckless Disregard — Defined</w:t>
      </w:r>
    </w:p>
    <w:p w14:paraId="5A4784C4" w14:textId="77777777" w:rsidR="00107079" w:rsidRDefault="00232C53" w:rsidP="00914128">
      <w:pPr>
        <w:pStyle w:val="ToC"/>
      </w:pPr>
      <w:hyperlink w:anchor="a25_08" w:history="1">
        <w:r w:rsidRPr="00107079">
          <w:rPr>
            <w:rStyle w:val="Hyperlink"/>
          </w:rPr>
          <w:t>25:8</w:t>
        </w:r>
      </w:hyperlink>
      <w:r w:rsidRPr="00107079">
        <w:t xml:space="preserve"> </w:t>
      </w:r>
      <w:r w:rsidRPr="00107079">
        <w:tab/>
        <w:t xml:space="preserve">Duty </w:t>
      </w:r>
      <w:r>
        <w:t>of</w:t>
      </w:r>
      <w:r w:rsidRPr="00107079">
        <w:t xml:space="preserve"> Good Faith </w:t>
      </w:r>
      <w:r>
        <w:t>and</w:t>
      </w:r>
      <w:r w:rsidRPr="00107079">
        <w:t xml:space="preserve"> Fair Dealing</w:t>
      </w:r>
    </w:p>
    <w:p w14:paraId="04BD2A59" w14:textId="77777777" w:rsidR="00107079" w:rsidRDefault="00232C53" w:rsidP="00914128">
      <w:pPr>
        <w:pStyle w:val="ToC"/>
      </w:pPr>
      <w:hyperlink w:anchor="a25_09" w:history="1">
        <w:r w:rsidRPr="00107079">
          <w:rPr>
            <w:rStyle w:val="Hyperlink"/>
          </w:rPr>
          <w:t>25:9</w:t>
        </w:r>
      </w:hyperlink>
      <w:r w:rsidRPr="00107079">
        <w:t xml:space="preserve"> </w:t>
      </w:r>
      <w:r w:rsidRPr="00107079">
        <w:tab/>
        <w:t>Actual Damages — Common-Law Claims</w:t>
      </w:r>
    </w:p>
    <w:p w14:paraId="680E5552" w14:textId="77777777" w:rsidR="00107079" w:rsidRDefault="00232C53" w:rsidP="00914128">
      <w:pPr>
        <w:pStyle w:val="ToC"/>
      </w:pPr>
      <w:hyperlink w:anchor="a25_10" w:history="1">
        <w:r w:rsidRPr="00107079">
          <w:rPr>
            <w:rStyle w:val="Hyperlink"/>
          </w:rPr>
          <w:t>25:10</w:t>
        </w:r>
      </w:hyperlink>
      <w:r w:rsidRPr="00107079">
        <w:tab/>
        <w:t>Benefit Amount — First-Party Statutory Claims</w:t>
      </w:r>
    </w:p>
    <w:p w14:paraId="08EC2573" w14:textId="77777777" w:rsidR="00107079" w:rsidRDefault="00232C53" w:rsidP="00914128">
      <w:pPr>
        <w:pStyle w:val="ToC"/>
      </w:pPr>
      <w:hyperlink w:anchor="a25_11" w:history="1">
        <w:r w:rsidRPr="00107079">
          <w:rPr>
            <w:rStyle w:val="Hyperlink"/>
          </w:rPr>
          <w:t>25:11</w:t>
        </w:r>
      </w:hyperlink>
      <w:r w:rsidRPr="00107079">
        <w:t xml:space="preserve"> </w:t>
      </w:r>
      <w:r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0" w:name="a25_01"/>
      <w:bookmarkEnd w:id="0"/>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472F589"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xml:space="preserve">, on </w:t>
      </w:r>
      <w:r w:rsidR="00371D9F" w:rsidRPr="00371D9F">
        <w:rPr>
          <w:rFonts w:eastAsia="Times New Roman"/>
          <w:bCs/>
          <w:i/>
          <w:iCs/>
          <w:sz w:val="24"/>
          <w:szCs w:val="24"/>
        </w:rPr>
        <w:t>(insert applicable pronoun)</w:t>
      </w:r>
      <w:r w:rsidRPr="00F94DD6">
        <w:rPr>
          <w:rFonts w:eastAsia="Times New Roman"/>
          <w:b/>
          <w:sz w:val="24"/>
          <w:szCs w:val="24"/>
        </w:rPr>
        <w:t xml:space="preserve">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7D3836E0"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 10-25</w:t>
      </w:r>
      <w:r w:rsidR="00BA2682">
        <w:rPr>
          <w:rFonts w:eastAsia="Times New Roman"/>
          <w:sz w:val="24"/>
          <w:szCs w:val="24"/>
        </w:rPr>
        <w:t>, 409 P.3d at 621</w:t>
      </w:r>
      <w:r w:rsidRPr="001D31A6">
        <w:rPr>
          <w:rFonts w:eastAsia="Times New Roman"/>
          <w:sz w:val="24"/>
          <w:szCs w:val="24"/>
        </w:rPr>
        <w:t xml:space="preserve">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5605A6A" w14:textId="517DF847" w:rsidR="00A85E65" w:rsidRDefault="001D31A6" w:rsidP="00A85E65">
      <w:pPr>
        <w:ind w:firstLine="720"/>
        <w:rPr>
          <w:sz w:val="26"/>
        </w:rPr>
      </w:pPr>
      <w:r w:rsidRPr="001D31A6">
        <w:rPr>
          <w:rFonts w:eastAsia="Times New Roman"/>
          <w:sz w:val="24"/>
          <w:szCs w:val="24"/>
        </w:rPr>
        <w:t xml:space="preserve">16. </w:t>
      </w:r>
      <w:r w:rsidR="001B757B" w:rsidRPr="009C55FF">
        <w:rPr>
          <w:rFonts w:eastAsia="Times New Roman"/>
          <w:sz w:val="24"/>
          <w:szCs w:val="24"/>
        </w:rPr>
        <w:t xml:space="preserve">In </w:t>
      </w:r>
      <w:r w:rsidR="001B757B" w:rsidRPr="009C55FF">
        <w:rPr>
          <w:b/>
          <w:sz w:val="24"/>
          <w:szCs w:val="24"/>
        </w:rPr>
        <w:t>Auto Owners Insurance Co. v. Bolt Factory Lofts Owners Ass</w:t>
      </w:r>
      <w:r w:rsidR="00F86E1F">
        <w:rPr>
          <w:b/>
          <w:sz w:val="24"/>
          <w:szCs w:val="24"/>
        </w:rPr>
        <w:t>’</w:t>
      </w:r>
      <w:r w:rsidR="001B757B" w:rsidRPr="009C55FF">
        <w:rPr>
          <w:b/>
          <w:sz w:val="24"/>
          <w:szCs w:val="24"/>
        </w:rPr>
        <w:t>n</w:t>
      </w:r>
      <w:r w:rsidR="001B757B" w:rsidRPr="009C55FF">
        <w:rPr>
          <w:sz w:val="24"/>
          <w:szCs w:val="24"/>
        </w:rPr>
        <w:t xml:space="preserve">, 2021 CO 32, 487 P.3d 276, the supreme court held </w:t>
      </w:r>
      <w:r w:rsidR="001B757B">
        <w:rPr>
          <w:sz w:val="24"/>
          <w:szCs w:val="24"/>
        </w:rPr>
        <w:t>that where the</w:t>
      </w:r>
      <w:r w:rsidR="001B757B" w:rsidRPr="009C55FF">
        <w:rPr>
          <w:sz w:val="24"/>
          <w:szCs w:val="24"/>
        </w:rPr>
        <w:t xml:space="preserve"> insured entered into a </w:t>
      </w:r>
      <w:r w:rsidR="001B757B" w:rsidRPr="009C55FF">
        <w:rPr>
          <w:b/>
          <w:sz w:val="24"/>
          <w:szCs w:val="24"/>
        </w:rPr>
        <w:t>Nunn</w:t>
      </w:r>
      <w:r w:rsidR="001B757B" w:rsidRPr="009C55FF">
        <w:rPr>
          <w:sz w:val="24"/>
          <w:szCs w:val="24"/>
        </w:rPr>
        <w:t xml:space="preserve"> agreement with a third-party claimant, but rather than</w:t>
      </w:r>
      <w:r w:rsidR="001B757B">
        <w:rPr>
          <w:sz w:val="24"/>
          <w:szCs w:val="24"/>
        </w:rPr>
        <w:t xml:space="preserve"> agreeing to a stipulated </w:t>
      </w:r>
      <w:r w:rsidR="001B757B" w:rsidRPr="009C55FF">
        <w:rPr>
          <w:sz w:val="24"/>
          <w:szCs w:val="24"/>
        </w:rPr>
        <w:t xml:space="preserve">judgment, </w:t>
      </w:r>
      <w:r w:rsidR="001B757B">
        <w:rPr>
          <w:sz w:val="24"/>
          <w:szCs w:val="24"/>
        </w:rPr>
        <w:t xml:space="preserve">the parties proceeded </w:t>
      </w:r>
      <w:r w:rsidR="001B757B" w:rsidRPr="009C55FF">
        <w:rPr>
          <w:sz w:val="24"/>
          <w:szCs w:val="24"/>
        </w:rPr>
        <w:t>to an uncontested trial to determine liability and damages</w:t>
      </w:r>
      <w:r w:rsidR="001B757B">
        <w:rPr>
          <w:sz w:val="24"/>
          <w:szCs w:val="24"/>
        </w:rPr>
        <w:t xml:space="preserve">, the </w:t>
      </w:r>
      <w:r w:rsidR="001B757B" w:rsidRPr="009C55FF">
        <w:rPr>
          <w:sz w:val="24"/>
          <w:szCs w:val="24"/>
        </w:rPr>
        <w:t xml:space="preserve">insurer defending its insured under a reservation of rights </w:t>
      </w:r>
      <w:r w:rsidR="001B757B">
        <w:rPr>
          <w:sz w:val="24"/>
          <w:szCs w:val="24"/>
        </w:rPr>
        <w:t>was</w:t>
      </w:r>
      <w:r w:rsidR="001B757B" w:rsidRPr="009C55FF">
        <w:rPr>
          <w:sz w:val="24"/>
          <w:szCs w:val="24"/>
        </w:rPr>
        <w:t xml:space="preserve"> not entitled to intervene as of right under C.R.C.P. 24(a)(2). The court </w:t>
      </w:r>
      <w:r w:rsidR="001B757B" w:rsidRPr="009C55FF">
        <w:rPr>
          <w:sz w:val="24"/>
          <w:szCs w:val="24"/>
        </w:rPr>
        <w:lastRenderedPageBreak/>
        <w:t xml:space="preserve">concluded that the insurer’s interest in the litigation was not impaired because the insurer may sufficiently protect its interest in a </w:t>
      </w:r>
      <w:r w:rsidR="001B757B">
        <w:rPr>
          <w:sz w:val="24"/>
          <w:szCs w:val="24"/>
        </w:rPr>
        <w:t>later</w:t>
      </w:r>
      <w:r w:rsidR="001B757B" w:rsidRPr="009C55FF">
        <w:rPr>
          <w:sz w:val="24"/>
          <w:szCs w:val="24"/>
        </w:rPr>
        <w:t xml:space="preserve"> proceeding.</w:t>
      </w:r>
    </w:p>
    <w:p w14:paraId="75D40401" w14:textId="0986C904" w:rsidR="00A85E65" w:rsidRDefault="00A85E65" w:rsidP="00A85E65">
      <w:pPr>
        <w:ind w:firstLine="720"/>
        <w:rPr>
          <w:rFonts w:eastAsia="Times New Roman"/>
          <w:sz w:val="24"/>
          <w:szCs w:val="24"/>
        </w:rPr>
      </w:pPr>
    </w:p>
    <w:p w14:paraId="09C072E5" w14:textId="64266EAA" w:rsidR="00AB2B06" w:rsidRDefault="00A85E65" w:rsidP="001D31A6">
      <w:pPr>
        <w:spacing w:after="240"/>
        <w:ind w:firstLine="720"/>
        <w:rPr>
          <w:sz w:val="24"/>
          <w:szCs w:val="24"/>
        </w:rPr>
      </w:pPr>
      <w:r>
        <w:rPr>
          <w:rFonts w:eastAsia="Times New Roman"/>
          <w:sz w:val="24"/>
          <w:szCs w:val="24"/>
        </w:rPr>
        <w:t xml:space="preserve">17. </w:t>
      </w:r>
      <w:r w:rsidR="001B757B" w:rsidRPr="009C55FF">
        <w:rPr>
          <w:sz w:val="24"/>
          <w:szCs w:val="24"/>
        </w:rPr>
        <w:t xml:space="preserve">In </w:t>
      </w:r>
      <w:r w:rsidR="001B757B" w:rsidRPr="009C55FF">
        <w:rPr>
          <w:b/>
          <w:sz w:val="24"/>
          <w:szCs w:val="24"/>
        </w:rPr>
        <w:t>State Farm Auto Ins. Co. v. Goddard</w:t>
      </w:r>
      <w:r w:rsidR="001B757B" w:rsidRPr="009C55FF">
        <w:rPr>
          <w:sz w:val="24"/>
          <w:szCs w:val="24"/>
        </w:rPr>
        <w:t>, 2021 COA 15, 484 P.3d 765,</w:t>
      </w:r>
      <w:r w:rsidR="001B757B">
        <w:rPr>
          <w:sz w:val="24"/>
          <w:szCs w:val="24"/>
        </w:rPr>
        <w:t xml:space="preserve"> </w:t>
      </w:r>
      <w:r w:rsidR="001B757B" w:rsidRPr="009C55FF">
        <w:rPr>
          <w:sz w:val="24"/>
          <w:szCs w:val="24"/>
        </w:rPr>
        <w:t xml:space="preserve">the court of appeals declined to adopt a blanket rule that an insured cannot, as a matter of law, breach an insurance policy by entering into an agreement like the one contemplated by the supreme court in </w:t>
      </w:r>
      <w:r w:rsidR="001B757B" w:rsidRPr="009C55FF">
        <w:rPr>
          <w:b/>
          <w:sz w:val="24"/>
          <w:szCs w:val="24"/>
        </w:rPr>
        <w:t>Nunn</w:t>
      </w:r>
      <w:r w:rsidR="001B757B" w:rsidRPr="009C55FF">
        <w:rPr>
          <w:sz w:val="24"/>
          <w:szCs w:val="24"/>
        </w:rPr>
        <w:t>. Instead, the court held that, before an insured is justified in stipulating to a judgment and assigning its claims against its insurer to a third-party claimant, it must first appear that the insurer has unreasonably refused to defend the insured or to settle the claim within policy limits. Whether an insurer appears to have acted unreasonably and whether an insured has breached an insurance contract by entering into such an agreement are questions of fact.</w:t>
      </w:r>
      <w:r w:rsidR="00AB2B06">
        <w:rPr>
          <w:sz w:val="24"/>
          <w:szCs w:val="24"/>
        </w:rPr>
        <w:t xml:space="preserve"> </w:t>
      </w:r>
    </w:p>
    <w:p w14:paraId="3EE8C9F7" w14:textId="35AE8955" w:rsidR="001D31A6" w:rsidRPr="001D31A6" w:rsidRDefault="00AB2B06" w:rsidP="001D31A6">
      <w:pPr>
        <w:spacing w:after="240"/>
        <w:ind w:firstLine="720"/>
        <w:rPr>
          <w:rFonts w:eastAsia="Times New Roman"/>
          <w:sz w:val="24"/>
          <w:szCs w:val="24"/>
        </w:rPr>
      </w:pPr>
      <w:r>
        <w:rPr>
          <w:sz w:val="24"/>
          <w:szCs w:val="24"/>
        </w:rPr>
        <w:t>1</w:t>
      </w:r>
      <w:r w:rsidR="00A85E65">
        <w:rPr>
          <w:sz w:val="24"/>
          <w:szCs w:val="24"/>
        </w:rPr>
        <w:t>8</w:t>
      </w:r>
      <w:r>
        <w:rPr>
          <w:sz w:val="24"/>
          <w:szCs w:val="24"/>
        </w:rPr>
        <w:t xml:space="preserve">. </w:t>
      </w:r>
      <w:r w:rsidR="001D31A6" w:rsidRPr="001D31A6">
        <w:rPr>
          <w:rFonts w:eastAsia="Times New Roman"/>
          <w:sz w:val="24"/>
          <w:szCs w:val="24"/>
        </w:rPr>
        <w:t xml:space="preserve">The logic of </w:t>
      </w:r>
      <w:r w:rsidR="001D31A6" w:rsidRPr="001D31A6">
        <w:rPr>
          <w:rFonts w:eastAsia="Times New Roman"/>
          <w:b/>
          <w:sz w:val="24"/>
          <w:szCs w:val="24"/>
        </w:rPr>
        <w:t>Nunn</w:t>
      </w:r>
      <w:r w:rsidR="001D31A6"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001D31A6" w:rsidRPr="001D31A6">
        <w:rPr>
          <w:rFonts w:eastAsia="Times New Roman"/>
          <w:b/>
          <w:sz w:val="24"/>
          <w:szCs w:val="24"/>
        </w:rPr>
        <w:t>DC-10 Entm’t, LLC v. Manor Ins. Agency, Inc.</w:t>
      </w:r>
      <w:r w:rsidR="001D31A6" w:rsidRPr="001D31A6">
        <w:rPr>
          <w:rFonts w:eastAsia="Times New Roman"/>
          <w:sz w:val="24"/>
          <w:szCs w:val="24"/>
        </w:rPr>
        <w:t>, 2013 COA 14, ¶ 14, 308 P.3d 1223. In that case, the insurer of a nightclub denied coverage for a fight between patrons based on an exclusion for assault and battery. The injured patron and the club entered 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5EA2C165" w:rsidR="001D31A6" w:rsidRPr="001D31A6" w:rsidRDefault="001D31A6" w:rsidP="001D31A6">
      <w:pPr>
        <w:spacing w:after="240"/>
        <w:ind w:firstLine="720"/>
        <w:rPr>
          <w:rFonts w:eastAsia="Times New Roman"/>
          <w:sz w:val="24"/>
          <w:szCs w:val="24"/>
        </w:rPr>
      </w:pPr>
      <w:r w:rsidRPr="001D31A6">
        <w:rPr>
          <w:rFonts w:eastAsia="Times New Roman"/>
          <w:sz w:val="24"/>
          <w:szCs w:val="24"/>
        </w:rPr>
        <w:t>1</w:t>
      </w:r>
      <w:r w:rsidR="00A85E65">
        <w:rPr>
          <w:rFonts w:eastAsia="Times New Roman"/>
          <w:sz w:val="24"/>
          <w:szCs w:val="24"/>
        </w:rPr>
        <w:t>9</w:t>
      </w:r>
      <w:r w:rsidRPr="001D31A6">
        <w:rPr>
          <w:rFonts w:eastAsia="Times New Roman"/>
          <w:sz w:val="24"/>
          <w:szCs w:val="24"/>
        </w:rPr>
        <w:t xml:space="preserve">.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10704E4A" w:rsidR="001D31A6" w:rsidRPr="001D31A6" w:rsidRDefault="00A85E65" w:rsidP="001D31A6">
      <w:pPr>
        <w:spacing w:after="240"/>
        <w:ind w:firstLine="720"/>
        <w:rPr>
          <w:rFonts w:eastAsia="Times New Roman"/>
          <w:sz w:val="24"/>
          <w:szCs w:val="24"/>
        </w:rPr>
      </w:pPr>
      <w:r>
        <w:rPr>
          <w:rFonts w:eastAsia="Times New Roman"/>
          <w:sz w:val="24"/>
          <w:szCs w:val="24"/>
        </w:rPr>
        <w:t>20</w:t>
      </w:r>
      <w:r w:rsidR="001D31A6" w:rsidRPr="001D31A6">
        <w:rPr>
          <w:rFonts w:eastAsia="Times New Roman"/>
          <w:sz w:val="24"/>
          <w:szCs w:val="24"/>
        </w:rPr>
        <w:t xml:space="preserve">. The supreme court held that an insured’s violation of a policy’s no-voluntary-payments clause by settling with a claimant without suit and without advance notice to or the consent of its liability insurer bars coverage. </w:t>
      </w:r>
      <w:r w:rsidR="001D31A6" w:rsidRPr="001D31A6">
        <w:rPr>
          <w:rFonts w:eastAsia="Times New Roman"/>
          <w:b/>
          <w:sz w:val="24"/>
          <w:szCs w:val="24"/>
        </w:rPr>
        <w:t>Travelers Prop. Cas. Co. of Am. v. Stresscon Corp.</w:t>
      </w:r>
      <w:r w:rsidR="001D31A6"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001D31A6" w:rsidRPr="001D31A6">
        <w:rPr>
          <w:rFonts w:eastAsia="Times New Roman"/>
          <w:i/>
          <w:sz w:val="24"/>
          <w:szCs w:val="24"/>
        </w:rPr>
        <w:t xml:space="preserve">see </w:t>
      </w:r>
      <w:r w:rsidR="001D31A6" w:rsidRPr="001D31A6">
        <w:rPr>
          <w:rFonts w:eastAsia="Times New Roman"/>
          <w:b/>
          <w:sz w:val="24"/>
          <w:szCs w:val="24"/>
        </w:rPr>
        <w:t xml:space="preserve">Craft v. Philadelphia Indem. Ins. Co., </w:t>
      </w:r>
      <w:r w:rsidR="001D31A6"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001D31A6" w:rsidRPr="001D31A6">
        <w:rPr>
          <w:rFonts w:eastAsia="Times New Roman"/>
          <w:b/>
          <w:sz w:val="24"/>
          <w:szCs w:val="24"/>
        </w:rPr>
        <w:t>Stresscon</w:t>
      </w:r>
      <w:r w:rsidR="001D31A6" w:rsidRPr="001D31A6">
        <w:rPr>
          <w:rFonts w:eastAsia="Times New Roman"/>
          <w:sz w:val="24"/>
          <w:szCs w:val="24"/>
        </w:rPr>
        <w:t>, ¶ 12.</w:t>
      </w:r>
    </w:p>
    <w:p w14:paraId="1881235E" w14:textId="3E3A3BC5" w:rsidR="001D31A6" w:rsidRPr="001D31A6" w:rsidRDefault="00AB2B06" w:rsidP="001D31A6">
      <w:pPr>
        <w:spacing w:after="240"/>
        <w:ind w:firstLine="720"/>
        <w:rPr>
          <w:rFonts w:eastAsia="Times New Roman"/>
          <w:sz w:val="24"/>
          <w:szCs w:val="24"/>
        </w:rPr>
      </w:pPr>
      <w:r>
        <w:rPr>
          <w:rFonts w:eastAsia="Times New Roman"/>
          <w:sz w:val="24"/>
          <w:szCs w:val="24"/>
        </w:rPr>
        <w:t>2</w:t>
      </w:r>
      <w:r w:rsidR="00A85E65">
        <w:rPr>
          <w:rFonts w:eastAsia="Times New Roman"/>
          <w:sz w:val="24"/>
          <w:szCs w:val="24"/>
        </w:rPr>
        <w:t>1</w:t>
      </w:r>
      <w:r w:rsidR="001D31A6" w:rsidRPr="001D31A6">
        <w:rPr>
          <w:rFonts w:eastAsia="Times New Roman"/>
          <w:sz w:val="24"/>
          <w:szCs w:val="24"/>
        </w:rPr>
        <w:t xml:space="preserve">. The court of appeals applied the notice-prejudice rule to violation of an occurrence policy clause requiring notice of incidents within 60 days of their occurrence. </w:t>
      </w:r>
      <w:r w:rsidR="001D31A6" w:rsidRPr="001D31A6">
        <w:rPr>
          <w:rFonts w:eastAsia="Times New Roman"/>
          <w:b/>
          <w:sz w:val="24"/>
          <w:szCs w:val="24"/>
        </w:rPr>
        <w:t>MarkWest Energy Partners, L.P. v. Zurich Am. Ins. Co.</w:t>
      </w:r>
      <w:r w:rsidR="001D31A6" w:rsidRPr="001D31A6">
        <w:rPr>
          <w:rFonts w:eastAsia="Times New Roman"/>
          <w:sz w:val="24"/>
          <w:szCs w:val="24"/>
        </w:rPr>
        <w:t>, 2016 COA 110, ¶ 31</w:t>
      </w:r>
      <w:r w:rsidR="0000771A">
        <w:rPr>
          <w:rFonts w:eastAsia="Times New Roman"/>
          <w:sz w:val="24"/>
          <w:szCs w:val="24"/>
        </w:rPr>
        <w:t>, 411 P.3d 1080</w:t>
      </w:r>
      <w:r w:rsidR="001D31A6" w:rsidRPr="001D31A6">
        <w:rPr>
          <w:rFonts w:eastAsia="Times New Roman"/>
          <w:sz w:val="24"/>
          <w:szCs w:val="24"/>
        </w:rPr>
        <w:t xml:space="preserve">. In doing so, the court distinguished </w:t>
      </w:r>
      <w:r w:rsidR="001D31A6" w:rsidRPr="001D31A6">
        <w:rPr>
          <w:rFonts w:eastAsia="Times New Roman"/>
          <w:b/>
          <w:sz w:val="24"/>
          <w:szCs w:val="24"/>
        </w:rPr>
        <w:t>Stresscon</w:t>
      </w:r>
      <w:r w:rsidR="001D31A6" w:rsidRPr="001D31A6">
        <w:rPr>
          <w:rFonts w:eastAsia="Times New Roman"/>
          <w:sz w:val="24"/>
          <w:szCs w:val="24"/>
        </w:rPr>
        <w:t xml:space="preserve"> and </w:t>
      </w:r>
      <w:r w:rsidR="001D31A6" w:rsidRPr="001D31A6">
        <w:rPr>
          <w:rFonts w:eastAsia="Times New Roman"/>
          <w:b/>
          <w:sz w:val="24"/>
          <w:szCs w:val="24"/>
        </w:rPr>
        <w:t>Craft</w:t>
      </w:r>
      <w:r w:rsidR="001D31A6" w:rsidRPr="001D31A6">
        <w:rPr>
          <w:rFonts w:eastAsia="Times New Roman"/>
          <w:sz w:val="24"/>
          <w:szCs w:val="24"/>
        </w:rPr>
        <w:t xml:space="preserve"> as dealing with policy terms that defined the scope of coverage. </w:t>
      </w:r>
      <w:r w:rsidR="001D31A6" w:rsidRPr="001D31A6">
        <w:rPr>
          <w:rFonts w:eastAsia="Times New Roman"/>
          <w:b/>
          <w:sz w:val="24"/>
          <w:szCs w:val="24"/>
        </w:rPr>
        <w:t>MarkWest Energy Partners</w:t>
      </w:r>
      <w:r w:rsidR="001D31A6" w:rsidRPr="001D31A6">
        <w:rPr>
          <w:rFonts w:eastAsia="Times New Roman"/>
          <w:sz w:val="24"/>
          <w:szCs w:val="24"/>
        </w:rPr>
        <w:t xml:space="preserve">, ¶¶ 24-26. Even though the 60-day notice provision was phrased as a condition precedent to coverage, the court stated that the purpose of </w:t>
      </w:r>
      <w:r w:rsidR="001D31A6" w:rsidRPr="001D31A6">
        <w:rPr>
          <w:rFonts w:eastAsia="Times New Roman"/>
          <w:sz w:val="24"/>
          <w:szCs w:val="24"/>
        </w:rPr>
        <w:lastRenderedPageBreak/>
        <w:t xml:space="preserve">the notice provision — avoidance of prejudice — is lacking if the insurer is unable to show prejudice from a failure to give required notice. </w:t>
      </w:r>
      <w:r w:rsidR="001D31A6" w:rsidRPr="001D31A6">
        <w:rPr>
          <w:rFonts w:eastAsia="Times New Roman"/>
          <w:i/>
          <w:sz w:val="24"/>
          <w:szCs w:val="24"/>
        </w:rPr>
        <w:t>Id.</w:t>
      </w:r>
      <w:r w:rsidR="001D31A6" w:rsidRPr="001D31A6">
        <w:rPr>
          <w:rFonts w:eastAsia="Times New Roman"/>
          <w:sz w:val="24"/>
          <w:szCs w:val="24"/>
        </w:rPr>
        <w:t xml:space="preserve"> at ¶¶ 29-30.</w:t>
      </w:r>
    </w:p>
    <w:p w14:paraId="2D368785" w14:textId="3C5F626F" w:rsidR="00EE26F9" w:rsidRPr="00A30B0E" w:rsidRDefault="00B649E0" w:rsidP="00C235FD">
      <w:pPr>
        <w:spacing w:after="240"/>
        <w:ind w:firstLine="720"/>
        <w:rPr>
          <w:rFonts w:eastAsia="Times New Roman"/>
          <w:sz w:val="24"/>
          <w:szCs w:val="24"/>
        </w:rPr>
      </w:pPr>
      <w:r w:rsidRPr="00C235FD">
        <w:rPr>
          <w:rFonts w:eastAsia="Times New Roman"/>
          <w:sz w:val="24"/>
          <w:szCs w:val="24"/>
        </w:rPr>
        <w:t xml:space="preserve"> </w:t>
      </w:r>
    </w:p>
    <w:p w14:paraId="1FF9BFE7" w14:textId="77777777" w:rsidR="00EE26F9" w:rsidRDefault="00EE26F9" w:rsidP="002802F4">
      <w:r>
        <w:br w:type="page"/>
      </w:r>
    </w:p>
    <w:p w14:paraId="4B43B871" w14:textId="77777777" w:rsidR="00EE26F9" w:rsidRPr="009E3DA4" w:rsidRDefault="00EE26F9" w:rsidP="00EE26F9">
      <w:pPr>
        <w:spacing w:after="240"/>
        <w:ind w:left="720" w:hanging="720"/>
        <w:rPr>
          <w:rFonts w:eastAsia="Times New Roman"/>
          <w:b/>
          <w:sz w:val="24"/>
          <w:szCs w:val="24"/>
        </w:rPr>
      </w:pPr>
      <w:bookmarkStart w:id="1" w:name="a25_02"/>
      <w:bookmarkEnd w:id="1"/>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1E91D9A3"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xml:space="preserve">, on </w:t>
      </w:r>
      <w:r w:rsidR="00371D9F" w:rsidRPr="00D8019D">
        <w:rPr>
          <w:rFonts w:eastAsia="Times New Roman"/>
          <w:bCs/>
          <w:i/>
          <w:iCs/>
          <w:sz w:val="24"/>
          <w:szCs w:val="24"/>
        </w:rPr>
        <w:t>(insert applicable pronoun)</w:t>
      </w:r>
      <w:r w:rsidRPr="00EE26F9">
        <w:rPr>
          <w:rFonts w:eastAsia="Times New Roman"/>
          <w:b/>
          <w:sz w:val="24"/>
          <w:szCs w:val="24"/>
        </w:rPr>
        <w:t xml:space="preserve">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4AFF60BD"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3. The defendant knew that its (conduct) (position) was unreasonable or the defendant recklessly disregarded the fact that </w:t>
      </w:r>
      <w:r w:rsidR="00371D9F" w:rsidRPr="00D8019D">
        <w:rPr>
          <w:rFonts w:eastAsia="Times New Roman"/>
          <w:bCs/>
          <w:i/>
          <w:iCs/>
          <w:sz w:val="24"/>
          <w:szCs w:val="24"/>
        </w:rPr>
        <w:t>(insert applicable pronoun)</w:t>
      </w:r>
      <w:r w:rsidRPr="00EE26F9">
        <w:rPr>
          <w:rFonts w:eastAsia="Times New Roman"/>
          <w:b/>
          <w:sz w:val="24"/>
          <w:szCs w:val="24"/>
        </w:rPr>
        <w:t xml:space="preserve">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5BE0B911"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 7-14</w:t>
      </w:r>
      <w:r w:rsidR="00BA2682">
        <w:rPr>
          <w:rFonts w:eastAsia="Times New Roman"/>
          <w:sz w:val="24"/>
          <w:szCs w:val="24"/>
        </w:rPr>
        <w:t>, 421 P.3d at 1187</w:t>
      </w:r>
      <w:r w:rsidRPr="00EA1205">
        <w:rPr>
          <w:rFonts w:eastAsia="Times New Roman"/>
          <w:sz w:val="24"/>
          <w:szCs w:val="24"/>
        </w:rPr>
        <w:t xml:space="preserve">.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1E14E42" w:rsidR="006A47FD" w:rsidRPr="006A47FD" w:rsidRDefault="0007116C" w:rsidP="00806B2F">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806B2F">
        <w:rPr>
          <w:rFonts w:eastAsia="Times New Roman"/>
          <w:sz w:val="24"/>
          <w:szCs w:val="24"/>
        </w:rPr>
        <w:t>“[A]</w:t>
      </w:r>
      <w:r w:rsidR="00806B2F" w:rsidRPr="00806B2F">
        <w:rPr>
          <w:rFonts w:eastAsia="Times New Roman"/>
          <w:sz w:val="24"/>
          <w:szCs w:val="24"/>
        </w:rPr>
        <w:t xml:space="preserve">n injured co-worker is barred by operation of the </w:t>
      </w:r>
      <w:r w:rsidR="00900C33">
        <w:rPr>
          <w:rFonts w:eastAsia="Times New Roman"/>
          <w:sz w:val="24"/>
          <w:szCs w:val="24"/>
        </w:rPr>
        <w:t>[Workers’ Compensation Act’s]</w:t>
      </w:r>
      <w:r w:rsidR="00806B2F" w:rsidRPr="00806B2F">
        <w:rPr>
          <w:rFonts w:eastAsia="Times New Roman"/>
          <w:sz w:val="24"/>
          <w:szCs w:val="24"/>
        </w:rPr>
        <w:t xml:space="preserve"> exclusivity and co-employee immunity principles from recovering UM/UIM benefits from a co-employee vehicle owner</w:t>
      </w:r>
      <w:r w:rsidR="00806B2F">
        <w:rPr>
          <w:rFonts w:eastAsia="Times New Roman"/>
          <w:sz w:val="24"/>
          <w:szCs w:val="24"/>
        </w:rPr>
        <w:t>’</w:t>
      </w:r>
      <w:r w:rsidR="00806B2F" w:rsidRPr="00806B2F">
        <w:rPr>
          <w:rFonts w:eastAsia="Times New Roman"/>
          <w:sz w:val="24"/>
          <w:szCs w:val="24"/>
        </w:rPr>
        <w:t xml:space="preserve">s insurer for damages stemming from a work-related accident in which </w:t>
      </w:r>
      <w:r w:rsidR="00806B2F" w:rsidRPr="00806B2F">
        <w:rPr>
          <w:rFonts w:eastAsia="Times New Roman"/>
          <w:sz w:val="24"/>
          <w:szCs w:val="24"/>
        </w:rPr>
        <w:lastRenderedPageBreak/>
        <w:t>another co-employee negligently drove the owner</w:t>
      </w:r>
      <w:r w:rsidR="00806B2F">
        <w:rPr>
          <w:rFonts w:eastAsia="Times New Roman"/>
          <w:sz w:val="24"/>
          <w:szCs w:val="24"/>
        </w:rPr>
        <w:t>’</w:t>
      </w:r>
      <w:r w:rsidR="00806B2F" w:rsidRPr="00806B2F">
        <w:rPr>
          <w:rFonts w:eastAsia="Times New Roman"/>
          <w:sz w:val="24"/>
          <w:szCs w:val="24"/>
        </w:rPr>
        <w:t>s vehicle and the injured party was an authorized passenger</w:t>
      </w:r>
      <w:r w:rsidR="00806B2F">
        <w:rPr>
          <w:rFonts w:eastAsia="Times New Roman"/>
          <w:sz w:val="24"/>
          <w:szCs w:val="24"/>
        </w:rPr>
        <w:t xml:space="preserve">.” </w:t>
      </w:r>
      <w:r w:rsidR="00806B2F" w:rsidRPr="00806B2F">
        <w:rPr>
          <w:rFonts w:eastAsia="Times New Roman"/>
          <w:b/>
          <w:bCs/>
          <w:sz w:val="24"/>
          <w:szCs w:val="24"/>
        </w:rPr>
        <w:t>Ryser v. Shelter Mut. Ins. Co.</w:t>
      </w:r>
      <w:r w:rsidR="00806B2F" w:rsidRPr="00806B2F">
        <w:rPr>
          <w:rFonts w:eastAsia="Times New Roman"/>
          <w:sz w:val="24"/>
          <w:szCs w:val="24"/>
        </w:rPr>
        <w:t>, 2021 CO 11, ¶ 2, 480 P.3d 1286, 1287</w:t>
      </w:r>
      <w:r w:rsidR="00E93D03">
        <w:rPr>
          <w:rFonts w:eastAsia="Times New Roman"/>
          <w:sz w:val="24"/>
          <w:szCs w:val="24"/>
        </w:rPr>
        <w:t xml:space="preserve">. </w:t>
      </w:r>
      <w:r w:rsidR="00806B2F">
        <w:rPr>
          <w:rFonts w:eastAsia="Times New Roman"/>
          <w:sz w:val="24"/>
          <w:szCs w:val="24"/>
        </w:rPr>
        <w:t>By contrast, e</w:t>
      </w:r>
      <w:r w:rsidR="006A47FD" w:rsidRPr="006A47FD">
        <w:rPr>
          <w:rFonts w:eastAsia="Times New Roman"/>
          <w:sz w:val="24"/>
          <w:szCs w:val="24"/>
        </w:rPr>
        <w:t xml:space="preserve">mployer and co-employee immunity from suit by fellow employees under </w:t>
      </w:r>
      <w:r w:rsidR="00900C33">
        <w:rPr>
          <w:rFonts w:eastAsia="Times New Roman"/>
          <w:sz w:val="24"/>
          <w:szCs w:val="24"/>
        </w:rPr>
        <w:t>the</w:t>
      </w:r>
      <w:r w:rsidR="006A47FD" w:rsidRPr="006A47FD">
        <w:rPr>
          <w:rFonts w:eastAsia="Times New Roman"/>
          <w:sz w:val="24"/>
          <w:szCs w:val="24"/>
        </w:rPr>
        <w:t xml:space="preserve">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6CC1894C" w14:textId="77777777" w:rsidR="00C235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710876C6" w:rsid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A67C48E" w14:textId="49E2BFBC" w:rsidR="00504A75" w:rsidRPr="00F11F05" w:rsidRDefault="00504A75" w:rsidP="00461AE7">
      <w:pPr>
        <w:pStyle w:val="NormalWeb"/>
        <w:ind w:firstLine="720"/>
      </w:pPr>
      <w:r>
        <w:rPr>
          <w:color w:val="000000"/>
          <w:shd w:val="clear" w:color="auto" w:fill="FFFFFF"/>
        </w:rPr>
        <w:t xml:space="preserve">13. </w:t>
      </w:r>
      <w:r w:rsidR="002136F9">
        <w:rPr>
          <w:color w:val="000000"/>
          <w:shd w:val="clear" w:color="auto" w:fill="FFFFFF"/>
        </w:rPr>
        <w:t>T</w:t>
      </w:r>
      <w:r w:rsidRPr="00A0200E">
        <w:rPr>
          <w:color w:val="000000"/>
          <w:shd w:val="clear" w:color="auto" w:fill="FFFFFF"/>
        </w:rPr>
        <w:t>he regular use vehicle exclusion to UM/UIM coverage is inconsistent with section 10-4-609, C.R.S.</w:t>
      </w:r>
      <w:r w:rsidR="00496567">
        <w:rPr>
          <w:color w:val="000000"/>
          <w:shd w:val="clear" w:color="auto" w:fill="FFFFFF"/>
        </w:rPr>
        <w:t>,</w:t>
      </w:r>
      <w:r w:rsidRPr="00A0200E">
        <w:rPr>
          <w:color w:val="000000"/>
          <w:shd w:val="clear" w:color="auto" w:fill="FFFFFF"/>
        </w:rPr>
        <w:t xml:space="preserve"> and violates Col</w:t>
      </w:r>
      <w:r w:rsidRPr="00414FB9">
        <w:rPr>
          <w:shd w:val="clear" w:color="auto" w:fill="FFFFFF"/>
        </w:rPr>
        <w:t>orado public policy because UM/UIM benefits cover</w:t>
      </w:r>
      <w:r w:rsidRPr="00414FB9">
        <w:rPr>
          <w:rStyle w:val="apple-converted-space"/>
          <w:shd w:val="clear" w:color="auto" w:fill="FFFFFF"/>
        </w:rPr>
        <w:t xml:space="preserve"> persons i</w:t>
      </w:r>
      <w:r w:rsidRPr="00414FB9">
        <w:rPr>
          <w:shd w:val="clear" w:color="auto" w:fill="FFFFFF"/>
        </w:rPr>
        <w:t>njured by uninsured or underinsure</w:t>
      </w:r>
      <w:r w:rsidR="00DB7395" w:rsidRPr="00414FB9">
        <w:rPr>
          <w:shd w:val="clear" w:color="auto" w:fill="FFFFFF"/>
        </w:rPr>
        <w:t>d</w:t>
      </w:r>
      <w:r w:rsidRPr="00414FB9">
        <w:rPr>
          <w:shd w:val="clear" w:color="auto" w:fill="FFFFFF"/>
        </w:rPr>
        <w:t xml:space="preserve"> motorists and cannot be tied to the occupancy or use of a particular vehicle or type of vehicle.</w:t>
      </w:r>
      <w:r w:rsidR="001C2259" w:rsidRPr="00414FB9">
        <w:rPr>
          <w:shd w:val="clear" w:color="auto" w:fill="FFFFFF"/>
        </w:rPr>
        <w:t xml:space="preserve"> </w:t>
      </w:r>
      <w:r w:rsidR="002136F9" w:rsidRPr="00414FB9">
        <w:rPr>
          <w:b/>
          <w:bCs/>
          <w:shd w:val="clear" w:color="auto" w:fill="FFFFFF"/>
        </w:rPr>
        <w:t>Hughes v. Essentia Ins. Co.</w:t>
      </w:r>
      <w:r w:rsidR="002136F9" w:rsidRPr="00414FB9">
        <w:rPr>
          <w:shd w:val="clear" w:color="auto" w:fill="FFFFFF"/>
        </w:rPr>
        <w:t xml:space="preserve">, 2022 COA 49, ¶ 5, 516 P.3d 31, </w:t>
      </w:r>
      <w:r w:rsidR="002136F9" w:rsidRPr="00414FB9">
        <w:rPr>
          <w:i/>
          <w:iCs/>
          <w:shd w:val="clear" w:color="auto" w:fill="FFFFFF"/>
        </w:rPr>
        <w:t>rev’d on other grounds</w:t>
      </w:r>
      <w:r w:rsidR="002136F9" w:rsidRPr="00414FB9">
        <w:rPr>
          <w:shd w:val="clear" w:color="auto" w:fill="FFFFFF"/>
        </w:rPr>
        <w:t xml:space="preserve">, </w:t>
      </w:r>
      <w:r w:rsidR="002136F9" w:rsidRPr="00414FB9">
        <w:rPr>
          <w:b/>
          <w:bCs/>
          <w:shd w:val="clear" w:color="auto" w:fill="FFFFFF"/>
        </w:rPr>
        <w:t>Essentia Ins. Co. v. Hughes</w:t>
      </w:r>
      <w:r w:rsidR="002136F9" w:rsidRPr="00414FB9">
        <w:rPr>
          <w:shd w:val="clear" w:color="auto" w:fill="FFFFFF"/>
        </w:rPr>
        <w:t xml:space="preserve">, 2024 CO 17, 545 P.3d 494; </w:t>
      </w:r>
      <w:r w:rsidR="002136F9" w:rsidRPr="00414FB9">
        <w:rPr>
          <w:i/>
          <w:iCs/>
          <w:shd w:val="clear" w:color="auto" w:fill="FFFFFF"/>
        </w:rPr>
        <w:t>c</w:t>
      </w:r>
      <w:r w:rsidR="001C2259" w:rsidRPr="00414FB9">
        <w:rPr>
          <w:i/>
          <w:iCs/>
          <w:shd w:val="clear" w:color="auto" w:fill="FFFFFF"/>
        </w:rPr>
        <w:t>f.</w:t>
      </w:r>
      <w:r w:rsidR="001C2259" w:rsidRPr="00414FB9">
        <w:rPr>
          <w:shd w:val="clear" w:color="auto" w:fill="FFFFFF"/>
        </w:rPr>
        <w:t xml:space="preserve"> </w:t>
      </w:r>
      <w:r w:rsidR="001C2259" w:rsidRPr="00414FB9">
        <w:rPr>
          <w:b/>
          <w:bCs/>
          <w:shd w:val="clear" w:color="auto" w:fill="FFFFFF"/>
        </w:rPr>
        <w:t>Del Valle v. Cal. Cas. Indem. Exch</w:t>
      </w:r>
      <w:r w:rsidR="001C2259" w:rsidRPr="00055882">
        <w:rPr>
          <w:b/>
          <w:bCs/>
          <w:shd w:val="clear" w:color="auto" w:fill="FFFFFF"/>
        </w:rPr>
        <w:t>.</w:t>
      </w:r>
      <w:r w:rsidR="001C2259" w:rsidRPr="00055882">
        <w:rPr>
          <w:shd w:val="clear" w:color="auto" w:fill="FFFFFF"/>
        </w:rPr>
        <w:t>, 2022 COA 138, ¶¶ 14, 15, 22, 525 P.3d 689</w:t>
      </w:r>
      <w:r w:rsidR="001C2259">
        <w:rPr>
          <w:shd w:val="clear" w:color="auto" w:fill="FFFFFF"/>
        </w:rPr>
        <w:t xml:space="preserve"> (concluding </w:t>
      </w:r>
      <w:r w:rsidR="001C2259" w:rsidRPr="00055882">
        <w:rPr>
          <w:shd w:val="clear" w:color="auto" w:fill="FFFFFF"/>
        </w:rPr>
        <w:t xml:space="preserve">that an automobile policy exclusion for medical payments for which workers’ compensation benefits </w:t>
      </w:r>
      <w:r w:rsidR="001C2259" w:rsidRPr="00055882">
        <w:rPr>
          <w:shd w:val="clear" w:color="auto" w:fill="FFFFFF"/>
        </w:rPr>
        <w:lastRenderedPageBreak/>
        <w:t xml:space="preserve">are available does not violate public policy because section 10-4-635, C.R.S., requires only that an insurer </w:t>
      </w:r>
      <w:r w:rsidR="001C2259" w:rsidRPr="00055882">
        <w:rPr>
          <w:i/>
          <w:iCs/>
          <w:shd w:val="clear" w:color="auto" w:fill="FFFFFF"/>
        </w:rPr>
        <w:t>offer</w:t>
      </w:r>
      <w:r w:rsidR="001C2259" w:rsidRPr="00055882">
        <w:rPr>
          <w:shd w:val="clear" w:color="auto" w:fill="FFFFFF"/>
        </w:rPr>
        <w:t xml:space="preserve"> at least $5,000 in coverage for medical expenses for</w:t>
      </w:r>
      <w:r w:rsidR="001C2259">
        <w:rPr>
          <w:shd w:val="clear" w:color="auto" w:fill="FFFFFF"/>
        </w:rPr>
        <w:t xml:space="preserve"> motor vehicle</w:t>
      </w:r>
      <w:r w:rsidR="001C2259" w:rsidRPr="00055882">
        <w:rPr>
          <w:shd w:val="clear" w:color="auto" w:fill="FFFFFF"/>
        </w:rPr>
        <w:t xml:space="preserve"> bodily injury</w:t>
      </w:r>
      <w:r w:rsidR="001C2259">
        <w:rPr>
          <w:shd w:val="clear" w:color="auto" w:fill="FFFFFF"/>
        </w:rPr>
        <w:t xml:space="preserve">, </w:t>
      </w:r>
      <w:r w:rsidR="001C2259" w:rsidRPr="00055882">
        <w:rPr>
          <w:shd w:val="clear" w:color="auto" w:fill="FFFFFF"/>
        </w:rPr>
        <w:t xml:space="preserve">and an insured may decline such coverage, </w:t>
      </w:r>
      <w:r w:rsidR="001C2259">
        <w:rPr>
          <w:shd w:val="clear" w:color="auto" w:fill="FFFFFF"/>
        </w:rPr>
        <w:t xml:space="preserve">therefore such </w:t>
      </w:r>
      <w:r w:rsidR="001C2259" w:rsidRPr="00055882">
        <w:rPr>
          <w:shd w:val="clear" w:color="auto" w:fill="FFFFFF"/>
        </w:rPr>
        <w:t>coverage is not statutorily required</w:t>
      </w:r>
      <w:r w:rsidR="001C2259">
        <w:rPr>
          <w:shd w:val="clear" w:color="auto" w:fill="FFFFFF"/>
        </w:rPr>
        <w:t>)</w:t>
      </w:r>
      <w:r w:rsidR="001C2259" w:rsidRPr="00055882">
        <w:rPr>
          <w:shd w:val="clear" w:color="auto" w:fill="FFFFFF"/>
        </w:rPr>
        <w:t>.</w:t>
      </w:r>
      <w:r w:rsidR="00461AE7">
        <w:rPr>
          <w:shd w:val="clear" w:color="auto" w:fill="FFFFFF"/>
        </w:rPr>
        <w:t xml:space="preserve"> However, for </w:t>
      </w:r>
      <w:r w:rsidR="00461AE7" w:rsidRPr="005E0753">
        <w:t>specialty antique/classic-car polic</w:t>
      </w:r>
      <w:r w:rsidR="00461AE7">
        <w:t>ies</w:t>
      </w:r>
      <w:r w:rsidR="00461AE7" w:rsidRPr="005E0753">
        <w:t xml:space="preserve"> that require</w:t>
      </w:r>
      <w:r w:rsidR="00461AE7">
        <w:t xml:space="preserve"> </w:t>
      </w:r>
      <w:r w:rsidR="00461AE7" w:rsidRPr="005E0753">
        <w:t>an insured to have a regular-use vehicle and to insure it through a standard policy that provides UM/UIM coverage</w:t>
      </w:r>
      <w:r w:rsidR="00461AE7">
        <w:t xml:space="preserve">, UM/UIM coverage may be properly limited </w:t>
      </w:r>
      <w:r w:rsidR="00461AE7" w:rsidRPr="005E0753">
        <w:t>to the use of any antique/classic car covered under the specialty policy.</w:t>
      </w:r>
      <w:r w:rsidR="00461AE7">
        <w:t xml:space="preserve"> </w:t>
      </w:r>
      <w:r w:rsidR="00461AE7" w:rsidRPr="00F11F05">
        <w:rPr>
          <w:b/>
          <w:bCs/>
        </w:rPr>
        <w:t>Essentia Ins. Co. v. Hughes</w:t>
      </w:r>
      <w:r w:rsidR="00461AE7" w:rsidRPr="00F11F05">
        <w:t xml:space="preserve">, </w:t>
      </w:r>
      <w:r w:rsidR="00461AE7">
        <w:t xml:space="preserve">2024 CO 17, </w:t>
      </w:r>
      <w:r w:rsidR="00FB42AE">
        <w:t xml:space="preserve">¶ </w:t>
      </w:r>
      <w:r w:rsidR="002136F9">
        <w:t>52</w:t>
      </w:r>
      <w:r w:rsidR="00FB42AE">
        <w:t xml:space="preserve">, </w:t>
      </w:r>
      <w:r w:rsidR="00461AE7" w:rsidRPr="00F11F05">
        <w:t>545 P.3d 494</w:t>
      </w:r>
      <w:r w:rsidR="00461AE7">
        <w:t>.</w:t>
      </w:r>
    </w:p>
    <w:p w14:paraId="47BDF6DF" w14:textId="17520750" w:rsidR="00504A75" w:rsidRPr="006A47FD" w:rsidRDefault="00504A75" w:rsidP="001D663D">
      <w:pPr>
        <w:spacing w:after="240"/>
        <w:ind w:firstLine="720"/>
        <w:rPr>
          <w:rFonts w:eastAsia="Times New Roman"/>
          <w:sz w:val="24"/>
          <w:szCs w:val="24"/>
        </w:rPr>
      </w:pPr>
      <w:r>
        <w:rPr>
          <w:rFonts w:eastAsia="Times New Roman"/>
          <w:sz w:val="24"/>
          <w:szCs w:val="24"/>
        </w:rPr>
        <w:t>14</w:t>
      </w:r>
      <w:r w:rsidRPr="00A30B0E">
        <w:rPr>
          <w:rFonts w:eastAsia="Times New Roman"/>
          <w:sz w:val="24"/>
          <w:szCs w:val="24"/>
        </w:rPr>
        <w:t xml:space="preserve">. </w:t>
      </w:r>
      <w:r w:rsidR="002F21BE" w:rsidRPr="002F21BE">
        <w:rPr>
          <w:rFonts w:eastAsia="Times New Roman"/>
          <w:sz w:val="24"/>
          <w:szCs w:val="24"/>
        </w:rPr>
        <w:t xml:space="preserve">In </w:t>
      </w:r>
      <w:r w:rsidR="002F21BE" w:rsidRPr="00F11F05">
        <w:rPr>
          <w:b/>
          <w:bCs/>
          <w:sz w:val="24"/>
          <w:szCs w:val="24"/>
        </w:rPr>
        <w:t>Gregory v. Safeco Ins. Co.</w:t>
      </w:r>
      <w:r w:rsidR="002F21BE" w:rsidRPr="00F11F05">
        <w:rPr>
          <w:sz w:val="24"/>
          <w:szCs w:val="24"/>
        </w:rPr>
        <w:t xml:space="preserve">, 2024 CO 13, </w:t>
      </w:r>
      <w:r w:rsidR="00FB42AE">
        <w:rPr>
          <w:sz w:val="24"/>
          <w:szCs w:val="24"/>
        </w:rPr>
        <w:t xml:space="preserve">¶ 39, </w:t>
      </w:r>
      <w:r w:rsidR="002F21BE" w:rsidRPr="00F11F05">
        <w:rPr>
          <w:sz w:val="24"/>
          <w:szCs w:val="24"/>
        </w:rPr>
        <w:t>545 P.3d 942, the Colorado Supreme Court applied the notice</w:t>
      </w:r>
      <w:r w:rsidR="00316A40">
        <w:rPr>
          <w:sz w:val="24"/>
          <w:szCs w:val="24"/>
        </w:rPr>
        <w:t>-</w:t>
      </w:r>
      <w:r w:rsidR="002F21BE" w:rsidRPr="00F11F05">
        <w:rPr>
          <w:sz w:val="24"/>
          <w:szCs w:val="24"/>
        </w:rPr>
        <w:t>prejudice rule to occurrence-based first-party homeowners’ property insurance policies.</w:t>
      </w:r>
    </w:p>
    <w:p w14:paraId="27AAA46C" w14:textId="2EE91E1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5</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1EC1BC41" w14:textId="5A6D3715" w:rsidR="005172BF" w:rsidRPr="006A47FD" w:rsidRDefault="006A47FD" w:rsidP="006A47FD">
      <w:pPr>
        <w:spacing w:after="240"/>
        <w:ind w:firstLine="720"/>
        <w:rPr>
          <w:rFonts w:eastAsia="Times New Roman"/>
          <w:sz w:val="24"/>
          <w:szCs w:val="24"/>
        </w:rPr>
      </w:pPr>
      <w:r w:rsidRPr="006A47FD">
        <w:rPr>
          <w:rFonts w:eastAsia="Times New Roman"/>
          <w:sz w:val="24"/>
          <w:szCs w:val="24"/>
        </w:rPr>
        <w:t>1</w:t>
      </w:r>
      <w:r w:rsidR="006411C9">
        <w:rPr>
          <w:rFonts w:eastAsia="Times New Roman"/>
          <w:sz w:val="24"/>
          <w:szCs w:val="24"/>
        </w:rPr>
        <w:t>6</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42A3937F"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7</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185E361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2802F4">
        <w:rPr>
          <w:rFonts w:eastAsia="Times New Roman"/>
          <w:sz w:val="24"/>
          <w:szCs w:val="24"/>
        </w:rPr>
        <w:t>8</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14E2815"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1</w:t>
      </w:r>
      <w:r w:rsidR="002802F4">
        <w:rPr>
          <w:rFonts w:eastAsia="Times New Roman"/>
          <w:sz w:val="24"/>
          <w:szCs w:val="24"/>
        </w:rPr>
        <w:t>9</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66801D1" w:rsidR="00434650" w:rsidRDefault="002802F4"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FD0662">
        <w:rPr>
          <w:rFonts w:eastAsia="Times New Roman"/>
          <w:color w:val="000000"/>
          <w:sz w:val="24"/>
          <w:szCs w:val="24"/>
        </w:rPr>
        <w:t>, 488 P.3d 425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6F1AA60F" w:rsidR="006A47FD" w:rsidRPr="006A47FD" w:rsidRDefault="002802F4" w:rsidP="006A47FD">
      <w:pPr>
        <w:spacing w:after="240"/>
        <w:ind w:firstLine="720"/>
        <w:rPr>
          <w:rFonts w:eastAsia="Times New Roman"/>
          <w:sz w:val="24"/>
          <w:szCs w:val="24"/>
        </w:rPr>
      </w:pPr>
      <w:r>
        <w:rPr>
          <w:rFonts w:eastAsia="Times New Roman"/>
          <w:sz w:val="24"/>
          <w:szCs w:val="24"/>
        </w:rPr>
        <w:t>21</w:t>
      </w:r>
      <w:r w:rsidR="00434650">
        <w:rPr>
          <w:rFonts w:eastAsia="Times New Roman"/>
          <w:sz w:val="24"/>
          <w:szCs w:val="24"/>
        </w:rPr>
        <w:t xml:space="preserve">.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C61864E" w:rsidR="006A47FD" w:rsidRPr="006A47FD" w:rsidRDefault="00434650"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2</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746A5E16" w:rsidR="006A47FD" w:rsidRPr="006A47FD" w:rsidRDefault="0007116C" w:rsidP="006A47FD">
      <w:pPr>
        <w:spacing w:after="240"/>
        <w:ind w:firstLine="720"/>
        <w:rPr>
          <w:rFonts w:eastAsia="Times New Roman"/>
          <w:sz w:val="24"/>
          <w:szCs w:val="24"/>
        </w:rPr>
      </w:pPr>
      <w:r>
        <w:rPr>
          <w:rFonts w:eastAsia="Times New Roman"/>
          <w:sz w:val="24"/>
          <w:szCs w:val="24"/>
        </w:rPr>
        <w:t>2</w:t>
      </w:r>
      <w:r w:rsidR="002802F4">
        <w:rPr>
          <w:rFonts w:eastAsia="Times New Roman"/>
          <w:sz w:val="24"/>
          <w:szCs w:val="24"/>
        </w:rPr>
        <w:t>3</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lastRenderedPageBreak/>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2FA866A8"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4</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6A770DD3"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5</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745A4CD6"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6</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2D80A66E" w:rsidR="006A47FD" w:rsidRPr="00271185" w:rsidRDefault="006A47FD" w:rsidP="00741570">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7</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r w:rsidR="00741570">
        <w:rPr>
          <w:rFonts w:eastAsia="Times New Roman"/>
          <w:sz w:val="24"/>
          <w:szCs w:val="24"/>
        </w:rPr>
        <w:t xml:space="preserve"> </w:t>
      </w:r>
      <w:r w:rsidR="00741570" w:rsidRPr="00271185">
        <w:rPr>
          <w:rFonts w:eastAsia="Times New Roman"/>
          <w:sz w:val="24"/>
          <w:szCs w:val="24"/>
        </w:rPr>
        <w:t xml:space="preserve">Whether asserted as an affirmative defense or a failure to comply with a condition precedent, in order for an insurer to raise the defense of noncooperation the insurer must strictly comply with all requirements of </w:t>
      </w:r>
      <w:r w:rsidR="00F11F05">
        <w:rPr>
          <w:rFonts w:eastAsia="Times New Roman"/>
          <w:sz w:val="24"/>
          <w:szCs w:val="24"/>
        </w:rPr>
        <w:t>section</w:t>
      </w:r>
      <w:r w:rsidR="00741570" w:rsidRPr="00271185">
        <w:rPr>
          <w:rFonts w:eastAsia="Times New Roman"/>
          <w:sz w:val="24"/>
          <w:szCs w:val="24"/>
        </w:rPr>
        <w:t xml:space="preserve"> 10-3-1118</w:t>
      </w:r>
      <w:r w:rsidR="00FB42AE">
        <w:rPr>
          <w:rFonts w:eastAsia="Times New Roman"/>
          <w:sz w:val="24"/>
          <w:szCs w:val="24"/>
        </w:rPr>
        <w:t>, C.R.S</w:t>
      </w:r>
      <w:r w:rsidR="00741570" w:rsidRPr="00271185">
        <w:rPr>
          <w:rFonts w:eastAsia="Times New Roman"/>
          <w:sz w:val="24"/>
          <w:szCs w:val="24"/>
        </w:rPr>
        <w:t xml:space="preserve">. </w:t>
      </w:r>
      <w:r w:rsidR="00741570" w:rsidRPr="00F11F05">
        <w:rPr>
          <w:b/>
          <w:bCs/>
          <w:sz w:val="24"/>
          <w:szCs w:val="24"/>
        </w:rPr>
        <w:t>Wenzell v. United Servs</w:t>
      </w:r>
      <w:r w:rsidR="00FB42AE">
        <w:rPr>
          <w:b/>
          <w:bCs/>
          <w:sz w:val="24"/>
          <w:szCs w:val="24"/>
        </w:rPr>
        <w:t>.</w:t>
      </w:r>
      <w:r w:rsidR="00741570" w:rsidRPr="00F11F05">
        <w:rPr>
          <w:b/>
          <w:bCs/>
          <w:sz w:val="24"/>
          <w:szCs w:val="24"/>
        </w:rPr>
        <w:t xml:space="preserve"> Auto</w:t>
      </w:r>
      <w:r w:rsidR="00FB42AE">
        <w:rPr>
          <w:b/>
          <w:bCs/>
          <w:sz w:val="24"/>
          <w:szCs w:val="24"/>
        </w:rPr>
        <w:t>.</w:t>
      </w:r>
      <w:r w:rsidR="00741570" w:rsidRPr="00F11F05">
        <w:rPr>
          <w:b/>
          <w:bCs/>
          <w:sz w:val="24"/>
          <w:szCs w:val="24"/>
        </w:rPr>
        <w:t xml:space="preserve"> Ass</w:t>
      </w:r>
      <w:r w:rsidR="00FB42AE">
        <w:rPr>
          <w:b/>
          <w:bCs/>
          <w:sz w:val="24"/>
          <w:szCs w:val="24"/>
        </w:rPr>
        <w:t>’</w:t>
      </w:r>
      <w:r w:rsidR="00741570" w:rsidRPr="00F11F05">
        <w:rPr>
          <w:b/>
          <w:bCs/>
          <w:sz w:val="24"/>
          <w:szCs w:val="24"/>
        </w:rPr>
        <w:t>n</w:t>
      </w:r>
      <w:r w:rsidR="00741570" w:rsidRPr="00F11F05">
        <w:rPr>
          <w:sz w:val="24"/>
          <w:szCs w:val="24"/>
        </w:rPr>
        <w:t xml:space="preserve">, 2024 COA 40, </w:t>
      </w:r>
      <w:r w:rsidR="002C08FD">
        <w:rPr>
          <w:sz w:val="24"/>
          <w:szCs w:val="24"/>
        </w:rPr>
        <w:t xml:space="preserve">¶ 38, </w:t>
      </w:r>
      <w:r w:rsidR="00741570" w:rsidRPr="00F11F05">
        <w:rPr>
          <w:sz w:val="24"/>
          <w:szCs w:val="24"/>
        </w:rPr>
        <w:t>552 P.3d 1121.</w:t>
      </w:r>
    </w:p>
    <w:p w14:paraId="7CEECC2C" w14:textId="649668F8"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8</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4EE407A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2802F4">
        <w:rPr>
          <w:rFonts w:eastAsia="Times New Roman"/>
          <w:sz w:val="24"/>
          <w:szCs w:val="24"/>
        </w:rPr>
        <w:t>9</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w:t>
      </w:r>
      <w:r w:rsidR="002136F9">
        <w:rPr>
          <w:rFonts w:eastAsia="Times New Roman"/>
          <w:sz w:val="24"/>
          <w:szCs w:val="24"/>
        </w:rPr>
        <w:t>A division of the court of appeals</w:t>
      </w:r>
      <w:r w:rsidRPr="006A47FD">
        <w:rPr>
          <w:rFonts w:eastAsia="Times New Roman"/>
          <w:sz w:val="24"/>
          <w:szCs w:val="24"/>
        </w:rPr>
        <w:t xml:space="preserve">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002136F9" w:rsidRPr="002136F9">
        <w:rPr>
          <w:rFonts w:eastAsia="Times New Roman"/>
          <w:bCs/>
          <w:sz w:val="24"/>
          <w:szCs w:val="24"/>
        </w:rPr>
        <w:t>division</w:t>
      </w:r>
      <w:r w:rsidRPr="006A47FD">
        <w:rPr>
          <w:rFonts w:eastAsia="Times New Roman"/>
          <w:sz w:val="24"/>
          <w:szCs w:val="24"/>
        </w:rPr>
        <w:t xml:space="preserve"> affirmed the trial court’s exclusion of attorney post-filing conduct tendered as evidence of bad faith where the probative value was </w:t>
      </w:r>
      <w:r w:rsidRPr="006A47FD">
        <w:rPr>
          <w:rFonts w:eastAsia="Times New Roman"/>
          <w:sz w:val="24"/>
          <w:szCs w:val="24"/>
        </w:rPr>
        <w:lastRenderedPageBreak/>
        <w:t xml:space="preserve">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2FF203C8" w:rsidR="006A47FD" w:rsidRPr="006A47FD" w:rsidRDefault="002802F4"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006A47FD" w:rsidRPr="006A47FD">
        <w:rPr>
          <w:rFonts w:eastAsia="Times New Roman"/>
          <w:b/>
          <w:sz w:val="24"/>
          <w:szCs w:val="24"/>
        </w:rPr>
        <w:t>McKelvy v. Liberty Mut. Ins. Co.</w:t>
      </w:r>
      <w:r w:rsidR="006A47FD"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006A47FD" w:rsidRPr="006A47FD">
        <w:rPr>
          <w:rFonts w:eastAsia="Times New Roman"/>
          <w:b/>
          <w:sz w:val="24"/>
          <w:szCs w:val="24"/>
        </w:rPr>
        <w:t>Munoz v. State Farm Mut. Auto. Ins. Co.</w:t>
      </w:r>
      <w:r w:rsidR="006A47FD" w:rsidRPr="006A47FD">
        <w:rPr>
          <w:rFonts w:eastAsia="Times New Roman"/>
          <w:sz w:val="24"/>
          <w:szCs w:val="24"/>
        </w:rPr>
        <w:t>, 968 P.2d 126 (Colo. App. 1998).</w:t>
      </w:r>
    </w:p>
    <w:p w14:paraId="38F1CAD4" w14:textId="63A25878" w:rsidR="006A47FD" w:rsidRPr="006A47FD" w:rsidRDefault="002802F4" w:rsidP="006A47FD">
      <w:pPr>
        <w:spacing w:after="240"/>
        <w:ind w:firstLine="720"/>
        <w:rPr>
          <w:rFonts w:eastAsia="Times New Roman"/>
          <w:sz w:val="24"/>
          <w:szCs w:val="24"/>
        </w:rPr>
      </w:pPr>
      <w:r>
        <w:rPr>
          <w:rFonts w:eastAsia="Times New Roman"/>
          <w:sz w:val="24"/>
          <w:szCs w:val="24"/>
        </w:rPr>
        <w:t>31</w:t>
      </w:r>
      <w:r w:rsidR="006A47FD" w:rsidRPr="006A47FD">
        <w:rPr>
          <w:rFonts w:eastAsia="Times New Roman"/>
          <w:sz w:val="24"/>
          <w:szCs w:val="24"/>
        </w:rPr>
        <w:t xml:space="preserve">. The Colorado Auto Accident Reparations Act (now repealed) does not preempt the common-law tort claim of bad faith breach of insurance contract. </w:t>
      </w:r>
      <w:r w:rsidR="006A47FD" w:rsidRPr="006A47FD">
        <w:rPr>
          <w:rFonts w:eastAsia="Times New Roman"/>
          <w:b/>
          <w:sz w:val="24"/>
          <w:szCs w:val="24"/>
        </w:rPr>
        <w:t>Farmers Group, Inc. v. Williams</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6628E94E" w:rsidR="006A47FD" w:rsidRPr="006A47FD" w:rsidRDefault="00434650"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2</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4A8B3CE3" w:rsidR="006A47FD" w:rsidRPr="006A47FD" w:rsidRDefault="0007116C" w:rsidP="006A47FD">
      <w:pPr>
        <w:spacing w:after="240"/>
        <w:ind w:firstLine="720"/>
        <w:rPr>
          <w:rFonts w:eastAsia="Times New Roman"/>
          <w:sz w:val="24"/>
          <w:szCs w:val="24"/>
        </w:rPr>
      </w:pPr>
      <w:r>
        <w:rPr>
          <w:rFonts w:eastAsia="Times New Roman"/>
          <w:sz w:val="24"/>
          <w:szCs w:val="24"/>
        </w:rPr>
        <w:t>3</w:t>
      </w:r>
      <w:r w:rsidR="002802F4">
        <w:rPr>
          <w:rFonts w:eastAsia="Times New Roman"/>
          <w:sz w:val="24"/>
          <w:szCs w:val="24"/>
        </w:rPr>
        <w:t>3</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5AABAB5A"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4</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06D98233" w:rsidR="007C4B23" w:rsidRDefault="006A47FD" w:rsidP="00EC29A6">
      <w:pPr>
        <w:spacing w:after="240"/>
        <w:ind w:firstLine="720"/>
        <w:rPr>
          <w:rFonts w:eastAsia="Times New Roman"/>
          <w:sz w:val="24"/>
          <w:szCs w:val="24"/>
        </w:rPr>
      </w:pPr>
      <w:r w:rsidRPr="006A47FD">
        <w:rPr>
          <w:rFonts w:eastAsia="Times New Roman"/>
          <w:sz w:val="24"/>
          <w:szCs w:val="24"/>
        </w:rPr>
        <w:t>3</w:t>
      </w:r>
      <w:r w:rsidR="002802F4">
        <w:rPr>
          <w:rFonts w:eastAsia="Times New Roman"/>
          <w:sz w:val="24"/>
          <w:szCs w:val="24"/>
        </w:rPr>
        <w:t>5</w:t>
      </w:r>
      <w:r w:rsidRPr="006A47FD">
        <w:rPr>
          <w:rFonts w:eastAsia="Times New Roman"/>
          <w:sz w:val="24"/>
          <w:szCs w:val="24"/>
        </w:rPr>
        <w:t xml:space="preserve">. Even though a state law may “regulate insurance” within the meaning of ERISA’s Savings Clause, it will be barred by conflict preemption if the law provides for remedies </w:t>
      </w:r>
      <w:r w:rsidRPr="006A47FD">
        <w:rPr>
          <w:rFonts w:eastAsia="Times New Roman"/>
          <w:sz w:val="24"/>
          <w:szCs w:val="24"/>
        </w:rPr>
        <w:lastRenderedPageBreak/>
        <w:t xml:space="preserve">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2" w:name="a25_03"/>
      <w:bookmarkEnd w:id="2"/>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422F011C"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2FA34EE"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Cork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6164A495"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 38</w:t>
      </w:r>
      <w:r w:rsidR="007571AF">
        <w:rPr>
          <w:rFonts w:eastAsia="Times New Roman"/>
          <w:sz w:val="24"/>
          <w:szCs w:val="24"/>
        </w:rPr>
        <w:t>, 310 P.3d at 162</w:t>
      </w:r>
      <w:r w:rsidR="00407AAB" w:rsidRPr="00407AAB">
        <w:rPr>
          <w:rFonts w:eastAsia="Times New Roman"/>
          <w:sz w:val="24"/>
          <w:szCs w:val="24"/>
        </w:rPr>
        <w:t>.</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Id.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r w:rsidR="00407AAB" w:rsidRPr="00407AAB">
        <w:rPr>
          <w:rFonts w:eastAsia="Times New Roman"/>
          <w:i/>
          <w:sz w:val="24"/>
          <w:szCs w:val="24"/>
        </w:rPr>
        <w:t>Id.</w:t>
      </w:r>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3" w:name="a25_04"/>
      <w:bookmarkEnd w:id="3"/>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B5EC755"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xml:space="preserve">, on </w:t>
      </w:r>
      <w:r w:rsidR="00371D9F" w:rsidRPr="00D8019D">
        <w:rPr>
          <w:rFonts w:eastAsia="Times New Roman"/>
          <w:bCs/>
          <w:i/>
          <w:iCs/>
          <w:sz w:val="24"/>
          <w:szCs w:val="24"/>
        </w:rPr>
        <w:t>(insert applicable pronoun)</w:t>
      </w:r>
      <w:r w:rsidRPr="007A56C2">
        <w:rPr>
          <w:rFonts w:eastAsia="Times New Roman"/>
          <w:b/>
          <w:sz w:val="24"/>
          <w:szCs w:val="24"/>
        </w:rPr>
        <w:t xml:space="preserve">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5BF0E4BC" w:rsidR="001007E7" w:rsidRPr="001007E7" w:rsidRDefault="001007E7" w:rsidP="00813381">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w:t>
      </w:r>
      <w:bookmarkStart w:id="4" w:name="_Hlk117849968"/>
      <w:r w:rsidRPr="001007E7">
        <w:rPr>
          <w:rFonts w:eastAsia="Times New Roman"/>
          <w:b/>
          <w:sz w:val="24"/>
          <w:szCs w:val="24"/>
        </w:rPr>
        <w:t>Hall v. American Standard Insurance Co.</w:t>
      </w:r>
      <w:r w:rsidRPr="001007E7">
        <w:rPr>
          <w:rFonts w:eastAsia="Times New Roman"/>
          <w:sz w:val="24"/>
          <w:szCs w:val="24"/>
        </w:rPr>
        <w:t>, 2012 COA 201, ¶ 17, 292 P.3d 1196</w:t>
      </w:r>
      <w:bookmarkEnd w:id="4"/>
      <w:r w:rsidR="00806B2F">
        <w:rPr>
          <w:rFonts w:eastAsia="Times New Roman"/>
          <w:sz w:val="24"/>
          <w:szCs w:val="24"/>
        </w:rPr>
        <w:t xml:space="preserve">, </w:t>
      </w:r>
      <w:r w:rsidR="00C235FD" w:rsidRPr="00C235FD">
        <w:rPr>
          <w:rFonts w:eastAsia="Times New Roman"/>
          <w:i/>
          <w:iCs/>
          <w:sz w:val="24"/>
          <w:szCs w:val="24"/>
        </w:rPr>
        <w:t xml:space="preserve">partially </w:t>
      </w:r>
      <w:r w:rsidR="00806B2F" w:rsidRPr="00813381">
        <w:rPr>
          <w:rFonts w:eastAsia="Times New Roman"/>
          <w:i/>
          <w:iCs/>
          <w:sz w:val="24"/>
          <w:szCs w:val="24"/>
        </w:rPr>
        <w:t>overruled on other grounds by</w:t>
      </w:r>
      <w:r w:rsidR="00806B2F">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1007E7">
        <w:rPr>
          <w:rFonts w:eastAsia="Times New Roman"/>
          <w:sz w:val="24"/>
          <w:szCs w:val="24"/>
        </w:rPr>
        <w:t xml:space="preserve">; and </w:t>
      </w:r>
      <w:r w:rsidRPr="001007E7">
        <w:rPr>
          <w:rFonts w:eastAsia="Times New Roman"/>
          <w:b/>
          <w:sz w:val="24"/>
          <w:szCs w:val="24"/>
        </w:rPr>
        <w:t>Kisselman</w:t>
      </w:r>
      <w:r w:rsidRPr="001007E7">
        <w:rPr>
          <w:rFonts w:eastAsia="Times New Roman"/>
          <w:sz w:val="24"/>
          <w:szCs w:val="24"/>
        </w:rPr>
        <w:t>, 292 P.3d at 972-73.</w:t>
      </w:r>
    </w:p>
    <w:p w14:paraId="0113B844" w14:textId="17795340" w:rsidR="000407F2" w:rsidRPr="00C235FD" w:rsidRDefault="000407F2" w:rsidP="00C235FD">
      <w:pPr>
        <w:ind w:firstLine="720"/>
        <w:rPr>
          <w:rFonts w:eastAsia="Times New Roman"/>
          <w:sz w:val="24"/>
          <w:szCs w:val="24"/>
        </w:rPr>
      </w:pPr>
      <w:r w:rsidRPr="00C235FD">
        <w:rPr>
          <w:rFonts w:eastAsia="Times New Roman"/>
          <w:color w:val="000000"/>
          <w:sz w:val="24"/>
          <w:szCs w:val="24"/>
          <w:shd w:val="clear" w:color="auto" w:fill="FFFFFF"/>
        </w:rPr>
        <w:t>2. An action for unreasonably delayed or denied insurance benefits under Colorado law may be brought against an insurer, not against an individual adjuster acting solely as an employee of the insurer.</w:t>
      </w:r>
      <w:r w:rsidRPr="00C235FD">
        <w:rPr>
          <w:rFonts w:eastAsia="Times New Roman"/>
          <w:color w:val="000000"/>
          <w:sz w:val="24"/>
          <w:szCs w:val="24"/>
        </w:rPr>
        <w:t xml:space="preserve"> </w:t>
      </w:r>
      <w:r w:rsidRPr="00C235FD">
        <w:rPr>
          <w:rFonts w:eastAsia="Times New Roman"/>
          <w:b/>
          <w:bCs/>
          <w:color w:val="000000"/>
          <w:sz w:val="24"/>
          <w:szCs w:val="24"/>
          <w:bdr w:val="none" w:sz="0" w:space="0" w:color="auto" w:frame="1"/>
        </w:rPr>
        <w:t>Skillett v. Allstate Fire &amp; Cas. Ins. Co.</w:t>
      </w:r>
      <w:r w:rsidRPr="00C235FD">
        <w:rPr>
          <w:rFonts w:eastAsia="Times New Roman"/>
          <w:color w:val="000000"/>
          <w:sz w:val="24"/>
          <w:szCs w:val="24"/>
        </w:rPr>
        <w:t>, 2022 CO 12, ¶ 1, 505 P.3d 664</w:t>
      </w:r>
      <w:r w:rsidR="000821FF" w:rsidRPr="00C235FD">
        <w:rPr>
          <w:rFonts w:eastAsia="Times New Roman"/>
          <w:color w:val="000000"/>
          <w:sz w:val="24"/>
          <w:szCs w:val="24"/>
        </w:rPr>
        <w:t>.</w:t>
      </w:r>
    </w:p>
    <w:p w14:paraId="6C90A8FF" w14:textId="77777777" w:rsidR="000407F2" w:rsidRPr="00C235FD" w:rsidRDefault="000407F2" w:rsidP="000407F2">
      <w:pPr>
        <w:rPr>
          <w:sz w:val="24"/>
          <w:szCs w:val="24"/>
        </w:rPr>
      </w:pPr>
    </w:p>
    <w:p w14:paraId="73673635" w14:textId="71BADA6E" w:rsidR="001007E7" w:rsidRPr="001007E7" w:rsidRDefault="00C235FD" w:rsidP="001007E7">
      <w:pPr>
        <w:spacing w:after="240"/>
        <w:ind w:firstLine="720"/>
        <w:rPr>
          <w:rFonts w:eastAsia="Times New Roman"/>
          <w:sz w:val="24"/>
          <w:szCs w:val="24"/>
        </w:rPr>
      </w:pPr>
      <w:r>
        <w:rPr>
          <w:rFonts w:eastAsia="Times New Roman"/>
          <w:sz w:val="24"/>
          <w:szCs w:val="24"/>
        </w:rPr>
        <w:t>3</w:t>
      </w:r>
      <w:r w:rsidR="001007E7" w:rsidRPr="001007E7">
        <w:rPr>
          <w:rFonts w:eastAsia="Times New Roman"/>
          <w:sz w:val="24"/>
          <w:szCs w:val="24"/>
        </w:rPr>
        <w:t>.</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FD0662">
        <w:rPr>
          <w:rFonts w:eastAsia="Times New Roman"/>
          <w:sz w:val="24"/>
          <w:szCs w:val="24"/>
        </w:rPr>
        <w:t>, 488 P.3d 142</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001007E7" w:rsidRPr="001007E7">
        <w:rPr>
          <w:rFonts w:eastAsia="Times New Roman"/>
          <w:sz w:val="24"/>
          <w:szCs w:val="24"/>
        </w:rPr>
        <w:t>.</w:t>
      </w:r>
    </w:p>
    <w:p w14:paraId="5997772E" w14:textId="285A9C68" w:rsidR="001007E7" w:rsidRPr="001007E7" w:rsidRDefault="00C235FD" w:rsidP="001007E7">
      <w:pPr>
        <w:spacing w:after="240"/>
        <w:ind w:firstLine="720"/>
        <w:rPr>
          <w:rFonts w:eastAsia="Times New Roman"/>
          <w:sz w:val="24"/>
          <w:szCs w:val="24"/>
        </w:rPr>
      </w:pPr>
      <w:r>
        <w:rPr>
          <w:rFonts w:eastAsia="Times New Roman"/>
          <w:sz w:val="24"/>
          <w:szCs w:val="24"/>
        </w:rPr>
        <w:t>4</w:t>
      </w:r>
      <w:r w:rsidR="001007E7" w:rsidRPr="001007E7">
        <w:rPr>
          <w:rFonts w:eastAsia="Times New Roman"/>
          <w:sz w:val="24"/>
          <w:szCs w:val="24"/>
        </w:rPr>
        <w:t xml:space="preserve">. An insured’s lack of cooperation may be considered by the jury in determining whether an insurer’s delay in payment was reasonable. </w:t>
      </w:r>
      <w:r w:rsidR="001007E7" w:rsidRPr="001007E7">
        <w:rPr>
          <w:rFonts w:eastAsia="Times New Roman"/>
          <w:b/>
          <w:sz w:val="24"/>
          <w:szCs w:val="24"/>
        </w:rPr>
        <w:t>Fisher v. State Farm Mut. Auto. Ins. Co.</w:t>
      </w:r>
      <w:r w:rsidR="001007E7"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1007E7" w:rsidRPr="001007E7">
        <w:rPr>
          <w:rFonts w:eastAsia="Times New Roman"/>
          <w:sz w:val="24"/>
          <w:szCs w:val="24"/>
        </w:rPr>
        <w:t>.</w:t>
      </w:r>
    </w:p>
    <w:p w14:paraId="22C3F728" w14:textId="23C80582" w:rsidR="001007E7" w:rsidRPr="001007E7" w:rsidRDefault="00C235FD" w:rsidP="001007E7">
      <w:pPr>
        <w:spacing w:after="240"/>
        <w:ind w:firstLine="720"/>
        <w:rPr>
          <w:rFonts w:eastAsia="Times New Roman"/>
          <w:sz w:val="24"/>
          <w:szCs w:val="24"/>
        </w:rPr>
      </w:pPr>
      <w:r>
        <w:rPr>
          <w:rFonts w:eastAsia="Times New Roman"/>
          <w:sz w:val="24"/>
          <w:szCs w:val="24"/>
        </w:rPr>
        <w:t>5</w:t>
      </w:r>
      <w:r w:rsidR="001007E7" w:rsidRPr="001007E7">
        <w:rPr>
          <w:rFonts w:eastAsia="Times New Roman"/>
          <w:sz w:val="24"/>
          <w:szCs w:val="24"/>
        </w:rPr>
        <w:t xml:space="preserve">. An insurer’s unreasonable delay or denial of payment as to part of a UIM claim (medical expenses) may subject it to liability even though a reasonable dispute existed as to other components of the claim. </w:t>
      </w:r>
      <w:r w:rsidR="001007E7" w:rsidRPr="001007E7">
        <w:rPr>
          <w:rFonts w:eastAsia="Times New Roman"/>
          <w:b/>
          <w:sz w:val="24"/>
          <w:szCs w:val="24"/>
        </w:rPr>
        <w:t>Fisher</w:t>
      </w:r>
      <w:r w:rsidR="001007E7" w:rsidRPr="001007E7">
        <w:rPr>
          <w:rFonts w:eastAsia="Times New Roman"/>
          <w:sz w:val="24"/>
          <w:szCs w:val="24"/>
        </w:rPr>
        <w:t>, ¶ 36</w:t>
      </w:r>
      <w:r w:rsidR="00BA2682">
        <w:rPr>
          <w:rFonts w:eastAsia="Times New Roman"/>
          <w:sz w:val="24"/>
          <w:szCs w:val="24"/>
        </w:rPr>
        <w:t>, 419 P.3d at 992</w:t>
      </w:r>
      <w:r w:rsidR="001007E7" w:rsidRPr="001007E7">
        <w:rPr>
          <w:rFonts w:eastAsia="Times New Roman"/>
          <w:sz w:val="24"/>
          <w:szCs w:val="24"/>
        </w:rPr>
        <w:t xml:space="preserve"> (insurance contract contained no requirement that insured establish </w:t>
      </w:r>
      <w:r w:rsidR="001007E7" w:rsidRPr="001007E7">
        <w:rPr>
          <w:rFonts w:eastAsia="Times New Roman"/>
          <w:sz w:val="24"/>
          <w:szCs w:val="24"/>
          <w:u w:val="single"/>
        </w:rPr>
        <w:t>all</w:t>
      </w:r>
      <w:r w:rsidR="001007E7" w:rsidRPr="001007E7">
        <w:rPr>
          <w:rFonts w:eastAsia="Times New Roman"/>
          <w:sz w:val="24"/>
          <w:szCs w:val="24"/>
        </w:rPr>
        <w:t xml:space="preserve"> damages as a prerequisite to the insurer’s obligation to pay </w:t>
      </w:r>
      <w:r w:rsidR="001007E7" w:rsidRPr="001007E7">
        <w:rPr>
          <w:rFonts w:eastAsia="Times New Roman"/>
          <w:sz w:val="24"/>
          <w:szCs w:val="24"/>
          <w:u w:val="single"/>
        </w:rPr>
        <w:t>any</w:t>
      </w:r>
      <w:r w:rsidR="001007E7" w:rsidRPr="001007E7">
        <w:rPr>
          <w:rFonts w:eastAsia="Times New Roman"/>
          <w:sz w:val="24"/>
          <w:szCs w:val="24"/>
        </w:rPr>
        <w:t xml:space="preserve"> damages, and any provision that did limit statutorily mandated UIM coverage would be unenforceable).</w:t>
      </w:r>
    </w:p>
    <w:p w14:paraId="52ED6C08" w14:textId="3F68E255" w:rsidR="001007E7" w:rsidRPr="001007E7" w:rsidRDefault="00C235FD" w:rsidP="001007E7">
      <w:pPr>
        <w:spacing w:after="240"/>
        <w:ind w:firstLine="720"/>
        <w:rPr>
          <w:rFonts w:eastAsia="Times New Roman"/>
          <w:sz w:val="24"/>
          <w:szCs w:val="24"/>
        </w:rPr>
      </w:pPr>
      <w:r>
        <w:rPr>
          <w:rFonts w:eastAsia="Times New Roman"/>
          <w:sz w:val="24"/>
          <w:szCs w:val="24"/>
        </w:rPr>
        <w:t>6</w:t>
      </w:r>
      <w:r w:rsidR="001007E7" w:rsidRPr="001007E7">
        <w:rPr>
          <w:rFonts w:eastAsia="Times New Roman"/>
          <w:sz w:val="24"/>
          <w:szCs w:val="24"/>
        </w:rPr>
        <w:t xml:space="preserve">.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001007E7" w:rsidRPr="001007E7">
        <w:rPr>
          <w:rFonts w:eastAsia="Times New Roman"/>
          <w:b/>
          <w:sz w:val="24"/>
          <w:szCs w:val="24"/>
        </w:rPr>
        <w:t>Fisher</w:t>
      </w:r>
      <w:r w:rsidR="001007E7" w:rsidRPr="001007E7">
        <w:rPr>
          <w:rFonts w:eastAsia="Times New Roman"/>
          <w:sz w:val="24"/>
          <w:szCs w:val="24"/>
        </w:rPr>
        <w:t>, ¶¶ 19 &amp; 20</w:t>
      </w:r>
      <w:r w:rsidR="00BA2682">
        <w:rPr>
          <w:rFonts w:eastAsia="Times New Roman"/>
          <w:sz w:val="24"/>
          <w:szCs w:val="24"/>
        </w:rPr>
        <w:t>, 419 P.3d at 989</w:t>
      </w:r>
      <w:r w:rsidR="001007E7" w:rsidRPr="001007E7">
        <w:rPr>
          <w:rFonts w:eastAsia="Times New Roman"/>
          <w:sz w:val="24"/>
          <w:szCs w:val="24"/>
        </w:rPr>
        <w:t>.</w:t>
      </w:r>
    </w:p>
    <w:p w14:paraId="79565914" w14:textId="6257C7CC" w:rsidR="001007E7" w:rsidRPr="001007E7" w:rsidRDefault="00C235FD" w:rsidP="001007E7">
      <w:pPr>
        <w:spacing w:after="240"/>
        <w:ind w:firstLine="720"/>
        <w:rPr>
          <w:rFonts w:eastAsia="Times New Roman"/>
          <w:sz w:val="24"/>
          <w:szCs w:val="24"/>
        </w:rPr>
      </w:pPr>
      <w:r>
        <w:rPr>
          <w:rFonts w:eastAsia="Times New Roman"/>
          <w:sz w:val="24"/>
          <w:szCs w:val="24"/>
        </w:rPr>
        <w:t>7</w:t>
      </w:r>
      <w:r w:rsidR="001007E7" w:rsidRPr="001007E7">
        <w:rPr>
          <w:rFonts w:eastAsia="Times New Roman"/>
          <w:sz w:val="24"/>
          <w:szCs w:val="24"/>
        </w:rPr>
        <w:t xml:space="preserve">. Sections 10-3-1115 and -1116 apply prospectively to insurer conduct occurring after their August 5, 2008, effective date, even if the insured’s original claim was made before that date. </w:t>
      </w:r>
      <w:r w:rsidR="001007E7" w:rsidRPr="001007E7">
        <w:rPr>
          <w:rFonts w:eastAsia="Times New Roman"/>
          <w:b/>
          <w:sz w:val="24"/>
          <w:szCs w:val="24"/>
        </w:rPr>
        <w:t>Kisselman</w:t>
      </w:r>
      <w:r w:rsidR="001007E7" w:rsidRPr="001007E7">
        <w:rPr>
          <w:rFonts w:eastAsia="Times New Roman"/>
          <w:sz w:val="24"/>
          <w:szCs w:val="24"/>
        </w:rPr>
        <w:t xml:space="preserve">, 292 P.3d at 976 (distinguishing Colorado’s refusal to recognize continuing acts of bad faith as giving rise to new claims); </w:t>
      </w:r>
      <w:r w:rsidR="001007E7" w:rsidRPr="001007E7">
        <w:rPr>
          <w:rFonts w:eastAsia="Times New Roman"/>
          <w:i/>
          <w:sz w:val="24"/>
          <w:szCs w:val="24"/>
        </w:rPr>
        <w:t xml:space="preserve">see </w:t>
      </w:r>
      <w:r w:rsidR="001007E7" w:rsidRPr="001007E7">
        <w:rPr>
          <w:rFonts w:eastAsia="Times New Roman"/>
          <w:b/>
          <w:sz w:val="24"/>
          <w:szCs w:val="24"/>
        </w:rPr>
        <w:t>Dale v. Guar. Nat’l Ins. Co.</w:t>
      </w:r>
      <w:r w:rsidR="001007E7" w:rsidRPr="001007E7">
        <w:rPr>
          <w:rFonts w:eastAsia="Times New Roman"/>
          <w:sz w:val="24"/>
          <w:szCs w:val="24"/>
        </w:rPr>
        <w:t>, 948 P.2d 545 (Colo. 1997) (while ongoing bad faith is relevant to a common-law claim, it does not give rise to additional bad faith claims).</w:t>
      </w:r>
    </w:p>
    <w:p w14:paraId="00A43CDF" w14:textId="5C98CB8D" w:rsidR="001007E7" w:rsidRDefault="00C235FD" w:rsidP="001007E7">
      <w:pPr>
        <w:spacing w:after="240"/>
        <w:ind w:firstLine="720"/>
        <w:rPr>
          <w:rFonts w:eastAsia="Times New Roman"/>
          <w:sz w:val="24"/>
          <w:szCs w:val="24"/>
        </w:rPr>
      </w:pPr>
      <w:r>
        <w:rPr>
          <w:rFonts w:eastAsia="Times New Roman"/>
          <w:sz w:val="24"/>
          <w:szCs w:val="24"/>
        </w:rPr>
        <w:lastRenderedPageBreak/>
        <w:t>8</w:t>
      </w:r>
      <w:r w:rsidR="001007E7" w:rsidRPr="001007E7">
        <w:rPr>
          <w:rFonts w:eastAsia="Times New Roman"/>
          <w:sz w:val="24"/>
          <w:szCs w:val="24"/>
        </w:rPr>
        <w:t xml:space="preserve">. Conflict preemption precludes a claim under this statute brought in connection with a policy governed by ERISA because the double-benefit remedy provided by section 10-3-1116(1) supplements and therefore conflicts with remedies available under ERISA. </w:t>
      </w:r>
      <w:r w:rsidR="001007E7" w:rsidRPr="001007E7">
        <w:rPr>
          <w:rFonts w:eastAsia="Times New Roman"/>
          <w:b/>
          <w:sz w:val="24"/>
          <w:szCs w:val="24"/>
        </w:rPr>
        <w:t>Timm v. Prudential Ins. Co. of Am.</w:t>
      </w:r>
      <w:r w:rsidR="001007E7" w:rsidRPr="001007E7">
        <w:rPr>
          <w:rFonts w:eastAsia="Times New Roman"/>
          <w:sz w:val="24"/>
          <w:szCs w:val="24"/>
        </w:rPr>
        <w:t>, 259 P.3d 521 (Colo. App. 2011).</w:t>
      </w:r>
    </w:p>
    <w:p w14:paraId="50F3D8B7" w14:textId="6CC5D662" w:rsidR="00F945CF" w:rsidRDefault="00C235FD" w:rsidP="009E7644">
      <w:pPr>
        <w:spacing w:after="240"/>
        <w:ind w:firstLine="720"/>
        <w:rPr>
          <w:rFonts w:eastAsia="Times New Roman"/>
          <w:i/>
          <w:sz w:val="24"/>
          <w:szCs w:val="24"/>
        </w:rPr>
      </w:pPr>
      <w:r>
        <w:rPr>
          <w:rFonts w:eastAsia="Times New Roman"/>
          <w:sz w:val="24"/>
          <w:szCs w:val="24"/>
        </w:rPr>
        <w:t>9</w:t>
      </w:r>
      <w:r w:rsidR="00673F33">
        <w:rPr>
          <w:rFonts w:eastAsia="Times New Roman"/>
          <w:sz w:val="24"/>
          <w:szCs w:val="24"/>
        </w:rPr>
        <w:t xml:space="preserve">. </w:t>
      </w:r>
      <w:r w:rsidR="00673F33" w:rsidRPr="00673F33">
        <w:rPr>
          <w:rFonts w:eastAsia="Times New Roman"/>
          <w:sz w:val="24"/>
          <w:szCs w:val="24"/>
        </w:rPr>
        <w:t xml:space="preserve">Insureds’ entitlement to de novo judicial </w:t>
      </w:r>
      <w:r w:rsidR="00673F33">
        <w:rPr>
          <w:rFonts w:eastAsia="Times New Roman"/>
          <w:sz w:val="24"/>
          <w:szCs w:val="24"/>
        </w:rPr>
        <w:t>review and trial by jury under s</w:t>
      </w:r>
      <w:r w:rsidR="00673F33" w:rsidRPr="00673F33">
        <w:rPr>
          <w:rFonts w:eastAsia="Times New Roman"/>
          <w:sz w:val="24"/>
          <w:szCs w:val="24"/>
        </w:rPr>
        <w:t xml:space="preserve">ection 10-3-1116(3), </w:t>
      </w:r>
      <w:r w:rsidR="00673F33">
        <w:rPr>
          <w:rFonts w:eastAsia="Times New Roman"/>
          <w:sz w:val="24"/>
          <w:szCs w:val="24"/>
        </w:rPr>
        <w:t xml:space="preserve">C.R.S., </w:t>
      </w:r>
      <w:r w:rsidR="00673F33" w:rsidRPr="00673F33">
        <w:rPr>
          <w:rFonts w:eastAsia="Times New Roman"/>
          <w:sz w:val="24"/>
          <w:szCs w:val="24"/>
        </w:rPr>
        <w:t>is not subject to arbitration under the F</w:t>
      </w:r>
      <w:r w:rsidR="00673F33">
        <w:rPr>
          <w:rFonts w:eastAsia="Times New Roman"/>
          <w:sz w:val="24"/>
          <w:szCs w:val="24"/>
        </w:rPr>
        <w:t xml:space="preserve">ederal </w:t>
      </w:r>
      <w:r w:rsidR="00673F33" w:rsidRPr="00673F33">
        <w:rPr>
          <w:rFonts w:eastAsia="Times New Roman"/>
          <w:sz w:val="24"/>
          <w:szCs w:val="24"/>
        </w:rPr>
        <w:t>A</w:t>
      </w:r>
      <w:r w:rsidR="00673F33">
        <w:rPr>
          <w:rFonts w:eastAsia="Times New Roman"/>
          <w:sz w:val="24"/>
          <w:szCs w:val="24"/>
        </w:rPr>
        <w:t xml:space="preserve">rbitration </w:t>
      </w:r>
      <w:r w:rsidR="00673F33" w:rsidRPr="00673F33">
        <w:rPr>
          <w:rFonts w:eastAsia="Times New Roman"/>
          <w:sz w:val="24"/>
          <w:szCs w:val="24"/>
        </w:rPr>
        <w:t>A</w:t>
      </w:r>
      <w:r w:rsidR="00673F33">
        <w:rPr>
          <w:rFonts w:eastAsia="Times New Roman"/>
          <w:sz w:val="24"/>
          <w:szCs w:val="24"/>
        </w:rPr>
        <w:t>ct, 9 U.S.C. §§ 1-16 (201</w:t>
      </w:r>
      <w:r w:rsidR="007F5724">
        <w:rPr>
          <w:rFonts w:eastAsia="Times New Roman"/>
          <w:sz w:val="24"/>
          <w:szCs w:val="24"/>
        </w:rPr>
        <w:t>8</w:t>
      </w:r>
      <w:r w:rsidR="00673F33">
        <w:rPr>
          <w:rFonts w:eastAsia="Times New Roman"/>
          <w:sz w:val="24"/>
          <w:szCs w:val="24"/>
        </w:rPr>
        <w:t xml:space="preserve">). </w:t>
      </w:r>
      <w:r w:rsidR="00673F33" w:rsidRPr="00673F33">
        <w:rPr>
          <w:rFonts w:eastAsia="Times New Roman"/>
          <w:b/>
          <w:sz w:val="24"/>
          <w:szCs w:val="24"/>
        </w:rPr>
        <w:t>Meardon v. Freedom Life Ins. Co.</w:t>
      </w:r>
      <w:r w:rsidR="00673F33">
        <w:rPr>
          <w:rFonts w:eastAsia="Times New Roman"/>
          <w:sz w:val="24"/>
          <w:szCs w:val="24"/>
        </w:rPr>
        <w:t xml:space="preserve">, 2018 COA 32, ¶¶ 15-20, 417 P.3d 929. </w:t>
      </w:r>
      <w:r w:rsidR="00673F33" w:rsidRPr="00673F33">
        <w:rPr>
          <w:rFonts w:eastAsia="Times New Roman"/>
          <w:sz w:val="24"/>
          <w:szCs w:val="24"/>
        </w:rPr>
        <w:t xml:space="preserve">The provisions of </w:t>
      </w:r>
      <w:r w:rsidR="00673F33">
        <w:rPr>
          <w:rFonts w:eastAsia="Times New Roman"/>
          <w:sz w:val="24"/>
          <w:szCs w:val="24"/>
        </w:rPr>
        <w:t>section 10-3-</w:t>
      </w:r>
      <w:r w:rsidR="00673F33"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00673F33"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21322A58"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xml:space="preserve">, ¶ 32, </w:t>
      </w:r>
      <w:r w:rsidR="00BA2682">
        <w:rPr>
          <w:rFonts w:eastAsia="Times New Roman"/>
          <w:sz w:val="24"/>
          <w:szCs w:val="24"/>
        </w:rPr>
        <w:t xml:space="preserve">375 P.3d at 122, </w:t>
      </w:r>
      <w:r w:rsidRPr="001007E7">
        <w:rPr>
          <w:rFonts w:eastAsia="Times New Roman"/>
          <w:sz w:val="24"/>
          <w:szCs w:val="24"/>
        </w:rPr>
        <w:t>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Colorado prohibit an insurance company from willfully: </w:t>
      </w:r>
      <w:r w:rsidRPr="001007E7">
        <w:rPr>
          <w:rFonts w:eastAsia="Times New Roman"/>
          <w:i/>
          <w:sz w:val="24"/>
          <w:szCs w:val="24"/>
        </w:rPr>
        <w:t>(Insert from § 10-3-1104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xml:space="preserve">, 875 P.2d 1354 (Colo.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(Colo.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xml:space="preserve">, 940 P.2d 967 (Colo.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2. Where plaintiff relied on statutory violations and a failure to investigate his claim, proof of industry standards through expert testimony was unnecessary to establish a bad faith breach of insurance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American Family Mutual Insurance Co. v. Allen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102 P.3d 333, 344 (Colo. 2004), the supreme court observed that the UCSPA regulates insurers’ conduct, but does not create a private right of action; nonetheless, the court held that the Act’s standards “may be used as valid, but not conclusive, evidence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Reversing summary judgment in favor of an insurer that proved its compliance with a Department of Insurance regulation that declares non-compliance a presumptive violation of section 10-3-1104(1)(h)(III)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0E3FBCB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(Colo.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DUTY OF GOOD FAITH AND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E12036F"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22C0D7ED" w:rsidR="001134B3" w:rsidRPr="002C08FD"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w:t>
      </w:r>
      <w:r w:rsidRPr="002C08FD">
        <w:rPr>
          <w:rFonts w:eastAsia="Times New Roman"/>
          <w:sz w:val="24"/>
          <w:szCs w:val="24"/>
        </w:rPr>
        <w:t xml:space="preserve">uninsured motorist context, insurer still owes contractual and quasi-fiduciary duties to insured). </w:t>
      </w:r>
      <w:r w:rsidR="002F21BE" w:rsidRPr="002C08FD">
        <w:rPr>
          <w:rFonts w:eastAsia="Times New Roman"/>
          <w:i/>
          <w:iCs/>
          <w:sz w:val="24"/>
          <w:szCs w:val="24"/>
        </w:rPr>
        <w:t xml:space="preserve">See also </w:t>
      </w:r>
      <w:r w:rsidR="002F21BE" w:rsidRPr="002C08FD">
        <w:rPr>
          <w:b/>
          <w:bCs/>
          <w:sz w:val="24"/>
          <w:szCs w:val="24"/>
        </w:rPr>
        <w:t>Ortiz v. Progressive Direct Ins. Co.</w:t>
      </w:r>
      <w:r w:rsidR="002F21BE" w:rsidRPr="002C08FD">
        <w:rPr>
          <w:sz w:val="24"/>
          <w:szCs w:val="24"/>
        </w:rPr>
        <w:t>, 2024 COA 54</w:t>
      </w:r>
      <w:r w:rsidR="00796173">
        <w:rPr>
          <w:sz w:val="24"/>
          <w:szCs w:val="24"/>
        </w:rPr>
        <w:t>, ¶ 29</w:t>
      </w:r>
      <w:r w:rsidR="006C1726">
        <w:rPr>
          <w:sz w:val="24"/>
          <w:szCs w:val="24"/>
        </w:rPr>
        <w:t>, 554 P.3d 537</w:t>
      </w:r>
      <w:r w:rsidR="002F21BE" w:rsidRPr="002C08FD">
        <w:rPr>
          <w:sz w:val="24"/>
          <w:szCs w:val="24"/>
        </w:rPr>
        <w:t xml:space="preserve"> (citing </w:t>
      </w:r>
      <w:r w:rsidR="002F21BE" w:rsidRPr="002C08FD">
        <w:rPr>
          <w:b/>
          <w:bCs/>
          <w:sz w:val="24"/>
          <w:szCs w:val="24"/>
        </w:rPr>
        <w:t>Brekke</w:t>
      </w:r>
      <w:r w:rsidR="002F21BE" w:rsidRPr="00414FB9">
        <w:rPr>
          <w:sz w:val="24"/>
          <w:szCs w:val="24"/>
        </w:rPr>
        <w:t xml:space="preserve"> </w:t>
      </w:r>
      <w:r w:rsidR="002F21BE" w:rsidRPr="002C08FD">
        <w:rPr>
          <w:sz w:val="24"/>
          <w:szCs w:val="24"/>
        </w:rPr>
        <w:t xml:space="preserve">and </w:t>
      </w:r>
      <w:r w:rsidR="002F21BE" w:rsidRPr="002C08FD">
        <w:rPr>
          <w:b/>
          <w:bCs/>
          <w:sz w:val="24"/>
          <w:szCs w:val="24"/>
        </w:rPr>
        <w:t>Peterman</w:t>
      </w:r>
      <w:r w:rsidR="002F21BE" w:rsidRPr="00414FB9">
        <w:rPr>
          <w:sz w:val="24"/>
          <w:szCs w:val="24"/>
        </w:rPr>
        <w:t xml:space="preserve"> </w:t>
      </w:r>
      <w:r w:rsidR="0089365A" w:rsidRPr="002C08FD">
        <w:rPr>
          <w:sz w:val="24"/>
          <w:szCs w:val="24"/>
        </w:rPr>
        <w:t>and holding an</w:t>
      </w:r>
      <w:r w:rsidR="002F21BE" w:rsidRPr="002C08FD">
        <w:rPr>
          <w:sz w:val="24"/>
          <w:szCs w:val="24"/>
        </w:rPr>
        <w:t xml:space="preserve"> insured</w:t>
      </w:r>
      <w:r w:rsidR="0089365A" w:rsidRPr="002C08FD">
        <w:rPr>
          <w:sz w:val="24"/>
          <w:szCs w:val="24"/>
        </w:rPr>
        <w:t>’s</w:t>
      </w:r>
      <w:r w:rsidR="002F21BE" w:rsidRPr="002C08FD">
        <w:rPr>
          <w:sz w:val="24"/>
          <w:szCs w:val="24"/>
        </w:rPr>
        <w:t xml:space="preserve"> default judgment against </w:t>
      </w:r>
      <w:r w:rsidR="0089365A" w:rsidRPr="002C08FD">
        <w:rPr>
          <w:sz w:val="24"/>
          <w:szCs w:val="24"/>
        </w:rPr>
        <w:t>an uninsured motorist may serve as the basis for a UM claim</w:t>
      </w:r>
      <w:r w:rsidR="002F21BE" w:rsidRPr="002C08FD">
        <w:rPr>
          <w:sz w:val="24"/>
          <w:szCs w:val="24"/>
        </w:rPr>
        <w:t>).</w:t>
      </w:r>
    </w:p>
    <w:p w14:paraId="04D060C8" w14:textId="77777777" w:rsidR="001134B3" w:rsidRPr="001134B3" w:rsidRDefault="001134B3" w:rsidP="001134B3">
      <w:pPr>
        <w:spacing w:after="240"/>
        <w:ind w:firstLine="720"/>
        <w:rPr>
          <w:rFonts w:eastAsia="Times New Roman"/>
          <w:sz w:val="24"/>
          <w:szCs w:val="24"/>
        </w:rPr>
      </w:pPr>
      <w:r w:rsidRPr="002C08FD">
        <w:rPr>
          <w:rFonts w:eastAsia="Times New Roman"/>
          <w:sz w:val="24"/>
          <w:szCs w:val="24"/>
        </w:rPr>
        <w:t xml:space="preserve">6. The insurer’s duty to act in good faith is not limited to the failure to provide policy benefits, but permeates the entire relationship between the insurer and insured. </w:t>
      </w:r>
      <w:r w:rsidRPr="002C08FD">
        <w:rPr>
          <w:rFonts w:eastAsia="Times New Roman"/>
          <w:b/>
          <w:sz w:val="24"/>
          <w:szCs w:val="24"/>
        </w:rPr>
        <w:t>Ballow v. PHICO Ins. Co.</w:t>
      </w:r>
      <w:r w:rsidRPr="002C08FD">
        <w:rPr>
          <w:rFonts w:eastAsia="Times New Roman"/>
          <w:sz w:val="24"/>
          <w:szCs w:val="24"/>
        </w:rPr>
        <w:t>,</w:t>
      </w:r>
      <w:r w:rsidRPr="002C08FD">
        <w:rPr>
          <w:rFonts w:eastAsia="Times New Roman"/>
          <w:b/>
          <w:sz w:val="24"/>
          <w:szCs w:val="24"/>
        </w:rPr>
        <w:t xml:space="preserve"> </w:t>
      </w:r>
      <w:r w:rsidRPr="002C08FD">
        <w:rPr>
          <w:rFonts w:eastAsia="Times New Roman"/>
          <w:sz w:val="24"/>
          <w:szCs w:val="24"/>
        </w:rPr>
        <w:t>875 P.2d 1354</w:t>
      </w:r>
      <w:r w:rsidRPr="001134B3">
        <w:rPr>
          <w:rFonts w:eastAsia="Times New Roman"/>
          <w:sz w:val="24"/>
          <w:szCs w:val="24"/>
        </w:rPr>
        <w:t xml:space="preserve">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xml:space="preserve">, 232 P.3d 168 (Colo. App. 2009) (apparently assuming insurer’s failure to inform insured of certain characteristics of </w:t>
      </w:r>
      <w:r w:rsidRPr="001134B3">
        <w:rPr>
          <w:rFonts w:eastAsia="Times New Roman"/>
          <w:sz w:val="24"/>
          <w:szCs w:val="24"/>
        </w:rPr>
        <w:lastRenderedPageBreak/>
        <w:t>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447BBD1E" w14:textId="7462ED9F" w:rsidR="009B42B0" w:rsidRPr="00F11F05" w:rsidRDefault="009B42B0" w:rsidP="001134B3">
      <w:pPr>
        <w:spacing w:after="240"/>
        <w:ind w:firstLine="720"/>
        <w:rPr>
          <w:sz w:val="24"/>
          <w:szCs w:val="24"/>
        </w:rPr>
      </w:pPr>
      <w:r w:rsidRPr="00F11F05">
        <w:rPr>
          <w:rFonts w:eastAsia="Times New Roman"/>
          <w:sz w:val="24"/>
          <w:szCs w:val="24"/>
        </w:rPr>
        <w:t>12. If there</w:t>
      </w:r>
      <w:r w:rsidR="00F11F05" w:rsidRPr="00F11F05">
        <w:rPr>
          <w:rFonts w:eastAsia="Times New Roman"/>
          <w:sz w:val="24"/>
          <w:szCs w:val="24"/>
        </w:rPr>
        <w:t xml:space="preserve"> i</w:t>
      </w:r>
      <w:r w:rsidRPr="00F11F05">
        <w:rPr>
          <w:rFonts w:eastAsia="Times New Roman"/>
          <w:sz w:val="24"/>
          <w:szCs w:val="24"/>
        </w:rPr>
        <w:t xml:space="preserve">s any possibility </w:t>
      </w:r>
      <w:r w:rsidR="00F11F05" w:rsidRPr="00F11F05">
        <w:rPr>
          <w:rFonts w:eastAsia="Times New Roman"/>
          <w:sz w:val="24"/>
          <w:szCs w:val="24"/>
        </w:rPr>
        <w:t>an excess UIM carrier’s</w:t>
      </w:r>
      <w:r w:rsidRPr="00F11F05">
        <w:rPr>
          <w:rFonts w:eastAsia="Times New Roman"/>
          <w:sz w:val="24"/>
          <w:szCs w:val="24"/>
        </w:rPr>
        <w:t xml:space="preserve"> coverage could be implicated, </w:t>
      </w:r>
      <w:r w:rsidR="00F11F05" w:rsidRPr="00F11F05">
        <w:rPr>
          <w:rFonts w:eastAsia="Times New Roman"/>
          <w:sz w:val="24"/>
          <w:szCs w:val="24"/>
        </w:rPr>
        <w:t xml:space="preserve">the </w:t>
      </w:r>
      <w:r w:rsidRPr="00F11F05">
        <w:rPr>
          <w:rFonts w:eastAsia="Times New Roman"/>
          <w:sz w:val="24"/>
          <w:szCs w:val="24"/>
        </w:rPr>
        <w:t xml:space="preserve">carrier has an independent duty to investigate </w:t>
      </w:r>
      <w:r w:rsidR="00316A40" w:rsidRPr="00F11F05">
        <w:rPr>
          <w:rFonts w:eastAsia="Times New Roman"/>
          <w:sz w:val="24"/>
          <w:szCs w:val="24"/>
        </w:rPr>
        <w:t xml:space="preserve">a </w:t>
      </w:r>
      <w:r w:rsidRPr="00F11F05">
        <w:rPr>
          <w:rFonts w:eastAsia="Times New Roman"/>
          <w:sz w:val="24"/>
          <w:szCs w:val="24"/>
        </w:rPr>
        <w:t xml:space="preserve">claim </w:t>
      </w:r>
      <w:r w:rsidR="00F11F05">
        <w:rPr>
          <w:rFonts w:eastAsia="Times New Roman"/>
          <w:sz w:val="24"/>
          <w:szCs w:val="24"/>
        </w:rPr>
        <w:t xml:space="preserve">even if the </w:t>
      </w:r>
      <w:r w:rsidRPr="00F11F05">
        <w:rPr>
          <w:rFonts w:eastAsia="Times New Roman"/>
          <w:sz w:val="24"/>
          <w:szCs w:val="24"/>
        </w:rPr>
        <w:t>primary UIM coverage</w:t>
      </w:r>
      <w:r w:rsidR="00F11F05">
        <w:rPr>
          <w:rFonts w:eastAsia="Times New Roman"/>
          <w:sz w:val="24"/>
          <w:szCs w:val="24"/>
        </w:rPr>
        <w:t xml:space="preserve"> has not been exhausted</w:t>
      </w:r>
      <w:r w:rsidRPr="00F11F05">
        <w:rPr>
          <w:rFonts w:eastAsia="Times New Roman"/>
          <w:sz w:val="24"/>
          <w:szCs w:val="24"/>
        </w:rPr>
        <w:t xml:space="preserve">. </w:t>
      </w:r>
      <w:r w:rsidRPr="00F11F05">
        <w:rPr>
          <w:b/>
          <w:bCs/>
          <w:sz w:val="24"/>
          <w:szCs w:val="24"/>
        </w:rPr>
        <w:t>Wenzell v. United Servs</w:t>
      </w:r>
      <w:r w:rsidR="002C08FD">
        <w:rPr>
          <w:b/>
          <w:bCs/>
          <w:sz w:val="24"/>
          <w:szCs w:val="24"/>
        </w:rPr>
        <w:t>.</w:t>
      </w:r>
      <w:r w:rsidRPr="00F11F05">
        <w:rPr>
          <w:b/>
          <w:bCs/>
          <w:sz w:val="24"/>
          <w:szCs w:val="24"/>
        </w:rPr>
        <w:t xml:space="preserve"> Auto</w:t>
      </w:r>
      <w:r w:rsidR="002C08FD">
        <w:rPr>
          <w:b/>
          <w:bCs/>
          <w:sz w:val="24"/>
          <w:szCs w:val="24"/>
        </w:rPr>
        <w:t>.</w:t>
      </w:r>
      <w:r w:rsidRPr="00F11F05">
        <w:rPr>
          <w:b/>
          <w:bCs/>
          <w:sz w:val="24"/>
          <w:szCs w:val="24"/>
        </w:rPr>
        <w:t xml:space="preserve"> Ass</w:t>
      </w:r>
      <w:r w:rsidR="002C08FD">
        <w:rPr>
          <w:b/>
          <w:bCs/>
          <w:sz w:val="24"/>
          <w:szCs w:val="24"/>
        </w:rPr>
        <w:t>’</w:t>
      </w:r>
      <w:r w:rsidRPr="00F11F05">
        <w:rPr>
          <w:b/>
          <w:bCs/>
          <w:sz w:val="24"/>
          <w:szCs w:val="24"/>
        </w:rPr>
        <w:t>n</w:t>
      </w:r>
      <w:r w:rsidRPr="00F11F05">
        <w:rPr>
          <w:sz w:val="24"/>
          <w:szCs w:val="24"/>
        </w:rPr>
        <w:t xml:space="preserve">, 2024 COA 40, </w:t>
      </w:r>
      <w:r w:rsidR="002C08FD">
        <w:rPr>
          <w:sz w:val="24"/>
          <w:szCs w:val="24"/>
        </w:rPr>
        <w:t xml:space="preserve">¶ 61, </w:t>
      </w:r>
      <w:r w:rsidRPr="00F11F05">
        <w:rPr>
          <w:sz w:val="24"/>
          <w:szCs w:val="24"/>
        </w:rPr>
        <w:t>552 P.3d 1121.</w:t>
      </w:r>
    </w:p>
    <w:p w14:paraId="2EC6BE3E" w14:textId="64A72264" w:rsidR="009B42B0" w:rsidRPr="00F11F05" w:rsidRDefault="009B42B0" w:rsidP="001134B3">
      <w:pPr>
        <w:spacing w:after="240"/>
        <w:ind w:firstLine="720"/>
        <w:rPr>
          <w:rFonts w:eastAsia="Times New Roman"/>
          <w:sz w:val="24"/>
          <w:szCs w:val="24"/>
        </w:rPr>
      </w:pPr>
      <w:r w:rsidRPr="00F11F05">
        <w:rPr>
          <w:sz w:val="24"/>
          <w:szCs w:val="24"/>
        </w:rPr>
        <w:t xml:space="preserve">13. </w:t>
      </w:r>
      <w:r w:rsidRPr="00F11F05">
        <w:rPr>
          <w:rFonts w:eastAsia="Times New Roman"/>
          <w:color w:val="000000"/>
          <w:sz w:val="24"/>
          <w:szCs w:val="24"/>
        </w:rPr>
        <w:t>A motor vehicle rental company that sells insurance coverage is an insurer, and accordingly</w:t>
      </w:r>
      <w:r w:rsidR="00DB56FA" w:rsidRPr="00F11F05">
        <w:rPr>
          <w:rFonts w:eastAsia="Times New Roman"/>
          <w:color w:val="000000"/>
          <w:sz w:val="24"/>
          <w:szCs w:val="24"/>
        </w:rPr>
        <w:t xml:space="preserve"> it</w:t>
      </w:r>
      <w:r w:rsidRPr="00F11F05">
        <w:rPr>
          <w:rFonts w:eastAsia="Times New Roman"/>
          <w:color w:val="000000"/>
          <w:sz w:val="24"/>
          <w:szCs w:val="24"/>
        </w:rPr>
        <w:t xml:space="preserve"> owes a duty of good faith and fair dealing to its insureds and may be sued for bad faith insurance practices. </w:t>
      </w:r>
      <w:r w:rsidRPr="00F11F05">
        <w:rPr>
          <w:b/>
          <w:bCs/>
          <w:sz w:val="24"/>
          <w:szCs w:val="24"/>
        </w:rPr>
        <w:t>Babayev v. Hertz Corp.</w:t>
      </w:r>
      <w:r w:rsidRPr="00F11F05">
        <w:rPr>
          <w:sz w:val="24"/>
          <w:szCs w:val="24"/>
        </w:rPr>
        <w:t xml:space="preserve">, 2024 COA 15, </w:t>
      </w:r>
      <w:r w:rsidR="00796173">
        <w:rPr>
          <w:sz w:val="24"/>
          <w:szCs w:val="24"/>
        </w:rPr>
        <w:t xml:space="preserve">¶ 40, </w:t>
      </w:r>
      <w:r w:rsidRPr="00F11F05">
        <w:rPr>
          <w:sz w:val="24"/>
          <w:szCs w:val="24"/>
        </w:rPr>
        <w:t>548 P.3d 1180.</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3F1873F5"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w:t>
      </w:r>
      <w:r w:rsidR="00371D9F" w:rsidRPr="00D8019D">
        <w:rPr>
          <w:rFonts w:eastAsia="Times New Roman"/>
          <w:bCs/>
          <w:i/>
          <w:iCs/>
          <w:sz w:val="24"/>
          <w:szCs w:val="24"/>
        </w:rPr>
        <w:t>(insert applicable pronoun)</w:t>
      </w:r>
      <w:r w:rsidRPr="00D72662">
        <w:rPr>
          <w:rFonts w:eastAsia="Times New Roman"/>
          <w:b/>
          <w:sz w:val="24"/>
          <w:szCs w:val="24"/>
        </w:rPr>
        <w:t xml:space="preserve">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1C8F3E66"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 102</w:t>
      </w:r>
      <w:r w:rsidR="007571AF">
        <w:rPr>
          <w:rFonts w:eastAsia="Times New Roman"/>
          <w:sz w:val="24"/>
          <w:szCs w:val="24"/>
        </w:rPr>
        <w:t>, 310 P.3d at 168</w:t>
      </w:r>
      <w:r w:rsidRPr="00D72662">
        <w:rPr>
          <w:rFonts w:eastAsia="Times New Roman"/>
          <w:sz w:val="24"/>
          <w:szCs w:val="24"/>
        </w:rPr>
        <w:t xml:space="preserve">;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4414A859"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w:t>
      </w:r>
      <w:r w:rsidR="00371D9F" w:rsidRPr="00D8019D">
        <w:rPr>
          <w:rFonts w:eastAsia="Times New Roman"/>
          <w:bCs/>
          <w:i/>
          <w:iCs/>
          <w:sz w:val="24"/>
          <w:szCs w:val="24"/>
        </w:rPr>
        <w:t>(insert applicable pronoun)</w:t>
      </w:r>
      <w:r w:rsidRPr="00A038A6">
        <w:rPr>
          <w:rFonts w:eastAsia="Times New Roman"/>
          <w:b/>
          <w:sz w:val="24"/>
          <w:szCs w:val="24"/>
        </w:rPr>
        <w:t xml:space="preserve"> benefits that were improperly (delayed) (denied). If you find in favor of the plaintiff on </w:t>
      </w:r>
      <w:r w:rsidR="00371D9F" w:rsidRPr="00D8019D">
        <w:rPr>
          <w:rFonts w:eastAsia="Times New Roman"/>
          <w:bCs/>
          <w:i/>
          <w:iCs/>
          <w:sz w:val="24"/>
          <w:szCs w:val="24"/>
        </w:rPr>
        <w:t>(insert applicable pronoun)</w:t>
      </w:r>
      <w:r w:rsidRPr="00A038A6">
        <w:rPr>
          <w:rFonts w:eastAsia="Times New Roman"/>
          <w:b/>
          <w:sz w:val="24"/>
          <w:szCs w:val="24"/>
        </w:rPr>
        <w:t xml:space="preserve">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1D766902"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w:t>
      </w:r>
      <w:r w:rsidR="00813381">
        <w:rPr>
          <w:rFonts w:eastAsia="Times New Roman"/>
          <w:sz w:val="24"/>
          <w:szCs w:val="24"/>
        </w:rPr>
        <w:t xml:space="preserve">, </w:t>
      </w:r>
      <w:r w:rsidR="00C235FD" w:rsidRPr="00C235FD">
        <w:rPr>
          <w:rFonts w:eastAsia="Times New Roman"/>
          <w:i/>
          <w:iCs/>
          <w:sz w:val="24"/>
          <w:szCs w:val="24"/>
        </w:rPr>
        <w:t xml:space="preserve">partially </w:t>
      </w:r>
      <w:r w:rsidR="00813381" w:rsidRPr="00813381">
        <w:rPr>
          <w:rFonts w:eastAsia="Times New Roman"/>
          <w:i/>
          <w:iCs/>
          <w:sz w:val="24"/>
          <w:szCs w:val="24"/>
        </w:rPr>
        <w:t>overruled on other grounds by</w:t>
      </w:r>
      <w:r w:rsidR="00813381">
        <w:rPr>
          <w:rFonts w:eastAsia="Times New Roman"/>
          <w:sz w:val="24"/>
          <w:szCs w:val="24"/>
        </w:rPr>
        <w:t xml:space="preserve"> </w:t>
      </w:r>
      <w:r w:rsidR="00813381" w:rsidRPr="00813381">
        <w:rPr>
          <w:rFonts w:eastAsia="Times New Roman"/>
          <w:b/>
          <w:bCs/>
          <w:sz w:val="24"/>
          <w:szCs w:val="24"/>
        </w:rPr>
        <w:t>L.H.M. Corp., TCD v. Martinez</w:t>
      </w:r>
      <w:r w:rsidR="00813381" w:rsidRPr="00813381">
        <w:rPr>
          <w:rFonts w:eastAsia="Times New Roman"/>
          <w:sz w:val="24"/>
          <w:szCs w:val="24"/>
        </w:rPr>
        <w:t>, 2021 CO 78, ¶ 24, 499 P.3d 1050</w:t>
      </w:r>
      <w:r w:rsidRPr="00A038A6">
        <w:rPr>
          <w:rFonts w:eastAsia="Times New Roman"/>
          <w:sz w:val="24"/>
          <w:szCs w:val="24"/>
        </w:rPr>
        <w:t>.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4AB92AB5"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r w:rsidR="0007187A">
        <w:rPr>
          <w:rFonts w:eastAsia="Times New Roman"/>
          <w:sz w:val="24"/>
          <w:szCs w:val="24"/>
        </w:rPr>
        <w:t>In</w:t>
      </w:r>
      <w:r w:rsidR="001C2259">
        <w:rPr>
          <w:rFonts w:eastAsia="Times New Roman"/>
          <w:sz w:val="24"/>
          <w:szCs w:val="24"/>
        </w:rPr>
        <w:t xml:space="preserve"> contrast, because the statutory damages remedies provided by section 10-3-1117(3), C.R.S., are a penalty, they are subject to the one-year statute of limitations in section 13-80-103(1)(d), C.R.S., and a claim for such penalties accrues only on the thirty-first day following a claimant’s request for the policy. </w:t>
      </w:r>
      <w:r w:rsidR="001C2259" w:rsidRPr="0042114F">
        <w:rPr>
          <w:rFonts w:eastAsia="Times New Roman"/>
          <w:b/>
          <w:bCs/>
          <w:sz w:val="24"/>
          <w:szCs w:val="24"/>
        </w:rPr>
        <w:t>Reynolds v. Great N. Ins. Co.</w:t>
      </w:r>
      <w:r w:rsidR="001C2259" w:rsidRPr="0042114F">
        <w:rPr>
          <w:rFonts w:eastAsia="Times New Roman"/>
          <w:sz w:val="24"/>
          <w:szCs w:val="24"/>
        </w:rPr>
        <w:t>, 2023 COA 77</w:t>
      </w:r>
      <w:r w:rsidR="001C2259">
        <w:rPr>
          <w:rFonts w:eastAsia="Times New Roman"/>
          <w:sz w:val="24"/>
          <w:szCs w:val="24"/>
        </w:rPr>
        <w:t>, ¶¶ 14-16</w:t>
      </w:r>
      <w:r w:rsidR="00796173">
        <w:rPr>
          <w:rFonts w:eastAsia="Times New Roman"/>
          <w:sz w:val="24"/>
          <w:szCs w:val="24"/>
        </w:rPr>
        <w:t>, 539 P.3d 930</w:t>
      </w:r>
      <w:r w:rsidR="001C2259">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AF8B8D3"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w:t>
      </w:r>
      <w:r w:rsidRPr="009E7644">
        <w:rPr>
          <w:rFonts w:eastAsia="Times New Roman"/>
          <w:sz w:val="24"/>
          <w:szCs w:val="24"/>
        </w:rPr>
        <w:lastRenderedPageBreak/>
        <w:t xml:space="preserve">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r w:rsidR="001C2259" w:rsidRPr="001C2259">
        <w:rPr>
          <w:rFonts w:eastAsia="Times New Roman"/>
          <w:sz w:val="24"/>
          <w:szCs w:val="24"/>
        </w:rPr>
        <w:t xml:space="preserve"> </w:t>
      </w:r>
      <w:r w:rsidR="001C2259">
        <w:rPr>
          <w:rFonts w:eastAsia="Times New Roman"/>
          <w:sz w:val="24"/>
          <w:szCs w:val="24"/>
        </w:rPr>
        <w:t xml:space="preserve">Under </w:t>
      </w:r>
      <w:r w:rsidR="001C2259" w:rsidRPr="001C2259">
        <w:rPr>
          <w:rFonts w:eastAsia="Times New Roman"/>
          <w:b/>
          <w:bCs/>
          <w:sz w:val="24"/>
          <w:szCs w:val="24"/>
        </w:rPr>
        <w:t>Fisher</w:t>
      </w:r>
      <w:r w:rsidR="001C2259">
        <w:rPr>
          <w:rFonts w:eastAsia="Times New Roman"/>
          <w:sz w:val="24"/>
          <w:szCs w:val="24"/>
        </w:rPr>
        <w:t xml:space="preserve">, an insurer’s internal valuation of an insured’s noneconomic damages is “inadmissible as evidence of undisputed ‘benefits owed’” to an insured. </w:t>
      </w:r>
      <w:r w:rsidR="001C2259" w:rsidRPr="009B4ADE">
        <w:rPr>
          <w:rFonts w:eastAsia="Times New Roman"/>
          <w:b/>
          <w:bCs/>
          <w:sz w:val="24"/>
          <w:szCs w:val="24"/>
        </w:rPr>
        <w:t>Fear v. GEICO Cas. Co.</w:t>
      </w:r>
      <w:r w:rsidR="001C2259" w:rsidRPr="009B4ADE">
        <w:rPr>
          <w:rFonts w:eastAsia="Times New Roman"/>
          <w:sz w:val="24"/>
          <w:szCs w:val="24"/>
        </w:rPr>
        <w:t xml:space="preserve">, </w:t>
      </w:r>
      <w:r w:rsidR="001C2259">
        <w:rPr>
          <w:rFonts w:eastAsia="Times New Roman"/>
          <w:sz w:val="24"/>
          <w:szCs w:val="24"/>
        </w:rPr>
        <w:t xml:space="preserve">2023 COA 31, ¶ 22, </w:t>
      </w:r>
      <w:r w:rsidR="001C2259" w:rsidRPr="009B4ADE">
        <w:rPr>
          <w:rFonts w:eastAsia="Times New Roman"/>
          <w:sz w:val="24"/>
          <w:szCs w:val="24"/>
        </w:rPr>
        <w:t>532 P.3d 382, 387</w:t>
      </w:r>
      <w:r w:rsidR="001C2259">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3D7BC3A8" w14:textId="78E41BFE" w:rsidR="00A038A6" w:rsidRPr="00A038A6" w:rsidRDefault="00813381" w:rsidP="00A038A6">
      <w:pPr>
        <w:spacing w:after="240"/>
        <w:ind w:firstLine="720"/>
        <w:rPr>
          <w:rFonts w:eastAsia="Times New Roman"/>
          <w:sz w:val="24"/>
          <w:szCs w:val="24"/>
        </w:rPr>
      </w:pPr>
      <w:r>
        <w:rPr>
          <w:rFonts w:eastAsia="Times New Roman"/>
          <w:sz w:val="24"/>
          <w:szCs w:val="24"/>
        </w:rPr>
        <w:t>2</w:t>
      </w:r>
      <w:r w:rsidR="00A038A6" w:rsidRPr="00A038A6">
        <w:rPr>
          <w:rFonts w:eastAsia="Times New Roman"/>
          <w:sz w:val="24"/>
          <w:szCs w:val="24"/>
        </w:rPr>
        <w:t xml:space="preserve">. Award of reasonable attorney fees under section 10-3-1116(1) is not limited by a contingent agreement between counsel and the insured, which is but one factor in trial court’s determination of reasonable fees. </w:t>
      </w:r>
      <w:r w:rsidR="00A038A6" w:rsidRPr="00A038A6">
        <w:rPr>
          <w:rFonts w:eastAsia="Times New Roman"/>
          <w:b/>
          <w:sz w:val="24"/>
          <w:szCs w:val="24"/>
        </w:rPr>
        <w:t>Melssen v. Auto-Owners Ins. Co.</w:t>
      </w:r>
      <w:r w:rsidR="00A038A6" w:rsidRPr="00A038A6">
        <w:rPr>
          <w:rFonts w:eastAsia="Times New Roman"/>
          <w:sz w:val="24"/>
          <w:szCs w:val="24"/>
        </w:rPr>
        <w:t>, 2012 COA 102, ¶ 70, 285 P.3d 328.</w:t>
      </w:r>
    </w:p>
    <w:p w14:paraId="500DCBE3" w14:textId="6212E7A4" w:rsidR="00A038A6" w:rsidRPr="00A038A6" w:rsidRDefault="00813381" w:rsidP="00A038A6">
      <w:pPr>
        <w:spacing w:after="240"/>
        <w:ind w:firstLine="720"/>
        <w:rPr>
          <w:rFonts w:eastAsia="Times New Roman"/>
          <w:sz w:val="24"/>
          <w:szCs w:val="24"/>
        </w:rPr>
      </w:pPr>
      <w:r>
        <w:rPr>
          <w:rFonts w:eastAsia="Times New Roman"/>
          <w:sz w:val="24"/>
          <w:szCs w:val="24"/>
        </w:rPr>
        <w:t>3</w:t>
      </w:r>
      <w:r w:rsidR="00A038A6" w:rsidRPr="00A038A6">
        <w:rPr>
          <w:rFonts w:eastAsia="Times New Roman"/>
          <w:sz w:val="24"/>
          <w:szCs w:val="24"/>
        </w:rPr>
        <w:t xml:space="preserve">.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00A038A6" w:rsidRPr="00A038A6">
        <w:rPr>
          <w:rFonts w:eastAsia="Times New Roman"/>
          <w:b/>
          <w:sz w:val="24"/>
          <w:szCs w:val="24"/>
        </w:rPr>
        <w:t>Nibert v. Geico Cas. Co.</w:t>
      </w:r>
      <w:r w:rsidR="00A038A6" w:rsidRPr="00A038A6">
        <w:rPr>
          <w:rFonts w:eastAsia="Times New Roman"/>
          <w:sz w:val="24"/>
          <w:szCs w:val="24"/>
        </w:rPr>
        <w:t>, 2017 COA 23, ¶ 25</w:t>
      </w:r>
      <w:r w:rsidR="00FD0662">
        <w:rPr>
          <w:rFonts w:eastAsia="Times New Roman"/>
          <w:sz w:val="24"/>
          <w:szCs w:val="24"/>
        </w:rPr>
        <w:t>, 488 P.3d 142</w:t>
      </w:r>
      <w:r w:rsidR="00A038A6" w:rsidRPr="00A038A6">
        <w:rPr>
          <w:rFonts w:eastAsia="Times New Roman"/>
          <w:sz w:val="24"/>
          <w:szCs w:val="24"/>
        </w:rPr>
        <w:t xml:space="preserve">. The statutory remedy creates an exception to the American Rule and authorizes “fees on fees” recovery because attorney fees are part of the damage calculation. </w:t>
      </w:r>
      <w:r w:rsidR="00A038A6" w:rsidRPr="00A038A6">
        <w:rPr>
          <w:rFonts w:eastAsia="Times New Roman"/>
          <w:i/>
          <w:sz w:val="24"/>
          <w:szCs w:val="24"/>
        </w:rPr>
        <w:t>Id.</w:t>
      </w:r>
      <w:r w:rsidR="00A038A6" w:rsidRPr="00A038A6">
        <w:rPr>
          <w:rFonts w:eastAsia="Times New Roman"/>
          <w:sz w:val="24"/>
          <w:szCs w:val="24"/>
        </w:rPr>
        <w:t xml:space="preserve"> at ¶ 32</w:t>
      </w:r>
      <w:r w:rsidR="00414C93">
        <w:rPr>
          <w:rFonts w:eastAsia="Times New Roman"/>
          <w:sz w:val="24"/>
          <w:szCs w:val="24"/>
        </w:rPr>
        <w:t>;</w:t>
      </w:r>
      <w:r w:rsidR="00A038A6" w:rsidRPr="00A038A6">
        <w:rPr>
          <w:rFonts w:eastAsia="Times New Roman"/>
          <w:sz w:val="24"/>
          <w:szCs w:val="24"/>
        </w:rPr>
        <w:t xml:space="preserve"> </w:t>
      </w:r>
      <w:r w:rsidR="00A038A6" w:rsidRPr="00A038A6">
        <w:rPr>
          <w:rFonts w:eastAsia="Times New Roman"/>
          <w:b/>
          <w:sz w:val="24"/>
          <w:szCs w:val="24"/>
        </w:rPr>
        <w:t>Stresscon Corp. v. Travelers Prop. Cas. Co. of Am.</w:t>
      </w:r>
      <w:r w:rsidR="00A038A6" w:rsidRPr="00A038A6">
        <w:rPr>
          <w:rFonts w:eastAsia="Times New Roman"/>
          <w:sz w:val="24"/>
          <w:szCs w:val="24"/>
        </w:rPr>
        <w:t xml:space="preserve">, 2013 COA 131, ¶ 120, 373 P.3d 615, </w:t>
      </w:r>
      <w:r w:rsidR="00A038A6" w:rsidRPr="00A038A6">
        <w:rPr>
          <w:rFonts w:eastAsia="Times New Roman"/>
          <w:i/>
          <w:sz w:val="24"/>
          <w:szCs w:val="24"/>
        </w:rPr>
        <w:t>rev’d on other grounds</w:t>
      </w:r>
      <w:r w:rsidR="00A038A6" w:rsidRPr="00A038A6">
        <w:rPr>
          <w:rFonts w:eastAsia="Times New Roman"/>
          <w:sz w:val="24"/>
          <w:szCs w:val="24"/>
        </w:rPr>
        <w:t>, 2016 CO 22M, 370 P.3d 140.</w:t>
      </w:r>
    </w:p>
    <w:p w14:paraId="3C53A4B9" w14:textId="0A4D6EE6" w:rsidR="00A038A6" w:rsidRPr="00CC4F1D" w:rsidRDefault="00813381" w:rsidP="00A038A6">
      <w:pPr>
        <w:spacing w:after="240"/>
        <w:ind w:firstLine="720"/>
        <w:rPr>
          <w:rFonts w:eastAsia="Times New Roman"/>
          <w:sz w:val="24"/>
          <w:szCs w:val="24"/>
        </w:rPr>
      </w:pPr>
      <w:r>
        <w:rPr>
          <w:rFonts w:eastAsia="Times New Roman"/>
          <w:sz w:val="24"/>
          <w:szCs w:val="24"/>
        </w:rPr>
        <w:t>4</w:t>
      </w:r>
      <w:r w:rsidR="00A038A6" w:rsidRPr="00CC4F1D">
        <w:rPr>
          <w:rFonts w:eastAsia="Times New Roman"/>
          <w:sz w:val="24"/>
          <w:szCs w:val="24"/>
        </w:rPr>
        <w:t xml:space="preserve">.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00A038A6" w:rsidRPr="00CC4F1D">
        <w:rPr>
          <w:rFonts w:eastAsia="Times New Roman"/>
          <w:sz w:val="24"/>
          <w:szCs w:val="24"/>
        </w:rPr>
        <w:t xml:space="preserve"> </w:t>
      </w:r>
    </w:p>
    <w:p w14:paraId="6FE31E34" w14:textId="57A42BBE" w:rsidR="00A038A6" w:rsidRPr="00A038A6" w:rsidRDefault="00813381" w:rsidP="00A038A6">
      <w:pPr>
        <w:spacing w:after="240"/>
        <w:ind w:firstLine="720"/>
        <w:rPr>
          <w:rFonts w:eastAsia="Times New Roman"/>
          <w:sz w:val="24"/>
          <w:szCs w:val="24"/>
        </w:rPr>
      </w:pPr>
      <w:r>
        <w:rPr>
          <w:rFonts w:eastAsia="Times New Roman"/>
          <w:sz w:val="24"/>
          <w:szCs w:val="24"/>
        </w:rPr>
        <w:t>5</w:t>
      </w:r>
      <w:r w:rsidR="00A038A6" w:rsidRPr="00A038A6">
        <w:rPr>
          <w:rFonts w:eastAsia="Times New Roman"/>
          <w:sz w:val="24"/>
          <w:szCs w:val="24"/>
        </w:rPr>
        <w:t>. Due to their shared elements,</w:t>
      </w:r>
      <w:r w:rsidR="00A038A6" w:rsidRPr="00A038A6" w:rsidDel="004051A7">
        <w:rPr>
          <w:rFonts w:eastAsia="Times New Roman"/>
          <w:sz w:val="24"/>
          <w:szCs w:val="24"/>
        </w:rPr>
        <w:t xml:space="preserve"> </w:t>
      </w:r>
      <w:r w:rsidR="00A038A6"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00A038A6" w:rsidRPr="00A038A6">
        <w:rPr>
          <w:rFonts w:eastAsia="Times New Roman"/>
          <w:sz w:val="24"/>
          <w:szCs w:val="24"/>
        </w:rPr>
        <w:t xml:space="preserve">reasonable attorney fees without limiting them to work performed on the statutory claim. </w:t>
      </w:r>
      <w:r w:rsidR="00A038A6" w:rsidRPr="00A038A6">
        <w:rPr>
          <w:rFonts w:eastAsia="Times New Roman"/>
          <w:i/>
          <w:sz w:val="24"/>
          <w:szCs w:val="24"/>
        </w:rPr>
        <w:t>Id.</w:t>
      </w:r>
      <w:r w:rsidR="00A038A6" w:rsidRPr="00A038A6">
        <w:rPr>
          <w:rFonts w:eastAsia="Times New Roman"/>
          <w:sz w:val="24"/>
          <w:szCs w:val="24"/>
        </w:rPr>
        <w:t xml:space="preserve"> at ¶¶ 33, 37 (citing </w:t>
      </w:r>
      <w:r w:rsidR="00A038A6" w:rsidRPr="00A038A6">
        <w:rPr>
          <w:rFonts w:eastAsia="Times New Roman"/>
          <w:b/>
          <w:sz w:val="24"/>
          <w:szCs w:val="24"/>
        </w:rPr>
        <w:t>Fisher v. State Farm Mut. Auto. Ins. Co.</w:t>
      </w:r>
      <w:r w:rsidR="00A038A6"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00A038A6" w:rsidRPr="00BA77D6">
        <w:rPr>
          <w:rFonts w:eastAsia="Times New Roman"/>
          <w:i/>
          <w:sz w:val="24"/>
          <w:szCs w:val="24"/>
        </w:rPr>
        <w:t>ee also</w:t>
      </w:r>
      <w:r w:rsidR="00A038A6" w:rsidRPr="00BA77D6">
        <w:rPr>
          <w:rFonts w:eastAsia="Times New Roman"/>
          <w:sz w:val="24"/>
          <w:szCs w:val="24"/>
        </w:rPr>
        <w:t xml:space="preserve"> </w:t>
      </w:r>
      <w:r w:rsidR="00CB13C1" w:rsidRPr="00CB13C1">
        <w:rPr>
          <w:rFonts w:eastAsia="Times New Roman"/>
          <w:b/>
          <w:sz w:val="24"/>
          <w:szCs w:val="24"/>
        </w:rPr>
        <w:t xml:space="preserve">Estate of </w:t>
      </w:r>
      <w:r w:rsidR="00A038A6" w:rsidRPr="00BA77D6">
        <w:rPr>
          <w:rFonts w:eastAsia="Times New Roman"/>
          <w:b/>
          <w:sz w:val="24"/>
          <w:szCs w:val="24"/>
        </w:rPr>
        <w:t>Casper v. Guar. Tr. Life Ins. Co.</w:t>
      </w:r>
      <w:r w:rsidR="00A038A6" w:rsidRPr="00BA77D6">
        <w:rPr>
          <w:rFonts w:eastAsia="Times New Roman"/>
          <w:sz w:val="24"/>
          <w:szCs w:val="24"/>
        </w:rPr>
        <w:t>, 2016 COA 167, ¶ 81</w:t>
      </w:r>
      <w:r w:rsidR="00211BAE">
        <w:rPr>
          <w:rFonts w:eastAsia="Times New Roman"/>
          <w:sz w:val="24"/>
          <w:szCs w:val="24"/>
        </w:rPr>
        <w:t>, 421 P.3d 1184</w:t>
      </w:r>
      <w:r w:rsidR="00A038A6"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A038A6" w:rsidRPr="00BA77D6">
        <w:rPr>
          <w:rFonts w:eastAsia="Times New Roman"/>
          <w:sz w:val="24"/>
          <w:szCs w:val="24"/>
        </w:rPr>
        <w:t>.</w:t>
      </w:r>
    </w:p>
    <w:p w14:paraId="770A984A" w14:textId="17CEA78C" w:rsidR="00A038A6" w:rsidRPr="00A038A6" w:rsidRDefault="00813381" w:rsidP="00A038A6">
      <w:pPr>
        <w:spacing w:after="240"/>
        <w:ind w:firstLine="720"/>
        <w:rPr>
          <w:rFonts w:eastAsia="Times New Roman"/>
          <w:sz w:val="24"/>
          <w:szCs w:val="24"/>
        </w:rPr>
      </w:pPr>
      <w:r>
        <w:rPr>
          <w:rFonts w:eastAsia="Times New Roman"/>
          <w:sz w:val="24"/>
          <w:szCs w:val="24"/>
        </w:rPr>
        <w:t>6</w:t>
      </w:r>
      <w:r w:rsidR="00A038A6" w:rsidRPr="00A038A6">
        <w:rPr>
          <w:rFonts w:eastAsia="Times New Roman"/>
          <w:sz w:val="24"/>
          <w:szCs w:val="24"/>
        </w:rPr>
        <w:t xml:space="preserve">. Attorney fees and costs incurred in successfully defending appeal of the statutory award are also recoverable. </w:t>
      </w:r>
      <w:r w:rsidR="00A038A6" w:rsidRPr="00A038A6">
        <w:rPr>
          <w:rFonts w:eastAsia="Times New Roman"/>
          <w:b/>
          <w:sz w:val="24"/>
          <w:szCs w:val="24"/>
        </w:rPr>
        <w:t>Nibert</w:t>
      </w:r>
      <w:r w:rsidR="00A038A6" w:rsidRPr="00A038A6">
        <w:rPr>
          <w:rFonts w:eastAsia="Times New Roman"/>
          <w:sz w:val="24"/>
          <w:szCs w:val="24"/>
        </w:rPr>
        <w:t>, ¶</w:t>
      </w:r>
      <w:r w:rsidR="00157C2C">
        <w:rPr>
          <w:rFonts w:eastAsia="Times New Roman"/>
          <w:sz w:val="24"/>
          <w:szCs w:val="24"/>
        </w:rPr>
        <w:t xml:space="preserve"> </w:t>
      </w:r>
      <w:r w:rsidR="00A038A6" w:rsidRPr="00A038A6">
        <w:rPr>
          <w:rFonts w:eastAsia="Times New Roman"/>
          <w:sz w:val="24"/>
          <w:szCs w:val="24"/>
        </w:rPr>
        <w:t>38</w:t>
      </w:r>
      <w:r w:rsidR="00FD0662">
        <w:rPr>
          <w:rFonts w:eastAsia="Times New Roman"/>
          <w:sz w:val="24"/>
          <w:szCs w:val="24"/>
        </w:rPr>
        <w:t>, 488 P.3d at 150</w:t>
      </w:r>
      <w:r w:rsidR="00A038A6" w:rsidRPr="00A038A6">
        <w:rPr>
          <w:rFonts w:eastAsia="Times New Roman"/>
          <w:sz w:val="24"/>
          <w:szCs w:val="24"/>
        </w:rPr>
        <w:t xml:space="preserve">; </w:t>
      </w:r>
      <w:r w:rsidR="00A038A6" w:rsidRPr="00A038A6">
        <w:rPr>
          <w:rFonts w:eastAsia="Times New Roman"/>
          <w:b/>
          <w:sz w:val="24"/>
          <w:szCs w:val="24"/>
        </w:rPr>
        <w:t>Stresscon Corp.</w:t>
      </w:r>
      <w:r w:rsidR="00A038A6" w:rsidRPr="00A038A6">
        <w:rPr>
          <w:rFonts w:eastAsia="Times New Roman"/>
          <w:sz w:val="24"/>
          <w:szCs w:val="24"/>
        </w:rPr>
        <w:t>, ¶ 136</w:t>
      </w:r>
      <w:r w:rsidR="00BA2682">
        <w:rPr>
          <w:rFonts w:eastAsia="Times New Roman"/>
          <w:sz w:val="24"/>
          <w:szCs w:val="24"/>
        </w:rPr>
        <w:t>, 373 P.3d at 641-42</w:t>
      </w:r>
      <w:r w:rsidR="00A038A6" w:rsidRPr="00A038A6">
        <w:rPr>
          <w:rFonts w:eastAsia="Times New Roman"/>
          <w:sz w:val="24"/>
          <w:szCs w:val="24"/>
        </w:rPr>
        <w:t xml:space="preserve"> (allowing recovery of fees and costs incurred on appeal when party was awarded fees and costs in a prior stage of the proceedings) (citing </w:t>
      </w:r>
      <w:r w:rsidR="00A038A6" w:rsidRPr="00A038A6">
        <w:rPr>
          <w:rFonts w:eastAsia="Times New Roman"/>
          <w:b/>
          <w:sz w:val="24"/>
          <w:szCs w:val="24"/>
        </w:rPr>
        <w:t>Melssen</w:t>
      </w:r>
      <w:r w:rsidR="00A038A6" w:rsidRPr="00A038A6">
        <w:rPr>
          <w:rFonts w:eastAsia="Times New Roman"/>
          <w:sz w:val="24"/>
          <w:szCs w:val="24"/>
        </w:rPr>
        <w:t>,</w:t>
      </w:r>
      <w:r w:rsidR="00A038A6" w:rsidRPr="00A038A6">
        <w:rPr>
          <w:rFonts w:eastAsia="Times New Roman"/>
          <w:b/>
          <w:sz w:val="24"/>
          <w:szCs w:val="24"/>
        </w:rPr>
        <w:t xml:space="preserve"> </w:t>
      </w:r>
      <w:r w:rsidR="00A038A6" w:rsidRPr="00A038A6">
        <w:rPr>
          <w:rFonts w:eastAsia="Times New Roman"/>
          <w:sz w:val="24"/>
          <w:szCs w:val="24"/>
        </w:rPr>
        <w:t>¶ 75</w:t>
      </w:r>
      <w:r w:rsidR="007571AF">
        <w:rPr>
          <w:rFonts w:eastAsia="Times New Roman"/>
          <w:sz w:val="24"/>
          <w:szCs w:val="24"/>
        </w:rPr>
        <w:t>, 285 P.3d at 339-40</w:t>
      </w:r>
      <w:r w:rsidR="00A038A6" w:rsidRPr="00A038A6">
        <w:rPr>
          <w:rFonts w:eastAsia="Times New Roman"/>
          <w:sz w:val="24"/>
          <w:szCs w:val="24"/>
        </w:rPr>
        <w:t xml:space="preserve">; </w:t>
      </w:r>
      <w:r w:rsidR="00A038A6" w:rsidRPr="00A038A6">
        <w:rPr>
          <w:rFonts w:eastAsia="Times New Roman"/>
          <w:b/>
          <w:sz w:val="24"/>
          <w:szCs w:val="24"/>
        </w:rPr>
        <w:t>Kennedy v. King Soopers Inc.</w:t>
      </w:r>
      <w:r w:rsidR="00A038A6"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Absent proof of actual damages flowing from an insurer’s bad faith breach of insurance contract, the plaintiff is not entitled to punitive damages as a matter of law. </w:t>
      </w:r>
      <w:r w:rsidRPr="00370240">
        <w:rPr>
          <w:rFonts w:eastAsia="Times New Roman"/>
          <w:b/>
          <w:sz w:val="24"/>
          <w:szCs w:val="24"/>
        </w:rPr>
        <w:t>City of Westminster v. Centric-Jones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AE5D" w14:textId="77777777" w:rsidR="005608E9" w:rsidRDefault="005608E9" w:rsidP="0054263B">
      <w:r>
        <w:separator/>
      </w:r>
    </w:p>
    <w:p w14:paraId="1624EA92" w14:textId="77777777" w:rsidR="005608E9" w:rsidRDefault="005608E9"/>
  </w:endnote>
  <w:endnote w:type="continuationSeparator" w:id="0">
    <w:p w14:paraId="56B02639" w14:textId="77777777" w:rsidR="005608E9" w:rsidRDefault="005608E9" w:rsidP="0054263B">
      <w:r>
        <w:continuationSeparator/>
      </w:r>
    </w:p>
    <w:p w14:paraId="3EB730C0" w14:textId="77777777" w:rsidR="005608E9" w:rsidRDefault="00560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657576">
          <w:rPr>
            <w:noProof/>
          </w:rPr>
          <w:t>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B39A8" w14:textId="77777777" w:rsidR="005608E9" w:rsidRDefault="005608E9" w:rsidP="0054263B">
      <w:r>
        <w:separator/>
      </w:r>
    </w:p>
    <w:p w14:paraId="5DFF8E50" w14:textId="77777777" w:rsidR="005608E9" w:rsidRDefault="005608E9"/>
  </w:footnote>
  <w:footnote w:type="continuationSeparator" w:id="0">
    <w:p w14:paraId="10783FE8" w14:textId="77777777" w:rsidR="005608E9" w:rsidRDefault="005608E9" w:rsidP="0054263B">
      <w:r>
        <w:continuationSeparator/>
      </w:r>
    </w:p>
    <w:p w14:paraId="70386FE2" w14:textId="77777777" w:rsidR="005608E9" w:rsidRDefault="005608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9341966">
    <w:abstractNumId w:val="0"/>
  </w:num>
  <w:num w:numId="2" w16cid:durableId="201687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171"/>
    <w:rsid w:val="000029B0"/>
    <w:rsid w:val="00004B85"/>
    <w:rsid w:val="0000771A"/>
    <w:rsid w:val="00010330"/>
    <w:rsid w:val="00016353"/>
    <w:rsid w:val="00020CF1"/>
    <w:rsid w:val="000336A6"/>
    <w:rsid w:val="00037111"/>
    <w:rsid w:val="00040249"/>
    <w:rsid w:val="000407F2"/>
    <w:rsid w:val="00041768"/>
    <w:rsid w:val="00043B25"/>
    <w:rsid w:val="0005020E"/>
    <w:rsid w:val="0006367C"/>
    <w:rsid w:val="0007116C"/>
    <w:rsid w:val="0007187A"/>
    <w:rsid w:val="00074558"/>
    <w:rsid w:val="000821FF"/>
    <w:rsid w:val="000823BC"/>
    <w:rsid w:val="000824C8"/>
    <w:rsid w:val="00085495"/>
    <w:rsid w:val="000921F1"/>
    <w:rsid w:val="0009462F"/>
    <w:rsid w:val="000962C8"/>
    <w:rsid w:val="000A040F"/>
    <w:rsid w:val="000A32FE"/>
    <w:rsid w:val="000A62E6"/>
    <w:rsid w:val="000A79D0"/>
    <w:rsid w:val="000B1B7A"/>
    <w:rsid w:val="000C1393"/>
    <w:rsid w:val="000C204E"/>
    <w:rsid w:val="000C503A"/>
    <w:rsid w:val="000C6F97"/>
    <w:rsid w:val="000D0CA5"/>
    <w:rsid w:val="000D4856"/>
    <w:rsid w:val="000E0805"/>
    <w:rsid w:val="000E55ED"/>
    <w:rsid w:val="000F205C"/>
    <w:rsid w:val="000F323A"/>
    <w:rsid w:val="001007E7"/>
    <w:rsid w:val="00100D6D"/>
    <w:rsid w:val="00101A07"/>
    <w:rsid w:val="0010273B"/>
    <w:rsid w:val="00107079"/>
    <w:rsid w:val="001117D9"/>
    <w:rsid w:val="00112C8E"/>
    <w:rsid w:val="00112FF9"/>
    <w:rsid w:val="001134B3"/>
    <w:rsid w:val="00116A3D"/>
    <w:rsid w:val="00125209"/>
    <w:rsid w:val="0012548C"/>
    <w:rsid w:val="00126B7A"/>
    <w:rsid w:val="001300D4"/>
    <w:rsid w:val="001303C5"/>
    <w:rsid w:val="00130D7F"/>
    <w:rsid w:val="0013740F"/>
    <w:rsid w:val="00143A15"/>
    <w:rsid w:val="00144917"/>
    <w:rsid w:val="001512B3"/>
    <w:rsid w:val="00157C2C"/>
    <w:rsid w:val="001608FF"/>
    <w:rsid w:val="0016520C"/>
    <w:rsid w:val="001671A9"/>
    <w:rsid w:val="00167B70"/>
    <w:rsid w:val="00171705"/>
    <w:rsid w:val="001723F9"/>
    <w:rsid w:val="00172674"/>
    <w:rsid w:val="00174BB5"/>
    <w:rsid w:val="00177B1D"/>
    <w:rsid w:val="0018388B"/>
    <w:rsid w:val="00184D62"/>
    <w:rsid w:val="001857B3"/>
    <w:rsid w:val="001903CB"/>
    <w:rsid w:val="001913B1"/>
    <w:rsid w:val="00191498"/>
    <w:rsid w:val="00191C86"/>
    <w:rsid w:val="00193B75"/>
    <w:rsid w:val="00195972"/>
    <w:rsid w:val="001A2648"/>
    <w:rsid w:val="001A311C"/>
    <w:rsid w:val="001A688B"/>
    <w:rsid w:val="001B4039"/>
    <w:rsid w:val="001B757B"/>
    <w:rsid w:val="001C2259"/>
    <w:rsid w:val="001D31A6"/>
    <w:rsid w:val="001D663D"/>
    <w:rsid w:val="001D703D"/>
    <w:rsid w:val="001E0F3B"/>
    <w:rsid w:val="001E1DB5"/>
    <w:rsid w:val="001E62C2"/>
    <w:rsid w:val="001F0193"/>
    <w:rsid w:val="00200BA5"/>
    <w:rsid w:val="00202B81"/>
    <w:rsid w:val="0020511A"/>
    <w:rsid w:val="002065D8"/>
    <w:rsid w:val="0021015B"/>
    <w:rsid w:val="00211BAE"/>
    <w:rsid w:val="0021368F"/>
    <w:rsid w:val="002136F9"/>
    <w:rsid w:val="0021730E"/>
    <w:rsid w:val="00217435"/>
    <w:rsid w:val="0022134E"/>
    <w:rsid w:val="00223286"/>
    <w:rsid w:val="00224466"/>
    <w:rsid w:val="00227D3A"/>
    <w:rsid w:val="00231719"/>
    <w:rsid w:val="00231BC4"/>
    <w:rsid w:val="00232C53"/>
    <w:rsid w:val="0023304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1185"/>
    <w:rsid w:val="00273777"/>
    <w:rsid w:val="0027486C"/>
    <w:rsid w:val="002802F4"/>
    <w:rsid w:val="00283A61"/>
    <w:rsid w:val="00285E45"/>
    <w:rsid w:val="00286B57"/>
    <w:rsid w:val="00290935"/>
    <w:rsid w:val="0029157D"/>
    <w:rsid w:val="00293941"/>
    <w:rsid w:val="00293F7E"/>
    <w:rsid w:val="002A23B0"/>
    <w:rsid w:val="002A6EC7"/>
    <w:rsid w:val="002B5FCF"/>
    <w:rsid w:val="002C08FD"/>
    <w:rsid w:val="002D0987"/>
    <w:rsid w:val="002D163D"/>
    <w:rsid w:val="002D239C"/>
    <w:rsid w:val="002E0970"/>
    <w:rsid w:val="002E562A"/>
    <w:rsid w:val="002E5708"/>
    <w:rsid w:val="002F0E75"/>
    <w:rsid w:val="002F21BE"/>
    <w:rsid w:val="002F2426"/>
    <w:rsid w:val="002F48D6"/>
    <w:rsid w:val="00303A7D"/>
    <w:rsid w:val="00304398"/>
    <w:rsid w:val="00305CB3"/>
    <w:rsid w:val="00305D08"/>
    <w:rsid w:val="00316A40"/>
    <w:rsid w:val="00316D33"/>
    <w:rsid w:val="00320613"/>
    <w:rsid w:val="00322169"/>
    <w:rsid w:val="0032367C"/>
    <w:rsid w:val="003247EA"/>
    <w:rsid w:val="003259EE"/>
    <w:rsid w:val="003332F4"/>
    <w:rsid w:val="00333886"/>
    <w:rsid w:val="00335934"/>
    <w:rsid w:val="00336CE4"/>
    <w:rsid w:val="00343069"/>
    <w:rsid w:val="00345533"/>
    <w:rsid w:val="00351136"/>
    <w:rsid w:val="00352111"/>
    <w:rsid w:val="00352433"/>
    <w:rsid w:val="00352696"/>
    <w:rsid w:val="00353044"/>
    <w:rsid w:val="003613FE"/>
    <w:rsid w:val="00370240"/>
    <w:rsid w:val="00371D9F"/>
    <w:rsid w:val="00382177"/>
    <w:rsid w:val="003837B6"/>
    <w:rsid w:val="00392F02"/>
    <w:rsid w:val="003937B8"/>
    <w:rsid w:val="003A2F1C"/>
    <w:rsid w:val="003A5A75"/>
    <w:rsid w:val="003B5ABE"/>
    <w:rsid w:val="003B5F85"/>
    <w:rsid w:val="003B72A9"/>
    <w:rsid w:val="003D027F"/>
    <w:rsid w:val="003D07E0"/>
    <w:rsid w:val="003D1B54"/>
    <w:rsid w:val="003D1CAB"/>
    <w:rsid w:val="003D370E"/>
    <w:rsid w:val="003D50A2"/>
    <w:rsid w:val="003E472A"/>
    <w:rsid w:val="003E5B38"/>
    <w:rsid w:val="003E604A"/>
    <w:rsid w:val="003F108C"/>
    <w:rsid w:val="003F6E89"/>
    <w:rsid w:val="004001BC"/>
    <w:rsid w:val="00407AAB"/>
    <w:rsid w:val="00414C93"/>
    <w:rsid w:val="00414FB9"/>
    <w:rsid w:val="00430F1E"/>
    <w:rsid w:val="00430F64"/>
    <w:rsid w:val="00434371"/>
    <w:rsid w:val="00434650"/>
    <w:rsid w:val="004425AA"/>
    <w:rsid w:val="00456038"/>
    <w:rsid w:val="00456B2B"/>
    <w:rsid w:val="00460D1E"/>
    <w:rsid w:val="00461AE7"/>
    <w:rsid w:val="00467B80"/>
    <w:rsid w:val="0047120C"/>
    <w:rsid w:val="00471618"/>
    <w:rsid w:val="0047374D"/>
    <w:rsid w:val="00473B65"/>
    <w:rsid w:val="00474B1B"/>
    <w:rsid w:val="00482566"/>
    <w:rsid w:val="0048541F"/>
    <w:rsid w:val="004913D8"/>
    <w:rsid w:val="0049313F"/>
    <w:rsid w:val="00496096"/>
    <w:rsid w:val="00496567"/>
    <w:rsid w:val="004A1210"/>
    <w:rsid w:val="004A32E6"/>
    <w:rsid w:val="004B14B9"/>
    <w:rsid w:val="004B687A"/>
    <w:rsid w:val="004B753E"/>
    <w:rsid w:val="004C1A04"/>
    <w:rsid w:val="004C6127"/>
    <w:rsid w:val="004C62F9"/>
    <w:rsid w:val="004C723A"/>
    <w:rsid w:val="004D2C99"/>
    <w:rsid w:val="004E0408"/>
    <w:rsid w:val="004E48BD"/>
    <w:rsid w:val="004E7EF1"/>
    <w:rsid w:val="004F003D"/>
    <w:rsid w:val="00500F3B"/>
    <w:rsid w:val="00502D97"/>
    <w:rsid w:val="00504A75"/>
    <w:rsid w:val="005065E6"/>
    <w:rsid w:val="0051065F"/>
    <w:rsid w:val="0051385E"/>
    <w:rsid w:val="00516447"/>
    <w:rsid w:val="005172BF"/>
    <w:rsid w:val="0052537F"/>
    <w:rsid w:val="00525BBA"/>
    <w:rsid w:val="0052608C"/>
    <w:rsid w:val="00527A18"/>
    <w:rsid w:val="0053178D"/>
    <w:rsid w:val="00531F87"/>
    <w:rsid w:val="0053544D"/>
    <w:rsid w:val="0054263B"/>
    <w:rsid w:val="00544A0C"/>
    <w:rsid w:val="00547D97"/>
    <w:rsid w:val="00550AFD"/>
    <w:rsid w:val="00557FCC"/>
    <w:rsid w:val="005608E9"/>
    <w:rsid w:val="005648EF"/>
    <w:rsid w:val="0057771F"/>
    <w:rsid w:val="00591E27"/>
    <w:rsid w:val="005949EE"/>
    <w:rsid w:val="005A22A6"/>
    <w:rsid w:val="005A3434"/>
    <w:rsid w:val="005B07AB"/>
    <w:rsid w:val="005B27FE"/>
    <w:rsid w:val="005B3A78"/>
    <w:rsid w:val="005C0F3A"/>
    <w:rsid w:val="005C3B37"/>
    <w:rsid w:val="005C56C9"/>
    <w:rsid w:val="005C5CCB"/>
    <w:rsid w:val="005D1AD3"/>
    <w:rsid w:val="005D3156"/>
    <w:rsid w:val="005D3F30"/>
    <w:rsid w:val="005D522C"/>
    <w:rsid w:val="005E0887"/>
    <w:rsid w:val="005E5B14"/>
    <w:rsid w:val="005E712D"/>
    <w:rsid w:val="005E7F70"/>
    <w:rsid w:val="005F1017"/>
    <w:rsid w:val="005F145C"/>
    <w:rsid w:val="005F19FD"/>
    <w:rsid w:val="005F1ACA"/>
    <w:rsid w:val="005F5A94"/>
    <w:rsid w:val="005F5E0C"/>
    <w:rsid w:val="00604F03"/>
    <w:rsid w:val="006053F6"/>
    <w:rsid w:val="006229FE"/>
    <w:rsid w:val="006272FE"/>
    <w:rsid w:val="00631BFF"/>
    <w:rsid w:val="00633D89"/>
    <w:rsid w:val="00635F37"/>
    <w:rsid w:val="006411C9"/>
    <w:rsid w:val="00642649"/>
    <w:rsid w:val="00642AD0"/>
    <w:rsid w:val="00647CC5"/>
    <w:rsid w:val="00651A64"/>
    <w:rsid w:val="00657576"/>
    <w:rsid w:val="006601C5"/>
    <w:rsid w:val="0066100E"/>
    <w:rsid w:val="00661248"/>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C1726"/>
    <w:rsid w:val="006D00EC"/>
    <w:rsid w:val="006D531A"/>
    <w:rsid w:val="006E0D06"/>
    <w:rsid w:val="006E3575"/>
    <w:rsid w:val="006E62F0"/>
    <w:rsid w:val="006F0772"/>
    <w:rsid w:val="006F39C6"/>
    <w:rsid w:val="006F7581"/>
    <w:rsid w:val="006F7DC0"/>
    <w:rsid w:val="00700BF2"/>
    <w:rsid w:val="00702B5A"/>
    <w:rsid w:val="0070752A"/>
    <w:rsid w:val="007119D8"/>
    <w:rsid w:val="0071225B"/>
    <w:rsid w:val="00712E33"/>
    <w:rsid w:val="00713866"/>
    <w:rsid w:val="007216DA"/>
    <w:rsid w:val="00724230"/>
    <w:rsid w:val="00725EBD"/>
    <w:rsid w:val="00726E21"/>
    <w:rsid w:val="0073147A"/>
    <w:rsid w:val="007340B5"/>
    <w:rsid w:val="00741570"/>
    <w:rsid w:val="007532AB"/>
    <w:rsid w:val="007571AF"/>
    <w:rsid w:val="00764553"/>
    <w:rsid w:val="00764D93"/>
    <w:rsid w:val="007655D6"/>
    <w:rsid w:val="0076649E"/>
    <w:rsid w:val="00766F81"/>
    <w:rsid w:val="00770FFC"/>
    <w:rsid w:val="00787065"/>
    <w:rsid w:val="00792028"/>
    <w:rsid w:val="00796173"/>
    <w:rsid w:val="00797F07"/>
    <w:rsid w:val="007A3A0E"/>
    <w:rsid w:val="007A56C2"/>
    <w:rsid w:val="007A612E"/>
    <w:rsid w:val="007B1633"/>
    <w:rsid w:val="007B35B5"/>
    <w:rsid w:val="007C42D5"/>
    <w:rsid w:val="007C4B23"/>
    <w:rsid w:val="007D168F"/>
    <w:rsid w:val="007D198E"/>
    <w:rsid w:val="007D2BCE"/>
    <w:rsid w:val="007D39CC"/>
    <w:rsid w:val="007E1675"/>
    <w:rsid w:val="007E515A"/>
    <w:rsid w:val="007F08D4"/>
    <w:rsid w:val="007F40A8"/>
    <w:rsid w:val="007F5724"/>
    <w:rsid w:val="007F7129"/>
    <w:rsid w:val="00801691"/>
    <w:rsid w:val="00806282"/>
    <w:rsid w:val="00806B2F"/>
    <w:rsid w:val="00813381"/>
    <w:rsid w:val="00813A6B"/>
    <w:rsid w:val="0082168C"/>
    <w:rsid w:val="00824838"/>
    <w:rsid w:val="0083254A"/>
    <w:rsid w:val="0083264A"/>
    <w:rsid w:val="00832DB4"/>
    <w:rsid w:val="0083763B"/>
    <w:rsid w:val="00837F81"/>
    <w:rsid w:val="00845F81"/>
    <w:rsid w:val="00850A48"/>
    <w:rsid w:val="00853ECF"/>
    <w:rsid w:val="008557E1"/>
    <w:rsid w:val="00857B1C"/>
    <w:rsid w:val="0086735A"/>
    <w:rsid w:val="008703EF"/>
    <w:rsid w:val="00872B38"/>
    <w:rsid w:val="00875064"/>
    <w:rsid w:val="00876A05"/>
    <w:rsid w:val="008812A8"/>
    <w:rsid w:val="00881431"/>
    <w:rsid w:val="008859AF"/>
    <w:rsid w:val="0089365A"/>
    <w:rsid w:val="008936A1"/>
    <w:rsid w:val="00895065"/>
    <w:rsid w:val="008A1099"/>
    <w:rsid w:val="008A2986"/>
    <w:rsid w:val="008A475A"/>
    <w:rsid w:val="008A6339"/>
    <w:rsid w:val="008A637B"/>
    <w:rsid w:val="008A7B7E"/>
    <w:rsid w:val="008B0311"/>
    <w:rsid w:val="008B1617"/>
    <w:rsid w:val="008B5E97"/>
    <w:rsid w:val="008B7480"/>
    <w:rsid w:val="008C1739"/>
    <w:rsid w:val="008C2E7B"/>
    <w:rsid w:val="008C43CD"/>
    <w:rsid w:val="008C5423"/>
    <w:rsid w:val="008D2D56"/>
    <w:rsid w:val="008D4A28"/>
    <w:rsid w:val="008D609F"/>
    <w:rsid w:val="008D7ECC"/>
    <w:rsid w:val="008E41F1"/>
    <w:rsid w:val="008E51AF"/>
    <w:rsid w:val="008F19CE"/>
    <w:rsid w:val="008F3035"/>
    <w:rsid w:val="008F4C42"/>
    <w:rsid w:val="008F746C"/>
    <w:rsid w:val="009007E8"/>
    <w:rsid w:val="00900C33"/>
    <w:rsid w:val="009022AA"/>
    <w:rsid w:val="0090292A"/>
    <w:rsid w:val="00902A25"/>
    <w:rsid w:val="00904756"/>
    <w:rsid w:val="00914128"/>
    <w:rsid w:val="009256BD"/>
    <w:rsid w:val="00932723"/>
    <w:rsid w:val="00935DA8"/>
    <w:rsid w:val="00936D0A"/>
    <w:rsid w:val="00950692"/>
    <w:rsid w:val="0095289D"/>
    <w:rsid w:val="00952BBB"/>
    <w:rsid w:val="0095709A"/>
    <w:rsid w:val="009725D8"/>
    <w:rsid w:val="00973884"/>
    <w:rsid w:val="00985C32"/>
    <w:rsid w:val="009902F2"/>
    <w:rsid w:val="009931B9"/>
    <w:rsid w:val="0099627C"/>
    <w:rsid w:val="009A273C"/>
    <w:rsid w:val="009A5AA6"/>
    <w:rsid w:val="009B2577"/>
    <w:rsid w:val="009B42B0"/>
    <w:rsid w:val="009B6746"/>
    <w:rsid w:val="009C03DD"/>
    <w:rsid w:val="009C0C3F"/>
    <w:rsid w:val="009C5532"/>
    <w:rsid w:val="009D035C"/>
    <w:rsid w:val="009D3433"/>
    <w:rsid w:val="009D4ADE"/>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11B93"/>
    <w:rsid w:val="00A30B0E"/>
    <w:rsid w:val="00A36457"/>
    <w:rsid w:val="00A50F20"/>
    <w:rsid w:val="00A54915"/>
    <w:rsid w:val="00A5610D"/>
    <w:rsid w:val="00A632A0"/>
    <w:rsid w:val="00A677E8"/>
    <w:rsid w:val="00A73168"/>
    <w:rsid w:val="00A73AE6"/>
    <w:rsid w:val="00A76341"/>
    <w:rsid w:val="00A80C10"/>
    <w:rsid w:val="00A82D0A"/>
    <w:rsid w:val="00A85AAA"/>
    <w:rsid w:val="00A85E65"/>
    <w:rsid w:val="00A9205E"/>
    <w:rsid w:val="00A92C18"/>
    <w:rsid w:val="00AB1D6F"/>
    <w:rsid w:val="00AB2019"/>
    <w:rsid w:val="00AB2B06"/>
    <w:rsid w:val="00AB6B20"/>
    <w:rsid w:val="00AB71A7"/>
    <w:rsid w:val="00AC78F7"/>
    <w:rsid w:val="00AD4B56"/>
    <w:rsid w:val="00AD61CD"/>
    <w:rsid w:val="00AE71EA"/>
    <w:rsid w:val="00AF40E1"/>
    <w:rsid w:val="00AF607B"/>
    <w:rsid w:val="00AF7D47"/>
    <w:rsid w:val="00B0264D"/>
    <w:rsid w:val="00B17183"/>
    <w:rsid w:val="00B258AA"/>
    <w:rsid w:val="00B27C62"/>
    <w:rsid w:val="00B32E46"/>
    <w:rsid w:val="00B338E2"/>
    <w:rsid w:val="00B35185"/>
    <w:rsid w:val="00B37722"/>
    <w:rsid w:val="00B51B95"/>
    <w:rsid w:val="00B52F38"/>
    <w:rsid w:val="00B54264"/>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682"/>
    <w:rsid w:val="00BA27A8"/>
    <w:rsid w:val="00BA510E"/>
    <w:rsid w:val="00BA77D6"/>
    <w:rsid w:val="00BB344E"/>
    <w:rsid w:val="00BB436B"/>
    <w:rsid w:val="00BB585D"/>
    <w:rsid w:val="00BC49BF"/>
    <w:rsid w:val="00BC60AE"/>
    <w:rsid w:val="00BC65EF"/>
    <w:rsid w:val="00BC789A"/>
    <w:rsid w:val="00BE15E9"/>
    <w:rsid w:val="00BE2B09"/>
    <w:rsid w:val="00BE50B9"/>
    <w:rsid w:val="00BE654D"/>
    <w:rsid w:val="00BE6634"/>
    <w:rsid w:val="00BF5DF3"/>
    <w:rsid w:val="00C059C1"/>
    <w:rsid w:val="00C161A1"/>
    <w:rsid w:val="00C21D93"/>
    <w:rsid w:val="00C225C9"/>
    <w:rsid w:val="00C235FD"/>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3564"/>
    <w:rsid w:val="00CB5C67"/>
    <w:rsid w:val="00CB62DC"/>
    <w:rsid w:val="00CC0502"/>
    <w:rsid w:val="00CC1AC8"/>
    <w:rsid w:val="00CC4F1D"/>
    <w:rsid w:val="00CC6A95"/>
    <w:rsid w:val="00CC7E17"/>
    <w:rsid w:val="00CD23A0"/>
    <w:rsid w:val="00CD4A7D"/>
    <w:rsid w:val="00CD5E12"/>
    <w:rsid w:val="00CE593A"/>
    <w:rsid w:val="00CE593D"/>
    <w:rsid w:val="00CF07F1"/>
    <w:rsid w:val="00CF28BF"/>
    <w:rsid w:val="00D00330"/>
    <w:rsid w:val="00D0050C"/>
    <w:rsid w:val="00D014AE"/>
    <w:rsid w:val="00D0451B"/>
    <w:rsid w:val="00D05926"/>
    <w:rsid w:val="00D05DE4"/>
    <w:rsid w:val="00D06D8D"/>
    <w:rsid w:val="00D16901"/>
    <w:rsid w:val="00D21BCE"/>
    <w:rsid w:val="00D22C8A"/>
    <w:rsid w:val="00D23BD0"/>
    <w:rsid w:val="00D259DC"/>
    <w:rsid w:val="00D3064E"/>
    <w:rsid w:val="00D3165A"/>
    <w:rsid w:val="00D32A43"/>
    <w:rsid w:val="00D333AA"/>
    <w:rsid w:val="00D347CA"/>
    <w:rsid w:val="00D434F5"/>
    <w:rsid w:val="00D51E80"/>
    <w:rsid w:val="00D53848"/>
    <w:rsid w:val="00D53AC5"/>
    <w:rsid w:val="00D54276"/>
    <w:rsid w:val="00D5484F"/>
    <w:rsid w:val="00D561C1"/>
    <w:rsid w:val="00D66858"/>
    <w:rsid w:val="00D72662"/>
    <w:rsid w:val="00D767EB"/>
    <w:rsid w:val="00D8125F"/>
    <w:rsid w:val="00D90E67"/>
    <w:rsid w:val="00DA0555"/>
    <w:rsid w:val="00DA1796"/>
    <w:rsid w:val="00DA2814"/>
    <w:rsid w:val="00DB03DD"/>
    <w:rsid w:val="00DB16E7"/>
    <w:rsid w:val="00DB2C90"/>
    <w:rsid w:val="00DB56FA"/>
    <w:rsid w:val="00DB7395"/>
    <w:rsid w:val="00DC0393"/>
    <w:rsid w:val="00DC63A9"/>
    <w:rsid w:val="00DC66A6"/>
    <w:rsid w:val="00DC7533"/>
    <w:rsid w:val="00DD54B1"/>
    <w:rsid w:val="00DE2930"/>
    <w:rsid w:val="00DF1800"/>
    <w:rsid w:val="00DF2CB7"/>
    <w:rsid w:val="00DF3BF1"/>
    <w:rsid w:val="00DF7595"/>
    <w:rsid w:val="00E007F8"/>
    <w:rsid w:val="00E025E9"/>
    <w:rsid w:val="00E058BA"/>
    <w:rsid w:val="00E111AA"/>
    <w:rsid w:val="00E121A2"/>
    <w:rsid w:val="00E152F5"/>
    <w:rsid w:val="00E15F9F"/>
    <w:rsid w:val="00E172C8"/>
    <w:rsid w:val="00E21120"/>
    <w:rsid w:val="00E23FDA"/>
    <w:rsid w:val="00E24E10"/>
    <w:rsid w:val="00E26228"/>
    <w:rsid w:val="00E2724A"/>
    <w:rsid w:val="00E30D4B"/>
    <w:rsid w:val="00E31F1C"/>
    <w:rsid w:val="00E372EA"/>
    <w:rsid w:val="00E50187"/>
    <w:rsid w:val="00E55147"/>
    <w:rsid w:val="00E551EB"/>
    <w:rsid w:val="00E65F9E"/>
    <w:rsid w:val="00E67638"/>
    <w:rsid w:val="00E67C68"/>
    <w:rsid w:val="00E706BE"/>
    <w:rsid w:val="00E70C9B"/>
    <w:rsid w:val="00E72FF1"/>
    <w:rsid w:val="00E7526A"/>
    <w:rsid w:val="00E87248"/>
    <w:rsid w:val="00E87C31"/>
    <w:rsid w:val="00E87FFB"/>
    <w:rsid w:val="00E93068"/>
    <w:rsid w:val="00E93D03"/>
    <w:rsid w:val="00E93D47"/>
    <w:rsid w:val="00E970B9"/>
    <w:rsid w:val="00EA097A"/>
    <w:rsid w:val="00EA2B71"/>
    <w:rsid w:val="00EB113C"/>
    <w:rsid w:val="00EB5133"/>
    <w:rsid w:val="00EB5F71"/>
    <w:rsid w:val="00EB6247"/>
    <w:rsid w:val="00EB74DC"/>
    <w:rsid w:val="00EC0CB1"/>
    <w:rsid w:val="00EC16F4"/>
    <w:rsid w:val="00EC17E3"/>
    <w:rsid w:val="00EC29A6"/>
    <w:rsid w:val="00EC3919"/>
    <w:rsid w:val="00EC7C98"/>
    <w:rsid w:val="00ED32E8"/>
    <w:rsid w:val="00ED5E52"/>
    <w:rsid w:val="00ED7176"/>
    <w:rsid w:val="00ED75EA"/>
    <w:rsid w:val="00EE03BE"/>
    <w:rsid w:val="00EE26F9"/>
    <w:rsid w:val="00EF1E2D"/>
    <w:rsid w:val="00EF4043"/>
    <w:rsid w:val="00F022D4"/>
    <w:rsid w:val="00F062A4"/>
    <w:rsid w:val="00F1001E"/>
    <w:rsid w:val="00F11F05"/>
    <w:rsid w:val="00F21934"/>
    <w:rsid w:val="00F25E27"/>
    <w:rsid w:val="00F32AA4"/>
    <w:rsid w:val="00F32CBF"/>
    <w:rsid w:val="00F33A2A"/>
    <w:rsid w:val="00F53569"/>
    <w:rsid w:val="00F573CF"/>
    <w:rsid w:val="00F57A2B"/>
    <w:rsid w:val="00F60050"/>
    <w:rsid w:val="00F658E5"/>
    <w:rsid w:val="00F764F4"/>
    <w:rsid w:val="00F82676"/>
    <w:rsid w:val="00F86E1F"/>
    <w:rsid w:val="00F86F49"/>
    <w:rsid w:val="00F90544"/>
    <w:rsid w:val="00F945CF"/>
    <w:rsid w:val="00F94DD6"/>
    <w:rsid w:val="00FA333E"/>
    <w:rsid w:val="00FA7B76"/>
    <w:rsid w:val="00FB42AE"/>
    <w:rsid w:val="00FC544C"/>
    <w:rsid w:val="00FC70FC"/>
    <w:rsid w:val="00FD0662"/>
    <w:rsid w:val="00FD2DF4"/>
    <w:rsid w:val="00FD5FD4"/>
    <w:rsid w:val="00FD697D"/>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025A"/>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 w:type="paragraph" w:styleId="NormalWeb">
    <w:name w:val="Normal (Web)"/>
    <w:basedOn w:val="Normal"/>
    <w:uiPriority w:val="99"/>
    <w:semiHidden/>
    <w:unhideWhenUsed/>
    <w:rsid w:val="00504A75"/>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504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497858">
      <w:bodyDiv w:val="1"/>
      <w:marLeft w:val="0"/>
      <w:marRight w:val="0"/>
      <w:marTop w:val="0"/>
      <w:marBottom w:val="0"/>
      <w:divBdr>
        <w:top w:val="none" w:sz="0" w:space="0" w:color="auto"/>
        <w:left w:val="none" w:sz="0" w:space="0" w:color="auto"/>
        <w:bottom w:val="none" w:sz="0" w:space="0" w:color="auto"/>
        <w:right w:val="none" w:sz="0" w:space="0" w:color="auto"/>
      </w:divBdr>
      <w:divsChild>
        <w:div w:id="452215316">
          <w:marLeft w:val="0"/>
          <w:marRight w:val="0"/>
          <w:marTop w:val="0"/>
          <w:marBottom w:val="0"/>
          <w:divBdr>
            <w:top w:val="none" w:sz="0" w:space="0" w:color="auto"/>
            <w:left w:val="none" w:sz="0" w:space="0" w:color="auto"/>
            <w:bottom w:val="none" w:sz="0" w:space="0" w:color="auto"/>
            <w:right w:val="none" w:sz="0" w:space="0" w:color="auto"/>
          </w:divBdr>
          <w:divsChild>
            <w:div w:id="381295165">
              <w:marLeft w:val="0"/>
              <w:marRight w:val="0"/>
              <w:marTop w:val="0"/>
              <w:marBottom w:val="0"/>
              <w:divBdr>
                <w:top w:val="none" w:sz="0" w:space="0" w:color="auto"/>
                <w:left w:val="none" w:sz="0" w:space="0" w:color="auto"/>
                <w:bottom w:val="none" w:sz="0" w:space="0" w:color="auto"/>
                <w:right w:val="none" w:sz="0" w:space="0" w:color="auto"/>
              </w:divBdr>
              <w:divsChild>
                <w:div w:id="8124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44584474">
      <w:bodyDiv w:val="1"/>
      <w:marLeft w:val="0"/>
      <w:marRight w:val="0"/>
      <w:marTop w:val="0"/>
      <w:marBottom w:val="0"/>
      <w:divBdr>
        <w:top w:val="none" w:sz="0" w:space="0" w:color="auto"/>
        <w:left w:val="none" w:sz="0" w:space="0" w:color="auto"/>
        <w:bottom w:val="none" w:sz="0" w:space="0" w:color="auto"/>
        <w:right w:val="none" w:sz="0" w:space="0" w:color="auto"/>
      </w:divBdr>
      <w:divsChild>
        <w:div w:id="1022784492">
          <w:marLeft w:val="0"/>
          <w:marRight w:val="0"/>
          <w:marTop w:val="0"/>
          <w:marBottom w:val="0"/>
          <w:divBdr>
            <w:top w:val="none" w:sz="0" w:space="0" w:color="auto"/>
            <w:left w:val="none" w:sz="0" w:space="0" w:color="auto"/>
            <w:bottom w:val="none" w:sz="0" w:space="0" w:color="auto"/>
            <w:right w:val="none" w:sz="0" w:space="0" w:color="auto"/>
          </w:divBdr>
          <w:divsChild>
            <w:div w:id="882209094">
              <w:marLeft w:val="0"/>
              <w:marRight w:val="0"/>
              <w:marTop w:val="0"/>
              <w:marBottom w:val="0"/>
              <w:divBdr>
                <w:top w:val="none" w:sz="0" w:space="0" w:color="auto"/>
                <w:left w:val="none" w:sz="0" w:space="0" w:color="auto"/>
                <w:bottom w:val="none" w:sz="0" w:space="0" w:color="auto"/>
                <w:right w:val="none" w:sz="0" w:space="0" w:color="auto"/>
              </w:divBdr>
              <w:divsChild>
                <w:div w:id="1497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F42D52BC81AE4DAE9D0BFF6C9F612D" ma:contentTypeVersion="9" ma:contentTypeDescription="Create a new document." ma:contentTypeScope="" ma:versionID="95a08885256c44c9c5a5488a33f5ad8c">
  <xsd:schema xmlns:xsd="http://www.w3.org/2001/XMLSchema" xmlns:xs="http://www.w3.org/2001/XMLSchema" xmlns:p="http://schemas.microsoft.com/office/2006/metadata/properties" xmlns:ns3="e0aabb31-843e-4b20-97d4-262512983ec3" targetNamespace="http://schemas.microsoft.com/office/2006/metadata/properties" ma:root="true" ma:fieldsID="6472ea1fb38c300d8ca1cb893514fdd4" ns3:_="">
    <xsd:import namespace="e0aabb31-843e-4b20-97d4-262512983e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abb31-843e-4b20-97d4-262512983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AF246-E829-467C-B28F-452E8A004128}">
  <ds:schemaRefs>
    <ds:schemaRef ds:uri="http://schemas.microsoft.com/sharepoint/v3/contenttype/forms"/>
  </ds:schemaRefs>
</ds:datastoreItem>
</file>

<file path=customXml/itemProps2.xml><?xml version="1.0" encoding="utf-8"?>
<ds:datastoreItem xmlns:ds="http://schemas.openxmlformats.org/officeDocument/2006/customXml" ds:itemID="{68F70A76-FA70-4C59-B128-AF9461BEA8CC}">
  <ds:schemaRefs>
    <ds:schemaRef ds:uri="http://schemas.microsoft.com/office/2006/documentManagement/types"/>
    <ds:schemaRef ds:uri="http://www.w3.org/XML/1998/namespace"/>
    <ds:schemaRef ds:uri="e0aabb31-843e-4b20-97d4-262512983ec3"/>
    <ds:schemaRef ds:uri="http://schemas.microsoft.com/office/2006/metadata/properties"/>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4A20F0FE-B38B-4B56-8512-5CD1A694E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abb31-843e-4b20-97d4-262512983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E107E-B6D9-44B6-BE66-1EE2AC2F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14762</Words>
  <Characters>84150</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25</dc:title>
  <dc:creator>Krista Schelhaas</dc:creator>
  <cp:lastModifiedBy>beck, jeremy</cp:lastModifiedBy>
  <cp:revision>3</cp:revision>
  <cp:lastPrinted>2024-08-30T15:29:00Z</cp:lastPrinted>
  <dcterms:created xsi:type="dcterms:W3CDTF">2025-01-27T22:30:00Z</dcterms:created>
  <dcterms:modified xsi:type="dcterms:W3CDTF">2025-02-11T19:20:00Z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0x010100A5F42D52BC81AE4DAE9D0BFF6C9F612D</vt:lpwstr>
  </property>
</Properties>
</file>