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7421" w14:textId="5B7C56E5" w:rsidR="00CA41CC" w:rsidRPr="00914128" w:rsidRDefault="0068336D" w:rsidP="00914128">
      <w:pPr>
        <w:pStyle w:val="Heading1"/>
      </w:pPr>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CD23A0" w:rsidP="00914128">
      <w:pPr>
        <w:pStyle w:val="ToC"/>
      </w:pPr>
      <w:hyperlink w:anchor="a24_01" w:history="1">
        <w:r w:rsidRPr="00CD23A0">
          <w:rPr>
            <w:rStyle w:val="Hyperlink"/>
          </w:rPr>
          <w:t>24:1</w:t>
        </w:r>
      </w:hyperlink>
      <w:r w:rsidRPr="00CD23A0">
        <w:t xml:space="preserve"> </w:t>
      </w:r>
      <w:r w:rsidRPr="00CD23A0">
        <w:tab/>
        <w:t xml:space="preserve">Elements </w:t>
      </w:r>
      <w:r>
        <w:t>o</w:t>
      </w:r>
      <w:r w:rsidRPr="00CD23A0">
        <w:t>f Liability</w:t>
      </w:r>
    </w:p>
    <w:p w14:paraId="6422AD9A" w14:textId="77777777" w:rsidR="00CD23A0" w:rsidRDefault="00CD23A0" w:rsidP="00914128">
      <w:pPr>
        <w:pStyle w:val="ToC"/>
      </w:pPr>
      <w:hyperlink w:anchor="a24_02" w:history="1">
        <w:r w:rsidRPr="00CD23A0">
          <w:rPr>
            <w:rStyle w:val="Hyperlink"/>
          </w:rPr>
          <w:t>24:2</w:t>
        </w:r>
      </w:hyperlink>
      <w:r w:rsidRPr="00CD23A0">
        <w:t xml:space="preserve"> </w:t>
      </w:r>
      <w:r w:rsidRPr="00CD23A0">
        <w:tab/>
        <w:t>Intentional Conduct — Defined</w:t>
      </w:r>
    </w:p>
    <w:p w14:paraId="216ACC1B" w14:textId="77777777" w:rsidR="00CD23A0" w:rsidRDefault="00CD23A0" w:rsidP="00914128">
      <w:pPr>
        <w:pStyle w:val="ToC"/>
      </w:pPr>
      <w:hyperlink w:anchor="a24_03" w:history="1">
        <w:r w:rsidRPr="00CD23A0">
          <w:rPr>
            <w:rStyle w:val="Hyperlink"/>
          </w:rPr>
          <w:t>24:3</w:t>
        </w:r>
      </w:hyperlink>
      <w:r w:rsidRPr="00CD23A0">
        <w:t xml:space="preserve"> </w:t>
      </w:r>
      <w:r w:rsidRPr="00CD23A0">
        <w:tab/>
        <w:t>Improper — Defined</w:t>
      </w:r>
    </w:p>
    <w:p w14:paraId="1924F583" w14:textId="77777777" w:rsidR="00CD23A0" w:rsidRDefault="00CD23A0" w:rsidP="00914128">
      <w:pPr>
        <w:pStyle w:val="ToC"/>
      </w:pPr>
      <w:hyperlink w:anchor="a24_04" w:history="1">
        <w:r w:rsidRPr="00CD23A0">
          <w:rPr>
            <w:rStyle w:val="Hyperlink"/>
          </w:rPr>
          <w:t>24:4</w:t>
        </w:r>
      </w:hyperlink>
      <w:r w:rsidRPr="00CD23A0">
        <w:t xml:space="preserve"> </w:t>
      </w:r>
      <w:r w:rsidRPr="00CD23A0">
        <w:tab/>
        <w:t>Interference — Defined</w:t>
      </w:r>
    </w:p>
    <w:p w14:paraId="39EB63EE" w14:textId="77777777" w:rsidR="00CD23A0" w:rsidRDefault="00CD23A0" w:rsidP="00914128">
      <w:pPr>
        <w:pStyle w:val="ToC"/>
      </w:pPr>
      <w:hyperlink w:anchor="a24_05" w:history="1">
        <w:r w:rsidRPr="00CD23A0">
          <w:rPr>
            <w:rStyle w:val="Hyperlink"/>
          </w:rPr>
          <w:t>24:5</w:t>
        </w:r>
      </w:hyperlink>
      <w:r w:rsidRPr="00CD23A0">
        <w:t xml:space="preserve"> </w:t>
      </w:r>
      <w:r w:rsidRPr="00CD23A0">
        <w:tab/>
        <w:t xml:space="preserve">Contracts Terminable </w:t>
      </w:r>
      <w:r>
        <w:t>a</w:t>
      </w:r>
      <w:r w:rsidRPr="00CD23A0">
        <w:t xml:space="preserve">t Will </w:t>
      </w:r>
      <w:r>
        <w:t>o</w:t>
      </w:r>
      <w:r w:rsidRPr="00CD23A0">
        <w:t>r Voidable</w:t>
      </w:r>
    </w:p>
    <w:p w14:paraId="166563ED" w14:textId="77777777" w:rsidR="00CD23A0" w:rsidRDefault="00CD23A0" w:rsidP="00914128">
      <w:pPr>
        <w:pStyle w:val="ToC"/>
      </w:pPr>
      <w:hyperlink w:anchor="a24_06" w:history="1">
        <w:r w:rsidRPr="00CD23A0">
          <w:rPr>
            <w:rStyle w:val="Hyperlink"/>
          </w:rPr>
          <w:t>24:6</w:t>
        </w:r>
      </w:hyperlink>
      <w:r w:rsidRPr="00CD23A0">
        <w:t xml:space="preserve"> </w:t>
      </w:r>
      <w:r w:rsidRPr="00CD23A0">
        <w:tab/>
        <w:t>Affirmative Defense — Privilege — When Existent — When Lost</w:t>
      </w:r>
    </w:p>
    <w:p w14:paraId="4AB732FE" w14:textId="77777777" w:rsidR="00CD23A0" w:rsidRDefault="00AB607E" w:rsidP="00914128">
      <w:pPr>
        <w:pStyle w:val="ToC"/>
      </w:pPr>
      <w:hyperlink w:anchor="a24_07" w:history="1">
        <w:r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0" w:name="a24_01"/>
      <w:bookmarkEnd w:id="0"/>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6688AAB0"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xml:space="preserve">, on </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11B7CD23"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4B551EC1"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00B9058D" w:rsidRPr="00A5200E">
        <w:rPr>
          <w:rFonts w:eastAsia="Times New Roman"/>
          <w:b/>
          <w:bCs/>
          <w:sz w:val="24"/>
          <w:szCs w:val="24"/>
        </w:rPr>
        <w:t>Carter Holdings Inc. v. Carter</w:t>
      </w:r>
      <w:r w:rsidR="00B9058D">
        <w:rPr>
          <w:rFonts w:eastAsia="Times New Roman"/>
          <w:sz w:val="24"/>
          <w:szCs w:val="24"/>
        </w:rPr>
        <w:t>, 2023 COA 26, ¶</w:t>
      </w:r>
      <w:r w:rsidR="00A5200E">
        <w:rPr>
          <w:rFonts w:eastAsia="Times New Roman"/>
          <w:sz w:val="24"/>
          <w:szCs w:val="24"/>
        </w:rPr>
        <w:t xml:space="preserve"> </w:t>
      </w:r>
      <w:r w:rsidR="00B9058D">
        <w:rPr>
          <w:rFonts w:eastAsia="Times New Roman"/>
          <w:sz w:val="24"/>
          <w:szCs w:val="24"/>
        </w:rPr>
        <w:t>34</w:t>
      </w:r>
      <w:r w:rsidR="00A5200E">
        <w:rPr>
          <w:rFonts w:eastAsia="Times New Roman"/>
          <w:sz w:val="24"/>
          <w:szCs w:val="24"/>
        </w:rPr>
        <w:t>, 531 P.3d 437, 444</w:t>
      </w:r>
      <w:r w:rsidR="00B9058D">
        <w:rPr>
          <w:rFonts w:eastAsia="Times New Roman"/>
          <w:sz w:val="24"/>
          <w:szCs w:val="24"/>
        </w:rPr>
        <w:t xml:space="preserve"> (</w:t>
      </w:r>
      <w:r w:rsidR="00B37D7C">
        <w:rPr>
          <w:rFonts w:eastAsia="Times New Roman"/>
          <w:sz w:val="24"/>
          <w:szCs w:val="24"/>
        </w:rPr>
        <w:t xml:space="preserve">proper </w:t>
      </w:r>
      <w:r w:rsidR="00B9058D">
        <w:rPr>
          <w:rFonts w:eastAsia="Times New Roman"/>
          <w:sz w:val="24"/>
          <w:szCs w:val="24"/>
        </w:rPr>
        <w:t xml:space="preserve">recording of lis pendens notices “did not interfere with any contractual relations”);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3532519F"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2018 COA 92, ¶ 54</w:t>
      </w:r>
      <w:r w:rsidR="000E0D01">
        <w:rPr>
          <w:sz w:val="24"/>
          <w:szCs w:val="24"/>
        </w:rPr>
        <w:t>, 474 P.3d 1231, 1244</w:t>
      </w:r>
      <w:r w:rsidR="00681CDC">
        <w:rPr>
          <w:sz w:val="24"/>
          <w:szCs w:val="24"/>
        </w:rPr>
        <w:t xml:space="preserve">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lastRenderedPageBreak/>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1" w:name="a24_02"/>
      <w:bookmarkEnd w:id="1"/>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6BC2B3D2"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Conduct is intentional if a person acts or speaks for the purpose, in whole or in part, of bringing about a particular result, or if a person knows </w:t>
      </w:r>
      <w:r w:rsidR="0018267B" w:rsidRPr="0018267B">
        <w:rPr>
          <w:rFonts w:eastAsia="Times New Roman"/>
          <w:bCs/>
          <w:i/>
          <w:iCs/>
          <w:sz w:val="24"/>
          <w:szCs w:val="24"/>
        </w:rPr>
        <w:t>(insert applicable pronoun</w:t>
      </w:r>
      <w:r w:rsidR="0018267B">
        <w:rPr>
          <w:rFonts w:eastAsia="Times New Roman"/>
          <w:bCs/>
          <w:i/>
          <w:iCs/>
          <w:sz w:val="24"/>
          <w:szCs w:val="24"/>
        </w:rPr>
        <w:t xml:space="preserve">) </w:t>
      </w:r>
      <w:r w:rsidRPr="00CB62DC">
        <w:rPr>
          <w:rFonts w:eastAsia="Times New Roman"/>
          <w:b/>
          <w:sz w:val="24"/>
          <w:szCs w:val="24"/>
        </w:rPr>
        <w:t>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2" w:name="a24_03"/>
      <w:bookmarkEnd w:id="2"/>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3" w:name="a24_04"/>
      <w:bookmarkEnd w:id="3"/>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4" w:name="a24_05"/>
      <w:bookmarkEnd w:id="4"/>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5" w:name="a24_06"/>
      <w:bookmarkEnd w:id="5"/>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16F282CB"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For the defendant to establish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146D9FC5"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that defense is lost if the plaintiff proves that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4857B39"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00BB7675" w:rsidRPr="00D67871">
        <w:rPr>
          <w:rFonts w:eastAsia="Times New Roman"/>
          <w:b/>
          <w:bCs/>
          <w:sz w:val="24"/>
          <w:szCs w:val="24"/>
        </w:rPr>
        <w:t>Begley v. Ireson</w:t>
      </w:r>
      <w:r w:rsidR="00BB7675">
        <w:rPr>
          <w:rFonts w:eastAsia="Times New Roman"/>
          <w:sz w:val="24"/>
          <w:szCs w:val="24"/>
        </w:rPr>
        <w:t xml:space="preserve">, 2020 COA 157, ¶ 26, 490 P.3d 963, 970 (“[W]e conclude that the litigation privilege may protect an attorney from liability for his nondefamatory statements.”);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lastRenderedPageBreak/>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6" w:name="a24_07"/>
      <w:bookmarkEnd w:id="6"/>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4024F7C4"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0AD6A666"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If you find in favor of the plaintiff but do not find any actual damages, you shall award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C1C4" w14:textId="77777777" w:rsidR="006C3AD7" w:rsidRDefault="006C3AD7" w:rsidP="0054263B">
      <w:r>
        <w:separator/>
      </w:r>
    </w:p>
    <w:p w14:paraId="50A584B9" w14:textId="77777777" w:rsidR="006C3AD7" w:rsidRDefault="006C3AD7"/>
  </w:endnote>
  <w:endnote w:type="continuationSeparator" w:id="0">
    <w:p w14:paraId="7EC1AC22" w14:textId="77777777" w:rsidR="006C3AD7" w:rsidRDefault="006C3AD7" w:rsidP="0054263B">
      <w:r>
        <w:continuationSeparator/>
      </w:r>
    </w:p>
    <w:p w14:paraId="66F58411" w14:textId="77777777" w:rsidR="006C3AD7" w:rsidRDefault="006C3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72759">
          <w:rPr>
            <w:noProof/>
          </w:rPr>
          <w:t>17</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0453" w14:textId="77777777" w:rsidR="006C3AD7" w:rsidRDefault="006C3AD7" w:rsidP="0054263B">
      <w:r>
        <w:separator/>
      </w:r>
    </w:p>
    <w:p w14:paraId="7EE88B43" w14:textId="77777777" w:rsidR="006C3AD7" w:rsidRDefault="006C3AD7"/>
  </w:footnote>
  <w:footnote w:type="continuationSeparator" w:id="0">
    <w:p w14:paraId="65223766" w14:textId="77777777" w:rsidR="006C3AD7" w:rsidRDefault="006C3AD7" w:rsidP="0054263B">
      <w:r>
        <w:continuationSeparator/>
      </w:r>
    </w:p>
    <w:p w14:paraId="6CB42828" w14:textId="77777777" w:rsidR="006C3AD7" w:rsidRDefault="006C3A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43998">
    <w:abstractNumId w:val="0"/>
  </w:num>
  <w:num w:numId="2" w16cid:durableId="114866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20EB"/>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E0D01"/>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520C"/>
    <w:rsid w:val="001671A9"/>
    <w:rsid w:val="00171705"/>
    <w:rsid w:val="00172674"/>
    <w:rsid w:val="00174BB5"/>
    <w:rsid w:val="0018267B"/>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C1B9D"/>
    <w:rsid w:val="003D027F"/>
    <w:rsid w:val="003D1B54"/>
    <w:rsid w:val="003D370E"/>
    <w:rsid w:val="003E1C13"/>
    <w:rsid w:val="003E472A"/>
    <w:rsid w:val="003E5B38"/>
    <w:rsid w:val="003F108C"/>
    <w:rsid w:val="003F5F1E"/>
    <w:rsid w:val="003F6E89"/>
    <w:rsid w:val="004311BD"/>
    <w:rsid w:val="00434371"/>
    <w:rsid w:val="004425AA"/>
    <w:rsid w:val="00456038"/>
    <w:rsid w:val="00456B2B"/>
    <w:rsid w:val="00457BB7"/>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20B"/>
    <w:rsid w:val="004E7EF1"/>
    <w:rsid w:val="004F003D"/>
    <w:rsid w:val="004F4A6E"/>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2759"/>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33D52"/>
    <w:rsid w:val="00642649"/>
    <w:rsid w:val="00647CC5"/>
    <w:rsid w:val="00651A64"/>
    <w:rsid w:val="0066100E"/>
    <w:rsid w:val="00661D05"/>
    <w:rsid w:val="00675252"/>
    <w:rsid w:val="0067686C"/>
    <w:rsid w:val="00681CDC"/>
    <w:rsid w:val="00682B93"/>
    <w:rsid w:val="0068336D"/>
    <w:rsid w:val="00683A76"/>
    <w:rsid w:val="00683FA1"/>
    <w:rsid w:val="00685E76"/>
    <w:rsid w:val="00687304"/>
    <w:rsid w:val="00697DF2"/>
    <w:rsid w:val="006A74B6"/>
    <w:rsid w:val="006A7F32"/>
    <w:rsid w:val="006B2457"/>
    <w:rsid w:val="006B26D7"/>
    <w:rsid w:val="006C3A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3440D"/>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44EA"/>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06F8A"/>
    <w:rsid w:val="00914128"/>
    <w:rsid w:val="00916349"/>
    <w:rsid w:val="009256BD"/>
    <w:rsid w:val="00932723"/>
    <w:rsid w:val="00935DA8"/>
    <w:rsid w:val="00936A5A"/>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200E"/>
    <w:rsid w:val="00A54915"/>
    <w:rsid w:val="00A632A0"/>
    <w:rsid w:val="00A677E8"/>
    <w:rsid w:val="00A73AE6"/>
    <w:rsid w:val="00A76341"/>
    <w:rsid w:val="00A80C10"/>
    <w:rsid w:val="00A82D0A"/>
    <w:rsid w:val="00A85AAA"/>
    <w:rsid w:val="00A86958"/>
    <w:rsid w:val="00A9205E"/>
    <w:rsid w:val="00A92C18"/>
    <w:rsid w:val="00AB1D6F"/>
    <w:rsid w:val="00AB2019"/>
    <w:rsid w:val="00AB607E"/>
    <w:rsid w:val="00AB71A7"/>
    <w:rsid w:val="00AC78F7"/>
    <w:rsid w:val="00AD4B56"/>
    <w:rsid w:val="00AD61CD"/>
    <w:rsid w:val="00AE1233"/>
    <w:rsid w:val="00AF40E1"/>
    <w:rsid w:val="00AF7D47"/>
    <w:rsid w:val="00B01C12"/>
    <w:rsid w:val="00B0264D"/>
    <w:rsid w:val="00B338E2"/>
    <w:rsid w:val="00B35185"/>
    <w:rsid w:val="00B37722"/>
    <w:rsid w:val="00B37D7C"/>
    <w:rsid w:val="00B45F7E"/>
    <w:rsid w:val="00B567C1"/>
    <w:rsid w:val="00B579DF"/>
    <w:rsid w:val="00B6275E"/>
    <w:rsid w:val="00B649E0"/>
    <w:rsid w:val="00B70D68"/>
    <w:rsid w:val="00B719C2"/>
    <w:rsid w:val="00B72D6B"/>
    <w:rsid w:val="00B80FD1"/>
    <w:rsid w:val="00B9058D"/>
    <w:rsid w:val="00B937E4"/>
    <w:rsid w:val="00B97801"/>
    <w:rsid w:val="00BA2389"/>
    <w:rsid w:val="00BA27A8"/>
    <w:rsid w:val="00BA510E"/>
    <w:rsid w:val="00BA67D3"/>
    <w:rsid w:val="00BB344E"/>
    <w:rsid w:val="00BB436B"/>
    <w:rsid w:val="00BB7675"/>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63D33"/>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068"/>
    <w:rsid w:val="00CC7E17"/>
    <w:rsid w:val="00CD23A0"/>
    <w:rsid w:val="00CD4A7D"/>
    <w:rsid w:val="00CE593D"/>
    <w:rsid w:val="00CF07F1"/>
    <w:rsid w:val="00D00330"/>
    <w:rsid w:val="00D0050C"/>
    <w:rsid w:val="00D014AE"/>
    <w:rsid w:val="00D0525F"/>
    <w:rsid w:val="00D05926"/>
    <w:rsid w:val="00D06D8D"/>
    <w:rsid w:val="00D16901"/>
    <w:rsid w:val="00D23BD0"/>
    <w:rsid w:val="00D27649"/>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405"/>
    <w:rsid w:val="00DB2C90"/>
    <w:rsid w:val="00DB5F6A"/>
    <w:rsid w:val="00DC0393"/>
    <w:rsid w:val="00DC63A9"/>
    <w:rsid w:val="00DC66A6"/>
    <w:rsid w:val="00DC7533"/>
    <w:rsid w:val="00DE2930"/>
    <w:rsid w:val="00DF2CB7"/>
    <w:rsid w:val="00DF3BF1"/>
    <w:rsid w:val="00DF7595"/>
    <w:rsid w:val="00E007F8"/>
    <w:rsid w:val="00E02575"/>
    <w:rsid w:val="00E058BA"/>
    <w:rsid w:val="00E111AA"/>
    <w:rsid w:val="00E172C8"/>
    <w:rsid w:val="00E21120"/>
    <w:rsid w:val="00E24B1E"/>
    <w:rsid w:val="00E24E10"/>
    <w:rsid w:val="00E24F9F"/>
    <w:rsid w:val="00E25E62"/>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2CDB"/>
    <w:rsid w:val="00EC3919"/>
    <w:rsid w:val="00EC3E22"/>
    <w:rsid w:val="00EC7C98"/>
    <w:rsid w:val="00ED5E52"/>
    <w:rsid w:val="00ED7176"/>
    <w:rsid w:val="00ED75EA"/>
    <w:rsid w:val="00EF1E2D"/>
    <w:rsid w:val="00EF4043"/>
    <w:rsid w:val="00EF6C90"/>
    <w:rsid w:val="00F022D4"/>
    <w:rsid w:val="00F062A4"/>
    <w:rsid w:val="00F32AA4"/>
    <w:rsid w:val="00F41683"/>
    <w:rsid w:val="00F573CF"/>
    <w:rsid w:val="00F57A2B"/>
    <w:rsid w:val="00F60050"/>
    <w:rsid w:val="00F658E5"/>
    <w:rsid w:val="00F764F4"/>
    <w:rsid w:val="00F82676"/>
    <w:rsid w:val="00F86F49"/>
    <w:rsid w:val="00F971CE"/>
    <w:rsid w:val="00FA333E"/>
    <w:rsid w:val="00FA7B76"/>
    <w:rsid w:val="00FC544C"/>
    <w:rsid w:val="00FD2DF4"/>
    <w:rsid w:val="00FD7D4E"/>
    <w:rsid w:val="00FE00D7"/>
    <w:rsid w:val="00FE156B"/>
    <w:rsid w:val="00FE1F3D"/>
    <w:rsid w:val="00FE5FC9"/>
    <w:rsid w:val="00FF171F"/>
    <w:rsid w:val="00FF1C25"/>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9058D"/>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24</dc:title>
  <dc:creator>Ellen Buckley</dc:creator>
  <cp:lastModifiedBy>beck, jeremy</cp:lastModifiedBy>
  <cp:revision>3</cp:revision>
  <dcterms:created xsi:type="dcterms:W3CDTF">2025-01-27T22:30:00Z</dcterms:created>
  <dcterms:modified xsi:type="dcterms:W3CDTF">2025-02-11T19:19:00Z</dcterms:modified>
</cp:coreProperties>
</file>