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9CB9" w14:textId="2A0B0D58" w:rsidR="00E01A1E" w:rsidRPr="00914128" w:rsidRDefault="00771A51" w:rsidP="00E01A1E">
      <w:pPr>
        <w:pStyle w:val="Heading1"/>
      </w:pPr>
      <w:bookmarkStart w:id="0" w:name="_Hlk122443531"/>
      <w:r>
        <w:t>CHAPTER 8</w:t>
      </w:r>
    </w:p>
    <w:bookmarkEnd w:id="0"/>
    <w:p w14:paraId="0D223C21" w14:textId="77777777" w:rsidR="00E01A1E" w:rsidRPr="00914128" w:rsidRDefault="00771A51" w:rsidP="00E01A1E">
      <w:pPr>
        <w:pStyle w:val="Heading1"/>
      </w:pPr>
      <w:r w:rsidRPr="00C26751">
        <w:t>LIABILITY BASED ON AGENCY AND RESPONDEAT SUPERIOR</w:t>
      </w:r>
    </w:p>
    <w:p w14:paraId="75696612" w14:textId="77777777" w:rsidR="00E01A1E" w:rsidRPr="009B6746" w:rsidRDefault="00771A51" w:rsidP="00E01A1E">
      <w:pPr>
        <w:pStyle w:val="Heading1"/>
        <w:jc w:val="left"/>
        <w:rPr>
          <w:b w:val="0"/>
        </w:rPr>
      </w:pPr>
      <w:r w:rsidRPr="009B6746">
        <w:rPr>
          <w:b w:val="0"/>
        </w:rPr>
        <w:t xml:space="preserve">A. </w:t>
      </w:r>
      <w:r w:rsidRPr="00C26751">
        <w:rPr>
          <w:b w:val="0"/>
        </w:rPr>
        <w:t>DEFINITIONS</w:t>
      </w:r>
    </w:p>
    <w:p w14:paraId="677DC78F" w14:textId="77777777" w:rsidR="00E01A1E" w:rsidRDefault="00771A51" w:rsidP="00E01A1E">
      <w:pPr>
        <w:pStyle w:val="ToC"/>
      </w:pPr>
      <w:hyperlink w:anchor="a8_1" w:history="1">
        <w:r w:rsidRPr="0006367C">
          <w:rPr>
            <w:rStyle w:val="Hyperlink"/>
          </w:rPr>
          <w:t>8:1</w:t>
        </w:r>
      </w:hyperlink>
      <w:r w:rsidRPr="0006367C">
        <w:t xml:space="preserve"> </w:t>
      </w:r>
      <w:r w:rsidRPr="0006367C">
        <w:tab/>
        <w:t>Agency Relationship — Defined</w:t>
      </w:r>
    </w:p>
    <w:p w14:paraId="5F5D9F13" w14:textId="6573016C" w:rsidR="00E01A1E" w:rsidRDefault="00771A51" w:rsidP="00E01A1E">
      <w:pPr>
        <w:pStyle w:val="ToC"/>
      </w:pPr>
      <w:hyperlink w:anchor="a8_2" w:history="1">
        <w:r w:rsidRPr="0006367C">
          <w:rPr>
            <w:rStyle w:val="Hyperlink"/>
          </w:rPr>
          <w:t>8:2</w:t>
        </w:r>
      </w:hyperlink>
      <w:r w:rsidRPr="0006367C">
        <w:t xml:space="preserve"> </w:t>
      </w:r>
      <w:r w:rsidRPr="0006367C">
        <w:tab/>
        <w:t xml:space="preserve">Disclosed </w:t>
      </w:r>
      <w:r>
        <w:t xml:space="preserve">or </w:t>
      </w:r>
      <w:r w:rsidRPr="0006367C">
        <w:t>Unidentified Principal — Defined</w:t>
      </w:r>
    </w:p>
    <w:p w14:paraId="25AC8BD9" w14:textId="77777777" w:rsidR="00E01A1E" w:rsidRDefault="00771A51" w:rsidP="00E01A1E">
      <w:pPr>
        <w:pStyle w:val="ToC"/>
      </w:pPr>
      <w:hyperlink w:anchor="a8_3" w:history="1">
        <w:r w:rsidRPr="0006367C">
          <w:rPr>
            <w:rStyle w:val="Hyperlink"/>
          </w:rPr>
          <w:t>8:3</w:t>
        </w:r>
      </w:hyperlink>
      <w:r w:rsidRPr="0006367C">
        <w:t xml:space="preserve"> </w:t>
      </w:r>
      <w:r w:rsidRPr="0006367C">
        <w:tab/>
        <w:t>Undisclosed Principal — Defined</w:t>
      </w:r>
    </w:p>
    <w:p w14:paraId="677DC58B" w14:textId="77777777" w:rsidR="00E01A1E" w:rsidRDefault="00771A51" w:rsidP="00E01A1E">
      <w:pPr>
        <w:pStyle w:val="ToC"/>
      </w:pPr>
      <w:hyperlink w:anchor="a8_4" w:history="1">
        <w:r w:rsidRPr="0006367C">
          <w:rPr>
            <w:rStyle w:val="Hyperlink"/>
          </w:rPr>
          <w:t>8:4</w:t>
        </w:r>
      </w:hyperlink>
      <w:r w:rsidRPr="0006367C">
        <w:t xml:space="preserve"> </w:t>
      </w:r>
      <w:r w:rsidRPr="0006367C">
        <w:tab/>
        <w:t xml:space="preserve">Employer </w:t>
      </w:r>
      <w:r>
        <w:t>and</w:t>
      </w:r>
      <w:r w:rsidRPr="0006367C">
        <w:t xml:space="preserve"> Employee — Defined</w:t>
      </w:r>
    </w:p>
    <w:p w14:paraId="5F104ACC" w14:textId="77777777" w:rsidR="00E01A1E" w:rsidRDefault="00771A51" w:rsidP="00E01A1E">
      <w:pPr>
        <w:pStyle w:val="ToC"/>
      </w:pPr>
      <w:hyperlink w:anchor="a8_5" w:history="1">
        <w:r w:rsidRPr="00474B1B">
          <w:rPr>
            <w:rStyle w:val="Hyperlink"/>
          </w:rPr>
          <w:t>8:5</w:t>
        </w:r>
      </w:hyperlink>
      <w:r w:rsidRPr="00474B1B">
        <w:t xml:space="preserve"> </w:t>
      </w:r>
      <w:r w:rsidRPr="00474B1B">
        <w:tab/>
        <w:t>Independent Contractor — Definition</w:t>
      </w:r>
    </w:p>
    <w:p w14:paraId="0F126421" w14:textId="77777777" w:rsidR="00E01A1E" w:rsidRDefault="00771A51" w:rsidP="00E01A1E">
      <w:pPr>
        <w:pStyle w:val="ToC"/>
      </w:pPr>
      <w:hyperlink w:anchor="a8_6" w:history="1">
        <w:r w:rsidRPr="006F7DC0">
          <w:rPr>
            <w:rStyle w:val="Hyperlink"/>
          </w:rPr>
          <w:t>8:6</w:t>
        </w:r>
      </w:hyperlink>
      <w:r w:rsidRPr="006F7DC0">
        <w:t xml:space="preserve"> </w:t>
      </w:r>
      <w:r w:rsidRPr="006F7DC0">
        <w:tab/>
        <w:t>Loaned Employee</w:t>
      </w:r>
    </w:p>
    <w:p w14:paraId="4F980EAB" w14:textId="77777777" w:rsidR="00E01A1E" w:rsidRDefault="00771A51" w:rsidP="00E01A1E">
      <w:pPr>
        <w:pStyle w:val="ToC"/>
      </w:pPr>
      <w:hyperlink w:anchor="a8_7" w:history="1">
        <w:r w:rsidRPr="006F7DC0">
          <w:rPr>
            <w:rStyle w:val="Hyperlink"/>
          </w:rPr>
          <w:t>8:7</w:t>
        </w:r>
      </w:hyperlink>
      <w:r w:rsidRPr="006F7DC0">
        <w:tab/>
        <w:t>Loaned Employee ― Determination</w:t>
      </w:r>
    </w:p>
    <w:p w14:paraId="1777974E" w14:textId="77777777" w:rsidR="00E01A1E" w:rsidRDefault="00771A51" w:rsidP="00E01A1E">
      <w:pPr>
        <w:pStyle w:val="ToC"/>
      </w:pPr>
      <w:hyperlink w:anchor="a8_8" w:history="1">
        <w:r w:rsidRPr="006F7DC0">
          <w:rPr>
            <w:rStyle w:val="Hyperlink"/>
          </w:rPr>
          <w:t>8:8</w:t>
        </w:r>
      </w:hyperlink>
      <w:r w:rsidRPr="006F7DC0">
        <w:t xml:space="preserve"> </w:t>
      </w:r>
      <w:r w:rsidRPr="006F7DC0">
        <w:tab/>
        <w:t xml:space="preserve">Scope </w:t>
      </w:r>
      <w:r>
        <w:t>of</w:t>
      </w:r>
      <w:r w:rsidRPr="006F7DC0">
        <w:t xml:space="preserve"> Employment </w:t>
      </w:r>
      <w:r>
        <w:t>of</w:t>
      </w:r>
      <w:r w:rsidRPr="006F7DC0">
        <w:t xml:space="preserve"> Employee — Defined</w:t>
      </w:r>
    </w:p>
    <w:p w14:paraId="61F4555D" w14:textId="77777777" w:rsidR="00E01A1E" w:rsidRDefault="00771A51" w:rsidP="00E01A1E">
      <w:pPr>
        <w:pStyle w:val="ToC"/>
      </w:pPr>
      <w:hyperlink w:anchor="a8_9" w:history="1">
        <w:r w:rsidRPr="00273777">
          <w:rPr>
            <w:rStyle w:val="Hyperlink"/>
          </w:rPr>
          <w:t>8:9</w:t>
        </w:r>
      </w:hyperlink>
      <w:r w:rsidRPr="00273777">
        <w:t xml:space="preserve"> </w:t>
      </w:r>
      <w:r w:rsidRPr="00273777">
        <w:tab/>
        <w:t xml:space="preserve">Scope </w:t>
      </w:r>
      <w:r>
        <w:t>of</w:t>
      </w:r>
      <w:r w:rsidRPr="00273777">
        <w:t xml:space="preserve"> Authority </w:t>
      </w:r>
      <w:r>
        <w:t>of</w:t>
      </w:r>
      <w:r w:rsidRPr="00273777">
        <w:t xml:space="preserve"> Agent — Defined</w:t>
      </w:r>
    </w:p>
    <w:p w14:paraId="757BBC4E" w14:textId="7265680A" w:rsidR="00E01A1E" w:rsidRDefault="00771A51" w:rsidP="00E01A1E">
      <w:pPr>
        <w:pStyle w:val="ToC"/>
      </w:pPr>
      <w:hyperlink w:anchor="a8_9A" w:history="1">
        <w:r w:rsidRPr="00273777">
          <w:rPr>
            <w:rStyle w:val="Hyperlink"/>
          </w:rPr>
          <w:t>8:9</w:t>
        </w:r>
        <w:r>
          <w:rPr>
            <w:rStyle w:val="Hyperlink"/>
          </w:rPr>
          <w:t>A</w:t>
        </w:r>
      </w:hyperlink>
      <w:r w:rsidRPr="00273777">
        <w:tab/>
        <w:t>Actual Authority</w:t>
      </w:r>
      <w:r w:rsidR="00431B98" w:rsidRPr="00273777">
        <w:t xml:space="preserve"> — Defined</w:t>
      </w:r>
    </w:p>
    <w:p w14:paraId="26F3EF47" w14:textId="6D2BFECF" w:rsidR="00E01A1E" w:rsidRDefault="00771A51" w:rsidP="00E01A1E">
      <w:pPr>
        <w:pStyle w:val="ToC"/>
      </w:pPr>
      <w:hyperlink w:anchor="a8_9B" w:history="1">
        <w:r w:rsidRPr="00273777">
          <w:rPr>
            <w:rStyle w:val="Hyperlink"/>
          </w:rPr>
          <w:t>8:9</w:t>
        </w:r>
        <w:r>
          <w:rPr>
            <w:rStyle w:val="Hyperlink"/>
          </w:rPr>
          <w:t>B</w:t>
        </w:r>
      </w:hyperlink>
      <w:r>
        <w:tab/>
      </w:r>
      <w:r w:rsidRPr="00273777">
        <w:t>Express Authority</w:t>
      </w:r>
      <w:r w:rsidR="00DA3154" w:rsidRPr="00273777">
        <w:t xml:space="preserve"> — Defined</w:t>
      </w:r>
    </w:p>
    <w:p w14:paraId="772F42D8" w14:textId="77777777" w:rsidR="00E01A1E" w:rsidRDefault="00771A51" w:rsidP="00E01A1E">
      <w:pPr>
        <w:pStyle w:val="ToC"/>
      </w:pPr>
      <w:hyperlink w:anchor="a8_10" w:history="1">
        <w:r w:rsidRPr="00273777">
          <w:rPr>
            <w:rStyle w:val="Hyperlink"/>
          </w:rPr>
          <w:t>8:10</w:t>
        </w:r>
      </w:hyperlink>
      <w:r w:rsidRPr="00273777">
        <w:t xml:space="preserve"> </w:t>
      </w:r>
      <w:r w:rsidRPr="00273777">
        <w:tab/>
        <w:t>Incidental Authority — Defined</w:t>
      </w:r>
    </w:p>
    <w:p w14:paraId="6B244051" w14:textId="77777777" w:rsidR="00E01A1E" w:rsidRDefault="00771A51" w:rsidP="00E01A1E">
      <w:pPr>
        <w:pStyle w:val="ToC"/>
      </w:pPr>
      <w:hyperlink w:anchor="a8_11" w:history="1">
        <w:r w:rsidRPr="00273777">
          <w:rPr>
            <w:rStyle w:val="Hyperlink"/>
          </w:rPr>
          <w:t>8:11</w:t>
        </w:r>
      </w:hyperlink>
      <w:r w:rsidRPr="00273777">
        <w:t xml:space="preserve"> </w:t>
      </w:r>
      <w:r w:rsidRPr="00273777">
        <w:tab/>
        <w:t>Implied Authority — Defined</w:t>
      </w:r>
    </w:p>
    <w:p w14:paraId="68C45A56" w14:textId="77777777" w:rsidR="00E01A1E" w:rsidRDefault="00771A51" w:rsidP="00E01A1E">
      <w:pPr>
        <w:pStyle w:val="ToC"/>
      </w:pPr>
      <w:hyperlink w:anchor="a8_12" w:history="1">
        <w:r w:rsidRPr="00273777">
          <w:rPr>
            <w:rStyle w:val="Hyperlink"/>
          </w:rPr>
          <w:t>8:12</w:t>
        </w:r>
      </w:hyperlink>
      <w:r w:rsidRPr="00273777">
        <w:t xml:space="preserve"> </w:t>
      </w:r>
      <w:r w:rsidRPr="00273777">
        <w:tab/>
        <w:t xml:space="preserve">Apparent Authority (Agency </w:t>
      </w:r>
      <w:r>
        <w:t>b</w:t>
      </w:r>
      <w:r w:rsidRPr="00273777">
        <w:t xml:space="preserve">y Estoppel) — Definition </w:t>
      </w:r>
      <w:r>
        <w:t>and</w:t>
      </w:r>
      <w:r w:rsidRPr="00273777">
        <w:t xml:space="preserve"> Effect</w:t>
      </w:r>
    </w:p>
    <w:p w14:paraId="4FCA7945" w14:textId="77777777" w:rsidR="00E01A1E" w:rsidRDefault="00771A51" w:rsidP="00E01A1E">
      <w:pPr>
        <w:pStyle w:val="ToC"/>
      </w:pPr>
      <w:hyperlink w:anchor="a8_13" w:history="1">
        <w:r w:rsidRPr="00273777">
          <w:rPr>
            <w:rStyle w:val="Hyperlink"/>
          </w:rPr>
          <w:t>8:13</w:t>
        </w:r>
      </w:hyperlink>
      <w:r w:rsidRPr="00273777">
        <w:t xml:space="preserve"> </w:t>
      </w:r>
      <w:r w:rsidRPr="00273777">
        <w:tab/>
        <w:t xml:space="preserve">Scope </w:t>
      </w:r>
      <w:r>
        <w:t>of</w:t>
      </w:r>
      <w:r w:rsidRPr="00273777">
        <w:t xml:space="preserve"> Authority </w:t>
      </w:r>
      <w:r>
        <w:t xml:space="preserve">or </w:t>
      </w:r>
      <w:r w:rsidRPr="00273777">
        <w:t>Employment — Departure</w:t>
      </w:r>
    </w:p>
    <w:p w14:paraId="259B38B7" w14:textId="77777777" w:rsidR="00E01A1E" w:rsidRDefault="00771A51" w:rsidP="00E01A1E">
      <w:pPr>
        <w:pStyle w:val="ToC"/>
      </w:pPr>
      <w:hyperlink w:anchor="a8_14" w:history="1">
        <w:r w:rsidRPr="00273777">
          <w:rPr>
            <w:rStyle w:val="Hyperlink"/>
          </w:rPr>
          <w:t>8:14</w:t>
        </w:r>
      </w:hyperlink>
      <w:r w:rsidRPr="00273777">
        <w:t xml:space="preserve"> </w:t>
      </w:r>
      <w:r w:rsidRPr="00273777">
        <w:tab/>
        <w:t xml:space="preserve">Ratification — Definition </w:t>
      </w:r>
      <w:r>
        <w:t>and</w:t>
      </w:r>
      <w:r w:rsidRPr="00273777">
        <w:t xml:space="preserve"> Effect</w:t>
      </w:r>
    </w:p>
    <w:p w14:paraId="4EDB867E" w14:textId="77777777" w:rsidR="00E01A1E" w:rsidRDefault="00771A51" w:rsidP="00E01A1E">
      <w:pPr>
        <w:pStyle w:val="ToC"/>
      </w:pPr>
      <w:hyperlink w:anchor="a8_15" w:history="1">
        <w:r w:rsidRPr="00273777">
          <w:rPr>
            <w:rStyle w:val="Hyperlink"/>
          </w:rPr>
          <w:t>8:15</w:t>
        </w:r>
      </w:hyperlink>
      <w:r w:rsidRPr="00273777">
        <w:t xml:space="preserve"> </w:t>
      </w:r>
      <w:r w:rsidRPr="00273777">
        <w:tab/>
        <w:t xml:space="preserve">Knowledge </w:t>
      </w:r>
      <w:r>
        <w:t>of</w:t>
      </w:r>
      <w:r w:rsidRPr="00273777">
        <w:t xml:space="preserve"> Agent Imputable </w:t>
      </w:r>
      <w:r>
        <w:t>to</w:t>
      </w:r>
      <w:r w:rsidRPr="00273777">
        <w:t xml:space="preserve"> Principal</w:t>
      </w:r>
    </w:p>
    <w:p w14:paraId="56C36A96" w14:textId="77777777" w:rsidR="00E01A1E" w:rsidRDefault="00771A51" w:rsidP="00E01A1E">
      <w:pPr>
        <w:pStyle w:val="ToC"/>
      </w:pPr>
      <w:hyperlink w:anchor="a8_16" w:history="1">
        <w:r w:rsidRPr="00273777">
          <w:rPr>
            <w:rStyle w:val="Hyperlink"/>
          </w:rPr>
          <w:t>8:16</w:t>
        </w:r>
      </w:hyperlink>
      <w:r w:rsidRPr="00273777">
        <w:t xml:space="preserve"> </w:t>
      </w:r>
      <w:r w:rsidRPr="00273777">
        <w:tab/>
        <w:t xml:space="preserve">Termination </w:t>
      </w:r>
      <w:r>
        <w:t>of</w:t>
      </w:r>
      <w:r w:rsidRPr="00273777">
        <w:t xml:space="preserve"> Agent’s Authority</w:t>
      </w:r>
    </w:p>
    <w:p w14:paraId="21DCDC07" w14:textId="77777777" w:rsidR="00E01A1E" w:rsidRDefault="00771A51" w:rsidP="00E01A1E">
      <w:pPr>
        <w:pStyle w:val="ToC"/>
      </w:pPr>
      <w:hyperlink w:anchor="a8_17" w:history="1">
        <w:r w:rsidRPr="00273777">
          <w:rPr>
            <w:rStyle w:val="Hyperlink"/>
          </w:rPr>
          <w:t>8:17</w:t>
        </w:r>
      </w:hyperlink>
      <w:r w:rsidRPr="00273777">
        <w:t xml:space="preserve"> </w:t>
      </w:r>
      <w:r w:rsidRPr="00273777">
        <w:tab/>
        <w:t xml:space="preserve">Termination </w:t>
      </w:r>
      <w:r>
        <w:t>of</w:t>
      </w:r>
      <w:r w:rsidRPr="00273777">
        <w:t xml:space="preserve"> Agent’s Authority — Notice </w:t>
      </w:r>
      <w:r>
        <w:t>to</w:t>
      </w:r>
      <w:r w:rsidRPr="00273777">
        <w:t xml:space="preserve"> Third Parties</w:t>
      </w:r>
    </w:p>
    <w:p w14:paraId="30F1C2B9" w14:textId="77777777" w:rsidR="00E01A1E" w:rsidRDefault="00E01A1E" w:rsidP="00E01A1E">
      <w:pPr>
        <w:pStyle w:val="ToC"/>
      </w:pPr>
    </w:p>
    <w:p w14:paraId="45C8064D" w14:textId="77777777" w:rsidR="00E01A1E" w:rsidRPr="009B6746" w:rsidRDefault="00771A51" w:rsidP="00E01A1E">
      <w:pPr>
        <w:pStyle w:val="Heading1"/>
        <w:jc w:val="left"/>
        <w:rPr>
          <w:b w:val="0"/>
        </w:rPr>
      </w:pPr>
      <w:r w:rsidRPr="00973884">
        <w:rPr>
          <w:b w:val="0"/>
        </w:rPr>
        <w:t xml:space="preserve">B. </w:t>
      </w:r>
      <w:r w:rsidRPr="00C26751">
        <w:rPr>
          <w:b w:val="0"/>
        </w:rPr>
        <w:t>LIABILITY ARISING FROM AGENCY</w:t>
      </w:r>
    </w:p>
    <w:p w14:paraId="25A6A2AC" w14:textId="77777777" w:rsidR="00CA7F33" w:rsidRDefault="00CA7F33" w:rsidP="00CA7F33">
      <w:pPr>
        <w:pStyle w:val="ToC"/>
      </w:pPr>
      <w:hyperlink w:anchor="a8_IntroB" w:history="1">
        <w:r w:rsidRPr="00CA7F33">
          <w:rPr>
            <w:rStyle w:val="Hyperlink"/>
          </w:rPr>
          <w:t>Introductory Note</w:t>
        </w:r>
      </w:hyperlink>
    </w:p>
    <w:p w14:paraId="04BB6D24" w14:textId="77777777" w:rsidR="00E01A1E" w:rsidRDefault="00771A51" w:rsidP="00E01A1E">
      <w:pPr>
        <w:pStyle w:val="ToC"/>
      </w:pPr>
      <w:hyperlink w:anchor="a8_18" w:history="1">
        <w:r w:rsidRPr="00273777">
          <w:rPr>
            <w:rStyle w:val="Hyperlink"/>
          </w:rPr>
          <w:t>8:18</w:t>
        </w:r>
      </w:hyperlink>
      <w:r w:rsidRPr="00273777">
        <w:t xml:space="preserve"> </w:t>
      </w:r>
      <w:r w:rsidRPr="00273777">
        <w:tab/>
        <w:t xml:space="preserve">Principal </w:t>
      </w:r>
      <w:r>
        <w:t>and</w:t>
      </w:r>
      <w:r w:rsidRPr="00273777">
        <w:t xml:space="preserve"> Agent — Both Parties Sued — Issue </w:t>
      </w:r>
      <w:r>
        <w:t>as</w:t>
      </w:r>
      <w:r w:rsidRPr="00273777">
        <w:t xml:space="preserve"> </w:t>
      </w:r>
      <w:r>
        <w:t>to</w:t>
      </w:r>
      <w:r w:rsidRPr="00273777">
        <w:t xml:space="preserve"> Relationship </w:t>
      </w:r>
      <w:r>
        <w:t>and/or</w:t>
      </w:r>
      <w:r w:rsidRPr="00273777">
        <w:t xml:space="preserve"> Scope </w:t>
      </w:r>
      <w:r>
        <w:t>of</w:t>
      </w:r>
      <w:r w:rsidRPr="00273777">
        <w:t xml:space="preserve"> Authority</w:t>
      </w:r>
    </w:p>
    <w:p w14:paraId="2556AA96" w14:textId="77777777" w:rsidR="00E01A1E" w:rsidRDefault="00771A51" w:rsidP="00E01A1E">
      <w:pPr>
        <w:pStyle w:val="ToC"/>
      </w:pPr>
      <w:hyperlink w:anchor="a8_19" w:history="1">
        <w:r w:rsidRPr="00CC1E15">
          <w:rPr>
            <w:rStyle w:val="Hyperlink"/>
          </w:rPr>
          <w:t>8:19</w:t>
        </w:r>
      </w:hyperlink>
      <w:r w:rsidRPr="00273777">
        <w:t xml:space="preserve"> </w:t>
      </w:r>
      <w:r w:rsidRPr="00273777">
        <w:tab/>
        <w:t xml:space="preserve">Principal </w:t>
      </w:r>
      <w:r>
        <w:t>and</w:t>
      </w:r>
      <w:r w:rsidRPr="00273777">
        <w:t xml:space="preserve"> Agent — </w:t>
      </w:r>
      <w:r>
        <w:t>Both Parties</w:t>
      </w:r>
      <w:r w:rsidRPr="00273777">
        <w:t xml:space="preserve"> Sued — No Issue </w:t>
      </w:r>
      <w:r>
        <w:t>as</w:t>
      </w:r>
      <w:r w:rsidRPr="00273777">
        <w:t xml:space="preserve"> </w:t>
      </w:r>
      <w:r>
        <w:t>to</w:t>
      </w:r>
      <w:r w:rsidRPr="00273777">
        <w:t xml:space="preserve"> Relationship</w:t>
      </w:r>
      <w:r>
        <w:t xml:space="preserve"> and Scope of Authority</w:t>
      </w:r>
    </w:p>
    <w:p w14:paraId="08DB124A" w14:textId="77777777" w:rsidR="00E01A1E" w:rsidRDefault="00771A51" w:rsidP="00E01A1E">
      <w:pPr>
        <w:pStyle w:val="ToC"/>
      </w:pPr>
      <w:hyperlink w:anchor="a8_20" w:history="1">
        <w:r w:rsidRPr="001F6414">
          <w:rPr>
            <w:rStyle w:val="Hyperlink"/>
          </w:rPr>
          <w:t>8:20</w:t>
        </w:r>
      </w:hyperlink>
      <w:r w:rsidRPr="00273777">
        <w:t xml:space="preserve"> </w:t>
      </w:r>
      <w:r w:rsidRPr="00273777">
        <w:tab/>
        <w:t xml:space="preserve">Principal </w:t>
      </w:r>
      <w:r>
        <w:t>and</w:t>
      </w:r>
      <w:r w:rsidRPr="00273777">
        <w:t xml:space="preserve"> Agent — Only Principal Sued — Issue </w:t>
      </w:r>
      <w:r>
        <w:t>as</w:t>
      </w:r>
      <w:r w:rsidRPr="00273777">
        <w:t xml:space="preserve"> </w:t>
      </w:r>
      <w:r>
        <w:t>to</w:t>
      </w:r>
      <w:r w:rsidRPr="00273777">
        <w:t xml:space="preserve"> Relationship </w:t>
      </w:r>
      <w:r>
        <w:t>and</w:t>
      </w:r>
      <w:r w:rsidRPr="00273777">
        <w:t>/</w:t>
      </w:r>
      <w:r>
        <w:t xml:space="preserve">or </w:t>
      </w:r>
      <w:r w:rsidRPr="00273777">
        <w:t xml:space="preserve">Scope </w:t>
      </w:r>
      <w:r>
        <w:t>of</w:t>
      </w:r>
      <w:r w:rsidRPr="00273777">
        <w:t xml:space="preserve"> Authority</w:t>
      </w:r>
    </w:p>
    <w:p w14:paraId="57595389" w14:textId="77777777" w:rsidR="00E01A1E" w:rsidRDefault="00771A51" w:rsidP="00E01A1E">
      <w:pPr>
        <w:pStyle w:val="ToC"/>
      </w:pPr>
      <w:hyperlink w:anchor="a8_21" w:history="1">
        <w:r w:rsidRPr="001F6414">
          <w:rPr>
            <w:rStyle w:val="Hyperlink"/>
          </w:rPr>
          <w:t>8:21</w:t>
        </w:r>
      </w:hyperlink>
      <w:r w:rsidRPr="00273777">
        <w:t xml:space="preserve"> </w:t>
      </w:r>
      <w:r w:rsidRPr="00273777">
        <w:tab/>
        <w:t xml:space="preserve">Principal </w:t>
      </w:r>
      <w:r>
        <w:t>and</w:t>
      </w:r>
      <w:r w:rsidRPr="00273777">
        <w:t xml:space="preserve"> Agent — </w:t>
      </w:r>
      <w:r>
        <w:t>Only Principal</w:t>
      </w:r>
      <w:r w:rsidRPr="00273777">
        <w:t xml:space="preserve"> Sued —No Issue </w:t>
      </w:r>
      <w:r>
        <w:t>as</w:t>
      </w:r>
      <w:r w:rsidRPr="00273777">
        <w:t xml:space="preserve"> </w:t>
      </w:r>
      <w:r>
        <w:t>to</w:t>
      </w:r>
      <w:r w:rsidRPr="00273777">
        <w:t xml:space="preserve"> Relationship </w:t>
      </w:r>
      <w:r>
        <w:t xml:space="preserve">and </w:t>
      </w:r>
      <w:r w:rsidRPr="00273777">
        <w:t xml:space="preserve">Scope </w:t>
      </w:r>
      <w:r>
        <w:t>of</w:t>
      </w:r>
      <w:r w:rsidRPr="00273777">
        <w:t xml:space="preserve"> Authority</w:t>
      </w:r>
    </w:p>
    <w:p w14:paraId="18E68085" w14:textId="77777777" w:rsidR="00E01A1E" w:rsidRDefault="00E01A1E" w:rsidP="00E01A1E">
      <w:pPr>
        <w:pStyle w:val="ToC"/>
      </w:pPr>
    </w:p>
    <w:p w14:paraId="5DDD284F" w14:textId="77777777" w:rsidR="00E01A1E" w:rsidRDefault="00771A51" w:rsidP="00E01A1E">
      <w:pPr>
        <w:pStyle w:val="ToC"/>
        <w:keepNext/>
        <w:spacing w:after="240"/>
      </w:pPr>
      <w:r>
        <w:lastRenderedPageBreak/>
        <w:t>C</w:t>
      </w:r>
      <w:r w:rsidRPr="00973884">
        <w:t xml:space="preserve">. </w:t>
      </w:r>
      <w:r w:rsidRPr="00C26751">
        <w:t xml:space="preserve">LIABILITY </w:t>
      </w:r>
      <w:r>
        <w:t>ARISING FROM RESPONDEAT SUPERIOR</w:t>
      </w:r>
    </w:p>
    <w:p w14:paraId="08604F2C" w14:textId="77777777" w:rsidR="00E01A1E" w:rsidRDefault="00771A51" w:rsidP="00E01A1E">
      <w:pPr>
        <w:pStyle w:val="ToC"/>
      </w:pPr>
      <w:hyperlink w:anchor="a8_22" w:history="1">
        <w:r w:rsidRPr="001F6414">
          <w:rPr>
            <w:rStyle w:val="Hyperlink"/>
          </w:rPr>
          <w:t>8:22</w:t>
        </w:r>
      </w:hyperlink>
      <w:r w:rsidRPr="00273777">
        <w:tab/>
      </w:r>
      <w:r>
        <w:t xml:space="preserve">Employer and Employee </w:t>
      </w:r>
      <w:r w:rsidRPr="00273777">
        <w:t xml:space="preserve">— Both Parties Sued — Issue </w:t>
      </w:r>
      <w:r>
        <w:t>as</w:t>
      </w:r>
      <w:r w:rsidRPr="00273777">
        <w:t xml:space="preserve"> </w:t>
      </w:r>
      <w:r>
        <w:t>to</w:t>
      </w:r>
      <w:r w:rsidRPr="00273777">
        <w:t xml:space="preserve"> Relationship </w:t>
      </w:r>
      <w:r>
        <w:t>and/or</w:t>
      </w:r>
      <w:r w:rsidRPr="00273777">
        <w:t xml:space="preserve"> Scope </w:t>
      </w:r>
      <w:r>
        <w:t>of Employment</w:t>
      </w:r>
    </w:p>
    <w:p w14:paraId="71C9F0BF" w14:textId="77777777" w:rsidR="00E01A1E" w:rsidRDefault="00771A51" w:rsidP="00E01A1E">
      <w:pPr>
        <w:pStyle w:val="ToC"/>
      </w:pPr>
      <w:hyperlink w:anchor="a8_23" w:history="1">
        <w:r w:rsidRPr="001F6414">
          <w:rPr>
            <w:rStyle w:val="Hyperlink"/>
          </w:rPr>
          <w:t>8:23</w:t>
        </w:r>
      </w:hyperlink>
      <w:r w:rsidRPr="00273777">
        <w:t xml:space="preserve"> </w:t>
      </w:r>
      <w:r w:rsidRPr="00273777">
        <w:tab/>
      </w:r>
      <w:r>
        <w:t>Employer and Employee</w:t>
      </w:r>
      <w:r w:rsidRPr="00273777">
        <w:t xml:space="preserve"> — Both Parties Sued — No Issue </w:t>
      </w:r>
      <w:r>
        <w:t>as</w:t>
      </w:r>
      <w:r w:rsidRPr="00273777">
        <w:t xml:space="preserve"> </w:t>
      </w:r>
      <w:r>
        <w:t>to</w:t>
      </w:r>
      <w:r w:rsidRPr="00273777">
        <w:t xml:space="preserve"> Relationship </w:t>
      </w:r>
      <w:r>
        <w:t>and Scope of Employment</w:t>
      </w:r>
    </w:p>
    <w:p w14:paraId="6B25BE34" w14:textId="77777777" w:rsidR="00E01A1E" w:rsidRDefault="00771A51" w:rsidP="00E01A1E">
      <w:pPr>
        <w:pStyle w:val="ToC"/>
      </w:pPr>
      <w:hyperlink w:anchor="a8_24" w:history="1">
        <w:r w:rsidRPr="001F6414">
          <w:rPr>
            <w:rStyle w:val="Hyperlink"/>
          </w:rPr>
          <w:t>8:24</w:t>
        </w:r>
      </w:hyperlink>
      <w:r w:rsidRPr="00273777">
        <w:t xml:space="preserve"> </w:t>
      </w:r>
      <w:r w:rsidRPr="00273777">
        <w:tab/>
      </w:r>
      <w:r>
        <w:t>Employer and Employee — Only Employer</w:t>
      </w:r>
      <w:r w:rsidRPr="00273777">
        <w:t xml:space="preserve"> Sued — Issue </w:t>
      </w:r>
      <w:r>
        <w:t>as</w:t>
      </w:r>
      <w:r w:rsidRPr="00273777">
        <w:t xml:space="preserve"> </w:t>
      </w:r>
      <w:r>
        <w:t>to</w:t>
      </w:r>
      <w:r w:rsidRPr="00273777">
        <w:t xml:space="preserve"> Relationship </w:t>
      </w:r>
      <w:r>
        <w:t>and</w:t>
      </w:r>
      <w:r w:rsidRPr="00273777">
        <w:t>/</w:t>
      </w:r>
      <w:r>
        <w:t xml:space="preserve">or </w:t>
      </w:r>
      <w:r w:rsidRPr="00273777">
        <w:t xml:space="preserve">Scope </w:t>
      </w:r>
      <w:r>
        <w:t>of Employment</w:t>
      </w:r>
    </w:p>
    <w:p w14:paraId="21FEC39C" w14:textId="77777777" w:rsidR="00E01A1E" w:rsidRDefault="00771A51" w:rsidP="00E01A1E">
      <w:pPr>
        <w:pStyle w:val="ToC"/>
      </w:pPr>
      <w:hyperlink w:anchor="a8_25" w:history="1">
        <w:r w:rsidRPr="001F6414">
          <w:rPr>
            <w:rStyle w:val="Hyperlink"/>
          </w:rPr>
          <w:t>8:25</w:t>
        </w:r>
      </w:hyperlink>
      <w:r w:rsidRPr="00273777">
        <w:t xml:space="preserve"> </w:t>
      </w:r>
      <w:r w:rsidRPr="00273777">
        <w:tab/>
      </w:r>
      <w:r>
        <w:t>Employer and Employee</w:t>
      </w:r>
      <w:r w:rsidRPr="00273777">
        <w:t xml:space="preserve"> — Only </w:t>
      </w:r>
      <w:r>
        <w:t>Employer</w:t>
      </w:r>
      <w:r w:rsidRPr="00273777">
        <w:t xml:space="preserve"> Sued — No Issue </w:t>
      </w:r>
      <w:r>
        <w:t>as</w:t>
      </w:r>
      <w:r w:rsidRPr="00273777">
        <w:t xml:space="preserve"> </w:t>
      </w:r>
      <w:r>
        <w:t>to</w:t>
      </w:r>
      <w:r w:rsidRPr="00273777">
        <w:t xml:space="preserve"> Relationship </w:t>
      </w:r>
      <w:r>
        <w:t>and Scope of Employment</w:t>
      </w:r>
    </w:p>
    <w:p w14:paraId="45A2EEBF" w14:textId="77777777" w:rsidR="00E01A1E" w:rsidRPr="00352111" w:rsidRDefault="00771A51">
      <w:pPr>
        <w:rPr>
          <w:rFonts w:eastAsia="Times New Roman"/>
          <w:sz w:val="24"/>
          <w:szCs w:val="24"/>
        </w:rPr>
      </w:pPr>
      <w:r w:rsidRPr="00352111">
        <w:rPr>
          <w:rFonts w:eastAsia="Times New Roman"/>
          <w:sz w:val="24"/>
          <w:szCs w:val="24"/>
        </w:rPr>
        <w:br w:type="page"/>
      </w:r>
    </w:p>
    <w:p w14:paraId="16ADDC46" w14:textId="77777777" w:rsidR="00E01A1E" w:rsidRDefault="00771A51" w:rsidP="00E01A1E">
      <w:pPr>
        <w:spacing w:after="240"/>
        <w:jc w:val="center"/>
        <w:rPr>
          <w:rFonts w:eastAsia="Times New Roman"/>
          <w:b/>
          <w:sz w:val="24"/>
          <w:szCs w:val="24"/>
        </w:rPr>
      </w:pPr>
      <w:r w:rsidRPr="00C26751">
        <w:rPr>
          <w:rFonts w:eastAsia="Times New Roman"/>
          <w:b/>
          <w:sz w:val="24"/>
          <w:szCs w:val="24"/>
        </w:rPr>
        <w:lastRenderedPageBreak/>
        <w:t>A. DEFINITIONS</w:t>
      </w:r>
    </w:p>
    <w:p w14:paraId="26E81677" w14:textId="77777777" w:rsidR="00E01A1E" w:rsidRPr="009E3DA4" w:rsidRDefault="00771A51" w:rsidP="00E01A1E">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30B28D14" w14:textId="77777777" w:rsidR="00E01A1E" w:rsidRPr="00C26751" w:rsidRDefault="00771A51" w:rsidP="00E01A1E">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4CDAF46F" w14:textId="77777777" w:rsidR="00E01A1E" w:rsidRDefault="00E01A1E" w:rsidP="00E01A1E">
      <w:pPr>
        <w:jc w:val="center"/>
        <w:rPr>
          <w:rFonts w:eastAsia="Times New Roman"/>
          <w:sz w:val="24"/>
          <w:szCs w:val="24"/>
        </w:rPr>
      </w:pPr>
    </w:p>
    <w:p w14:paraId="06E01AB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6CE65E" w14:textId="39FF27A4" w:rsidR="00E01A1E" w:rsidRPr="00C26751" w:rsidRDefault="00771A51" w:rsidP="00E01A1E">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00C5367C">
        <w:rPr>
          <w:rFonts w:eastAsia="Times New Roman"/>
          <w:b/>
          <w:bCs/>
          <w:sz w:val="24"/>
          <w:szCs w:val="24"/>
        </w:rPr>
        <w:t>Fresquez v. Trinidad Inn, Inc.</w:t>
      </w:r>
      <w:r w:rsidR="00C5367C">
        <w:rPr>
          <w:rFonts w:eastAsia="Times New Roman"/>
          <w:sz w:val="24"/>
          <w:szCs w:val="24"/>
        </w:rPr>
        <w:t>, 2022 COA 96, ¶ 14</w:t>
      </w:r>
      <w:r w:rsidR="0000701C">
        <w:rPr>
          <w:rFonts w:eastAsia="Times New Roman"/>
          <w:sz w:val="24"/>
          <w:szCs w:val="24"/>
        </w:rPr>
        <w:t>, 521 P.3d 399</w:t>
      </w:r>
      <w:r w:rsidR="00C5367C">
        <w:rPr>
          <w:rFonts w:eastAsia="Times New Roman"/>
          <w:sz w:val="24"/>
          <w:szCs w:val="24"/>
        </w:rPr>
        <w:t>;</w:t>
      </w:r>
      <w:r w:rsidR="00C5367C">
        <w:rPr>
          <w:rFonts w:eastAsia="Times New Roman"/>
          <w:b/>
          <w:bCs/>
          <w:sz w:val="24"/>
          <w:szCs w:val="24"/>
        </w:rPr>
        <w:t xml:space="preserve">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w:t>
      </w:r>
      <w:r w:rsidR="005840CD">
        <w:rPr>
          <w:rFonts w:eastAsia="Times New Roman"/>
          <w:b/>
          <w:sz w:val="24"/>
          <w:szCs w:val="24"/>
        </w:rPr>
        <w:t>Fresquez</w:t>
      </w:r>
      <w:r w:rsidR="005840CD">
        <w:rPr>
          <w:rFonts w:eastAsia="Times New Roman"/>
          <w:bCs/>
          <w:sz w:val="24"/>
          <w:szCs w:val="24"/>
        </w:rPr>
        <w:t xml:space="preserve">, ¶ 14; </w:t>
      </w:r>
      <w:r w:rsidRPr="00C26751">
        <w:rPr>
          <w:rFonts w:eastAsia="Times New Roman"/>
          <w:b/>
          <w:sz w:val="24"/>
          <w:szCs w:val="24"/>
        </w:rPr>
        <w:t>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r w:rsidRPr="00C26751">
        <w:rPr>
          <w:rFonts w:eastAsia="Times New Roman"/>
          <w:b/>
          <w:sz w:val="24"/>
          <w:szCs w:val="24"/>
        </w:rPr>
        <w:t>Victorio Realty Grp</w:t>
      </w:r>
      <w:r>
        <w:rPr>
          <w:rFonts w:eastAsia="Times New Roman"/>
          <w:b/>
          <w:sz w:val="24"/>
          <w:szCs w:val="24"/>
        </w:rPr>
        <w:t>.</w:t>
      </w:r>
      <w:r w:rsidRPr="00C26751">
        <w:rPr>
          <w:rFonts w:eastAsia="Times New Roman"/>
          <w:b/>
          <w:sz w:val="24"/>
          <w:szCs w:val="24"/>
        </w:rPr>
        <w:t>,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CE9DD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B89CD9F" w14:textId="728562DA"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r w:rsidRPr="00C26751">
        <w:rPr>
          <w:rFonts w:eastAsia="Times New Roman"/>
          <w:b/>
          <w:sz w:val="24"/>
          <w:szCs w:val="24"/>
        </w:rPr>
        <w:t>Stortroen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r w:rsidRPr="00C26751">
        <w:rPr>
          <w:rFonts w:eastAsia="Times New Roman"/>
          <w:b/>
          <w:sz w:val="24"/>
          <w:szCs w:val="24"/>
        </w:rPr>
        <w:t>Rohauer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r w:rsidR="00D43091">
        <w:rPr>
          <w:rFonts w:eastAsia="Times New Roman"/>
          <w:b/>
          <w:bCs/>
          <w:sz w:val="24"/>
          <w:szCs w:val="24"/>
        </w:rPr>
        <w:t>Craig Hosp. v. Blue Cross Blue Shield</w:t>
      </w:r>
      <w:r w:rsidR="00D43091">
        <w:rPr>
          <w:rFonts w:eastAsia="Times New Roman"/>
          <w:sz w:val="24"/>
          <w:szCs w:val="24"/>
        </w:rPr>
        <w:t>, 2024 COA 74, ¶ 27 (“</w:t>
      </w:r>
      <w:r w:rsidR="00D43091" w:rsidRPr="00CA0E05">
        <w:rPr>
          <w:rFonts w:eastAsia="Times New Roman"/>
          <w:sz w:val="24"/>
          <w:szCs w:val="24"/>
        </w:rPr>
        <w:t>In determining whether a principal-agent relationship exists, evidence that the principal exercised control over the agent is paramount.</w:t>
      </w:r>
      <w:r w:rsidR="00D43091">
        <w:rPr>
          <w:rFonts w:eastAsia="Times New Roman"/>
          <w:sz w:val="24"/>
          <w:szCs w:val="24"/>
        </w:rPr>
        <w:t>”);</w:t>
      </w:r>
      <w:r w:rsidR="00D43091">
        <w:rPr>
          <w:rFonts w:eastAsia="Times New Roman"/>
          <w:b/>
          <w:bCs/>
          <w:sz w:val="24"/>
          <w:szCs w:val="24"/>
        </w:rPr>
        <w:t xml:space="preserve"> </w:t>
      </w:r>
      <w:r w:rsidRPr="00C26751">
        <w:rPr>
          <w:rFonts w:eastAsia="Times New Roman"/>
          <w:b/>
          <w:sz w:val="24"/>
          <w:szCs w:val="24"/>
        </w:rPr>
        <w:t>Villalpando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r w:rsidRPr="00C26751">
        <w:rPr>
          <w:rFonts w:eastAsia="Times New Roman"/>
          <w:b/>
          <w:sz w:val="24"/>
          <w:szCs w:val="24"/>
        </w:rPr>
        <w:t>Gorsich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Inc. v. Fults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w:t>
      </w:r>
      <w:r>
        <w:rPr>
          <w:rFonts w:eastAsia="Times New Roman"/>
          <w:b/>
          <w:sz w:val="24"/>
          <w:szCs w:val="24"/>
        </w:rPr>
        <w:t>’</w:t>
      </w:r>
      <w:r w:rsidRPr="00C26751">
        <w:rPr>
          <w:rFonts w:eastAsia="Times New Roman"/>
          <w:b/>
          <w:sz w:val="24"/>
          <w:szCs w:val="24"/>
        </w:rPr>
        <w:t>l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w:t>
      </w:r>
      <w:r w:rsidRPr="00C26751">
        <w:rPr>
          <w:rFonts w:eastAsia="Times New Roman"/>
          <w:sz w:val="24"/>
          <w:szCs w:val="24"/>
        </w:rPr>
        <w:lastRenderedPageBreak/>
        <w:t xml:space="preserve">(Colo.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t xml:space="preserve">existence of an agreement between a seller’s broker and a buyer’s broker to share a real estate commission does not make the buyer’s broker an agent of the seller); </w:t>
      </w:r>
      <w:r w:rsidRPr="00C26751">
        <w:rPr>
          <w:rFonts w:eastAsia="Times New Roman"/>
          <w:b/>
          <w:sz w:val="24"/>
          <w:szCs w:val="24"/>
        </w:rPr>
        <w:t>Victorio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Comm</w:t>
      </w:r>
      <w:r>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A20D0E" w14:textId="77777777" w:rsidR="00E01A1E" w:rsidRPr="00C26751" w:rsidRDefault="00771A51" w:rsidP="00E01A1E">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
    <w:p w14:paraId="33DB7FB8"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r w:rsidRPr="00C26751">
        <w:rPr>
          <w:rFonts w:eastAsia="Times New Roman"/>
          <w:b/>
          <w:sz w:val="24"/>
          <w:szCs w:val="24"/>
        </w:rPr>
        <w:t>Gorsich</w:t>
      </w:r>
      <w:r w:rsidRPr="00C26751">
        <w:rPr>
          <w:rFonts w:eastAsia="Times New Roman"/>
          <w:sz w:val="24"/>
          <w:szCs w:val="24"/>
        </w:rPr>
        <w:t>, 893 P.2d at 1361.</w:t>
      </w:r>
    </w:p>
    <w:p w14:paraId="06BF8113"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r w:rsidRPr="00602DE7">
        <w:rPr>
          <w:rFonts w:eastAsia="Times New Roman"/>
          <w:b/>
          <w:iCs/>
          <w:color w:val="000000"/>
          <w:sz w:val="24"/>
          <w:szCs w:val="24"/>
        </w:rPr>
        <w:t>Stortroen</w:t>
      </w:r>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7BC77776" w14:textId="77777777" w:rsidR="00E01A1E" w:rsidRPr="00C26751" w:rsidRDefault="00771A51" w:rsidP="00E01A1E">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39 P.3d at 1218.</w:t>
      </w:r>
    </w:p>
    <w:p w14:paraId="2E3EE799" w14:textId="77777777" w:rsidR="00E01A1E" w:rsidRDefault="00771A51" w:rsidP="00E01A1E">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DA Mountain Rentals, LLC v. Lodge at Lionshead Phase III Condo. Ass’n</w:t>
      </w:r>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Smith v. Mehaffy</w:t>
      </w:r>
      <w:r w:rsidRPr="00C26751">
        <w:rPr>
          <w:rFonts w:eastAsia="Times New Roman"/>
          <w:sz w:val="24"/>
          <w:szCs w:val="24"/>
        </w:rPr>
        <w:t>, 30 P.3d 727 (Colo. App. 2000) (in context of attorney-client relationship). For breach of fiduciary duty jury instructions, see Chapter 26.</w:t>
      </w:r>
    </w:p>
    <w:p w14:paraId="3E47AAA1" w14:textId="77777777" w:rsidR="00E01A1E" w:rsidRDefault="00771A51" w:rsidP="00E01A1E">
      <w:pPr>
        <w:spacing w:after="240"/>
        <w:ind w:firstLine="720"/>
        <w:rPr>
          <w:rFonts w:eastAsia="Times New Roman"/>
          <w:sz w:val="24"/>
          <w:szCs w:val="24"/>
        </w:rPr>
      </w:pPr>
      <w:r>
        <w:rPr>
          <w:sz w:val="24"/>
          <w:szCs w:val="24"/>
        </w:rPr>
        <w:lastRenderedPageBreak/>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cmt. b (1958)).</w:t>
      </w:r>
      <w:r>
        <w:rPr>
          <w:rFonts w:eastAsia="Times New Roman"/>
          <w:sz w:val="24"/>
          <w:szCs w:val="24"/>
        </w:rPr>
        <w:br w:type="page"/>
      </w:r>
    </w:p>
    <w:p w14:paraId="5E69B85B" w14:textId="77777777" w:rsidR="00E01A1E" w:rsidRPr="009E3DA4" w:rsidRDefault="00771A51" w:rsidP="00E01A1E">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18D25B0B" w14:textId="73106A8B" w:rsidR="00E01A1E" w:rsidRPr="00E24E10"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and knows or has notice of who the principal is, the principal is a “disclosed principal.”</w:t>
      </w:r>
    </w:p>
    <w:p w14:paraId="58FB829F" w14:textId="7A78E4A2"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but does not know who the principal is, the principal is an “unidentified principal.”</w:t>
      </w:r>
    </w:p>
    <w:p w14:paraId="43CEEE7F"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74A044B7" w14:textId="77777777" w:rsidR="00E01A1E" w:rsidRDefault="00E01A1E" w:rsidP="00E01A1E">
      <w:pPr>
        <w:jc w:val="center"/>
        <w:rPr>
          <w:rFonts w:eastAsia="Times New Roman"/>
          <w:sz w:val="24"/>
          <w:szCs w:val="24"/>
        </w:rPr>
      </w:pPr>
    </w:p>
    <w:p w14:paraId="437924B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982E457"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4D7E9F3E" w14:textId="77777777" w:rsidR="00E01A1E" w:rsidRDefault="00771A51" w:rsidP="00E01A1E">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0DAFEBDD" w14:textId="77777777" w:rsidR="00E01A1E" w:rsidRPr="00E24E10" w:rsidRDefault="00771A51" w:rsidP="00E01A1E">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r w:rsidRPr="00E24E10">
        <w:rPr>
          <w:rFonts w:eastAsia="Times New Roman"/>
          <w:b/>
          <w:sz w:val="24"/>
          <w:szCs w:val="24"/>
        </w:rPr>
        <w:t>Water, Waste &amp; Land, Inc. v. Lanham</w:t>
      </w:r>
      <w:r w:rsidRPr="00E24E10">
        <w:rPr>
          <w:rFonts w:eastAsia="Times New Roman"/>
          <w:sz w:val="24"/>
          <w:szCs w:val="24"/>
        </w:rPr>
        <w:t>, 955 P.2d 997 (Colo. 1998).</w:t>
      </w:r>
    </w:p>
    <w:p w14:paraId="30F824B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A4AF55"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5AE73495" w14:textId="77777777" w:rsidR="00E01A1E" w:rsidRPr="00E24E10" w:rsidRDefault="00771A51" w:rsidP="00E01A1E">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
    <w:p w14:paraId="72D916C3" w14:textId="0C1F50B9" w:rsidR="00E01A1E" w:rsidRPr="00E24E10" w:rsidRDefault="00771A51" w:rsidP="00E01A1E">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33</w:t>
      </w:r>
      <w:r w:rsidR="0090551B">
        <w:rPr>
          <w:rFonts w:eastAsia="Times New Roman"/>
          <w:sz w:val="24"/>
          <w:szCs w:val="24"/>
        </w:rPr>
        <w:t>, 420 P.3d at 230-31</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0D4B207E" w14:textId="77777777" w:rsidR="00E01A1E" w:rsidRDefault="00771A51">
      <w:pPr>
        <w:rPr>
          <w:rFonts w:eastAsia="Times New Roman"/>
          <w:sz w:val="24"/>
          <w:szCs w:val="24"/>
        </w:rPr>
      </w:pPr>
      <w:r>
        <w:rPr>
          <w:rFonts w:eastAsia="Times New Roman"/>
          <w:sz w:val="24"/>
          <w:szCs w:val="24"/>
        </w:rPr>
        <w:br w:type="page"/>
      </w:r>
    </w:p>
    <w:p w14:paraId="162A39BF" w14:textId="77777777" w:rsidR="00E01A1E" w:rsidRPr="009E3DA4" w:rsidRDefault="00771A51" w:rsidP="00E01A1E">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6CF62229" w14:textId="51CA679D"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does not know or have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an agent for a principal, the principal is an “undisclosed principal.”</w:t>
      </w:r>
    </w:p>
    <w:p w14:paraId="39896D90"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683D1217" w14:textId="77777777" w:rsidR="00E01A1E" w:rsidRDefault="00E01A1E" w:rsidP="00E01A1E">
      <w:pPr>
        <w:jc w:val="center"/>
        <w:rPr>
          <w:rFonts w:eastAsia="Times New Roman"/>
          <w:sz w:val="24"/>
          <w:szCs w:val="24"/>
        </w:rPr>
      </w:pPr>
    </w:p>
    <w:p w14:paraId="09EBE1F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9485988"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None. </w:t>
      </w:r>
    </w:p>
    <w:p w14:paraId="279F94F8"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022AA6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r w:rsidRPr="00E24E10">
        <w:rPr>
          <w:rFonts w:eastAsia="Times New Roman"/>
          <w:b/>
          <w:sz w:val="24"/>
          <w:szCs w:val="24"/>
        </w:rPr>
        <w:t>Hott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3CF06073" w14:textId="4ABDC02B"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31-33</w:t>
      </w:r>
      <w:r w:rsidR="0090551B">
        <w:rPr>
          <w:rFonts w:eastAsia="Times New Roman"/>
          <w:sz w:val="24"/>
          <w:szCs w:val="24"/>
        </w:rPr>
        <w:t>, 420 P.3d at 230</w:t>
      </w:r>
      <w:r w:rsidRPr="00E24E10">
        <w:rPr>
          <w:rFonts w:eastAsia="Times New Roman"/>
          <w:sz w:val="24"/>
          <w:szCs w:val="24"/>
        </w:rPr>
        <w:t>.</w:t>
      </w:r>
    </w:p>
    <w:p w14:paraId="6CB1019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5D976B60" w14:textId="564BC507" w:rsidR="00E01A1E" w:rsidRDefault="00771A51" w:rsidP="00E01A1E">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Rocky Mountain Expl., Inc.</w:t>
      </w:r>
      <w:r w:rsidRPr="00431B98">
        <w:rPr>
          <w:rFonts w:eastAsia="Times New Roman"/>
          <w:sz w:val="24"/>
          <w:szCs w:val="24"/>
        </w:rPr>
        <w:t xml:space="preserve">, </w:t>
      </w:r>
      <w:r w:rsidRPr="00E24E10">
        <w:rPr>
          <w:rFonts w:eastAsia="Times New Roman"/>
          <w:sz w:val="24"/>
          <w:szCs w:val="24"/>
        </w:rPr>
        <w:t>¶</w:t>
      </w:r>
      <w:r>
        <w:rPr>
          <w:rFonts w:eastAsia="Times New Roman"/>
          <w:sz w:val="24"/>
          <w:szCs w:val="24"/>
        </w:rPr>
        <w:t xml:space="preserve"> 33</w:t>
      </w:r>
      <w:r w:rsidR="0090551B">
        <w:rPr>
          <w:rFonts w:eastAsia="Times New Roman"/>
          <w:sz w:val="24"/>
          <w:szCs w:val="24"/>
        </w:rPr>
        <w:t>, 420 P.3d at 230</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14FF3A96" w14:textId="77777777" w:rsidR="00E01A1E" w:rsidRDefault="00771A51">
      <w:pPr>
        <w:rPr>
          <w:rFonts w:eastAsia="Times New Roman"/>
          <w:sz w:val="24"/>
          <w:szCs w:val="24"/>
        </w:rPr>
      </w:pPr>
      <w:r>
        <w:rPr>
          <w:rFonts w:eastAsia="Times New Roman"/>
          <w:sz w:val="24"/>
          <w:szCs w:val="24"/>
        </w:rPr>
        <w:br w:type="page"/>
      </w:r>
    </w:p>
    <w:p w14:paraId="1E7757DF" w14:textId="77777777" w:rsidR="00E01A1E" w:rsidRPr="009E3DA4" w:rsidRDefault="00771A51" w:rsidP="00E01A1E">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6372D58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4775D1B7"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DFB2C21" w14:textId="1CC68636"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w:t>
      </w:r>
      <w:r w:rsidR="003E686C" w:rsidRPr="003E686C">
        <w:rPr>
          <w:rFonts w:eastAsia="Times New Roman"/>
          <w:bCs/>
          <w:i/>
          <w:iCs/>
          <w:sz w:val="24"/>
          <w:szCs w:val="24"/>
        </w:rPr>
        <w:t>(insert applicable pronoun)</w:t>
      </w:r>
      <w:r w:rsidRPr="00E7526A">
        <w:rPr>
          <w:rFonts w:eastAsia="Times New Roman"/>
          <w:b/>
          <w:sz w:val="24"/>
          <w:szCs w:val="24"/>
        </w:rPr>
        <w:t xml:space="preserve"> may have had.</w:t>
      </w:r>
    </w:p>
    <w:p w14:paraId="77D8AEE0" w14:textId="77777777" w:rsidR="00E01A1E" w:rsidRDefault="00E01A1E" w:rsidP="00E01A1E">
      <w:pPr>
        <w:jc w:val="center"/>
        <w:rPr>
          <w:rFonts w:eastAsia="Times New Roman"/>
          <w:sz w:val="24"/>
          <w:szCs w:val="24"/>
        </w:rPr>
      </w:pPr>
    </w:p>
    <w:p w14:paraId="4EB9ACC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42538D0"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63014F17" w14:textId="77777777" w:rsidR="00E01A1E" w:rsidRDefault="00771A51" w:rsidP="00E01A1E">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4402CB" w14:textId="77777777" w:rsidR="00E01A1E" w:rsidRDefault="00771A51" w:rsidP="00E01A1E">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Colorado Wage Act, §§ 8-4-101 to -123, C.R.S.; Colorado Wage Equality Regardless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002BECA2" w14:textId="77777777" w:rsidR="00E01A1E" w:rsidRPr="00E7526A" w:rsidRDefault="00E01A1E" w:rsidP="00E01A1E">
      <w:pPr>
        <w:spacing w:after="240"/>
        <w:ind w:firstLine="720"/>
        <w:rPr>
          <w:rFonts w:eastAsia="Times New Roman"/>
          <w:sz w:val="24"/>
          <w:szCs w:val="24"/>
        </w:rPr>
      </w:pPr>
    </w:p>
    <w:p w14:paraId="3021AFE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7655150" w14:textId="77777777" w:rsidR="00E01A1E" w:rsidRDefault="00771A51" w:rsidP="00E01A1E">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r w:rsidRPr="00E7526A">
        <w:rPr>
          <w:rFonts w:eastAsia="Times New Roman"/>
          <w:b/>
          <w:sz w:val="24"/>
          <w:szCs w:val="24"/>
        </w:rPr>
        <w:t>Tunget v. Board of County Commissioners</w:t>
      </w:r>
      <w:r w:rsidRPr="00E7526A">
        <w:rPr>
          <w:rFonts w:eastAsia="Times New Roman"/>
          <w:sz w:val="24"/>
          <w:szCs w:val="24"/>
        </w:rPr>
        <w:t xml:space="preserve">, 992 P.2d 650 (Colo. App. 1999) (right to control is determinative factor in deciding whether employer-employee relationship exists); </w:t>
      </w:r>
      <w:r w:rsidRPr="00E7526A">
        <w:rPr>
          <w:rFonts w:eastAsia="Times New Roman"/>
          <w:b/>
          <w:sz w:val="24"/>
          <w:szCs w:val="24"/>
        </w:rPr>
        <w:t>Veintimilla v. Dobyanski</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Koontz v. Rosener</w:t>
      </w:r>
      <w:r w:rsidRPr="00E7526A">
        <w:rPr>
          <w:rFonts w:eastAsia="Times New Roman"/>
          <w:sz w:val="24"/>
          <w:szCs w:val="24"/>
        </w:rPr>
        <w:t xml:space="preserve">, 787 P.2d 192 (Colo. App. 1989) (dismissing the lost compensation claims of employees of a licensed real estate brokerage </w:t>
      </w:r>
      <w:r w:rsidRPr="00E7526A">
        <w:rPr>
          <w:rFonts w:eastAsia="Times New Roman"/>
          <w:sz w:val="24"/>
          <w:szCs w:val="24"/>
        </w:rPr>
        <w:lastRenderedPageBreak/>
        <w:t xml:space="preserve">against the majority shareholder of the brokerage because the employees’ claims lay against the brokerage as the employer). </w:t>
      </w:r>
      <w:r w:rsidRPr="00E7526A">
        <w:rPr>
          <w:rFonts w:eastAsia="Times New Roman"/>
          <w:i/>
          <w:sz w:val="24"/>
          <w:szCs w:val="24"/>
        </w:rPr>
        <w:t>See</w:t>
      </w:r>
      <w:r w:rsidRPr="00E7526A">
        <w:rPr>
          <w:rFonts w:eastAsia="Times New Roman"/>
          <w:b/>
          <w:i/>
          <w:sz w:val="24"/>
          <w:szCs w:val="24"/>
        </w:rPr>
        <w:t xml:space="preserve"> </w:t>
      </w:r>
      <w:r w:rsidRPr="00E7526A">
        <w:rPr>
          <w:rFonts w:eastAsia="Times New Roman"/>
          <w:b/>
          <w:sz w:val="24"/>
          <w:szCs w:val="24"/>
        </w:rPr>
        <w:t>Mulberger v. People</w:t>
      </w:r>
      <w:r w:rsidRPr="00E7526A">
        <w:rPr>
          <w:rFonts w:eastAsia="Times New Roman"/>
          <w:sz w:val="24"/>
          <w:szCs w:val="24"/>
        </w:rPr>
        <w:t xml:space="preserve">, 2016 CO 10, ¶ 15, 366 P.3d 143 (using definition of employee to interpret section 16-10-103(1)(k),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24ED349E"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r w:rsidRPr="00E7526A">
        <w:rPr>
          <w:rFonts w:eastAsia="Times New Roman"/>
          <w:b/>
          <w:sz w:val="24"/>
          <w:szCs w:val="24"/>
        </w:rPr>
        <w:t>Olsen v. Bondurant &amp; Co.</w:t>
      </w:r>
      <w:r w:rsidRPr="00E7526A">
        <w:rPr>
          <w:rFonts w:eastAsia="Times New Roman"/>
          <w:sz w:val="24"/>
          <w:szCs w:val="24"/>
        </w:rPr>
        <w:t>, 759 P.2d 861 (Colo. App. 1988).</w:t>
      </w:r>
    </w:p>
    <w:p w14:paraId="3B0860F9" w14:textId="77777777" w:rsidR="00E01A1E" w:rsidRPr="00AB140A" w:rsidRDefault="00E01A1E" w:rsidP="00E01A1E">
      <w:pPr>
        <w:spacing w:after="240"/>
        <w:ind w:firstLine="720"/>
        <w:rPr>
          <w:rFonts w:eastAsia="Times New Roman"/>
          <w:sz w:val="24"/>
          <w:szCs w:val="24"/>
        </w:rPr>
      </w:pPr>
    </w:p>
    <w:p w14:paraId="4B7D068D" w14:textId="77777777" w:rsidR="00E01A1E" w:rsidRDefault="00771A51">
      <w:pPr>
        <w:rPr>
          <w:rFonts w:eastAsia="Times New Roman"/>
          <w:sz w:val="24"/>
          <w:szCs w:val="24"/>
        </w:rPr>
      </w:pPr>
      <w:r>
        <w:rPr>
          <w:rFonts w:eastAsia="Times New Roman"/>
          <w:sz w:val="24"/>
          <w:szCs w:val="24"/>
        </w:rPr>
        <w:br w:type="page"/>
      </w:r>
    </w:p>
    <w:p w14:paraId="16711DC0" w14:textId="77777777" w:rsidR="00E01A1E" w:rsidRPr="009E3DA4" w:rsidRDefault="00771A51" w:rsidP="00E01A1E">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0C8F1004" w14:textId="65462902"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w:t>
      </w:r>
      <w:r w:rsidR="003E686C" w:rsidRPr="003E686C">
        <w:rPr>
          <w:rFonts w:eastAsia="Times New Roman"/>
          <w:bCs/>
          <w:i/>
          <w:iCs/>
          <w:sz w:val="24"/>
          <w:szCs w:val="24"/>
        </w:rPr>
        <w:t>(insert applicable pronoun)</w:t>
      </w:r>
      <w:r w:rsidRPr="00E7526A">
        <w:rPr>
          <w:rFonts w:eastAsia="Times New Roman"/>
          <w:b/>
          <w:sz w:val="24"/>
          <w:szCs w:val="24"/>
        </w:rPr>
        <w:t xml:space="preserve"> own, rather than the other’s,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w:t>
      </w:r>
      <w:r w:rsidR="003E686C" w:rsidRPr="003E686C">
        <w:rPr>
          <w:rFonts w:eastAsia="Times New Roman"/>
          <w:bCs/>
          <w:i/>
          <w:iCs/>
          <w:sz w:val="24"/>
          <w:szCs w:val="24"/>
        </w:rPr>
        <w:t>(insert applicable pronoun)</w:t>
      </w:r>
      <w:r w:rsidRPr="00E7526A">
        <w:rPr>
          <w:rFonts w:eastAsia="Times New Roman"/>
          <w:b/>
          <w:sz w:val="24"/>
          <w:szCs w:val="24"/>
        </w:rPr>
        <w:t>.</w:t>
      </w:r>
    </w:p>
    <w:p w14:paraId="676624F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54A43A4B"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3B5D3C0B" w14:textId="77777777" w:rsidR="00E01A1E" w:rsidRDefault="00E01A1E" w:rsidP="00E01A1E">
      <w:pPr>
        <w:jc w:val="center"/>
        <w:rPr>
          <w:rFonts w:eastAsia="Times New Roman"/>
          <w:sz w:val="24"/>
          <w:szCs w:val="24"/>
        </w:rPr>
      </w:pPr>
    </w:p>
    <w:p w14:paraId="02D541F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A4FB37C"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6EA57C54"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5D9FA30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3DBE13"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Teets</w:t>
      </w:r>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7.07(3)(a) (2006) (defining employee).</w:t>
      </w:r>
    </w:p>
    <w:p w14:paraId="6BB1AEC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r w:rsidRPr="0085365B">
        <w:rPr>
          <w:rFonts w:eastAsia="Times New Roman"/>
          <w:b/>
          <w:sz w:val="24"/>
          <w:szCs w:val="24"/>
        </w:rPr>
        <w:t>Perkins v. Reg'l Transp. Dist.</w:t>
      </w:r>
      <w:r w:rsidRPr="0085365B">
        <w:rPr>
          <w:rFonts w:eastAsia="Times New Roman"/>
          <w:sz w:val="24"/>
          <w:szCs w:val="24"/>
        </w:rPr>
        <w:t>, 907 P.2d 672, 675 (Colo. App. 1995) (“control over the means and methods of accomplishing the contracted-for result is inconsistent with ‘independent contractor’ status”).</w:t>
      </w:r>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cmt. c &amp; 7.07(3) (2006).</w:t>
      </w:r>
    </w:p>
    <w:p w14:paraId="1A8AD3E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213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5AEFDCAB"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Springer v. City &amp; Cty. of Denver</w:t>
      </w:r>
      <w:r w:rsidRPr="00D80FC7">
        <w:rPr>
          <w:sz w:val="24"/>
          <w:szCs w:val="24"/>
        </w:rPr>
        <w:t>, 13 P.3d 794 (Colo. 2000) (nondelegable duty under Premises Liability Act);</w:t>
      </w:r>
      <w:r w:rsidRPr="00D80FC7">
        <w:rPr>
          <w:b/>
          <w:bCs/>
          <w:sz w:val="24"/>
          <w:szCs w:val="24"/>
        </w:rPr>
        <w:t xml:space="preserve"> Huddleston v. Union Rural Elec. Ass’n</w:t>
      </w:r>
      <w:r w:rsidRPr="00D80FC7">
        <w:rPr>
          <w:sz w:val="24"/>
          <w:szCs w:val="24"/>
        </w:rPr>
        <w:t xml:space="preserve">, 841 P.2d 282 (Colo. 1992) (inherently dangerous activities); </w:t>
      </w:r>
      <w:r w:rsidRPr="00D80FC7">
        <w:rPr>
          <w:b/>
          <w:bCs/>
          <w:sz w:val="24"/>
          <w:szCs w:val="24"/>
        </w:rPr>
        <w:t>Garden of the Gods Vill., Inc. v. Hellman</w:t>
      </w:r>
      <w:r w:rsidRPr="00D80FC7">
        <w:rPr>
          <w:sz w:val="24"/>
          <w:szCs w:val="24"/>
        </w:rPr>
        <w:t>, 133 Colo. 286, 294 P.2d 597</w:t>
      </w:r>
      <w:r>
        <w:rPr>
          <w:sz w:val="24"/>
          <w:szCs w:val="24"/>
        </w:rPr>
        <w:t xml:space="preserve"> (1956)</w:t>
      </w:r>
      <w:r w:rsidRPr="00D80FC7">
        <w:rPr>
          <w:sz w:val="24"/>
          <w:szCs w:val="24"/>
        </w:rPr>
        <w:t xml:space="preserve"> (ultrahazardous</w:t>
      </w:r>
      <w:r w:rsidR="00541166">
        <w:rPr>
          <w:sz w:val="24"/>
          <w:szCs w:val="24"/>
        </w:rPr>
        <w:t xml:space="preserve"> activities</w:t>
      </w:r>
      <w:r w:rsidRPr="00D80FC7">
        <w:rPr>
          <w:sz w:val="24"/>
          <w:szCs w:val="24"/>
        </w:rPr>
        <w:t>).</w:t>
      </w:r>
      <w:r w:rsidRPr="00E7526A">
        <w:rPr>
          <w:rFonts w:eastAsia="Times New Roman"/>
          <w:sz w:val="24"/>
          <w:szCs w:val="24"/>
        </w:rPr>
        <w:t xml:space="preserve"> </w:t>
      </w:r>
    </w:p>
    <w:p w14:paraId="3EF17C37"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r w:rsidRPr="00E7526A">
        <w:rPr>
          <w:rFonts w:eastAsia="Times New Roman"/>
          <w:b/>
          <w:sz w:val="24"/>
          <w:szCs w:val="24"/>
        </w:rPr>
        <w:t>Hildebrand v. New Vista Homes II, LLC</w:t>
      </w:r>
      <w:r w:rsidRPr="00E7526A">
        <w:rPr>
          <w:rFonts w:eastAsia="Times New Roman"/>
          <w:sz w:val="24"/>
          <w:szCs w:val="24"/>
        </w:rPr>
        <w:t>, 252 P.3d 1159 (Colo. App. 2010).</w:t>
      </w:r>
    </w:p>
    <w:p w14:paraId="513719A1"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Sevit, Inc.</w:t>
      </w:r>
      <w:r w:rsidRPr="00E7526A">
        <w:rPr>
          <w:rFonts w:eastAsia="Times New Roman"/>
          <w:sz w:val="24"/>
          <w:szCs w:val="24"/>
        </w:rPr>
        <w:t>, 195 Colo. 372, 578 P.2d 1045 (1978).</w:t>
      </w:r>
    </w:p>
    <w:p w14:paraId="49DF128D" w14:textId="7BF38FA6"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cmt. b (1958))</w:t>
      </w:r>
      <w:r>
        <w:rPr>
          <w:rFonts w:eastAsia="Times New Roman"/>
          <w:sz w:val="24"/>
          <w:szCs w:val="24"/>
        </w:rPr>
        <w:t>.</w:t>
      </w:r>
    </w:p>
    <w:p w14:paraId="0DD775A1" w14:textId="77777777" w:rsidR="00E01A1E" w:rsidRDefault="00771A51">
      <w:pPr>
        <w:rPr>
          <w:rFonts w:eastAsia="Times New Roman"/>
          <w:sz w:val="24"/>
          <w:szCs w:val="24"/>
        </w:rPr>
      </w:pPr>
      <w:r>
        <w:rPr>
          <w:rFonts w:eastAsia="Times New Roman"/>
          <w:sz w:val="24"/>
          <w:szCs w:val="24"/>
        </w:rPr>
        <w:br w:type="page"/>
      </w:r>
    </w:p>
    <w:p w14:paraId="1DC86321" w14:textId="77777777" w:rsidR="00E01A1E" w:rsidRPr="009E3DA4" w:rsidRDefault="00771A51" w:rsidP="00E01A1E">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LOANED EMPLOYEE</w:t>
      </w:r>
    </w:p>
    <w:p w14:paraId="2B8FA0F6" w14:textId="425B43C0" w:rsidR="00E01A1E" w:rsidRPr="00AB71A7" w:rsidRDefault="00771A51" w:rsidP="00E01A1E">
      <w:pPr>
        <w:spacing w:after="240"/>
        <w:ind w:firstLine="720"/>
        <w:rPr>
          <w:rFonts w:eastAsia="Times New Roman"/>
          <w:b/>
          <w:sz w:val="24"/>
          <w:szCs w:val="24"/>
        </w:rPr>
      </w:pPr>
      <w:r w:rsidRPr="00AB71A7">
        <w:rPr>
          <w:rFonts w:eastAsia="Times New Roman"/>
          <w:b/>
          <w:sz w:val="24"/>
          <w:szCs w:val="24"/>
        </w:rPr>
        <w:t xml:space="preserve">When an employee is loaned out by </w:t>
      </w:r>
      <w:r w:rsidR="003E686C" w:rsidRPr="003E686C">
        <w:rPr>
          <w:rFonts w:eastAsia="Times New Roman"/>
          <w:bCs/>
          <w:i/>
          <w:iCs/>
          <w:sz w:val="24"/>
          <w:szCs w:val="24"/>
        </w:rPr>
        <w:t>(insert applicable pronoun)</w:t>
      </w:r>
      <w:r w:rsidRPr="00AB71A7">
        <w:rPr>
          <w:rFonts w:eastAsia="Times New Roman"/>
          <w:b/>
          <w:sz w:val="24"/>
          <w:szCs w:val="24"/>
        </w:rPr>
        <w:t xml:space="preserve"> employer to another person for some special service or project and the other person has the exclusive right to control the employee, the employee becomes the employee of that other person.</w:t>
      </w:r>
    </w:p>
    <w:p w14:paraId="401ECB25" w14:textId="77777777" w:rsidR="00E01A1E" w:rsidRDefault="00E01A1E" w:rsidP="00E01A1E">
      <w:pPr>
        <w:jc w:val="center"/>
        <w:rPr>
          <w:rFonts w:eastAsia="Times New Roman"/>
          <w:sz w:val="24"/>
          <w:szCs w:val="24"/>
        </w:rPr>
      </w:pPr>
    </w:p>
    <w:p w14:paraId="786412B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2300E17"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789966FD"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3010E18F"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12AA0949"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033034C" w14:textId="77777777" w:rsidR="00E01A1E" w:rsidRDefault="00771A51" w:rsidP="00E01A1E">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Bernardi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Ass’n</w:t>
      </w:r>
      <w:r w:rsidRPr="00AB71A7">
        <w:rPr>
          <w:rFonts w:eastAsia="Times New Roman"/>
          <w:sz w:val="24"/>
          <w:szCs w:val="24"/>
        </w:rPr>
        <w:t xml:space="preserve">, 166 Colo. 280, 443 P.2d 708 (1968); </w:t>
      </w:r>
      <w:r w:rsidRPr="00AB71A7">
        <w:rPr>
          <w:rFonts w:eastAsia="Times New Roman"/>
          <w:b/>
          <w:sz w:val="24"/>
          <w:szCs w:val="24"/>
        </w:rPr>
        <w:t>Chartier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Thayer v. Kirchhof</w:t>
      </w:r>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r w:rsidRPr="00AB71A7">
        <w:rPr>
          <w:rFonts w:eastAsia="Times New Roman"/>
          <w:b/>
          <w:sz w:val="24"/>
          <w:szCs w:val="24"/>
        </w:rPr>
        <w:t>Morphew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Colwell v. Oatman</w:t>
      </w:r>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cmt. d(2)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601242EA" w14:textId="77777777" w:rsidR="00E01A1E" w:rsidRDefault="00771A51">
      <w:pPr>
        <w:rPr>
          <w:rFonts w:eastAsia="Times New Roman"/>
          <w:sz w:val="24"/>
          <w:szCs w:val="24"/>
        </w:rPr>
      </w:pPr>
      <w:r>
        <w:rPr>
          <w:rFonts w:eastAsia="Times New Roman"/>
          <w:sz w:val="24"/>
          <w:szCs w:val="24"/>
        </w:rPr>
        <w:br w:type="page"/>
      </w:r>
    </w:p>
    <w:p w14:paraId="379DEFB6" w14:textId="77777777" w:rsidR="00E01A1E" w:rsidRPr="009E3DA4" w:rsidRDefault="00771A51" w:rsidP="00E01A1E">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4101F7C0"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038A6A67"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020A93D" w14:textId="77777777" w:rsidR="00E01A1E" w:rsidRDefault="00E01A1E" w:rsidP="00E01A1E">
      <w:pPr>
        <w:jc w:val="center"/>
        <w:rPr>
          <w:rFonts w:eastAsia="Times New Roman"/>
          <w:sz w:val="24"/>
          <w:szCs w:val="24"/>
        </w:rPr>
      </w:pPr>
    </w:p>
    <w:p w14:paraId="30096F5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502135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6BAC87D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54E3DC3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4483B16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B396F3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r w:rsidRPr="00E111AA">
        <w:rPr>
          <w:rFonts w:eastAsia="Times New Roman"/>
          <w:b/>
          <w:sz w:val="24"/>
          <w:szCs w:val="24"/>
        </w:rPr>
        <w:t>Bernardi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Ass’n</w:t>
      </w:r>
      <w:r w:rsidRPr="00E111AA">
        <w:rPr>
          <w:rFonts w:eastAsia="Times New Roman"/>
          <w:sz w:val="24"/>
          <w:szCs w:val="24"/>
        </w:rPr>
        <w:t xml:space="preserve">, 166 Colo. 280, 443 P.2d 708 (1968); </w:t>
      </w:r>
      <w:r w:rsidRPr="00E111AA">
        <w:rPr>
          <w:rFonts w:eastAsia="Times New Roman"/>
          <w:b/>
          <w:sz w:val="24"/>
          <w:szCs w:val="24"/>
        </w:rPr>
        <w:t>Chartier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Thayer v. Kirchhof</w:t>
      </w:r>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r w:rsidRPr="00E111AA">
        <w:rPr>
          <w:rFonts w:eastAsia="Times New Roman"/>
          <w:b/>
          <w:sz w:val="24"/>
          <w:szCs w:val="24"/>
        </w:rPr>
        <w:t>Morphew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Colwell v. Oatman</w:t>
      </w:r>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cmt. d(2)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356C9707"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pay the employee; and (9) whether the original employer terminated its relationship with the employee.” </w:t>
      </w:r>
      <w:r w:rsidRPr="00E111AA">
        <w:rPr>
          <w:rFonts w:eastAsia="Times New Roman"/>
          <w:b/>
          <w:sz w:val="24"/>
          <w:szCs w:val="24"/>
        </w:rPr>
        <w:t>Morphew</w:t>
      </w:r>
      <w:r w:rsidRPr="00E111AA">
        <w:rPr>
          <w:rFonts w:eastAsia="Times New Roman"/>
          <w:sz w:val="24"/>
          <w:szCs w:val="24"/>
        </w:rPr>
        <w:t xml:space="preserve">, 902 P.2d </w:t>
      </w:r>
      <w:r>
        <w:rPr>
          <w:rFonts w:eastAsia="Times New Roman"/>
          <w:sz w:val="24"/>
          <w:szCs w:val="24"/>
        </w:rPr>
        <w:t>at</w:t>
      </w:r>
      <w:r w:rsidRPr="00E111AA">
        <w:rPr>
          <w:rFonts w:eastAsia="Times New Roman"/>
          <w:sz w:val="24"/>
          <w:szCs w:val="24"/>
        </w:rPr>
        <w:t xml:space="preserve"> 850.</w:t>
      </w:r>
    </w:p>
    <w:p w14:paraId="21EABFA9" w14:textId="77777777" w:rsidR="00E01A1E" w:rsidRDefault="00771A51" w:rsidP="00E01A1E">
      <w:pPr>
        <w:ind w:firstLine="720"/>
        <w:rPr>
          <w:rFonts w:eastAsia="Times New Roman"/>
          <w:sz w:val="24"/>
          <w:szCs w:val="24"/>
        </w:rPr>
      </w:pPr>
      <w:r w:rsidRPr="00E111AA">
        <w:rPr>
          <w:rFonts w:eastAsia="Times New Roman"/>
          <w:sz w:val="24"/>
          <w:szCs w:val="24"/>
        </w:rPr>
        <w:lastRenderedPageBreak/>
        <w:t xml:space="preserve">3. “The element of control necessary to establish a borrowed employment relationship need not extend to directing the technical details of a skilled employee’s activity. What is essential is the right to control the time and place of services, the person for whom rendered, and the degree and amount of services.” </w:t>
      </w:r>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
    <w:p w14:paraId="45C7813F" w14:textId="77777777" w:rsidR="00E01A1E" w:rsidRDefault="00E01A1E" w:rsidP="00E01A1E">
      <w:pPr>
        <w:ind w:firstLine="720"/>
        <w:rPr>
          <w:rFonts w:eastAsia="Times New Roman"/>
          <w:sz w:val="24"/>
          <w:szCs w:val="24"/>
        </w:rPr>
      </w:pPr>
    </w:p>
    <w:p w14:paraId="11B63956" w14:textId="77777777" w:rsidR="00E01A1E" w:rsidRPr="00E111AA" w:rsidRDefault="00771A51" w:rsidP="00E01A1E">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Respondeat superior.”); </w:t>
      </w:r>
      <w:r>
        <w:rPr>
          <w:rFonts w:eastAsia="Times New Roman"/>
          <w:b/>
          <w:sz w:val="24"/>
          <w:szCs w:val="24"/>
        </w:rPr>
        <w:t>Morphew</w:t>
      </w:r>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16C25DDA" w14:textId="77777777" w:rsidR="00E01A1E" w:rsidRDefault="00771A51" w:rsidP="00E01A1E">
      <w:pPr>
        <w:ind w:firstLine="720"/>
        <w:rPr>
          <w:rFonts w:eastAsia="Times New Roman"/>
          <w:sz w:val="24"/>
          <w:szCs w:val="24"/>
        </w:rPr>
      </w:pPr>
      <w:r>
        <w:rPr>
          <w:rFonts w:eastAsia="Times New Roman"/>
          <w:sz w:val="24"/>
          <w:szCs w:val="24"/>
        </w:rPr>
        <w:br w:type="page"/>
      </w:r>
    </w:p>
    <w:p w14:paraId="39974438" w14:textId="77777777" w:rsidR="00E01A1E" w:rsidRPr="009E3DA4" w:rsidRDefault="00771A51" w:rsidP="00E01A1E">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7B20F1E1" w14:textId="69652976"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An employee is acting within the scope of </w:t>
      </w:r>
      <w:r w:rsidR="003E686C" w:rsidRPr="003E686C">
        <w:rPr>
          <w:rFonts w:eastAsia="Times New Roman"/>
          <w:bCs/>
          <w:i/>
          <w:iCs/>
          <w:sz w:val="24"/>
          <w:szCs w:val="24"/>
        </w:rPr>
        <w:t>(insert applicable pronoun)</w:t>
      </w:r>
      <w:r w:rsidRPr="00E111AA">
        <w:rPr>
          <w:rFonts w:eastAsia="Times New Roman"/>
          <w:b/>
          <w:sz w:val="24"/>
          <w:szCs w:val="24"/>
        </w:rPr>
        <w:t xml:space="preserve"> employment when the employee is doing work that is:</w:t>
      </w:r>
    </w:p>
    <w:p w14:paraId="39EC4744" w14:textId="5F35126A"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1. Assigned by </w:t>
      </w:r>
      <w:r w:rsidR="003E686C" w:rsidRPr="003E686C">
        <w:rPr>
          <w:rFonts w:eastAsia="Times New Roman"/>
          <w:bCs/>
          <w:i/>
          <w:iCs/>
          <w:sz w:val="24"/>
          <w:szCs w:val="24"/>
        </w:rPr>
        <w:t>(insert applicable pronoun)</w:t>
      </w:r>
      <w:r w:rsidRPr="00E111AA">
        <w:rPr>
          <w:rFonts w:eastAsia="Times New Roman"/>
          <w:b/>
          <w:sz w:val="24"/>
          <w:szCs w:val="24"/>
        </w:rPr>
        <w:t xml:space="preserve"> employer; or</w:t>
      </w:r>
    </w:p>
    <w:p w14:paraId="3876BF5D"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3E982D73"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F14665F" w14:textId="77777777" w:rsidR="00E01A1E" w:rsidRDefault="00E01A1E" w:rsidP="00E01A1E">
      <w:pPr>
        <w:jc w:val="center"/>
        <w:rPr>
          <w:rFonts w:eastAsia="Times New Roman"/>
          <w:sz w:val="24"/>
          <w:szCs w:val="24"/>
        </w:rPr>
      </w:pPr>
    </w:p>
    <w:p w14:paraId="7CA8434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2A8CF4"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216E5E7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2A84F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r w:rsidRPr="00E111AA">
        <w:rPr>
          <w:rFonts w:eastAsia="Times New Roman"/>
          <w:b/>
          <w:sz w:val="24"/>
          <w:szCs w:val="24"/>
        </w:rPr>
        <w:t>Connes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r w:rsidRPr="00E111AA">
        <w:rPr>
          <w:rFonts w:eastAsia="Times New Roman"/>
          <w:b/>
          <w:sz w:val="24"/>
          <w:szCs w:val="24"/>
        </w:rPr>
        <w:t>Destefano v. Grabrian</w:t>
      </w:r>
      <w:r w:rsidRPr="00E111AA">
        <w:rPr>
          <w:rFonts w:eastAsia="Times New Roman"/>
          <w:sz w:val="24"/>
          <w:szCs w:val="24"/>
        </w:rPr>
        <w:t xml:space="preserve">, 763 P.2d 275 (Colo. 1988); </w:t>
      </w:r>
      <w:r w:rsidRPr="00E111AA">
        <w:rPr>
          <w:rFonts w:eastAsia="Times New Roman"/>
          <w:b/>
          <w:sz w:val="24"/>
          <w:szCs w:val="24"/>
        </w:rPr>
        <w:t>Spencer v. United Mortg. Co.</w:t>
      </w:r>
      <w:r w:rsidRPr="00E111AA">
        <w:rPr>
          <w:rFonts w:eastAsia="Times New Roman"/>
          <w:sz w:val="24"/>
          <w:szCs w:val="24"/>
        </w:rPr>
        <w:t xml:space="preserve">, 857 P.2d 1342 (Colo. App. 1993) (theft by employee outside scope of employment); </w:t>
      </w:r>
      <w:r w:rsidRPr="00E111AA">
        <w:rPr>
          <w:rFonts w:eastAsia="Times New Roman"/>
          <w:b/>
          <w:sz w:val="24"/>
          <w:szCs w:val="24"/>
        </w:rPr>
        <w:t>Goettman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70 (Colo. 2007) (“a traveling employee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543C0F76"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1F29F4E4" w14:textId="77777777" w:rsidR="00E01A1E" w:rsidRDefault="00771A51" w:rsidP="00E01A1E">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r w:rsidRPr="00E111AA">
        <w:rPr>
          <w:rFonts w:eastAsia="Times New Roman"/>
          <w:b/>
          <w:sz w:val="24"/>
          <w:szCs w:val="24"/>
        </w:rPr>
        <w:t>Raleigh v. Performance Plumbing &amp; Heating</w:t>
      </w:r>
      <w:r w:rsidRPr="00E111AA">
        <w:rPr>
          <w:rFonts w:eastAsia="Times New Roman"/>
          <w:sz w:val="24"/>
          <w:szCs w:val="24"/>
        </w:rPr>
        <w:t>, 130 P.3d 1011, 1019 (Colo. 2006).</w:t>
      </w:r>
    </w:p>
    <w:p w14:paraId="27A48C32" w14:textId="413013F3" w:rsidR="00E01A1E" w:rsidRDefault="00771A51" w:rsidP="00E01A1E">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r>
        <w:rPr>
          <w:rFonts w:eastAsia="Times New Roman"/>
          <w:b/>
          <w:bCs/>
          <w:sz w:val="24"/>
          <w:szCs w:val="24"/>
        </w:rPr>
        <w:t>Suydam v. LFI Fort Pierce, Inc.</w:t>
      </w:r>
      <w:r>
        <w:rPr>
          <w:rFonts w:eastAsia="Times New Roman"/>
          <w:sz w:val="24"/>
          <w:szCs w:val="24"/>
        </w:rPr>
        <w:t>, 2020 COA 144M, ¶¶ 17, 26</w:t>
      </w:r>
      <w:r w:rsidR="0090551B">
        <w:rPr>
          <w:rFonts w:eastAsia="Times New Roman"/>
          <w:sz w:val="24"/>
          <w:szCs w:val="24"/>
        </w:rPr>
        <w:t>, 490 P.3d 930</w:t>
      </w:r>
      <w:r>
        <w:rPr>
          <w:rFonts w:eastAsia="Times New Roman"/>
          <w:sz w:val="24"/>
          <w:szCs w:val="24"/>
        </w:rPr>
        <w:t xml:space="preserve"> (approving this instruction).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18 (quoting </w:t>
      </w:r>
      <w:r>
        <w:rPr>
          <w:rFonts w:eastAsia="Times New Roman"/>
          <w:b/>
          <w:bCs/>
          <w:sz w:val="24"/>
          <w:szCs w:val="24"/>
        </w:rPr>
        <w:t>Beeson v. Kelran Constructors, Inc.</w:t>
      </w:r>
      <w:r>
        <w:rPr>
          <w:rFonts w:eastAsia="Times New Roman"/>
          <w:sz w:val="24"/>
          <w:szCs w:val="24"/>
        </w:rPr>
        <w:t xml:space="preserve">, 43 Colo. App. 505, 507, 608 P.2d 369, 371 (1979)). The rule has several exceptions. These include when the employee was engaged in an 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6EA32AEF" w14:textId="77777777" w:rsidR="00E01A1E" w:rsidRDefault="00771A51" w:rsidP="00E01A1E">
      <w:pPr>
        <w:spacing w:after="240"/>
        <w:ind w:firstLine="720"/>
        <w:rPr>
          <w:rFonts w:eastAsia="Times New Roman"/>
          <w:sz w:val="24"/>
          <w:szCs w:val="24"/>
        </w:rPr>
      </w:pPr>
      <w:r>
        <w:rPr>
          <w:rFonts w:eastAsia="Times New Roman"/>
          <w:sz w:val="24"/>
          <w:szCs w:val="24"/>
        </w:rPr>
        <w:br w:type="page"/>
      </w:r>
    </w:p>
    <w:p w14:paraId="04B30BB0" w14:textId="77777777" w:rsidR="00E01A1E" w:rsidRPr="009E3DA4" w:rsidRDefault="00771A51" w:rsidP="00E01A1E">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63D411F6" w14:textId="44EFA517" w:rsidR="00E01A1E" w:rsidRPr="00BA27A8" w:rsidRDefault="00771A51" w:rsidP="00E01A1E">
      <w:pPr>
        <w:spacing w:after="240"/>
        <w:ind w:firstLine="720"/>
        <w:rPr>
          <w:rFonts w:eastAsia="Times New Roman"/>
          <w:b/>
          <w:sz w:val="24"/>
          <w:szCs w:val="24"/>
        </w:rPr>
      </w:pPr>
      <w:r w:rsidRPr="00BA27A8">
        <w:rPr>
          <w:rFonts w:eastAsia="Times New Roman"/>
          <w:b/>
          <w:sz w:val="24"/>
          <w:szCs w:val="24"/>
        </w:rPr>
        <w:t xml:space="preserve">An agent is acting within the scope of </w:t>
      </w:r>
      <w:r w:rsidR="003E686C" w:rsidRPr="003E686C">
        <w:rPr>
          <w:rFonts w:eastAsia="Times New Roman"/>
          <w:bCs/>
          <w:i/>
          <w:iCs/>
          <w:sz w:val="24"/>
          <w:szCs w:val="24"/>
        </w:rPr>
        <w:t>(insert applicable pronoun)</w:t>
      </w:r>
      <w:r w:rsidRPr="00BA27A8">
        <w:rPr>
          <w:rFonts w:eastAsia="Times New Roman"/>
          <w:b/>
          <w:sz w:val="24"/>
          <w:szCs w:val="24"/>
        </w:rPr>
        <w:t xml:space="preserve"> authority when the agent is carrying (on business) (out a business transaction) for </w:t>
      </w:r>
      <w:r w:rsidR="003E686C" w:rsidRPr="003E686C">
        <w:rPr>
          <w:rFonts w:eastAsia="Times New Roman"/>
          <w:bCs/>
          <w:i/>
          <w:iCs/>
          <w:sz w:val="24"/>
          <w:szCs w:val="24"/>
        </w:rPr>
        <w:t>(insert applicable pronoun)</w:t>
      </w:r>
      <w:r w:rsidRPr="00BA27A8">
        <w:rPr>
          <w:rFonts w:eastAsia="Times New Roman"/>
          <w:b/>
          <w:sz w:val="24"/>
          <w:szCs w:val="24"/>
        </w:rPr>
        <w:t xml:space="preserve"> principal which the principal has expressly authorized </w:t>
      </w:r>
      <w:r w:rsidR="00627001">
        <w:rPr>
          <w:rFonts w:eastAsia="Times New Roman"/>
          <w:b/>
          <w:sz w:val="24"/>
          <w:szCs w:val="24"/>
        </w:rPr>
        <w:t>[and] [or][</w:t>
      </w:r>
      <w:r w:rsidRPr="00BA27A8">
        <w:rPr>
          <w:rFonts w:eastAsia="Times New Roman"/>
          <w:b/>
          <w:sz w:val="24"/>
          <w:szCs w:val="24"/>
        </w:rPr>
        <w:t>which is within the (incidental) (implied) (apparent) authority of the agent</w:t>
      </w:r>
      <w:r w:rsidR="00627001">
        <w:rPr>
          <w:rFonts w:eastAsia="Times New Roman"/>
          <w:b/>
          <w:sz w:val="24"/>
          <w:szCs w:val="24"/>
        </w:rPr>
        <w:t>]</w:t>
      </w:r>
      <w:r w:rsidRPr="00BA27A8">
        <w:rPr>
          <w:rFonts w:eastAsia="Times New Roman"/>
          <w:b/>
          <w:sz w:val="24"/>
          <w:szCs w:val="24"/>
        </w:rPr>
        <w:t>.</w:t>
      </w:r>
    </w:p>
    <w:p w14:paraId="59C1FEF4" w14:textId="77777777" w:rsidR="00E01A1E" w:rsidRDefault="00E01A1E" w:rsidP="00E01A1E">
      <w:pPr>
        <w:jc w:val="center"/>
        <w:rPr>
          <w:rFonts w:eastAsia="Times New Roman"/>
          <w:sz w:val="24"/>
          <w:szCs w:val="24"/>
        </w:rPr>
      </w:pPr>
    </w:p>
    <w:p w14:paraId="025EC8C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9488675"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3E5AF107" w14:textId="1294ABD4" w:rsidR="00E01A1E" w:rsidRPr="00BA27A8" w:rsidRDefault="00771A51" w:rsidP="00E01A1E">
      <w:pPr>
        <w:spacing w:after="240"/>
        <w:ind w:firstLine="720"/>
        <w:rPr>
          <w:rFonts w:eastAsia="Times New Roman"/>
          <w:sz w:val="24"/>
          <w:szCs w:val="24"/>
        </w:rPr>
      </w:pPr>
      <w:r w:rsidRPr="00BA27A8">
        <w:rPr>
          <w:rFonts w:eastAsia="Times New Roman"/>
          <w:sz w:val="24"/>
          <w:szCs w:val="24"/>
        </w:rPr>
        <w:t>2. For the definitions of “incidental,” “implied,” and “apparent” authority, see Instructions 8:10, 8:11, and 8:12, respectively.</w:t>
      </w:r>
    </w:p>
    <w:p w14:paraId="41DD5EB1" w14:textId="77777777" w:rsidR="00E01A1E" w:rsidRPr="00BA27A8" w:rsidRDefault="00771A51" w:rsidP="00E01A1E">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employer liable in tort under the doctrine of respondeat superior, Instruction 8:8 should be used.</w:t>
      </w:r>
    </w:p>
    <w:p w14:paraId="64868FF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194D73D0"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H. Reuschlein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4B60A2D1"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Fey Concert Co. v. City &amp; Cty</w:t>
      </w:r>
      <w:r>
        <w:rPr>
          <w:rFonts w:eastAsia="Times New Roman"/>
          <w:b/>
          <w:sz w:val="24"/>
          <w:szCs w:val="24"/>
        </w:rPr>
        <w:t>.</w:t>
      </w:r>
      <w:r w:rsidRPr="00BA27A8">
        <w:rPr>
          <w:rFonts w:eastAsia="Times New Roman"/>
          <w:b/>
          <w:sz w:val="24"/>
          <w:szCs w:val="24"/>
        </w:rPr>
        <w:t xml:space="preserve"> of Denver</w:t>
      </w:r>
      <w:r w:rsidRPr="00BA27A8">
        <w:rPr>
          <w:rFonts w:eastAsia="Times New Roman"/>
          <w:sz w:val="24"/>
          <w:szCs w:val="24"/>
        </w:rPr>
        <w:t xml:space="preserve">, 940 P.2d 972 (Colo. App. 1996), </w:t>
      </w:r>
      <w:r w:rsidRPr="00BA27A8">
        <w:rPr>
          <w:rFonts w:eastAsia="Times New Roman"/>
          <w:i/>
          <w:sz w:val="24"/>
          <w:szCs w:val="24"/>
        </w:rPr>
        <w:t>rev’d on other grounds</w:t>
      </w:r>
      <w:r w:rsidRPr="00BA27A8">
        <w:rPr>
          <w:rFonts w:eastAsia="Times New Roman"/>
          <w:sz w:val="24"/>
          <w:szCs w:val="24"/>
        </w:rPr>
        <w:t xml:space="preserve">, 960 P.2d 657 (Colo. 1998). An attorney does not have the authority to settle a case without his client’s knowledge and consent. </w:t>
      </w:r>
      <w:r w:rsidRPr="00BA27A8">
        <w:rPr>
          <w:rFonts w:eastAsia="Times New Roman"/>
          <w:b/>
          <w:sz w:val="24"/>
          <w:szCs w:val="24"/>
        </w:rPr>
        <w:t>Siener v. Zeff</w:t>
      </w:r>
      <w:r w:rsidRPr="00BA27A8">
        <w:rPr>
          <w:rFonts w:eastAsia="Times New Roman"/>
          <w:sz w:val="24"/>
          <w:szCs w:val="24"/>
        </w:rPr>
        <w:t>, 194 P.3d 467 (Colo. App. 2008).</w:t>
      </w:r>
    </w:p>
    <w:p w14:paraId="555304D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Moffett v. Life Care Ctrs.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Lujan v. Life Care Ctrs.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6CEE836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Peaberry Coffee Inc.</w:t>
      </w:r>
      <w:r w:rsidRPr="00BA27A8">
        <w:rPr>
          <w:rFonts w:eastAsia="Times New Roman"/>
          <w:sz w:val="24"/>
          <w:szCs w:val="24"/>
        </w:rPr>
        <w:t>, 251 P.3d 9 (Colo. App. 2010).</w:t>
      </w:r>
    </w:p>
    <w:p w14:paraId="1534D114"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In re Estate of Sandstead</w:t>
      </w:r>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r w:rsidRPr="00665968">
        <w:rPr>
          <w:rFonts w:eastAsia="Times New Roman"/>
          <w:i/>
          <w:iCs/>
          <w:sz w:val="24"/>
          <w:szCs w:val="24"/>
        </w:rPr>
        <w:t>rev’d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r w:rsidRPr="00665968">
        <w:rPr>
          <w:rFonts w:eastAsia="Times New Roman"/>
          <w:b/>
          <w:iCs/>
          <w:sz w:val="24"/>
          <w:szCs w:val="24"/>
        </w:rPr>
        <w:t>Sandstead-Corona v. Sandstead</w:t>
      </w:r>
      <w:r>
        <w:rPr>
          <w:rFonts w:eastAsia="Times New Roman"/>
          <w:iCs/>
          <w:sz w:val="24"/>
          <w:szCs w:val="24"/>
        </w:rPr>
        <w:t>, 2018 CO 26, 415 P.3d 310</w:t>
      </w:r>
      <w:r>
        <w:rPr>
          <w:rFonts w:eastAsia="Times New Roman"/>
          <w:sz w:val="24"/>
          <w:szCs w:val="24"/>
        </w:rPr>
        <w:t>.</w:t>
      </w:r>
    </w:p>
    <w:p w14:paraId="2645B612" w14:textId="77777777" w:rsidR="00E01A1E" w:rsidRDefault="00771A51">
      <w:pPr>
        <w:rPr>
          <w:rFonts w:eastAsia="Times New Roman"/>
          <w:sz w:val="24"/>
          <w:szCs w:val="24"/>
        </w:rPr>
      </w:pPr>
      <w:r>
        <w:rPr>
          <w:rFonts w:eastAsia="Times New Roman"/>
          <w:sz w:val="24"/>
          <w:szCs w:val="24"/>
        </w:rPr>
        <w:br w:type="page"/>
      </w:r>
    </w:p>
    <w:p w14:paraId="5B66A728" w14:textId="3105ACAA" w:rsidR="00E01A1E" w:rsidRPr="009E3DA4" w:rsidRDefault="00771A51" w:rsidP="00E01A1E">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r w:rsidR="002F72BA">
        <w:rPr>
          <w:rFonts w:eastAsia="Times New Roman"/>
          <w:b/>
          <w:sz w:val="24"/>
          <w:szCs w:val="24"/>
        </w:rPr>
        <w:t xml:space="preserve"> </w:t>
      </w:r>
      <w:r w:rsidR="00A77123" w:rsidRPr="00BA27A8">
        <w:rPr>
          <w:rFonts w:eastAsia="Times New Roman"/>
          <w:b/>
          <w:sz w:val="24"/>
          <w:szCs w:val="24"/>
        </w:rPr>
        <w:t>—</w:t>
      </w:r>
      <w:r w:rsidR="002F72BA">
        <w:rPr>
          <w:rFonts w:eastAsia="Times New Roman"/>
          <w:b/>
          <w:sz w:val="24"/>
          <w:szCs w:val="24"/>
        </w:rPr>
        <w:t xml:space="preserve"> DEFINED</w:t>
      </w:r>
    </w:p>
    <w:p w14:paraId="5649CB61" w14:textId="19C017EA" w:rsidR="003967D6" w:rsidRDefault="00771A51" w:rsidP="00E01A1E">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w:t>
      </w:r>
      <w:r w:rsidR="003967D6">
        <w:rPr>
          <w:rFonts w:eastAsia="Times New Roman"/>
          <w:b/>
          <w:sz w:val="24"/>
          <w:szCs w:val="24"/>
        </w:rPr>
        <w:t>:</w:t>
      </w:r>
    </w:p>
    <w:p w14:paraId="224BA7CA" w14:textId="26F4EDCA" w:rsidR="003967D6" w:rsidRDefault="003967D6" w:rsidP="00E01A1E">
      <w:pPr>
        <w:spacing w:after="240"/>
        <w:ind w:firstLine="720"/>
        <w:rPr>
          <w:rFonts w:eastAsia="Times New Roman"/>
          <w:b/>
          <w:sz w:val="24"/>
          <w:szCs w:val="24"/>
        </w:rPr>
      </w:pPr>
      <w:r>
        <w:rPr>
          <w:rFonts w:eastAsia="Times New Roman"/>
          <w:b/>
          <w:sz w:val="24"/>
          <w:szCs w:val="24"/>
        </w:rPr>
        <w:t>1.</w:t>
      </w:r>
      <w:r w:rsidR="00771A51" w:rsidRPr="007216DA">
        <w:rPr>
          <w:rFonts w:eastAsia="Times New Roman"/>
          <w:b/>
          <w:sz w:val="24"/>
          <w:szCs w:val="24"/>
        </w:rPr>
        <w:t xml:space="preserve"> </w:t>
      </w:r>
      <w:r>
        <w:rPr>
          <w:rFonts w:eastAsia="Times New Roman"/>
          <w:b/>
          <w:sz w:val="24"/>
          <w:szCs w:val="24"/>
        </w:rPr>
        <w:t>The agent b</w:t>
      </w:r>
      <w:r w:rsidR="00771A51" w:rsidRPr="007216DA">
        <w:rPr>
          <w:rFonts w:eastAsia="Times New Roman"/>
          <w:b/>
          <w:sz w:val="24"/>
          <w:szCs w:val="24"/>
        </w:rPr>
        <w:t xml:space="preserve">elieves </w:t>
      </w:r>
      <w:r w:rsidR="003E686C" w:rsidRPr="003E686C">
        <w:rPr>
          <w:rFonts w:eastAsia="Times New Roman"/>
          <w:bCs/>
          <w:i/>
          <w:iCs/>
          <w:sz w:val="24"/>
          <w:szCs w:val="24"/>
        </w:rPr>
        <w:t>(insert applicable pronoun)</w:t>
      </w:r>
      <w:r w:rsidR="00771A51" w:rsidRPr="007216DA">
        <w:rPr>
          <w:rFonts w:eastAsia="Times New Roman"/>
          <w:b/>
          <w:sz w:val="24"/>
          <w:szCs w:val="24"/>
        </w:rPr>
        <w:t xml:space="preserve"> actions are consistent with the way the principal wishes the agent to act</w:t>
      </w:r>
      <w:r>
        <w:rPr>
          <w:rFonts w:eastAsia="Times New Roman"/>
          <w:b/>
          <w:sz w:val="24"/>
          <w:szCs w:val="24"/>
        </w:rPr>
        <w:t>; and</w:t>
      </w:r>
    </w:p>
    <w:p w14:paraId="49FC5E90" w14:textId="569354E1" w:rsidR="003967D6" w:rsidRDefault="003967D6" w:rsidP="00E01A1E">
      <w:pPr>
        <w:spacing w:after="240"/>
        <w:ind w:firstLine="720"/>
        <w:rPr>
          <w:rFonts w:eastAsia="Times New Roman"/>
          <w:b/>
          <w:sz w:val="24"/>
          <w:szCs w:val="24"/>
        </w:rPr>
      </w:pPr>
      <w:r>
        <w:rPr>
          <w:rFonts w:eastAsia="Times New Roman"/>
          <w:b/>
          <w:sz w:val="24"/>
          <w:szCs w:val="24"/>
        </w:rPr>
        <w:t>2. The agent’s belief is reasonable.</w:t>
      </w:r>
    </w:p>
    <w:p w14:paraId="0C27827A" w14:textId="03DB08DF" w:rsidR="00E01A1E" w:rsidRPr="007216DA" w:rsidRDefault="00771A51" w:rsidP="0037602F">
      <w:pPr>
        <w:spacing w:after="240"/>
        <w:ind w:firstLine="720"/>
        <w:rPr>
          <w:rFonts w:eastAsia="Times New Roman"/>
          <w:b/>
          <w:sz w:val="24"/>
          <w:szCs w:val="24"/>
        </w:rPr>
      </w:pPr>
      <w:r w:rsidRPr="007216DA">
        <w:rPr>
          <w:rFonts w:eastAsia="Times New Roman"/>
          <w:b/>
          <w:sz w:val="24"/>
          <w:szCs w:val="24"/>
        </w:rPr>
        <w:t>In determining whether the agent’s belief is reasonable, you should consider the principal’s words (and) (or) conduct directed to the agent</w:t>
      </w:r>
      <w:r w:rsidR="004C41DD" w:rsidRPr="004C41DD">
        <w:rPr>
          <w:rFonts w:eastAsia="Times New Roman"/>
          <w:b/>
          <w:sz w:val="24"/>
          <w:szCs w:val="24"/>
        </w:rPr>
        <w:t xml:space="preserve"> </w:t>
      </w:r>
      <w:r w:rsidR="004C41DD">
        <w:rPr>
          <w:rFonts w:eastAsia="Times New Roman"/>
          <w:b/>
          <w:sz w:val="24"/>
          <w:szCs w:val="24"/>
        </w:rPr>
        <w:t>and the agent’s understanding of the principal’s wishes</w:t>
      </w:r>
      <w:r w:rsidRPr="007216DA">
        <w:rPr>
          <w:rFonts w:eastAsia="Times New Roman"/>
          <w:b/>
          <w:sz w:val="24"/>
          <w:szCs w:val="24"/>
        </w:rPr>
        <w:t>.</w:t>
      </w:r>
    </w:p>
    <w:p w14:paraId="62C526BC" w14:textId="77777777" w:rsidR="00E01A1E" w:rsidRDefault="00E01A1E" w:rsidP="00E01A1E">
      <w:pPr>
        <w:jc w:val="center"/>
        <w:rPr>
          <w:rFonts w:eastAsia="Times New Roman"/>
          <w:sz w:val="24"/>
          <w:szCs w:val="24"/>
        </w:rPr>
      </w:pPr>
    </w:p>
    <w:p w14:paraId="406BDEC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54E4207"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2647AFD5"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2731351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5CE0AAC" w14:textId="417CA6DD" w:rsidR="00E01A1E" w:rsidRDefault="005840CD" w:rsidP="00E01A1E">
      <w:pPr>
        <w:spacing w:after="240"/>
        <w:ind w:firstLine="720"/>
        <w:rPr>
          <w:rFonts w:eastAsia="Times New Roman"/>
          <w:sz w:val="24"/>
          <w:szCs w:val="24"/>
        </w:rPr>
      </w:pPr>
      <w:r>
        <w:rPr>
          <w:rFonts w:eastAsia="Times New Roman"/>
          <w:sz w:val="24"/>
          <w:szCs w:val="24"/>
        </w:rPr>
        <w:t xml:space="preserve">1. </w:t>
      </w:r>
      <w:r w:rsidR="00771A51" w:rsidRPr="007216DA">
        <w:rPr>
          <w:rFonts w:eastAsia="Times New Roman"/>
          <w:sz w:val="24"/>
          <w:szCs w:val="24"/>
        </w:rPr>
        <w:t xml:space="preserve">This instruction is supported by </w:t>
      </w:r>
      <w:r w:rsidR="00771A51" w:rsidRPr="007216DA">
        <w:rPr>
          <w:rFonts w:eastAsia="Times New Roman"/>
          <w:b/>
          <w:sz w:val="24"/>
          <w:szCs w:val="24"/>
        </w:rPr>
        <w:t>State Farm Mutual Automobile Insurance Co. v. Johnson</w:t>
      </w:r>
      <w:r w:rsidR="00771A51" w:rsidRPr="007216DA">
        <w:rPr>
          <w:rFonts w:eastAsia="Times New Roman"/>
          <w:sz w:val="24"/>
          <w:szCs w:val="24"/>
        </w:rPr>
        <w:t xml:space="preserve">, 2017 CO 68, ¶ 21, 396 P.3d 651 (citing </w:t>
      </w:r>
      <w:r w:rsidR="00771A51" w:rsidRPr="007216DA">
        <w:rPr>
          <w:rFonts w:eastAsia="Times New Roman"/>
          <w:smallCaps/>
          <w:sz w:val="24"/>
          <w:szCs w:val="24"/>
        </w:rPr>
        <w:t>Restatement (Third) of Agency</w:t>
      </w:r>
      <w:r w:rsidR="00771A51" w:rsidRPr="007216DA">
        <w:rPr>
          <w:rFonts w:eastAsia="Times New Roman"/>
          <w:sz w:val="24"/>
          <w:szCs w:val="24"/>
        </w:rPr>
        <w:t xml:space="preserve"> § 2.01 (2006)); </w:t>
      </w:r>
      <w:r w:rsidR="00771A51" w:rsidRPr="007216DA">
        <w:rPr>
          <w:rFonts w:eastAsia="Times New Roman"/>
          <w:b/>
          <w:sz w:val="24"/>
          <w:szCs w:val="24"/>
        </w:rPr>
        <w:t>Willey v. Mayer</w:t>
      </w:r>
      <w:r w:rsidR="00771A51" w:rsidRPr="007216DA">
        <w:rPr>
          <w:rFonts w:eastAsia="Times New Roman"/>
          <w:sz w:val="24"/>
          <w:szCs w:val="24"/>
        </w:rPr>
        <w:t>, 876 P.2d 1260 (Colo. 1994)</w:t>
      </w:r>
      <w:r>
        <w:rPr>
          <w:rFonts w:eastAsia="Times New Roman"/>
          <w:sz w:val="24"/>
          <w:szCs w:val="24"/>
        </w:rPr>
        <w:t xml:space="preserve">; </w:t>
      </w:r>
      <w:r w:rsidR="00D43091">
        <w:rPr>
          <w:rFonts w:eastAsia="Times New Roman"/>
          <w:b/>
          <w:bCs/>
          <w:sz w:val="24"/>
          <w:szCs w:val="24"/>
        </w:rPr>
        <w:t>Craig Hospital v. Blue Cross Blue Shield</w:t>
      </w:r>
      <w:r w:rsidR="00D43091">
        <w:rPr>
          <w:rFonts w:eastAsia="Times New Roman"/>
          <w:sz w:val="24"/>
          <w:szCs w:val="24"/>
        </w:rPr>
        <w:t>, 2024 COA 74, ¶ 27;</w:t>
      </w:r>
      <w:r w:rsidR="00D43091">
        <w:rPr>
          <w:rFonts w:eastAsia="Times New Roman"/>
          <w:b/>
          <w:bCs/>
          <w:sz w:val="24"/>
          <w:szCs w:val="24"/>
        </w:rPr>
        <w:t xml:space="preserve"> </w:t>
      </w:r>
      <w:r>
        <w:rPr>
          <w:rFonts w:eastAsia="Times New Roman"/>
          <w:sz w:val="24"/>
          <w:szCs w:val="24"/>
        </w:rPr>
        <w:t xml:space="preserve">and </w:t>
      </w:r>
      <w:r>
        <w:rPr>
          <w:rFonts w:eastAsia="Times New Roman"/>
          <w:b/>
          <w:bCs/>
          <w:sz w:val="24"/>
          <w:szCs w:val="24"/>
        </w:rPr>
        <w:t>Fresquez v. Trinidad Inn, Inc.</w:t>
      </w:r>
      <w:r>
        <w:rPr>
          <w:rFonts w:eastAsia="Times New Roman"/>
          <w:sz w:val="24"/>
          <w:szCs w:val="24"/>
        </w:rPr>
        <w:t>, 2022 COA 96, ¶¶ 18, 32, 37</w:t>
      </w:r>
      <w:r w:rsidR="0000701C">
        <w:rPr>
          <w:rFonts w:eastAsia="Times New Roman"/>
          <w:sz w:val="24"/>
          <w:szCs w:val="24"/>
        </w:rPr>
        <w:t>, 521 P.3d 399</w:t>
      </w:r>
      <w:r>
        <w:rPr>
          <w:rFonts w:eastAsia="Times New Roman"/>
          <w:sz w:val="24"/>
          <w:szCs w:val="24"/>
        </w:rPr>
        <w:t xml:space="preserve"> (</w:t>
      </w:r>
      <w:r w:rsidRPr="002F0478">
        <w:rPr>
          <w:rFonts w:eastAsia="Times New Roman"/>
          <w:sz w:val="24"/>
          <w:szCs w:val="24"/>
        </w:rPr>
        <w:t xml:space="preserve">citing </w:t>
      </w:r>
      <w:r w:rsidRPr="002F0478">
        <w:rPr>
          <w:rFonts w:eastAsia="Times New Roman"/>
          <w:smallCaps/>
          <w:sz w:val="24"/>
          <w:szCs w:val="24"/>
        </w:rPr>
        <w:t>Restatement (Third) of Agency</w:t>
      </w:r>
      <w:r w:rsidRPr="002F0478">
        <w:rPr>
          <w:rFonts w:eastAsia="Times New Roman"/>
          <w:sz w:val="24"/>
          <w:szCs w:val="24"/>
        </w:rPr>
        <w:t xml:space="preserve"> § 2.0</w:t>
      </w:r>
      <w:r>
        <w:rPr>
          <w:rFonts w:eastAsia="Times New Roman"/>
          <w:sz w:val="24"/>
          <w:szCs w:val="24"/>
        </w:rPr>
        <w:t>2</w:t>
      </w:r>
      <w:r w:rsidRPr="002F0478">
        <w:rPr>
          <w:rFonts w:eastAsia="Times New Roman"/>
          <w:sz w:val="24"/>
          <w:szCs w:val="24"/>
        </w:rPr>
        <w:t xml:space="preserve"> (2006)</w:t>
      </w:r>
      <w:r>
        <w:rPr>
          <w:rFonts w:eastAsia="Times New Roman"/>
          <w:sz w:val="24"/>
          <w:szCs w:val="24"/>
        </w:rPr>
        <w:t>)</w:t>
      </w:r>
      <w:r w:rsidR="00771A51" w:rsidRPr="007216DA">
        <w:rPr>
          <w:rFonts w:eastAsia="Times New Roman"/>
          <w:sz w:val="24"/>
          <w:szCs w:val="24"/>
        </w:rPr>
        <w:t>.</w:t>
      </w:r>
    </w:p>
    <w:p w14:paraId="3AF90C6A" w14:textId="77777777" w:rsidR="005840CD" w:rsidRDefault="005840CD" w:rsidP="005840CD">
      <w:pPr>
        <w:spacing w:after="240"/>
        <w:ind w:firstLine="720"/>
        <w:rPr>
          <w:rFonts w:eastAsia="Times New Roman"/>
          <w:sz w:val="24"/>
          <w:szCs w:val="24"/>
        </w:rPr>
      </w:pPr>
      <w:r>
        <w:rPr>
          <w:rFonts w:eastAsia="Times New Roman"/>
          <w:sz w:val="24"/>
          <w:szCs w:val="24"/>
        </w:rPr>
        <w:t xml:space="preserve">2. “Actual authority is premised on ‘a principal’s expressive conduct toward an agent, through which the principal manifests assent to be affected by the agent’s action, and the agent’s reasonable understanding of the principal’s manifestation.’” </w:t>
      </w:r>
      <w:r>
        <w:rPr>
          <w:rFonts w:eastAsia="Times New Roman"/>
          <w:b/>
          <w:bCs/>
          <w:sz w:val="24"/>
          <w:szCs w:val="24"/>
        </w:rPr>
        <w:t>Fresquez</w:t>
      </w:r>
      <w:r>
        <w:rPr>
          <w:rFonts w:eastAsia="Times New Roman"/>
          <w:sz w:val="24"/>
          <w:szCs w:val="24"/>
        </w:rPr>
        <w:t xml:space="preserve">, ¶ 18 (quoting </w:t>
      </w:r>
      <w:r w:rsidRPr="002F0478">
        <w:rPr>
          <w:rFonts w:eastAsia="Times New Roman"/>
          <w:smallCaps/>
          <w:sz w:val="24"/>
          <w:szCs w:val="24"/>
        </w:rPr>
        <w:t>Restatement (Third) of Agency</w:t>
      </w:r>
      <w:r>
        <w:rPr>
          <w:rFonts w:eastAsia="Times New Roman"/>
          <w:sz w:val="24"/>
          <w:szCs w:val="24"/>
        </w:rPr>
        <w:t xml:space="preserve">, § 2.01 cmt. c)). </w:t>
      </w:r>
    </w:p>
    <w:p w14:paraId="7F5E20E3" w14:textId="3CD7E1D9" w:rsidR="005840CD" w:rsidRDefault="005840CD" w:rsidP="005840CD">
      <w:pPr>
        <w:spacing w:after="240"/>
        <w:ind w:firstLine="720"/>
        <w:rPr>
          <w:rFonts w:eastAsia="Times New Roman"/>
          <w:i/>
          <w:iCs/>
          <w:sz w:val="24"/>
          <w:szCs w:val="24"/>
        </w:rPr>
      </w:pPr>
      <w:r>
        <w:rPr>
          <w:rFonts w:eastAsia="Times New Roman"/>
          <w:sz w:val="24"/>
          <w:szCs w:val="24"/>
        </w:rPr>
        <w:t xml:space="preserve">3. </w:t>
      </w:r>
      <w:r w:rsidRPr="003A5012">
        <w:rPr>
          <w:rFonts w:eastAsia="Times New Roman"/>
          <w:sz w:val="24"/>
          <w:szCs w:val="24"/>
        </w:rPr>
        <w:t>“The focal point for determining whether an agent acted with actual authority is the agent</w:t>
      </w:r>
      <w:r>
        <w:rPr>
          <w:rFonts w:eastAsia="Times New Roman"/>
          <w:sz w:val="24"/>
          <w:szCs w:val="24"/>
        </w:rPr>
        <w:t>’</w:t>
      </w:r>
      <w:r w:rsidRPr="003A5012">
        <w:rPr>
          <w:rFonts w:eastAsia="Times New Roman"/>
          <w:sz w:val="24"/>
          <w:szCs w:val="24"/>
        </w:rPr>
        <w:t xml:space="preserve">s reasonable understanding at the time the agent takes action.” </w:t>
      </w:r>
      <w:r>
        <w:rPr>
          <w:rFonts w:eastAsia="Times New Roman"/>
          <w:b/>
          <w:bCs/>
          <w:sz w:val="24"/>
          <w:szCs w:val="24"/>
        </w:rPr>
        <w:t>Fresquez</w:t>
      </w:r>
      <w:r>
        <w:rPr>
          <w:rFonts w:eastAsia="Times New Roman"/>
          <w:sz w:val="24"/>
          <w:szCs w:val="24"/>
        </w:rPr>
        <w:t>, ¶ 19 (quoting § 2.01 cmt. c.).</w:t>
      </w:r>
      <w:r w:rsidRPr="003A5012">
        <w:rPr>
          <w:rFonts w:eastAsia="Times New Roman"/>
          <w:sz w:val="24"/>
          <w:szCs w:val="24"/>
        </w:rPr>
        <w:t xml:space="preserve"> “An agent has actual authority to take action designated or implied in the principal</w:t>
      </w:r>
      <w:r>
        <w:rPr>
          <w:rFonts w:eastAsia="Times New Roman"/>
          <w:sz w:val="24"/>
          <w:szCs w:val="24"/>
        </w:rPr>
        <w:t>’</w:t>
      </w:r>
      <w:r w:rsidRPr="003A5012">
        <w:rPr>
          <w:rFonts w:eastAsia="Times New Roman"/>
          <w:sz w:val="24"/>
          <w:szCs w:val="24"/>
        </w:rPr>
        <w:t>s manifestations to the agent and acts necessary or incidental to achieving the principal</w:t>
      </w:r>
      <w:r>
        <w:rPr>
          <w:rFonts w:eastAsia="Times New Roman"/>
          <w:sz w:val="24"/>
          <w:szCs w:val="24"/>
        </w:rPr>
        <w:t>’</w:t>
      </w:r>
      <w:r w:rsidRPr="003A5012">
        <w:rPr>
          <w:rFonts w:eastAsia="Times New Roman"/>
          <w:sz w:val="24"/>
          <w:szCs w:val="24"/>
        </w:rPr>
        <w:t>s objectives, as the agent reasonably understands the principal</w:t>
      </w:r>
      <w:r>
        <w:rPr>
          <w:rFonts w:eastAsia="Times New Roman"/>
          <w:sz w:val="24"/>
          <w:szCs w:val="24"/>
        </w:rPr>
        <w:t>’</w:t>
      </w:r>
      <w:r w:rsidRPr="003A5012">
        <w:rPr>
          <w:rFonts w:eastAsia="Times New Roman"/>
          <w:sz w:val="24"/>
          <w:szCs w:val="24"/>
        </w:rPr>
        <w:t xml:space="preserve">s manifestations and objectives when the agent determines how to act.” </w:t>
      </w:r>
      <w:r w:rsidRPr="00F34203">
        <w:rPr>
          <w:rFonts w:eastAsia="Times New Roman"/>
          <w:i/>
          <w:iCs/>
          <w:sz w:val="24"/>
          <w:szCs w:val="24"/>
        </w:rPr>
        <w:t>Id</w:t>
      </w:r>
      <w:r w:rsidRPr="00DA3154">
        <w:rPr>
          <w:rFonts w:eastAsia="Times New Roman"/>
          <w:i/>
          <w:sz w:val="24"/>
          <w:szCs w:val="24"/>
        </w:rPr>
        <w:t>.</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2.02(1)</w:t>
      </w:r>
      <w:r>
        <w:rPr>
          <w:rFonts w:eastAsia="Times New Roman"/>
          <w:sz w:val="24"/>
          <w:szCs w:val="24"/>
        </w:rPr>
        <w:t>)</w:t>
      </w:r>
      <w:r w:rsidRPr="003A5012">
        <w:rPr>
          <w:rFonts w:eastAsia="Times New Roman"/>
          <w:sz w:val="24"/>
          <w:szCs w:val="24"/>
        </w:rPr>
        <w:t>. “The context in which principal and agent interact, including the nature of the principal</w:t>
      </w:r>
      <w:r>
        <w:rPr>
          <w:rFonts w:eastAsia="Times New Roman"/>
          <w:sz w:val="24"/>
          <w:szCs w:val="24"/>
        </w:rPr>
        <w:t>’</w:t>
      </w:r>
      <w:r w:rsidRPr="003A5012">
        <w:rPr>
          <w:rFonts w:eastAsia="Times New Roman"/>
          <w:sz w:val="24"/>
          <w:szCs w:val="24"/>
        </w:rPr>
        <w:t>s</w:t>
      </w:r>
      <w:r>
        <w:rPr>
          <w:rFonts w:eastAsia="Times New Roman"/>
          <w:sz w:val="24"/>
          <w:szCs w:val="24"/>
        </w:rPr>
        <w:t xml:space="preserve"> . . .</w:t>
      </w:r>
      <w:r w:rsidRPr="003A5012">
        <w:rPr>
          <w:rFonts w:eastAsia="Times New Roman"/>
          <w:sz w:val="24"/>
          <w:szCs w:val="24"/>
        </w:rPr>
        <w:t xml:space="preserve"> personal situation, frames the reasonableness of an agent</w:t>
      </w:r>
      <w:r>
        <w:rPr>
          <w:rFonts w:eastAsia="Times New Roman"/>
          <w:sz w:val="24"/>
          <w:szCs w:val="24"/>
        </w:rPr>
        <w:t>’</w:t>
      </w:r>
      <w:r w:rsidRPr="003A5012">
        <w:rPr>
          <w:rFonts w:eastAsia="Times New Roman"/>
          <w:sz w:val="24"/>
          <w:szCs w:val="24"/>
        </w:rPr>
        <w:t>s understanding of the principal</w:t>
      </w:r>
      <w:r>
        <w:rPr>
          <w:rFonts w:eastAsia="Times New Roman"/>
          <w:sz w:val="24"/>
          <w:szCs w:val="24"/>
        </w:rPr>
        <w:t>’</w:t>
      </w:r>
      <w:r w:rsidRPr="003A5012">
        <w:rPr>
          <w:rFonts w:eastAsia="Times New Roman"/>
          <w:sz w:val="24"/>
          <w:szCs w:val="24"/>
        </w:rPr>
        <w:t xml:space="preserve">s objectives.” </w:t>
      </w:r>
      <w:r w:rsidRPr="00F34203">
        <w:rPr>
          <w:rFonts w:eastAsia="Times New Roman"/>
          <w:i/>
          <w:iCs/>
          <w:sz w:val="24"/>
          <w:szCs w:val="24"/>
        </w:rPr>
        <w:t>Id</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 cmt. e</w:t>
      </w:r>
      <w:r>
        <w:rPr>
          <w:rFonts w:eastAsia="Times New Roman"/>
          <w:sz w:val="24"/>
          <w:szCs w:val="24"/>
        </w:rPr>
        <w:t>)</w:t>
      </w:r>
      <w:r w:rsidRPr="003A5012">
        <w:rPr>
          <w:rFonts w:eastAsia="Times New Roman"/>
          <w:sz w:val="24"/>
          <w:szCs w:val="24"/>
        </w:rPr>
        <w:t>. “An agent</w:t>
      </w:r>
      <w:r>
        <w:rPr>
          <w:rFonts w:eastAsia="Times New Roman"/>
          <w:sz w:val="24"/>
          <w:szCs w:val="24"/>
        </w:rPr>
        <w:t>’</w:t>
      </w:r>
      <w:r w:rsidRPr="003A5012">
        <w:rPr>
          <w:rFonts w:eastAsia="Times New Roman"/>
          <w:sz w:val="24"/>
          <w:szCs w:val="24"/>
        </w:rPr>
        <w:t xml:space="preserve">s actual authority encompasses acts necessary to accomplish the end the principal has directed that the agent achieve.” </w:t>
      </w:r>
      <w:r w:rsidRPr="00F34203">
        <w:rPr>
          <w:rFonts w:eastAsia="Times New Roman"/>
          <w:i/>
          <w:iCs/>
          <w:sz w:val="24"/>
          <w:szCs w:val="24"/>
        </w:rPr>
        <w:t>Id.</w:t>
      </w:r>
    </w:p>
    <w:p w14:paraId="59209142" w14:textId="66CDAF1B" w:rsidR="005840CD" w:rsidRPr="002D4CF1" w:rsidRDefault="005840CD" w:rsidP="005840CD">
      <w:pPr>
        <w:spacing w:after="240"/>
        <w:ind w:firstLine="720"/>
        <w:rPr>
          <w:rFonts w:eastAsia="Times New Roman"/>
          <w:sz w:val="24"/>
          <w:szCs w:val="24"/>
        </w:rPr>
      </w:pPr>
      <w:r>
        <w:rPr>
          <w:rFonts w:eastAsia="Times New Roman"/>
          <w:sz w:val="24"/>
          <w:szCs w:val="24"/>
        </w:rPr>
        <w:lastRenderedPageBreak/>
        <w:t xml:space="preserve">4. Actual authority incorporates concepts of express and implied authority. </w:t>
      </w:r>
      <w:r>
        <w:rPr>
          <w:rFonts w:eastAsia="Times New Roman"/>
          <w:b/>
          <w:bCs/>
          <w:sz w:val="24"/>
          <w:szCs w:val="24"/>
        </w:rPr>
        <w:t>State Farm</w:t>
      </w:r>
      <w:r>
        <w:rPr>
          <w:rFonts w:eastAsia="Times New Roman"/>
          <w:sz w:val="24"/>
          <w:szCs w:val="24"/>
        </w:rPr>
        <w:t>, ¶ 21, 39</w:t>
      </w:r>
      <w:r w:rsidR="00687633">
        <w:rPr>
          <w:rFonts w:eastAsia="Times New Roman"/>
          <w:sz w:val="24"/>
          <w:szCs w:val="24"/>
        </w:rPr>
        <w:t>6</w:t>
      </w:r>
      <w:r>
        <w:rPr>
          <w:rFonts w:eastAsia="Times New Roman"/>
          <w:sz w:val="24"/>
          <w:szCs w:val="24"/>
        </w:rPr>
        <w:t xml:space="preserve"> P.</w:t>
      </w:r>
      <w:r w:rsidR="00687633">
        <w:rPr>
          <w:rFonts w:eastAsia="Times New Roman"/>
          <w:sz w:val="24"/>
          <w:szCs w:val="24"/>
        </w:rPr>
        <w:t>3</w:t>
      </w:r>
      <w:r>
        <w:rPr>
          <w:rFonts w:eastAsia="Times New Roman"/>
          <w:sz w:val="24"/>
          <w:szCs w:val="24"/>
        </w:rPr>
        <w:t xml:space="preserve">d at 656; </w:t>
      </w:r>
      <w:r>
        <w:rPr>
          <w:rFonts w:eastAsia="Times New Roman"/>
          <w:b/>
          <w:bCs/>
          <w:sz w:val="24"/>
          <w:szCs w:val="24"/>
        </w:rPr>
        <w:t>Willey</w:t>
      </w:r>
      <w:r>
        <w:rPr>
          <w:rFonts w:eastAsia="Times New Roman"/>
          <w:sz w:val="24"/>
          <w:szCs w:val="24"/>
        </w:rPr>
        <w:t>, 876 P.2d at 1264;</w:t>
      </w:r>
      <w:r>
        <w:rPr>
          <w:rFonts w:eastAsia="Times New Roman"/>
          <w:b/>
          <w:bCs/>
          <w:sz w:val="24"/>
          <w:szCs w:val="24"/>
        </w:rPr>
        <w:t xml:space="preserve"> Fresquez</w:t>
      </w:r>
      <w:r>
        <w:rPr>
          <w:rFonts w:eastAsia="Times New Roman"/>
          <w:sz w:val="24"/>
          <w:szCs w:val="24"/>
        </w:rPr>
        <w:t>, ¶ 21.</w:t>
      </w:r>
    </w:p>
    <w:p w14:paraId="2B59E94B" w14:textId="7BC388FB" w:rsidR="00687633" w:rsidRDefault="005840CD" w:rsidP="005840CD">
      <w:pPr>
        <w:spacing w:after="240"/>
        <w:ind w:firstLine="720"/>
        <w:rPr>
          <w:rFonts w:eastAsia="Times New Roman"/>
          <w:sz w:val="24"/>
          <w:szCs w:val="24"/>
        </w:rPr>
      </w:pPr>
      <w:r>
        <w:rPr>
          <w:rFonts w:eastAsia="Times New Roman"/>
          <w:sz w:val="24"/>
          <w:szCs w:val="24"/>
        </w:rPr>
        <w:t xml:space="preserve">5. Whether an agent has actual authority to execute a document on the principal’s behalf requires both an objective and subjective inquiry: the agent must subjectively believe </w:t>
      </w:r>
      <w:r w:rsidR="003B2BAE">
        <w:rPr>
          <w:rFonts w:eastAsia="Times New Roman"/>
          <w:sz w:val="24"/>
          <w:szCs w:val="24"/>
        </w:rPr>
        <w:t>the agent</w:t>
      </w:r>
      <w:r>
        <w:rPr>
          <w:rFonts w:eastAsia="Times New Roman"/>
          <w:sz w:val="24"/>
          <w:szCs w:val="24"/>
        </w:rPr>
        <w:t xml:space="preserve"> possess</w:t>
      </w:r>
      <w:r w:rsidR="003B2BAE">
        <w:rPr>
          <w:rFonts w:eastAsia="Times New Roman"/>
          <w:sz w:val="24"/>
          <w:szCs w:val="24"/>
        </w:rPr>
        <w:t>es</w:t>
      </w:r>
      <w:r>
        <w:rPr>
          <w:rFonts w:eastAsia="Times New Roman"/>
          <w:sz w:val="24"/>
          <w:szCs w:val="24"/>
        </w:rPr>
        <w:t xml:space="preserve"> authority, and that belief must be objectively reasonable in light of the principal’s actions. </w:t>
      </w:r>
      <w:r>
        <w:rPr>
          <w:rFonts w:eastAsia="Times New Roman"/>
          <w:b/>
          <w:bCs/>
          <w:sz w:val="24"/>
          <w:szCs w:val="24"/>
        </w:rPr>
        <w:t xml:space="preserve">Fresquez, </w:t>
      </w:r>
      <w:r>
        <w:rPr>
          <w:rFonts w:eastAsia="Times New Roman"/>
          <w:sz w:val="24"/>
          <w:szCs w:val="24"/>
        </w:rPr>
        <w:t xml:space="preserve">¶ 20 (citing § 2.02, cmt. e). </w:t>
      </w:r>
    </w:p>
    <w:p w14:paraId="5171874A" w14:textId="7C31015F" w:rsidR="005840CD" w:rsidRPr="00432092" w:rsidRDefault="005840CD" w:rsidP="005840CD">
      <w:pPr>
        <w:spacing w:after="240"/>
        <w:ind w:firstLine="720"/>
        <w:rPr>
          <w:rFonts w:eastAsia="Times New Roman"/>
          <w:sz w:val="24"/>
          <w:szCs w:val="24"/>
        </w:rPr>
      </w:pPr>
      <w:r>
        <w:rPr>
          <w:rFonts w:eastAsia="Times New Roman"/>
          <w:sz w:val="24"/>
          <w:szCs w:val="24"/>
        </w:rPr>
        <w:t xml:space="preserve">6. An agent has a duty to take action only within the scope of the agent’s actual authority. </w:t>
      </w:r>
      <w:r>
        <w:rPr>
          <w:rFonts w:eastAsia="Times New Roman"/>
          <w:b/>
          <w:bCs/>
          <w:sz w:val="24"/>
          <w:szCs w:val="24"/>
        </w:rPr>
        <w:t>Fresquez</w:t>
      </w:r>
      <w:r>
        <w:rPr>
          <w:rFonts w:eastAsia="Times New Roman"/>
          <w:sz w:val="24"/>
          <w:szCs w:val="24"/>
        </w:rPr>
        <w:t xml:space="preserve">, ¶ 37 (citing </w:t>
      </w:r>
      <w:r w:rsidRPr="0096412F">
        <w:rPr>
          <w:rFonts w:eastAsia="Times New Roman"/>
          <w:smallCaps/>
          <w:sz w:val="24"/>
          <w:szCs w:val="24"/>
        </w:rPr>
        <w:t>Restatement (Third) of Agency</w:t>
      </w:r>
      <w:r>
        <w:rPr>
          <w:rFonts w:eastAsia="Times New Roman"/>
          <w:sz w:val="24"/>
          <w:szCs w:val="24"/>
        </w:rPr>
        <w:t xml:space="preserve"> § 8.09 &amp; cmt. b). </w:t>
      </w:r>
    </w:p>
    <w:p w14:paraId="43620388" w14:textId="77777777" w:rsidR="005840CD" w:rsidRDefault="005840CD" w:rsidP="00E01A1E">
      <w:pPr>
        <w:spacing w:after="240"/>
        <w:ind w:firstLine="720"/>
        <w:rPr>
          <w:rFonts w:eastAsia="Times New Roman"/>
          <w:sz w:val="24"/>
          <w:szCs w:val="24"/>
        </w:rPr>
      </w:pPr>
    </w:p>
    <w:p w14:paraId="6C7C2A1F" w14:textId="77777777" w:rsidR="00E01A1E" w:rsidRDefault="00771A51">
      <w:pPr>
        <w:rPr>
          <w:rFonts w:eastAsia="Times New Roman"/>
          <w:sz w:val="24"/>
          <w:szCs w:val="24"/>
        </w:rPr>
      </w:pPr>
      <w:r>
        <w:rPr>
          <w:rFonts w:eastAsia="Times New Roman"/>
          <w:sz w:val="24"/>
          <w:szCs w:val="24"/>
        </w:rPr>
        <w:br w:type="page"/>
      </w:r>
    </w:p>
    <w:p w14:paraId="7268C598" w14:textId="7F0E930B" w:rsidR="00E01A1E" w:rsidRPr="009E3DA4" w:rsidRDefault="00771A51" w:rsidP="00E01A1E">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r w:rsidR="002F72BA">
        <w:rPr>
          <w:rFonts w:eastAsia="Times New Roman"/>
          <w:b/>
          <w:sz w:val="24"/>
          <w:szCs w:val="24"/>
        </w:rPr>
        <w:t xml:space="preserve"> </w:t>
      </w:r>
      <w:r w:rsidR="009231F0" w:rsidRPr="005F1017">
        <w:rPr>
          <w:rFonts w:eastAsia="Times New Roman"/>
          <w:b/>
          <w:sz w:val="24"/>
          <w:szCs w:val="24"/>
        </w:rPr>
        <w:t>—</w:t>
      </w:r>
      <w:r w:rsidR="002F72BA">
        <w:rPr>
          <w:rFonts w:eastAsia="Times New Roman"/>
          <w:b/>
          <w:sz w:val="24"/>
          <w:szCs w:val="24"/>
        </w:rPr>
        <w:t xml:space="preserve"> DEFINED</w:t>
      </w:r>
    </w:p>
    <w:p w14:paraId="38714C6F" w14:textId="77777777" w:rsidR="00E01A1E" w:rsidRPr="006B2457" w:rsidRDefault="00771A51" w:rsidP="00E01A1E">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6D8E0DAC" w14:textId="77777777" w:rsidR="00E01A1E" w:rsidRDefault="00E01A1E" w:rsidP="00E01A1E">
      <w:pPr>
        <w:jc w:val="center"/>
        <w:rPr>
          <w:rFonts w:eastAsia="Times New Roman"/>
          <w:sz w:val="24"/>
          <w:szCs w:val="24"/>
        </w:rPr>
      </w:pPr>
    </w:p>
    <w:p w14:paraId="7DAF6708"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D109F4F" w14:textId="77777777"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11BC67DA"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03E8DAFC" w14:textId="744266FA"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w:t>
      </w:r>
      <w:r w:rsidRPr="006B2457">
        <w:rPr>
          <w:rFonts w:eastAsia="Times New Roman"/>
          <w:b/>
          <w:sz w:val="24"/>
          <w:szCs w:val="24"/>
        </w:rPr>
        <w:t>Willey v. Mayer</w:t>
      </w:r>
      <w:r>
        <w:rPr>
          <w:rFonts w:eastAsia="Times New Roman"/>
          <w:sz w:val="24"/>
          <w:szCs w:val="24"/>
        </w:rPr>
        <w:t>, 876 P.2d 1260 (Colo. 1994)</w:t>
      </w:r>
      <w:r w:rsidR="005B6EF1">
        <w:rPr>
          <w:rFonts w:eastAsia="Times New Roman"/>
          <w:sz w:val="24"/>
          <w:szCs w:val="24"/>
        </w:rPr>
        <w:t xml:space="preserve">; and </w:t>
      </w:r>
      <w:r w:rsidR="005B6EF1">
        <w:rPr>
          <w:rFonts w:eastAsia="Times New Roman"/>
          <w:b/>
          <w:bCs/>
          <w:sz w:val="24"/>
          <w:szCs w:val="24"/>
        </w:rPr>
        <w:t>Fresquez v. Trinidad Inn, Inc.</w:t>
      </w:r>
      <w:r w:rsidR="005B6EF1">
        <w:rPr>
          <w:rFonts w:eastAsia="Times New Roman"/>
          <w:sz w:val="24"/>
          <w:szCs w:val="24"/>
        </w:rPr>
        <w:t>, 2022 COA 96, ¶ 21</w:t>
      </w:r>
      <w:r w:rsidR="0000701C">
        <w:rPr>
          <w:rFonts w:eastAsia="Times New Roman"/>
          <w:sz w:val="24"/>
          <w:szCs w:val="24"/>
        </w:rPr>
        <w:t>, 521 P.3d 399</w:t>
      </w:r>
      <w:r>
        <w:rPr>
          <w:rFonts w:eastAsia="Times New Roman"/>
          <w:sz w:val="24"/>
          <w:szCs w:val="24"/>
        </w:rPr>
        <w:t>.</w:t>
      </w:r>
    </w:p>
    <w:p w14:paraId="17259F49" w14:textId="77777777" w:rsidR="00E01A1E" w:rsidRDefault="00771A51">
      <w:pPr>
        <w:rPr>
          <w:rFonts w:eastAsia="Times New Roman"/>
          <w:sz w:val="24"/>
          <w:szCs w:val="24"/>
        </w:rPr>
      </w:pPr>
      <w:r>
        <w:rPr>
          <w:rFonts w:eastAsia="Times New Roman"/>
          <w:sz w:val="24"/>
          <w:szCs w:val="24"/>
        </w:rPr>
        <w:br w:type="page"/>
      </w:r>
    </w:p>
    <w:p w14:paraId="195C6DAB" w14:textId="77777777" w:rsidR="00E01A1E" w:rsidRPr="009E3DA4" w:rsidRDefault="00771A51" w:rsidP="00E01A1E">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09E7EACD" w14:textId="79319030" w:rsidR="00E01A1E" w:rsidRPr="005F1017" w:rsidRDefault="00771A51" w:rsidP="00E01A1E">
      <w:pPr>
        <w:spacing w:after="240"/>
        <w:ind w:firstLine="720"/>
        <w:rPr>
          <w:rFonts w:eastAsia="Times New Roman"/>
          <w:b/>
          <w:sz w:val="24"/>
          <w:szCs w:val="24"/>
        </w:rPr>
      </w:pPr>
      <w:r w:rsidRPr="005F1017">
        <w:rPr>
          <w:rFonts w:eastAsia="Times New Roman"/>
          <w:b/>
          <w:sz w:val="24"/>
          <w:szCs w:val="24"/>
        </w:rPr>
        <w:t xml:space="preserve">In addition to any express authority given by a principal to an agent, an agent has the incidental authority to do those acts that </w:t>
      </w:r>
      <w:r w:rsidR="00107FE8">
        <w:rPr>
          <w:rFonts w:eastAsia="Times New Roman"/>
          <w:b/>
          <w:sz w:val="24"/>
          <w:szCs w:val="24"/>
        </w:rPr>
        <w:t>are necessary, usual, and proper</w:t>
      </w:r>
      <w:r w:rsidRPr="005F1017">
        <w:rPr>
          <w:rFonts w:eastAsia="Times New Roman"/>
          <w:b/>
          <w:sz w:val="24"/>
          <w:szCs w:val="24"/>
        </w:rPr>
        <w:t xml:space="preserve"> to accomplish the express authority.</w:t>
      </w:r>
    </w:p>
    <w:p w14:paraId="21277E5C" w14:textId="77777777" w:rsidR="00E01A1E" w:rsidRDefault="00E01A1E" w:rsidP="00E01A1E">
      <w:pPr>
        <w:jc w:val="center"/>
        <w:rPr>
          <w:rFonts w:eastAsia="Times New Roman"/>
          <w:sz w:val="24"/>
          <w:szCs w:val="24"/>
        </w:rPr>
      </w:pPr>
    </w:p>
    <w:p w14:paraId="032758A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7FDDBA" w14:textId="77777777" w:rsidR="00E01A1E" w:rsidRDefault="00771A51" w:rsidP="00E01A1E">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1F69D5C2" w14:textId="77777777" w:rsidR="00E01A1E" w:rsidRPr="005F1017" w:rsidRDefault="00771A51" w:rsidP="00E01A1E">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r w:rsidRPr="00C87463">
        <w:rPr>
          <w:rFonts w:eastAsia="Times New Roman"/>
          <w:smallCaps/>
          <w:sz w:val="24"/>
          <w:szCs w:val="24"/>
        </w:rPr>
        <w:t>Restatement (Second) of Agency</w:t>
      </w:r>
      <w:r w:rsidRPr="005F1017">
        <w:rPr>
          <w:rFonts w:eastAsia="Times New Roman"/>
          <w:sz w:val="24"/>
          <w:szCs w:val="24"/>
        </w:rPr>
        <w:t xml:space="preserve"> § 35 (1958).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cmt. g (2006) (stating that a “principal may direct an agent to do or refrain from doing a specific act”).</w:t>
      </w:r>
    </w:p>
    <w:p w14:paraId="3A3A2BE6"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64B2E7C6" w14:textId="77777777" w:rsidR="00E01A1E" w:rsidRPr="005F1017" w:rsidRDefault="00771A51" w:rsidP="00E01A1E">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State Farm Mut. Auto. 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cmt.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3E72933C" w14:textId="77777777" w:rsidR="00E01A1E" w:rsidRPr="005F1017" w:rsidRDefault="00771A51" w:rsidP="00E01A1E">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r w:rsidRPr="00C87463">
        <w:rPr>
          <w:rFonts w:eastAsia="Times New Roman"/>
          <w:smallCaps/>
          <w:sz w:val="24"/>
          <w:szCs w:val="24"/>
        </w:rPr>
        <w:t>Restatement (Third) of Agency</w:t>
      </w:r>
      <w:r w:rsidRPr="005F1017">
        <w:rPr>
          <w:rFonts w:eastAsia="Times New Roman"/>
          <w:sz w:val="24"/>
          <w:szCs w:val="24"/>
        </w:rPr>
        <w:t xml:space="preserve"> § 2.02(2), (3) (2006).</w:t>
      </w:r>
    </w:p>
    <w:p w14:paraId="4C874BBF" w14:textId="77777777" w:rsidR="00E01A1E" w:rsidRDefault="00771A51">
      <w:pPr>
        <w:rPr>
          <w:rFonts w:eastAsia="Times New Roman"/>
          <w:sz w:val="24"/>
          <w:szCs w:val="24"/>
        </w:rPr>
      </w:pPr>
      <w:r>
        <w:rPr>
          <w:rFonts w:eastAsia="Times New Roman"/>
          <w:sz w:val="24"/>
          <w:szCs w:val="24"/>
        </w:rPr>
        <w:br w:type="page"/>
      </w:r>
    </w:p>
    <w:p w14:paraId="7D71CE40" w14:textId="77777777" w:rsidR="00E01A1E" w:rsidRPr="009E3DA4" w:rsidRDefault="00771A51" w:rsidP="00E01A1E">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120274B9" w14:textId="77777777"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0344A046" w14:textId="19DA4450"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 xml:space="preserve">n behalf of </w:t>
      </w:r>
      <w:r w:rsidR="003E686C" w:rsidRPr="003E686C">
        <w:rPr>
          <w:rFonts w:eastAsia="Times New Roman"/>
          <w:bCs/>
          <w:i/>
          <w:iCs/>
          <w:sz w:val="24"/>
          <w:szCs w:val="24"/>
        </w:rPr>
        <w:t>(insert applicable pronoun)</w:t>
      </w:r>
      <w:r w:rsidR="004C41DD">
        <w:rPr>
          <w:rFonts w:eastAsia="Times New Roman"/>
          <w:b/>
          <w:sz w:val="24"/>
          <w:szCs w:val="24"/>
        </w:rPr>
        <w:t xml:space="preserve"> </w:t>
      </w:r>
      <w:r w:rsidRPr="00647CC5">
        <w:rPr>
          <w:rFonts w:eastAsia="Times New Roman"/>
          <w:b/>
          <w:sz w:val="24"/>
          <w:szCs w:val="24"/>
        </w:rPr>
        <w:t>principal that are customary in the trade or business involved, if the principal knew or should have known of such practices;) (and)</w:t>
      </w:r>
      <w:r w:rsidR="00A77123">
        <w:rPr>
          <w:rFonts w:eastAsia="Times New Roman"/>
          <w:b/>
          <w:sz w:val="24"/>
          <w:szCs w:val="24"/>
        </w:rPr>
        <w:t xml:space="preserve"> (or)</w:t>
      </w:r>
    </w:p>
    <w:p w14:paraId="7AC54058" w14:textId="5D6A2490" w:rsidR="00E01A1E" w:rsidRDefault="00771A51" w:rsidP="00E01A1E">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 xml:space="preserve">hat the agent had taken before on behalf of </w:t>
      </w:r>
      <w:r w:rsidR="003E686C" w:rsidRPr="003E686C">
        <w:rPr>
          <w:rFonts w:eastAsia="Times New Roman"/>
          <w:bCs/>
          <w:i/>
          <w:iCs/>
          <w:sz w:val="24"/>
          <w:szCs w:val="24"/>
        </w:rPr>
        <w:t>(insert applicable pronoun)</w:t>
      </w:r>
      <w:r w:rsidRPr="00647CC5">
        <w:rPr>
          <w:rFonts w:eastAsia="Times New Roman"/>
          <w:b/>
          <w:sz w:val="24"/>
          <w:szCs w:val="24"/>
        </w:rPr>
        <w:t xml:space="preserve"> principal that the principal knew of and by </w:t>
      </w:r>
      <w:r w:rsidR="003E686C" w:rsidRPr="003E686C">
        <w:rPr>
          <w:rFonts w:eastAsia="Times New Roman"/>
          <w:bCs/>
          <w:i/>
          <w:iCs/>
          <w:sz w:val="24"/>
          <w:szCs w:val="24"/>
        </w:rPr>
        <w:t>(insert applicable pronoun)</w:t>
      </w:r>
      <w:r w:rsidRPr="00647CC5">
        <w:rPr>
          <w:rFonts w:eastAsia="Times New Roman"/>
          <w:b/>
          <w:sz w:val="24"/>
          <w:szCs w:val="24"/>
        </w:rPr>
        <w:t xml:space="preserve"> conduct or lack of conduct impliedly approved</w:t>
      </w:r>
      <w:r w:rsidR="00487FF9">
        <w:rPr>
          <w:rFonts w:eastAsia="Times New Roman"/>
          <w:b/>
          <w:sz w:val="24"/>
          <w:szCs w:val="24"/>
        </w:rPr>
        <w:t>;</w:t>
      </w:r>
      <w:r>
        <w:rPr>
          <w:rFonts w:eastAsia="Times New Roman"/>
          <w:b/>
          <w:sz w:val="24"/>
          <w:szCs w:val="24"/>
        </w:rPr>
        <w:t>)</w:t>
      </w:r>
      <w:r w:rsidR="00487FF9">
        <w:rPr>
          <w:rFonts w:eastAsia="Times New Roman"/>
          <w:b/>
          <w:sz w:val="24"/>
          <w:szCs w:val="24"/>
        </w:rPr>
        <w:t xml:space="preserve"> </w:t>
      </w:r>
      <w:r w:rsidR="00A77123">
        <w:rPr>
          <w:rFonts w:eastAsia="Times New Roman"/>
          <w:b/>
          <w:sz w:val="24"/>
          <w:szCs w:val="24"/>
        </w:rPr>
        <w:t>(and) (or)</w:t>
      </w:r>
    </w:p>
    <w:p w14:paraId="35F22EF7" w14:textId="767A81F2" w:rsidR="004C41DD" w:rsidRPr="00647CC5" w:rsidRDefault="004C41DD" w:rsidP="00E01A1E">
      <w:pPr>
        <w:spacing w:after="240"/>
        <w:ind w:firstLine="720"/>
        <w:rPr>
          <w:rFonts w:eastAsia="Times New Roman"/>
          <w:b/>
          <w:sz w:val="24"/>
          <w:szCs w:val="24"/>
        </w:rPr>
      </w:pPr>
      <w:r>
        <w:rPr>
          <w:rFonts w:eastAsia="Times New Roman"/>
          <w:b/>
          <w:sz w:val="24"/>
          <w:szCs w:val="24"/>
        </w:rPr>
        <w:t xml:space="preserve">(3. That the </w:t>
      </w:r>
      <w:r w:rsidRPr="005F1017">
        <w:rPr>
          <w:rFonts w:eastAsia="Times New Roman"/>
          <w:b/>
          <w:sz w:val="24"/>
          <w:szCs w:val="24"/>
        </w:rPr>
        <w:t>agent ha</w:t>
      </w:r>
      <w:r>
        <w:rPr>
          <w:rFonts w:eastAsia="Times New Roman"/>
          <w:b/>
          <w:sz w:val="24"/>
          <w:szCs w:val="24"/>
        </w:rPr>
        <w:t>d</w:t>
      </w:r>
      <w:r w:rsidRPr="005F1017">
        <w:rPr>
          <w:rFonts w:eastAsia="Times New Roman"/>
          <w:b/>
          <w:sz w:val="24"/>
          <w:szCs w:val="24"/>
        </w:rPr>
        <w:t xml:space="preserve"> the incidental authority </w:t>
      </w:r>
      <w:r>
        <w:rPr>
          <w:rFonts w:eastAsia="Times New Roman"/>
          <w:b/>
          <w:sz w:val="24"/>
          <w:szCs w:val="24"/>
        </w:rPr>
        <w:t>to perform on the principal’s behalf</w:t>
      </w:r>
      <w:r w:rsidRPr="005F1017">
        <w:rPr>
          <w:rFonts w:eastAsia="Times New Roman"/>
          <w:b/>
          <w:sz w:val="24"/>
          <w:szCs w:val="24"/>
        </w:rPr>
        <w:t>.</w:t>
      </w:r>
      <w:r>
        <w:rPr>
          <w:rFonts w:eastAsia="Times New Roman"/>
          <w:b/>
          <w:sz w:val="24"/>
          <w:szCs w:val="24"/>
        </w:rPr>
        <w:t>)</w:t>
      </w:r>
    </w:p>
    <w:p w14:paraId="7C426288" w14:textId="77777777" w:rsidR="00E01A1E" w:rsidRDefault="00E01A1E" w:rsidP="00E01A1E">
      <w:pPr>
        <w:jc w:val="center"/>
        <w:rPr>
          <w:rFonts w:eastAsia="Times New Roman"/>
          <w:sz w:val="24"/>
          <w:szCs w:val="24"/>
        </w:rPr>
      </w:pPr>
    </w:p>
    <w:p w14:paraId="19CB083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D064BB2"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1592A3DD" w14:textId="4DC96D91" w:rsidR="00E01A1E" w:rsidRDefault="00771A51" w:rsidP="00E01A1E">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r w:rsidR="00326311">
        <w:rPr>
          <w:rFonts w:eastAsia="Times New Roman"/>
          <w:sz w:val="24"/>
          <w:szCs w:val="24"/>
        </w:rPr>
        <w:t xml:space="preserve"> The word “customary” is used </w:t>
      </w:r>
      <w:r w:rsidR="00314BA0">
        <w:rPr>
          <w:rFonts w:eastAsia="Times New Roman"/>
          <w:sz w:val="24"/>
          <w:szCs w:val="24"/>
        </w:rPr>
        <w:t xml:space="preserve">in accordance with </w:t>
      </w:r>
      <w:r w:rsidR="00314BA0">
        <w:rPr>
          <w:rFonts w:eastAsia="Times New Roman"/>
          <w:b/>
          <w:bCs/>
          <w:sz w:val="24"/>
          <w:szCs w:val="24"/>
        </w:rPr>
        <w:t>Montoya v. Grease Monkey Holding Corp.</w:t>
      </w:r>
      <w:r w:rsidR="00314BA0">
        <w:rPr>
          <w:rFonts w:eastAsia="Times New Roman"/>
          <w:sz w:val="24"/>
          <w:szCs w:val="24"/>
        </w:rPr>
        <w:t xml:space="preserve">, 883 P.2d 486, 488 (Colo. App. 1994), </w:t>
      </w:r>
      <w:r w:rsidR="00314BA0" w:rsidRPr="009D0F94">
        <w:rPr>
          <w:rFonts w:eastAsia="Times New Roman"/>
          <w:i/>
          <w:iCs/>
          <w:sz w:val="24"/>
          <w:szCs w:val="24"/>
        </w:rPr>
        <w:t>aff’d sub nom.</w:t>
      </w:r>
      <w:r w:rsidR="00314BA0">
        <w:rPr>
          <w:rFonts w:eastAsia="Times New Roman"/>
          <w:sz w:val="24"/>
          <w:szCs w:val="24"/>
        </w:rPr>
        <w:t xml:space="preserve"> </w:t>
      </w:r>
      <w:r w:rsidR="00314BA0" w:rsidRPr="009D0F94">
        <w:rPr>
          <w:rFonts w:eastAsia="Times New Roman"/>
          <w:b/>
          <w:bCs/>
          <w:sz w:val="24"/>
          <w:szCs w:val="24"/>
        </w:rPr>
        <w:t>Grease Monkey Int</w:t>
      </w:r>
      <w:r w:rsidR="009D0F94">
        <w:rPr>
          <w:rFonts w:eastAsia="Times New Roman"/>
          <w:b/>
          <w:bCs/>
          <w:sz w:val="24"/>
          <w:szCs w:val="24"/>
        </w:rPr>
        <w:t>ernationa</w:t>
      </w:r>
      <w:r w:rsidR="00314BA0" w:rsidRPr="009D0F94">
        <w:rPr>
          <w:rFonts w:eastAsia="Times New Roman"/>
          <w:b/>
          <w:bCs/>
          <w:sz w:val="24"/>
          <w:szCs w:val="24"/>
        </w:rPr>
        <w:t>l, Inc. v. Montoya</w:t>
      </w:r>
      <w:r w:rsidR="00314BA0">
        <w:rPr>
          <w:rFonts w:eastAsia="Times New Roman"/>
          <w:sz w:val="24"/>
          <w:szCs w:val="24"/>
        </w:rPr>
        <w:t>, 904 P.2d 468 (Colo. 1995)</w:t>
      </w:r>
      <w:r w:rsidR="009D0F94">
        <w:rPr>
          <w:rFonts w:eastAsia="Times New Roman"/>
          <w:sz w:val="24"/>
          <w:szCs w:val="24"/>
        </w:rPr>
        <w:t>;</w:t>
      </w:r>
      <w:r w:rsidR="00314BA0">
        <w:rPr>
          <w:rFonts w:eastAsia="Times New Roman"/>
          <w:sz w:val="24"/>
          <w:szCs w:val="24"/>
        </w:rPr>
        <w:t xml:space="preserve"> and </w:t>
      </w:r>
      <w:r w:rsidR="00314BA0">
        <w:rPr>
          <w:rFonts w:eastAsia="Times New Roman"/>
          <w:b/>
          <w:bCs/>
          <w:sz w:val="24"/>
          <w:szCs w:val="24"/>
        </w:rPr>
        <w:t>Dyer v. Johnson</w:t>
      </w:r>
      <w:r w:rsidR="00314BA0">
        <w:rPr>
          <w:rFonts w:eastAsia="Times New Roman"/>
          <w:sz w:val="24"/>
          <w:szCs w:val="24"/>
        </w:rPr>
        <w:t xml:space="preserve">, 757 P.2d 178, 180 (Colo. App. 1988). </w:t>
      </w:r>
    </w:p>
    <w:p w14:paraId="4FDD2EFC" w14:textId="437D420C" w:rsidR="00720933" w:rsidRPr="00647CC5" w:rsidRDefault="00771A51" w:rsidP="009D0F94">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cmt. g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Indep</w:t>
      </w:r>
      <w:r>
        <w:rPr>
          <w:rFonts w:eastAsia="Times New Roman"/>
          <w:b/>
          <w:sz w:val="24"/>
          <w:szCs w:val="24"/>
        </w:rPr>
        <w:t>.</w:t>
      </w:r>
      <w:r w:rsidRPr="00647CC5">
        <w:rPr>
          <w:rFonts w:eastAsia="Times New Roman"/>
          <w:b/>
          <w:sz w:val="24"/>
          <w:szCs w:val="24"/>
        </w:rPr>
        <w:t xml:space="preserve"> Indem. 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 When there is sufficient evidence of such limitation or exclusion, this instruction and, if applicable, Instruction 8:12 should be appropriately modified.</w:t>
      </w:r>
    </w:p>
    <w:p w14:paraId="18A12341"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8D23413" w14:textId="1973F305" w:rsidR="00E01A1E" w:rsidRPr="00647CC5" w:rsidRDefault="00771A51" w:rsidP="004B7CD3">
      <w:pPr>
        <w:spacing w:after="240"/>
        <w:ind w:firstLine="720"/>
        <w:rPr>
          <w:rFonts w:eastAsia="Times New Roman"/>
          <w:sz w:val="24"/>
          <w:szCs w:val="24"/>
        </w:rPr>
      </w:pPr>
      <w:r w:rsidRPr="00647CC5">
        <w:rPr>
          <w:rFonts w:eastAsia="Times New Roman"/>
          <w:sz w:val="24"/>
          <w:szCs w:val="24"/>
        </w:rPr>
        <w:t xml:space="preserve">1. </w:t>
      </w:r>
      <w:r w:rsidRPr="004B7CD3">
        <w:rPr>
          <w:rFonts w:eastAsia="Times New Roman"/>
          <w:sz w:val="24"/>
          <w:szCs w:val="24"/>
        </w:rPr>
        <w:t>The first numbered paragraph of this instruction is supported by</w:t>
      </w:r>
      <w:r w:rsidR="009D0F94">
        <w:rPr>
          <w:rFonts w:eastAsia="Times New Roman"/>
          <w:sz w:val="24"/>
          <w:szCs w:val="24"/>
        </w:rPr>
        <w:t xml:space="preserve"> </w:t>
      </w:r>
      <w:r w:rsidR="009D0F94" w:rsidRPr="009D0F94">
        <w:rPr>
          <w:rFonts w:eastAsia="Times New Roman"/>
          <w:b/>
          <w:bCs/>
          <w:sz w:val="24"/>
          <w:szCs w:val="24"/>
        </w:rPr>
        <w:t>Montoya</w:t>
      </w:r>
      <w:r w:rsidR="009D0F94">
        <w:rPr>
          <w:rFonts w:eastAsia="Times New Roman"/>
          <w:sz w:val="24"/>
          <w:szCs w:val="24"/>
        </w:rPr>
        <w:t>, 883 P.2d at 488;</w:t>
      </w:r>
      <w:r w:rsidRPr="004B7CD3">
        <w:rPr>
          <w:rFonts w:eastAsia="Times New Roman"/>
          <w:sz w:val="24"/>
          <w:szCs w:val="24"/>
        </w:rPr>
        <w:t xml:space="preserve"> </w:t>
      </w:r>
      <w:r w:rsidRPr="004B7CD3">
        <w:rPr>
          <w:rFonts w:eastAsia="Times New Roman"/>
          <w:b/>
          <w:sz w:val="24"/>
          <w:szCs w:val="24"/>
        </w:rPr>
        <w:t>Dyer</w:t>
      </w:r>
      <w:r w:rsidRPr="004B7CD3">
        <w:rPr>
          <w:rFonts w:eastAsia="Times New Roman"/>
          <w:sz w:val="24"/>
          <w:szCs w:val="24"/>
        </w:rPr>
        <w:t xml:space="preserve">, 757 P.2d </w:t>
      </w:r>
      <w:r w:rsidR="009D0F94">
        <w:rPr>
          <w:rFonts w:eastAsia="Times New Roman"/>
          <w:sz w:val="24"/>
          <w:szCs w:val="24"/>
        </w:rPr>
        <w:t>at 180</w:t>
      </w:r>
      <w:r w:rsidRPr="004B7CD3">
        <w:rPr>
          <w:rFonts w:eastAsia="Times New Roman"/>
          <w:sz w:val="24"/>
          <w:szCs w:val="24"/>
        </w:rPr>
        <w:t xml:space="preserve">; and </w:t>
      </w:r>
      <w:r w:rsidRPr="004B7CD3">
        <w:rPr>
          <w:rFonts w:eastAsia="Times New Roman"/>
          <w:b/>
          <w:sz w:val="24"/>
          <w:szCs w:val="24"/>
        </w:rPr>
        <w:t>Gates Iron Works v. Denver Engineering Works Co.</w:t>
      </w:r>
      <w:r w:rsidRPr="004B7CD3">
        <w:rPr>
          <w:rFonts w:eastAsia="Times New Roman"/>
          <w:sz w:val="24"/>
          <w:szCs w:val="24"/>
        </w:rPr>
        <w:t xml:space="preserve">, 17 Colo. App. 15, 67 P. 173 (1901). </w:t>
      </w:r>
      <w:r w:rsidRPr="004B7CD3">
        <w:rPr>
          <w:rFonts w:eastAsia="Times New Roman"/>
          <w:i/>
          <w:sz w:val="24"/>
          <w:szCs w:val="24"/>
        </w:rPr>
        <w:t>See also</w:t>
      </w:r>
      <w:r w:rsidRPr="004B7CD3">
        <w:rPr>
          <w:rFonts w:eastAsia="Times New Roman"/>
          <w:sz w:val="24"/>
          <w:szCs w:val="24"/>
        </w:rPr>
        <w:t xml:space="preserve"> </w:t>
      </w:r>
      <w:r w:rsidRPr="004B7CD3">
        <w:rPr>
          <w:rFonts w:eastAsia="Times New Roman"/>
          <w:b/>
          <w:sz w:val="24"/>
          <w:szCs w:val="24"/>
        </w:rPr>
        <w:t>Russell v. First Am. Mortg. Co.</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39 Colo. App. 360, 565 P.2d 972 (1977); </w:t>
      </w:r>
      <w:r w:rsidRPr="004B7CD3">
        <w:rPr>
          <w:rFonts w:eastAsia="Times New Roman"/>
          <w:b/>
          <w:sz w:val="24"/>
          <w:szCs w:val="24"/>
        </w:rPr>
        <w:t>Savage v. Pelton</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1 Colo. App. 148, 27 P. 948 (1891); </w:t>
      </w:r>
      <w:r w:rsidRPr="004B7CD3">
        <w:rPr>
          <w:rFonts w:eastAsia="Times New Roman"/>
          <w:smallCaps/>
          <w:sz w:val="24"/>
          <w:szCs w:val="24"/>
        </w:rPr>
        <w:t>Restatement (Second) of Agency</w:t>
      </w:r>
      <w:r w:rsidRPr="004B7CD3">
        <w:rPr>
          <w:rFonts w:eastAsia="Times New Roman"/>
          <w:sz w:val="24"/>
          <w:szCs w:val="24"/>
        </w:rPr>
        <w:t xml:space="preserve"> § 36 (1958).</w:t>
      </w:r>
    </w:p>
    <w:p w14:paraId="3324B756"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229A3097" w14:textId="77777777" w:rsidR="00E01A1E" w:rsidRPr="00647CC5" w:rsidRDefault="00771A51" w:rsidP="00E01A1E">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by </w:t>
      </w:r>
      <w:r>
        <w:rPr>
          <w:rFonts w:eastAsia="Times New Roman"/>
          <w:sz w:val="24"/>
          <w:szCs w:val="24"/>
        </w:rPr>
        <w:t xml:space="preserve">one </w:t>
      </w:r>
      <w:r w:rsidRPr="00647CC5">
        <w:rPr>
          <w:rFonts w:eastAsia="Times New Roman"/>
          <w:sz w:val="24"/>
          <w:szCs w:val="24"/>
        </w:rPr>
        <w:t>dealing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1046DC3D" w14:textId="61181668" w:rsidR="00E01A1E" w:rsidRPr="00647CC5" w:rsidRDefault="00771A51" w:rsidP="008F5428">
      <w:pPr>
        <w:spacing w:after="240"/>
        <w:rPr>
          <w:rFonts w:eastAsia="Times New Roman"/>
          <w:sz w:val="24"/>
          <w:szCs w:val="24"/>
        </w:rPr>
      </w:pPr>
      <w:r w:rsidRPr="00776FFB">
        <w:rPr>
          <w:rFonts w:eastAsia="Times New Roman"/>
          <w:i/>
          <w:sz w:val="24"/>
          <w:szCs w:val="24"/>
        </w:rPr>
        <w:t xml:space="preserve">See also </w:t>
      </w:r>
      <w:r w:rsidR="008F5428" w:rsidRPr="008F5428">
        <w:rPr>
          <w:rFonts w:eastAsia="Times New Roman"/>
          <w:b/>
          <w:bCs/>
          <w:iCs/>
          <w:sz w:val="24"/>
          <w:szCs w:val="24"/>
        </w:rPr>
        <w:t>Cooley v. Eskridge</w:t>
      </w:r>
      <w:r w:rsidR="008F5428" w:rsidRPr="008F5428">
        <w:rPr>
          <w:rFonts w:eastAsia="Times New Roman"/>
          <w:iCs/>
          <w:sz w:val="24"/>
          <w:szCs w:val="24"/>
        </w:rPr>
        <w:t>, 125 Colo. 102, 241 P.2d 851 (1952)</w:t>
      </w:r>
      <w:r w:rsidR="008F5428">
        <w:rPr>
          <w:rFonts w:eastAsia="Times New Roman"/>
          <w:iCs/>
          <w:sz w:val="24"/>
          <w:szCs w:val="24"/>
        </w:rPr>
        <w:t xml:space="preserve">; </w:t>
      </w:r>
      <w:r w:rsidRPr="00647CC5">
        <w:rPr>
          <w:rFonts w:eastAsia="Times New Roman"/>
          <w:b/>
          <w:sz w:val="24"/>
          <w:szCs w:val="24"/>
        </w:rPr>
        <w:t>Citywide Banks v. Armijo</w:t>
      </w:r>
      <w:r w:rsidRPr="00647CC5">
        <w:rPr>
          <w:rFonts w:eastAsia="Times New Roman"/>
          <w:sz w:val="24"/>
          <w:szCs w:val="24"/>
        </w:rPr>
        <w:t>, 313 P.3d 647 (Colo. App. 2011).</w:t>
      </w:r>
    </w:p>
    <w:p w14:paraId="238670D6" w14:textId="73C2EAB7" w:rsidR="009231F0" w:rsidRDefault="00771A51" w:rsidP="00E01A1E">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w:t>
      </w:r>
      <w:r w:rsidR="009231F0" w:rsidRPr="00647CC5">
        <w:rPr>
          <w:rFonts w:eastAsia="Times New Roman"/>
          <w:sz w:val="24"/>
          <w:szCs w:val="24"/>
        </w:rPr>
        <w:t xml:space="preserve">The </w:t>
      </w:r>
      <w:r w:rsidR="009231F0">
        <w:rPr>
          <w:rFonts w:eastAsia="Times New Roman"/>
          <w:sz w:val="24"/>
          <w:szCs w:val="24"/>
        </w:rPr>
        <w:t>third</w:t>
      </w:r>
      <w:r w:rsidR="009231F0" w:rsidRPr="00647CC5">
        <w:rPr>
          <w:rFonts w:eastAsia="Times New Roman"/>
          <w:sz w:val="24"/>
          <w:szCs w:val="24"/>
        </w:rPr>
        <w:t xml:space="preserve"> numbered paragraph of this instruction is supported by</w:t>
      </w:r>
      <w:r w:rsidR="0011469E">
        <w:rPr>
          <w:rFonts w:eastAsia="Times New Roman"/>
          <w:sz w:val="24"/>
          <w:szCs w:val="24"/>
        </w:rPr>
        <w:t xml:space="preserve"> </w:t>
      </w:r>
      <w:r w:rsidR="0011469E" w:rsidRPr="00647CC5">
        <w:rPr>
          <w:rFonts w:eastAsia="Times New Roman"/>
          <w:b/>
          <w:sz w:val="24"/>
          <w:szCs w:val="24"/>
        </w:rPr>
        <w:t>State Farm Mutual Automobile Insurance Co. v. Johnson</w:t>
      </w:r>
      <w:r w:rsidR="0011469E" w:rsidRPr="00647CC5">
        <w:rPr>
          <w:rFonts w:eastAsia="Times New Roman"/>
          <w:sz w:val="24"/>
          <w:szCs w:val="24"/>
        </w:rPr>
        <w:t xml:space="preserve">, 2017 CO 68, ¶ 22, 396 P.3d 651 (citing </w:t>
      </w:r>
      <w:r w:rsidR="0011469E" w:rsidRPr="00647CC5">
        <w:rPr>
          <w:rFonts w:eastAsia="Times New Roman"/>
          <w:smallCaps/>
          <w:sz w:val="24"/>
          <w:szCs w:val="24"/>
        </w:rPr>
        <w:t>Restatement (Third) of Agency</w:t>
      </w:r>
      <w:r w:rsidR="0011469E" w:rsidRPr="00647CC5">
        <w:rPr>
          <w:rFonts w:eastAsia="Times New Roman"/>
          <w:sz w:val="24"/>
          <w:szCs w:val="24"/>
        </w:rPr>
        <w:t xml:space="preserve"> § 2.01 cmt. b);</w:t>
      </w:r>
      <w:r w:rsidR="0011469E" w:rsidRPr="0011469E">
        <w:rPr>
          <w:rFonts w:eastAsia="Times New Roman"/>
          <w:b/>
          <w:sz w:val="24"/>
          <w:szCs w:val="24"/>
        </w:rPr>
        <w:t xml:space="preserve"> </w:t>
      </w:r>
      <w:r w:rsidR="0011469E" w:rsidRPr="00647CC5">
        <w:rPr>
          <w:rFonts w:eastAsia="Times New Roman"/>
          <w:b/>
          <w:sz w:val="24"/>
          <w:szCs w:val="24"/>
        </w:rPr>
        <w:t>Willey v. Mayer</w:t>
      </w:r>
      <w:r w:rsidR="0011469E" w:rsidRPr="00647CC5">
        <w:rPr>
          <w:rFonts w:eastAsia="Times New Roman"/>
          <w:sz w:val="24"/>
          <w:szCs w:val="24"/>
        </w:rPr>
        <w:t>, 876 P.2d 1260 (Colo. 1994);</w:t>
      </w:r>
      <w:r w:rsidR="0011469E" w:rsidRPr="00647CC5">
        <w:rPr>
          <w:rFonts w:eastAsia="Times New Roman"/>
          <w:b/>
          <w:sz w:val="24"/>
          <w:szCs w:val="24"/>
        </w:rPr>
        <w:t xml:space="preserve"> </w:t>
      </w:r>
      <w:r w:rsidR="0011469E">
        <w:rPr>
          <w:rFonts w:eastAsia="Times New Roman"/>
          <w:b/>
          <w:bCs/>
          <w:sz w:val="24"/>
          <w:szCs w:val="24"/>
        </w:rPr>
        <w:t>Fresquez v. Trinidad Inn, Inc.</w:t>
      </w:r>
      <w:r w:rsidR="0011469E">
        <w:rPr>
          <w:rFonts w:eastAsia="Times New Roman"/>
          <w:sz w:val="24"/>
          <w:szCs w:val="24"/>
        </w:rPr>
        <w:t>, 2022 COA 96, ¶ 21</w:t>
      </w:r>
      <w:r w:rsidR="0000701C">
        <w:rPr>
          <w:rFonts w:eastAsia="Times New Roman"/>
          <w:sz w:val="24"/>
          <w:szCs w:val="24"/>
        </w:rPr>
        <w:t>, 521 P.3d 399</w:t>
      </w:r>
      <w:r w:rsidR="006E6DDB">
        <w:rPr>
          <w:rFonts w:eastAsia="Times New Roman"/>
          <w:sz w:val="24"/>
          <w:szCs w:val="24"/>
        </w:rPr>
        <w:t>.</w:t>
      </w:r>
      <w:r w:rsidR="006E6DDB">
        <w:rPr>
          <w:rFonts w:eastAsia="Times New Roman"/>
          <w:smallCaps/>
          <w:sz w:val="24"/>
          <w:szCs w:val="24"/>
        </w:rPr>
        <w:t xml:space="preserve"> </w:t>
      </w:r>
      <w:r w:rsidR="003C1DF1" w:rsidRPr="00647CC5">
        <w:rPr>
          <w:rFonts w:eastAsia="Times New Roman"/>
          <w:i/>
          <w:sz w:val="24"/>
          <w:szCs w:val="24"/>
        </w:rPr>
        <w:t>See also</w:t>
      </w:r>
      <w:r w:rsidR="003C1DF1" w:rsidRPr="00647CC5">
        <w:rPr>
          <w:rFonts w:eastAsia="Times New Roman"/>
          <w:sz w:val="24"/>
          <w:szCs w:val="24"/>
        </w:rPr>
        <w:t xml:space="preserve"> </w:t>
      </w:r>
      <w:r w:rsidR="00247A98" w:rsidRPr="00647CC5">
        <w:rPr>
          <w:rFonts w:eastAsia="Times New Roman"/>
          <w:smallCaps/>
          <w:sz w:val="24"/>
          <w:szCs w:val="24"/>
        </w:rPr>
        <w:t>Restatement (Third) of Agency</w:t>
      </w:r>
      <w:r w:rsidR="00247A98" w:rsidRPr="00647CC5">
        <w:rPr>
          <w:rFonts w:eastAsia="Times New Roman"/>
          <w:sz w:val="24"/>
          <w:szCs w:val="24"/>
        </w:rPr>
        <w:t xml:space="preserve"> § 2.02(1) (2006) (stating that agent has “actual authority to take action designated or implied in the principal’s manifestations”)</w:t>
      </w:r>
      <w:r w:rsidR="006E6DDB">
        <w:rPr>
          <w:rFonts w:eastAsia="Times New Roman"/>
          <w:sz w:val="24"/>
          <w:szCs w:val="24"/>
        </w:rPr>
        <w:t>.</w:t>
      </w:r>
    </w:p>
    <w:p w14:paraId="097BB94D" w14:textId="55A0B6C9" w:rsidR="00E01A1E" w:rsidRPr="00647CC5" w:rsidRDefault="009231F0" w:rsidP="00E01A1E">
      <w:pPr>
        <w:spacing w:after="240"/>
        <w:ind w:firstLine="720"/>
        <w:rPr>
          <w:rFonts w:eastAsia="Times New Roman"/>
          <w:sz w:val="24"/>
          <w:szCs w:val="24"/>
        </w:rPr>
      </w:pPr>
      <w:r>
        <w:rPr>
          <w:rFonts w:eastAsia="Times New Roman"/>
          <w:sz w:val="24"/>
          <w:szCs w:val="24"/>
        </w:rPr>
        <w:t xml:space="preserve">4. </w:t>
      </w:r>
      <w:r w:rsidR="00771A51" w:rsidRPr="00647CC5">
        <w:rPr>
          <w:rFonts w:eastAsia="Times New Roman"/>
          <w:sz w:val="24"/>
          <w:szCs w:val="24"/>
        </w:rPr>
        <w:t xml:space="preserve">“Implied authority” has also been defined as the authority to do “those acts which are incidental to, or are necessary, usual, and proper to accomplish or perform, the main authority expressly delegated to the agent.” </w:t>
      </w:r>
      <w:r w:rsidR="00771A51" w:rsidRPr="00647CC5">
        <w:rPr>
          <w:rFonts w:eastAsia="Times New Roman"/>
          <w:b/>
          <w:sz w:val="24"/>
          <w:szCs w:val="24"/>
        </w:rPr>
        <w:t>Willey</w:t>
      </w:r>
      <w:r w:rsidR="00771A51" w:rsidRPr="00647CC5">
        <w:rPr>
          <w:rFonts w:eastAsia="Times New Roman"/>
          <w:sz w:val="24"/>
          <w:szCs w:val="24"/>
        </w:rPr>
        <w:t xml:space="preserve">, 876 P.2d </w:t>
      </w:r>
      <w:r w:rsidR="00771A51">
        <w:rPr>
          <w:rFonts w:eastAsia="Times New Roman"/>
          <w:sz w:val="24"/>
          <w:szCs w:val="24"/>
        </w:rPr>
        <w:t>at</w:t>
      </w:r>
      <w:r w:rsidR="00771A51" w:rsidRPr="00647CC5">
        <w:rPr>
          <w:rFonts w:eastAsia="Times New Roman"/>
          <w:sz w:val="24"/>
          <w:szCs w:val="24"/>
        </w:rPr>
        <w:t xml:space="preserve"> 1264; </w:t>
      </w:r>
      <w:r w:rsidR="00771A51" w:rsidRPr="00647CC5">
        <w:rPr>
          <w:rFonts w:eastAsia="Times New Roman"/>
          <w:i/>
          <w:sz w:val="24"/>
          <w:szCs w:val="24"/>
        </w:rPr>
        <w:t xml:space="preserve">see </w:t>
      </w:r>
      <w:r w:rsidR="00771A51" w:rsidRPr="00647CC5">
        <w:rPr>
          <w:rFonts w:eastAsia="Times New Roman"/>
          <w:b/>
          <w:sz w:val="24"/>
          <w:szCs w:val="24"/>
        </w:rPr>
        <w:t>Johnson</w:t>
      </w:r>
      <w:r w:rsidR="00771A51" w:rsidRPr="00647CC5">
        <w:rPr>
          <w:rFonts w:eastAsia="Times New Roman"/>
          <w:sz w:val="24"/>
          <w:szCs w:val="24"/>
        </w:rPr>
        <w:t>, ¶ 22</w:t>
      </w:r>
      <w:r w:rsidR="0090551B">
        <w:rPr>
          <w:rFonts w:eastAsia="Times New Roman"/>
          <w:sz w:val="24"/>
          <w:szCs w:val="24"/>
        </w:rPr>
        <w:t>, 396 P.3d at 656</w:t>
      </w:r>
      <w:r w:rsidR="00771A51" w:rsidRPr="00647CC5">
        <w:rPr>
          <w:rFonts w:eastAsia="Times New Roman"/>
          <w:sz w:val="24"/>
          <w:szCs w:val="24"/>
        </w:rPr>
        <w:t xml:space="preserve">; </w:t>
      </w:r>
      <w:r w:rsidR="00771A51" w:rsidRPr="00647CC5">
        <w:rPr>
          <w:rFonts w:eastAsia="Times New Roman"/>
          <w:b/>
          <w:sz w:val="24"/>
          <w:szCs w:val="24"/>
        </w:rPr>
        <w:t>Villalpando v. Denver Health &amp; Hosp. Auth.</w:t>
      </w:r>
      <w:r w:rsidR="00771A51" w:rsidRPr="00647CC5">
        <w:rPr>
          <w:rFonts w:eastAsia="Times New Roman"/>
          <w:sz w:val="24"/>
          <w:szCs w:val="24"/>
        </w:rPr>
        <w:t xml:space="preserve">, 181 P.3d 357 (Colo. App. 2007); </w:t>
      </w:r>
      <w:r w:rsidR="00771A51" w:rsidRPr="00647CC5">
        <w:rPr>
          <w:rFonts w:eastAsia="Times New Roman"/>
          <w:i/>
          <w:sz w:val="24"/>
          <w:szCs w:val="24"/>
        </w:rPr>
        <w:t>see also</w:t>
      </w:r>
      <w:r w:rsidR="00771A51" w:rsidRPr="00647CC5">
        <w:rPr>
          <w:rFonts w:eastAsia="Times New Roman"/>
          <w:sz w:val="24"/>
          <w:szCs w:val="24"/>
        </w:rPr>
        <w:t xml:space="preserve"> Instruction 8:10.</w:t>
      </w:r>
    </w:p>
    <w:p w14:paraId="252AEE73" w14:textId="513F5C7E" w:rsidR="004C41DD" w:rsidRPr="00561CD9" w:rsidRDefault="009231F0" w:rsidP="004C41DD">
      <w:pPr>
        <w:spacing w:after="240"/>
        <w:ind w:firstLine="720"/>
        <w:rPr>
          <w:rFonts w:eastAsia="Times New Roman"/>
          <w:sz w:val="24"/>
          <w:szCs w:val="24"/>
        </w:rPr>
      </w:pPr>
      <w:r>
        <w:rPr>
          <w:rFonts w:eastAsia="Times New Roman"/>
          <w:sz w:val="24"/>
          <w:szCs w:val="24"/>
        </w:rPr>
        <w:t>5</w:t>
      </w:r>
      <w:r w:rsidR="00FD5ADE">
        <w:rPr>
          <w:rFonts w:eastAsia="Times New Roman"/>
          <w:sz w:val="24"/>
          <w:szCs w:val="24"/>
        </w:rPr>
        <w:t xml:space="preserve">. </w:t>
      </w:r>
      <w:r w:rsidR="004C41DD">
        <w:rPr>
          <w:rFonts w:eastAsia="Times New Roman"/>
          <w:sz w:val="24"/>
          <w:szCs w:val="24"/>
        </w:rPr>
        <w:t xml:space="preserve">“Implied authority is actual authority circumstantially proved.” </w:t>
      </w:r>
      <w:r w:rsidR="004C41DD">
        <w:rPr>
          <w:rFonts w:eastAsia="Times New Roman"/>
          <w:b/>
          <w:bCs/>
          <w:sz w:val="24"/>
          <w:szCs w:val="24"/>
        </w:rPr>
        <w:t>Trinidad</w:t>
      </w:r>
      <w:r w:rsidR="004C41DD">
        <w:rPr>
          <w:rFonts w:eastAsia="Times New Roman"/>
          <w:sz w:val="24"/>
          <w:szCs w:val="24"/>
        </w:rPr>
        <w:t xml:space="preserve">, ¶ 21; </w:t>
      </w:r>
      <w:r w:rsidR="004C41DD" w:rsidRPr="002D5677">
        <w:rPr>
          <w:rFonts w:eastAsia="Times New Roman"/>
          <w:i/>
          <w:iCs/>
          <w:sz w:val="24"/>
          <w:szCs w:val="24"/>
        </w:rPr>
        <w:t>accord</w:t>
      </w:r>
      <w:r w:rsidR="004C41DD">
        <w:rPr>
          <w:rFonts w:eastAsia="Times New Roman"/>
          <w:sz w:val="24"/>
          <w:szCs w:val="24"/>
        </w:rPr>
        <w:t xml:space="preserve"> </w:t>
      </w:r>
      <w:r w:rsidR="004C41DD">
        <w:rPr>
          <w:rFonts w:eastAsia="Times New Roman"/>
          <w:b/>
          <w:bCs/>
          <w:sz w:val="24"/>
          <w:szCs w:val="24"/>
        </w:rPr>
        <w:t>Citywide Banks</w:t>
      </w:r>
      <w:r w:rsidR="004C41DD">
        <w:rPr>
          <w:rFonts w:eastAsia="Times New Roman"/>
          <w:sz w:val="24"/>
          <w:szCs w:val="24"/>
        </w:rPr>
        <w:t>, 313 P.3d at 652.</w:t>
      </w:r>
    </w:p>
    <w:p w14:paraId="6A8067BB" w14:textId="077158BA" w:rsidR="00E01A1E" w:rsidRPr="00647CC5" w:rsidRDefault="009231F0" w:rsidP="004C41DD">
      <w:pPr>
        <w:spacing w:after="240"/>
        <w:ind w:firstLine="720"/>
        <w:rPr>
          <w:rFonts w:eastAsia="Times New Roman"/>
          <w:sz w:val="24"/>
          <w:szCs w:val="24"/>
        </w:rPr>
      </w:pPr>
      <w:r>
        <w:rPr>
          <w:rFonts w:eastAsia="Times New Roman"/>
          <w:sz w:val="24"/>
          <w:szCs w:val="24"/>
        </w:rPr>
        <w:t>6</w:t>
      </w:r>
      <w:r w:rsidR="00FD5ADE">
        <w:rPr>
          <w:rFonts w:eastAsia="Times New Roman"/>
          <w:sz w:val="24"/>
          <w:szCs w:val="24"/>
        </w:rPr>
        <w:t xml:space="preserve">. </w:t>
      </w:r>
      <w:r w:rsidR="00771A51" w:rsidRPr="00647CC5">
        <w:rPr>
          <w:rFonts w:eastAsia="Times New Roman"/>
          <w:sz w:val="24"/>
          <w:szCs w:val="24"/>
        </w:rPr>
        <w:t>A co-named insured on</w:t>
      </w:r>
      <w:r w:rsidR="00CF7AE3">
        <w:rPr>
          <w:rFonts w:eastAsia="Times New Roman"/>
          <w:sz w:val="24"/>
          <w:szCs w:val="24"/>
        </w:rPr>
        <w:t xml:space="preserve"> an</w:t>
      </w:r>
      <w:r w:rsidR="00771A51" w:rsidRPr="00647CC5">
        <w:rPr>
          <w:rFonts w:eastAsia="Times New Roman"/>
          <w:sz w:val="24"/>
          <w:szCs w:val="24"/>
        </w:rPr>
        <w:t xml:space="preserve"> automobile insurance policy has implied authority to waive UM/UIM benefits as result of express authority to purchase </w:t>
      </w:r>
      <w:r w:rsidR="00CF7AE3">
        <w:rPr>
          <w:rFonts w:eastAsia="Times New Roman"/>
          <w:sz w:val="24"/>
          <w:szCs w:val="24"/>
        </w:rPr>
        <w:t xml:space="preserve">the </w:t>
      </w:r>
      <w:r w:rsidR="00771A51" w:rsidRPr="00647CC5">
        <w:rPr>
          <w:rFonts w:eastAsia="Times New Roman"/>
          <w:sz w:val="24"/>
          <w:szCs w:val="24"/>
        </w:rPr>
        <w:t xml:space="preserve">insurance policy on behalf of </w:t>
      </w:r>
      <w:r w:rsidR="00CF7AE3">
        <w:rPr>
          <w:rFonts w:eastAsia="Times New Roman"/>
          <w:sz w:val="24"/>
          <w:szCs w:val="24"/>
        </w:rPr>
        <w:t xml:space="preserve">another </w:t>
      </w:r>
      <w:r w:rsidR="00771A51" w:rsidRPr="00647CC5">
        <w:rPr>
          <w:rFonts w:eastAsia="Times New Roman"/>
          <w:sz w:val="24"/>
          <w:szCs w:val="24"/>
        </w:rPr>
        <w:t xml:space="preserve">co-named insured. </w:t>
      </w:r>
      <w:r w:rsidR="00771A51" w:rsidRPr="00647CC5">
        <w:rPr>
          <w:rFonts w:eastAsia="Times New Roman"/>
          <w:b/>
          <w:sz w:val="24"/>
          <w:szCs w:val="24"/>
        </w:rPr>
        <w:t>Johnson</w:t>
      </w:r>
      <w:r w:rsidR="00771A51" w:rsidRPr="00647CC5">
        <w:rPr>
          <w:rFonts w:eastAsia="Times New Roman"/>
          <w:sz w:val="24"/>
          <w:szCs w:val="24"/>
        </w:rPr>
        <w:t>, ¶¶ 22-24</w:t>
      </w:r>
      <w:r w:rsidR="0090551B">
        <w:rPr>
          <w:rFonts w:eastAsia="Times New Roman"/>
          <w:sz w:val="24"/>
          <w:szCs w:val="24"/>
        </w:rPr>
        <w:t>, 396 P.3d at 656</w:t>
      </w:r>
      <w:r w:rsidR="00771A51" w:rsidRPr="00647CC5">
        <w:rPr>
          <w:rFonts w:eastAsia="Times New Roman"/>
          <w:sz w:val="24"/>
          <w:szCs w:val="24"/>
        </w:rPr>
        <w:t>.</w:t>
      </w:r>
    </w:p>
    <w:p w14:paraId="5B1869F1" w14:textId="22657D09" w:rsidR="00E01A1E" w:rsidRDefault="009231F0" w:rsidP="00E01A1E">
      <w:pPr>
        <w:spacing w:after="240"/>
        <w:ind w:firstLine="720"/>
        <w:rPr>
          <w:rFonts w:eastAsia="Times New Roman"/>
          <w:sz w:val="24"/>
          <w:szCs w:val="24"/>
        </w:rPr>
      </w:pPr>
      <w:r>
        <w:rPr>
          <w:rFonts w:eastAsia="Times New Roman"/>
          <w:sz w:val="24"/>
          <w:szCs w:val="24"/>
        </w:rPr>
        <w:t>7</w:t>
      </w:r>
      <w:r w:rsidR="00771A51" w:rsidRPr="00647CC5">
        <w:rPr>
          <w:rFonts w:eastAsia="Times New Roman"/>
          <w:sz w:val="24"/>
          <w:szCs w:val="24"/>
        </w:rPr>
        <w:t xml:space="preserve">. The Third Restatement provides that an agent’s interpretation of the principal’s manifestations must be reasonable. </w:t>
      </w:r>
      <w:r w:rsidR="00771A51" w:rsidRPr="00647CC5">
        <w:rPr>
          <w:rFonts w:eastAsia="Times New Roman"/>
          <w:smallCaps/>
          <w:sz w:val="24"/>
          <w:szCs w:val="24"/>
        </w:rPr>
        <w:t>Restatement (Third) of Agency</w:t>
      </w:r>
      <w:r w:rsidR="00771A51" w:rsidRPr="00647CC5">
        <w:rPr>
          <w:rFonts w:eastAsia="Times New Roman"/>
          <w:sz w:val="24"/>
          <w:szCs w:val="24"/>
        </w:rPr>
        <w:t xml:space="preserve"> § 2.02(2), (3) (2006).</w:t>
      </w:r>
    </w:p>
    <w:p w14:paraId="52A529CD" w14:textId="77777777" w:rsidR="00E01A1E" w:rsidRDefault="00771A51">
      <w:pPr>
        <w:rPr>
          <w:rFonts w:eastAsia="Times New Roman"/>
          <w:sz w:val="24"/>
          <w:szCs w:val="24"/>
        </w:rPr>
      </w:pPr>
      <w:r>
        <w:rPr>
          <w:rFonts w:eastAsia="Times New Roman"/>
          <w:sz w:val="24"/>
          <w:szCs w:val="24"/>
        </w:rPr>
        <w:br w:type="page"/>
      </w:r>
    </w:p>
    <w:p w14:paraId="254182DA" w14:textId="77777777" w:rsidR="00E01A1E" w:rsidRPr="009E3DA4" w:rsidRDefault="00771A51" w:rsidP="00E01A1E">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5D45B5D1" w14:textId="77777777" w:rsidR="00E01A1E" w:rsidRPr="00D8125F" w:rsidRDefault="00771A51" w:rsidP="00E01A1E">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565CFDD9" w14:textId="77777777" w:rsidR="00E01A1E" w:rsidRDefault="00E01A1E" w:rsidP="00E01A1E">
      <w:pPr>
        <w:jc w:val="center"/>
        <w:rPr>
          <w:rFonts w:eastAsia="Times New Roman"/>
          <w:sz w:val="24"/>
          <w:szCs w:val="24"/>
        </w:rPr>
      </w:pPr>
    </w:p>
    <w:p w14:paraId="48834F6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08975D5"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647A69A8"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473446D8"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B8EAD20" w14:textId="157DC37F"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sidR="004C41DD">
        <w:rPr>
          <w:rFonts w:eastAsia="Times New Roman"/>
          <w:sz w:val="24"/>
          <w:szCs w:val="24"/>
        </w:rPr>
        <w:t>;</w:t>
      </w:r>
      <w:r w:rsidR="004C41DD" w:rsidRPr="004C41DD">
        <w:rPr>
          <w:rFonts w:eastAsia="Times New Roman"/>
          <w:b/>
          <w:bCs/>
          <w:sz w:val="24"/>
          <w:szCs w:val="24"/>
        </w:rPr>
        <w:t xml:space="preserve"> </w:t>
      </w:r>
      <w:r w:rsidR="00D43091">
        <w:rPr>
          <w:rFonts w:eastAsia="Times New Roman"/>
          <w:b/>
          <w:bCs/>
          <w:sz w:val="24"/>
          <w:szCs w:val="24"/>
        </w:rPr>
        <w:t>Craig Hospital v. Blue Cross Blue Shield</w:t>
      </w:r>
      <w:r w:rsidR="00D43091">
        <w:rPr>
          <w:rFonts w:eastAsia="Times New Roman"/>
          <w:sz w:val="24"/>
          <w:szCs w:val="24"/>
        </w:rPr>
        <w:t>, 2024 COA 74, ¶ 27</w:t>
      </w:r>
      <w:r w:rsidR="00BD66D5">
        <w:rPr>
          <w:rFonts w:eastAsia="Times New Roman"/>
          <w:sz w:val="24"/>
          <w:szCs w:val="24"/>
        </w:rPr>
        <w:t xml:space="preserve"> (“An agent acts with apparent authority when a third party reasonably believes that the agent has authority to act on the principal’s behalf.”)</w:t>
      </w:r>
      <w:r w:rsidR="00D43091">
        <w:rPr>
          <w:rFonts w:eastAsia="Times New Roman"/>
          <w:sz w:val="24"/>
          <w:szCs w:val="24"/>
        </w:rPr>
        <w:t>;</w:t>
      </w:r>
      <w:r w:rsidR="00D43091">
        <w:rPr>
          <w:rFonts w:eastAsia="Times New Roman"/>
          <w:b/>
          <w:bCs/>
          <w:sz w:val="24"/>
          <w:szCs w:val="24"/>
        </w:rPr>
        <w:t xml:space="preserve"> </w:t>
      </w:r>
      <w:r w:rsidR="004C41DD">
        <w:rPr>
          <w:rFonts w:eastAsia="Times New Roman"/>
          <w:b/>
          <w:bCs/>
          <w:sz w:val="24"/>
          <w:szCs w:val="24"/>
        </w:rPr>
        <w:t>Fresquez v. Trinidad Inn, Inc.</w:t>
      </w:r>
      <w:r w:rsidR="004C41DD">
        <w:rPr>
          <w:rFonts w:eastAsia="Times New Roman"/>
          <w:sz w:val="24"/>
          <w:szCs w:val="24"/>
        </w:rPr>
        <w:t>, 2022 COA 96, ¶ 25</w:t>
      </w:r>
      <w:r w:rsidR="0000701C">
        <w:rPr>
          <w:rFonts w:eastAsia="Times New Roman"/>
          <w:sz w:val="24"/>
          <w:szCs w:val="24"/>
        </w:rPr>
        <w:t>, 521 P.3d 399, 406</w:t>
      </w:r>
      <w:r w:rsidR="004C41DD">
        <w:rPr>
          <w:rFonts w:eastAsia="Times New Roman"/>
          <w:sz w:val="24"/>
          <w:szCs w:val="24"/>
        </w:rPr>
        <w:t xml:space="preserve"> (“A</w:t>
      </w:r>
      <w:r w:rsidR="004C41DD" w:rsidRPr="007A1FAF">
        <w:rPr>
          <w:rFonts w:eastAsia="Times New Roman"/>
          <w:sz w:val="24"/>
          <w:szCs w:val="24"/>
        </w:rPr>
        <w:t>pparent authority is the power held by an agent or other actor to affect a principal</w:t>
      </w:r>
      <w:r w:rsidR="004C41DD">
        <w:rPr>
          <w:rFonts w:eastAsia="Times New Roman"/>
          <w:sz w:val="24"/>
          <w:szCs w:val="24"/>
        </w:rPr>
        <w:t>’</w:t>
      </w:r>
      <w:r w:rsidR="004C41DD" w:rsidRPr="007A1FAF">
        <w:rPr>
          <w:rFonts w:eastAsia="Times New Roman"/>
          <w:sz w:val="24"/>
          <w:szCs w:val="24"/>
        </w:rPr>
        <w:t>s legal relations with third parties when a third party reasonably believes the actor has authority to act on behalf of the principal and that belief is traceable to the principal</w:t>
      </w:r>
      <w:r w:rsidR="004C41DD">
        <w:rPr>
          <w:rFonts w:eastAsia="Times New Roman"/>
          <w:sz w:val="24"/>
          <w:szCs w:val="24"/>
        </w:rPr>
        <w:t>’</w:t>
      </w:r>
      <w:r w:rsidR="004C41DD" w:rsidRPr="007A1FAF">
        <w:rPr>
          <w:rFonts w:eastAsia="Times New Roman"/>
          <w:sz w:val="24"/>
          <w:szCs w:val="24"/>
        </w:rPr>
        <w:t>s manifestations.”</w:t>
      </w:r>
      <w:r w:rsidR="004C41DD">
        <w:rPr>
          <w:rFonts w:eastAsia="Times New Roman"/>
          <w:sz w:val="24"/>
          <w:szCs w:val="24"/>
        </w:rPr>
        <w:t xml:space="preserve"> (citing </w:t>
      </w:r>
      <w:r w:rsidR="004C41DD" w:rsidRPr="00D30D15">
        <w:rPr>
          <w:rFonts w:eastAsia="Times New Roman"/>
          <w:smallCaps/>
          <w:sz w:val="24"/>
          <w:szCs w:val="24"/>
        </w:rPr>
        <w:t>Restatement (Third) of Agency</w:t>
      </w:r>
      <w:r w:rsidR="004C41DD">
        <w:rPr>
          <w:rFonts w:eastAsia="Times New Roman"/>
          <w:sz w:val="24"/>
          <w:szCs w:val="24"/>
        </w:rPr>
        <w:t xml:space="preserve"> § 2.03)</w:t>
      </w:r>
      <w:r w:rsidR="00C5367C">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Wilson v. Mosko</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r w:rsidRPr="00D8125F">
        <w:rPr>
          <w:rFonts w:eastAsia="Times New Roman"/>
          <w:b/>
          <w:sz w:val="24"/>
          <w:szCs w:val="24"/>
        </w:rPr>
        <w:t>Burck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Russell v. First Am</w:t>
      </w:r>
      <w:r>
        <w:rPr>
          <w:rFonts w:eastAsia="Times New Roman"/>
          <w:b/>
          <w:sz w:val="24"/>
          <w:szCs w:val="24"/>
        </w:rPr>
        <w:t>.</w:t>
      </w:r>
      <w:r w:rsidRPr="00D8125F">
        <w:rPr>
          <w:rFonts w:eastAsia="Times New Roman"/>
          <w:b/>
          <w:sz w:val="24"/>
          <w:szCs w:val="24"/>
        </w:rPr>
        <w:t xml:space="preserve"> Mortg</w:t>
      </w:r>
      <w:r>
        <w:rPr>
          <w:rFonts w:eastAsia="Times New Roman"/>
          <w:b/>
          <w:sz w:val="24"/>
          <w:szCs w:val="24"/>
        </w:rPr>
        <w:t>.</w:t>
      </w:r>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555B0758" w14:textId="3AB7F20D" w:rsidR="00C5367C" w:rsidRPr="00CE36BC" w:rsidRDefault="00771A51" w:rsidP="00C5367C">
      <w:pPr>
        <w:spacing w:after="240"/>
        <w:ind w:firstLine="720"/>
        <w:rPr>
          <w:rFonts w:eastAsia="Times New Roman"/>
          <w:sz w:val="24"/>
          <w:szCs w:val="24"/>
        </w:rPr>
      </w:pPr>
      <w:r w:rsidRPr="00D8125F">
        <w:rPr>
          <w:rFonts w:eastAsia="Times New Roman"/>
          <w:sz w:val="24"/>
          <w:szCs w:val="24"/>
        </w:rPr>
        <w:t xml:space="preserve">2. </w:t>
      </w:r>
      <w:r w:rsidR="00C5367C">
        <w:rPr>
          <w:rFonts w:eastAsia="Times New Roman"/>
          <w:sz w:val="24"/>
          <w:szCs w:val="24"/>
        </w:rPr>
        <w:t xml:space="preserve">Apparent authority is “established by proof of written or spoken words or other conduct of the principal which, reasonably interpreted, causes a person to believe that the principal consents to have the act done on his behalf by a person purporting to act for him.” </w:t>
      </w:r>
      <w:r w:rsidR="00C5367C">
        <w:rPr>
          <w:rFonts w:eastAsia="Times New Roman"/>
          <w:b/>
          <w:bCs/>
          <w:sz w:val="24"/>
          <w:szCs w:val="24"/>
        </w:rPr>
        <w:t>Fresquez</w:t>
      </w:r>
      <w:r w:rsidR="00C5367C">
        <w:rPr>
          <w:rFonts w:eastAsia="Times New Roman"/>
          <w:sz w:val="24"/>
          <w:szCs w:val="24"/>
        </w:rPr>
        <w:t xml:space="preserve">, ¶ 25 (quoting </w:t>
      </w:r>
      <w:r w:rsidR="00C5367C" w:rsidRPr="00647CC5">
        <w:rPr>
          <w:rFonts w:eastAsia="Times New Roman"/>
          <w:b/>
          <w:sz w:val="24"/>
          <w:szCs w:val="24"/>
        </w:rPr>
        <w:t>Villalpando v. Denver Health &amp; Hosp. Auth.</w:t>
      </w:r>
      <w:r w:rsidR="00C5367C" w:rsidRPr="00647CC5">
        <w:rPr>
          <w:rFonts w:eastAsia="Times New Roman"/>
          <w:sz w:val="24"/>
          <w:szCs w:val="24"/>
        </w:rPr>
        <w:t>, 181 P.3d 357</w:t>
      </w:r>
      <w:r w:rsidR="00C5367C">
        <w:rPr>
          <w:rFonts w:eastAsia="Times New Roman"/>
          <w:sz w:val="24"/>
          <w:szCs w:val="24"/>
        </w:rPr>
        <w:t>, 363</w:t>
      </w:r>
      <w:r w:rsidR="00C5367C" w:rsidRPr="00647CC5">
        <w:rPr>
          <w:rFonts w:eastAsia="Times New Roman"/>
          <w:sz w:val="24"/>
          <w:szCs w:val="24"/>
        </w:rPr>
        <w:t xml:space="preserve"> (Colo. App. 2007)</w:t>
      </w:r>
      <w:r w:rsidR="00C5367C">
        <w:rPr>
          <w:rFonts w:eastAsia="Times New Roman"/>
          <w:sz w:val="24"/>
          <w:szCs w:val="24"/>
        </w:rPr>
        <w:t xml:space="preserve">). </w:t>
      </w:r>
    </w:p>
    <w:p w14:paraId="6B948A9A" w14:textId="20358CDE" w:rsidR="00E01A1E" w:rsidRPr="00D8125F" w:rsidRDefault="00C5367C" w:rsidP="00C5367C">
      <w:pPr>
        <w:spacing w:after="240"/>
        <w:ind w:firstLine="720"/>
        <w:rPr>
          <w:rFonts w:eastAsia="Times New Roman"/>
          <w:sz w:val="24"/>
          <w:szCs w:val="24"/>
        </w:rPr>
      </w:pPr>
      <w:r>
        <w:rPr>
          <w:rFonts w:eastAsia="Times New Roman"/>
          <w:sz w:val="24"/>
          <w:szCs w:val="24"/>
        </w:rPr>
        <w:lastRenderedPageBreak/>
        <w:t xml:space="preserve">3. </w:t>
      </w:r>
      <w:r w:rsidR="00771A51" w:rsidRPr="00D8125F">
        <w:rPr>
          <w:rFonts w:eastAsia="Times New Roman"/>
          <w:sz w:val="24"/>
          <w:szCs w:val="24"/>
        </w:rPr>
        <w:t xml:space="preserve">For a general historical discussion of apparent authority and the typical situations in which it may exist, see </w:t>
      </w:r>
      <w:r w:rsidR="00771A51" w:rsidRPr="00D8125F">
        <w:rPr>
          <w:rFonts w:eastAsia="Times New Roman"/>
          <w:smallCaps/>
          <w:sz w:val="24"/>
          <w:szCs w:val="24"/>
        </w:rPr>
        <w:t>W. Seavey, Agency</w:t>
      </w:r>
      <w:r w:rsidR="00771A51" w:rsidRPr="00D8125F">
        <w:rPr>
          <w:rFonts w:eastAsia="Times New Roman"/>
          <w:sz w:val="24"/>
          <w:szCs w:val="24"/>
        </w:rPr>
        <w:t xml:space="preserve"> § 8, at 13-14 (1964); </w:t>
      </w:r>
      <w:r w:rsidR="00771A51" w:rsidRPr="00D8125F">
        <w:rPr>
          <w:rFonts w:eastAsia="Times New Roman"/>
          <w:smallCaps/>
          <w:sz w:val="24"/>
          <w:szCs w:val="24"/>
        </w:rPr>
        <w:t>P. Mechem, Outlines of the Law of Agency</w:t>
      </w:r>
      <w:r w:rsidR="00771A51" w:rsidRPr="00D8125F">
        <w:rPr>
          <w:rFonts w:eastAsia="Times New Roman"/>
          <w:sz w:val="24"/>
          <w:szCs w:val="24"/>
        </w:rPr>
        <w:t xml:space="preserve"> §§ 84-95 (4th ed. 1952).</w:t>
      </w:r>
    </w:p>
    <w:p w14:paraId="3C9617F4" w14:textId="14B9C854" w:rsidR="00E01A1E" w:rsidRPr="00D8125F" w:rsidRDefault="00C5367C" w:rsidP="00E01A1E">
      <w:pPr>
        <w:spacing w:after="240"/>
        <w:ind w:firstLine="720"/>
        <w:rPr>
          <w:rFonts w:eastAsia="Times New Roman"/>
          <w:sz w:val="24"/>
          <w:szCs w:val="24"/>
        </w:rPr>
      </w:pPr>
      <w:r>
        <w:rPr>
          <w:rFonts w:eastAsia="Times New Roman"/>
          <w:sz w:val="24"/>
          <w:szCs w:val="24"/>
        </w:rPr>
        <w:t>4</w:t>
      </w:r>
      <w:r w:rsidR="00771A51" w:rsidRPr="00D8125F">
        <w:rPr>
          <w:rFonts w:eastAsia="Times New Roman"/>
          <w:sz w:val="24"/>
          <w:szCs w:val="24"/>
        </w:rPr>
        <w:t>. For the distinction between apparent and implied authority, see</w:t>
      </w:r>
      <w:r w:rsidR="00771A51" w:rsidRPr="00D8125F">
        <w:rPr>
          <w:rFonts w:eastAsia="Times New Roman"/>
          <w:i/>
          <w:sz w:val="24"/>
          <w:szCs w:val="24"/>
        </w:rPr>
        <w:t xml:space="preserve"> </w:t>
      </w:r>
      <w:r w:rsidR="00771A51" w:rsidRPr="00D8125F">
        <w:rPr>
          <w:rFonts w:eastAsia="Times New Roman"/>
          <w:b/>
          <w:sz w:val="24"/>
          <w:szCs w:val="24"/>
        </w:rPr>
        <w:t>Johnson</w:t>
      </w:r>
      <w:r w:rsidR="00771A51" w:rsidRPr="00D8125F">
        <w:rPr>
          <w:rFonts w:eastAsia="Times New Roman"/>
          <w:sz w:val="24"/>
          <w:szCs w:val="24"/>
        </w:rPr>
        <w:t>, ¶¶ 20-22</w:t>
      </w:r>
      <w:r w:rsidR="0090551B">
        <w:rPr>
          <w:rFonts w:eastAsia="Times New Roman"/>
          <w:sz w:val="24"/>
          <w:szCs w:val="24"/>
        </w:rPr>
        <w:t>, 396 P.3d at 656</w:t>
      </w:r>
      <w:r w:rsidR="00771A51" w:rsidRPr="00D8125F">
        <w:rPr>
          <w:rFonts w:eastAsia="Times New Roman"/>
          <w:sz w:val="24"/>
          <w:szCs w:val="24"/>
        </w:rPr>
        <w:t xml:space="preserve">; </w:t>
      </w:r>
      <w:r w:rsidR="00771A51" w:rsidRPr="00D8125F">
        <w:rPr>
          <w:rFonts w:eastAsia="Times New Roman"/>
          <w:b/>
          <w:sz w:val="24"/>
          <w:szCs w:val="24"/>
        </w:rPr>
        <w:t>Moore v. Switzer</w:t>
      </w:r>
      <w:r w:rsidR="00771A51" w:rsidRPr="00D8125F">
        <w:rPr>
          <w:rFonts w:eastAsia="Times New Roman"/>
          <w:sz w:val="24"/>
          <w:szCs w:val="24"/>
        </w:rPr>
        <w:t xml:space="preserve">, 78 Colo. 63, 239 P. 874 (1925); </w:t>
      </w:r>
      <w:r w:rsidR="00771A51">
        <w:rPr>
          <w:rFonts w:eastAsia="Times New Roman"/>
          <w:sz w:val="24"/>
          <w:szCs w:val="24"/>
        </w:rPr>
        <w:t xml:space="preserve">and </w:t>
      </w:r>
      <w:r w:rsidR="00771A51" w:rsidRPr="00D8125F">
        <w:rPr>
          <w:rFonts w:eastAsia="Times New Roman"/>
          <w:b/>
          <w:sz w:val="24"/>
          <w:szCs w:val="24"/>
        </w:rPr>
        <w:t>Sigel-Campion Live Stock Commc’n Co. v. Ardohain</w:t>
      </w:r>
      <w:r w:rsidR="00771A51" w:rsidRPr="00D8125F">
        <w:rPr>
          <w:rFonts w:eastAsia="Times New Roman"/>
          <w:sz w:val="24"/>
          <w:szCs w:val="24"/>
        </w:rPr>
        <w:t>, 71 Colo. 410, 207 P. 82 (1922) (awareness of, and reliance on, a “holding out” by the principal required for apparent authority).</w:t>
      </w:r>
    </w:p>
    <w:p w14:paraId="6521B598" w14:textId="3646F8A9" w:rsidR="00E01A1E" w:rsidRPr="00D8125F" w:rsidRDefault="00C5367C" w:rsidP="00E01A1E">
      <w:pPr>
        <w:spacing w:after="240"/>
        <w:ind w:firstLine="720"/>
        <w:rPr>
          <w:rFonts w:eastAsia="Times New Roman"/>
          <w:sz w:val="24"/>
          <w:szCs w:val="24"/>
        </w:rPr>
      </w:pPr>
      <w:r>
        <w:rPr>
          <w:rFonts w:eastAsia="Times New Roman"/>
          <w:sz w:val="24"/>
          <w:szCs w:val="24"/>
        </w:rPr>
        <w:t>5</w:t>
      </w:r>
      <w:r w:rsidR="00771A51" w:rsidRPr="00D8125F">
        <w:rPr>
          <w:rFonts w:eastAsia="Times New Roman"/>
          <w:sz w:val="24"/>
          <w:szCs w:val="24"/>
        </w:rPr>
        <w:t xml:space="preserve">. Where a third party has dealt with an agent and has established the existence of apparent authority, it is incumbent upon the principal who seeks to escape liability for the agent’s actions to show that the third party had knowledge or was charged with notice that the agent was acting beyond the scope of the agent’s authority. </w:t>
      </w:r>
      <w:r w:rsidR="00771A51" w:rsidRPr="00D8125F">
        <w:rPr>
          <w:rFonts w:eastAsia="Times New Roman"/>
          <w:b/>
          <w:sz w:val="24"/>
          <w:szCs w:val="24"/>
        </w:rPr>
        <w:t>Bowser</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 xml:space="preserve">112 Colo. at 379-80, 149 P.2d at 803; </w:t>
      </w:r>
      <w:r w:rsidR="00771A51" w:rsidRPr="00D8125F">
        <w:rPr>
          <w:rFonts w:eastAsia="Times New Roman"/>
          <w:b/>
          <w:sz w:val="24"/>
          <w:szCs w:val="24"/>
        </w:rPr>
        <w:t>Zambruk v. Perlmutter 3rd Generation Builders, Inc.</w:t>
      </w:r>
      <w:r w:rsidR="00771A51" w:rsidRPr="00D8125F">
        <w:rPr>
          <w:rFonts w:eastAsia="Times New Roman"/>
          <w:sz w:val="24"/>
          <w:szCs w:val="24"/>
        </w:rPr>
        <w:t>, 32 Colo. App. 276, 510 P.2d 472 (1973)</w:t>
      </w:r>
      <w:r w:rsidR="00771A51">
        <w:rPr>
          <w:rFonts w:eastAsia="Times New Roman"/>
          <w:sz w:val="24"/>
          <w:szCs w:val="24"/>
        </w:rPr>
        <w:t>;</w:t>
      </w:r>
      <w:r w:rsidR="00771A51" w:rsidRPr="00D8125F">
        <w:rPr>
          <w:rFonts w:eastAsia="Times New Roman"/>
          <w:sz w:val="24"/>
          <w:szCs w:val="24"/>
        </w:rPr>
        <w:t xml:space="preserve"> </w:t>
      </w:r>
      <w:r w:rsidR="00771A51">
        <w:rPr>
          <w:rFonts w:eastAsia="Times New Roman"/>
          <w:i/>
          <w:sz w:val="24"/>
          <w:szCs w:val="24"/>
        </w:rPr>
        <w:t>s</w:t>
      </w:r>
      <w:r w:rsidR="00771A51" w:rsidRPr="00D8125F">
        <w:rPr>
          <w:rFonts w:eastAsia="Times New Roman"/>
          <w:i/>
          <w:sz w:val="24"/>
          <w:szCs w:val="24"/>
        </w:rPr>
        <w:t>ee also</w:t>
      </w:r>
      <w:r w:rsidR="00771A51" w:rsidRPr="00D8125F">
        <w:rPr>
          <w:rFonts w:eastAsia="Times New Roman"/>
          <w:sz w:val="24"/>
          <w:szCs w:val="24"/>
        </w:rPr>
        <w:t xml:space="preserve"> </w:t>
      </w:r>
      <w:r w:rsidR="00771A51" w:rsidRPr="00D8125F">
        <w:rPr>
          <w:rFonts w:eastAsia="Times New Roman"/>
          <w:b/>
          <w:sz w:val="24"/>
          <w:szCs w:val="24"/>
        </w:rPr>
        <w:t>White v. Brock</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41 Colo. App. 156, 584 P.2d 1224 (1978).</w:t>
      </w:r>
    </w:p>
    <w:p w14:paraId="59406CC5" w14:textId="5BBE436F" w:rsidR="00E01A1E" w:rsidRPr="00D8125F" w:rsidRDefault="00C5367C" w:rsidP="00E01A1E">
      <w:pPr>
        <w:spacing w:after="240"/>
        <w:ind w:firstLine="720"/>
        <w:rPr>
          <w:rFonts w:eastAsia="Times New Roman"/>
          <w:sz w:val="24"/>
          <w:szCs w:val="24"/>
        </w:rPr>
      </w:pPr>
      <w:r>
        <w:rPr>
          <w:rFonts w:eastAsia="Times New Roman"/>
          <w:sz w:val="24"/>
          <w:szCs w:val="24"/>
        </w:rPr>
        <w:t>6</w:t>
      </w:r>
      <w:r w:rsidR="00771A51" w:rsidRPr="003D4122">
        <w:rPr>
          <w:rFonts w:eastAsia="Times New Roman"/>
          <w:sz w:val="24"/>
          <w:szCs w:val="24"/>
        </w:rPr>
        <w:t xml:space="preserve">. The </w:t>
      </w:r>
      <w:r w:rsidR="00771A51" w:rsidRPr="003D4122">
        <w:rPr>
          <w:rFonts w:eastAsia="Times New Roman"/>
          <w:smallCaps/>
          <w:sz w:val="24"/>
          <w:szCs w:val="24"/>
        </w:rPr>
        <w:t>Restatement (Second) of Torts</w:t>
      </w:r>
      <w:r w:rsidR="00771A51"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00771A51" w:rsidRPr="003D4122">
        <w:rPr>
          <w:rFonts w:eastAsia="Times New Roman"/>
          <w:b/>
          <w:sz w:val="24"/>
          <w:szCs w:val="24"/>
        </w:rPr>
        <w:t>Grease Monkey International, Inc. v. Montoya</w:t>
      </w:r>
      <w:r w:rsidR="00771A51" w:rsidRPr="003D4122">
        <w:rPr>
          <w:rFonts w:eastAsia="Times New Roman"/>
          <w:sz w:val="24"/>
          <w:szCs w:val="24"/>
        </w:rPr>
        <w:t>,</w:t>
      </w:r>
      <w:r w:rsidR="00771A51" w:rsidRPr="003D4122">
        <w:rPr>
          <w:rFonts w:eastAsia="Times New Roman"/>
          <w:b/>
          <w:sz w:val="24"/>
          <w:szCs w:val="24"/>
        </w:rPr>
        <w:t xml:space="preserve"> </w:t>
      </w:r>
      <w:r w:rsidR="00771A51"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1799B8A1" w14:textId="5480479B" w:rsidR="00E01A1E" w:rsidRDefault="00C5367C" w:rsidP="00E01A1E">
      <w:pPr>
        <w:spacing w:after="240"/>
        <w:ind w:firstLine="720"/>
        <w:rPr>
          <w:rFonts w:eastAsia="Times New Roman"/>
          <w:sz w:val="24"/>
          <w:szCs w:val="24"/>
        </w:rPr>
      </w:pPr>
      <w:r>
        <w:rPr>
          <w:rFonts w:eastAsia="Times New Roman"/>
          <w:sz w:val="24"/>
          <w:szCs w:val="24"/>
        </w:rPr>
        <w:t>7</w:t>
      </w:r>
      <w:r w:rsidR="00771A51" w:rsidRPr="00D8125F">
        <w:rPr>
          <w:rFonts w:eastAsia="Times New Roman"/>
          <w:sz w:val="24"/>
          <w:szCs w:val="24"/>
        </w:rPr>
        <w:t xml:space="preserve">. “Apparent authority thus flows only from the acts and conduct of the principal.” </w:t>
      </w:r>
      <w:r w:rsidR="00771A51" w:rsidRPr="00D8125F">
        <w:rPr>
          <w:rFonts w:eastAsia="Times New Roman"/>
          <w:b/>
          <w:sz w:val="24"/>
          <w:szCs w:val="24"/>
        </w:rPr>
        <w:t>Johnson</w:t>
      </w:r>
      <w:r w:rsidR="00771A51" w:rsidRPr="00D8125F">
        <w:rPr>
          <w:rFonts w:eastAsia="Times New Roman"/>
          <w:sz w:val="24"/>
          <w:szCs w:val="24"/>
        </w:rPr>
        <w:t>, ¶ 20</w:t>
      </w:r>
      <w:r w:rsidR="0090551B">
        <w:rPr>
          <w:rFonts w:eastAsia="Times New Roman"/>
          <w:sz w:val="24"/>
          <w:szCs w:val="24"/>
        </w:rPr>
        <w:t>, 396 P.3d at 656</w:t>
      </w:r>
      <w:r w:rsidR="00771A51" w:rsidRPr="00D8125F">
        <w:rPr>
          <w:rFonts w:eastAsia="Times New Roman"/>
          <w:sz w:val="24"/>
          <w:szCs w:val="24"/>
        </w:rPr>
        <w:t xml:space="preserve"> (citation omitted)</w:t>
      </w:r>
      <w:r>
        <w:rPr>
          <w:rFonts w:eastAsia="Times New Roman"/>
          <w:sz w:val="24"/>
          <w:szCs w:val="24"/>
        </w:rPr>
        <w:t>;</w:t>
      </w:r>
      <w:r w:rsidRPr="00C5367C">
        <w:rPr>
          <w:rFonts w:eastAsia="Times New Roman"/>
          <w:i/>
          <w:iCs/>
          <w:sz w:val="24"/>
          <w:szCs w:val="24"/>
        </w:rPr>
        <w:t xml:space="preserve"> </w:t>
      </w:r>
      <w:r w:rsidRPr="00F34203">
        <w:rPr>
          <w:rFonts w:eastAsia="Times New Roman"/>
          <w:i/>
          <w:iCs/>
          <w:sz w:val="24"/>
          <w:szCs w:val="24"/>
        </w:rPr>
        <w:t>accord</w:t>
      </w:r>
      <w:r>
        <w:rPr>
          <w:rFonts w:eastAsia="Times New Roman"/>
          <w:i/>
          <w:iCs/>
          <w:sz w:val="24"/>
          <w:szCs w:val="24"/>
        </w:rPr>
        <w:t xml:space="preserve"> </w:t>
      </w:r>
      <w:r>
        <w:rPr>
          <w:rFonts w:eastAsia="Times New Roman"/>
          <w:b/>
          <w:bCs/>
          <w:sz w:val="24"/>
          <w:szCs w:val="24"/>
        </w:rPr>
        <w:t>Fresquez</w:t>
      </w:r>
      <w:r>
        <w:rPr>
          <w:rFonts w:eastAsia="Times New Roman"/>
          <w:sz w:val="24"/>
          <w:szCs w:val="24"/>
        </w:rPr>
        <w:t>, ¶ 25</w:t>
      </w:r>
      <w:r w:rsidR="00771A51" w:rsidRPr="00D8125F">
        <w:rPr>
          <w:rFonts w:eastAsia="Times New Roman"/>
          <w:sz w:val="24"/>
          <w:szCs w:val="24"/>
        </w:rPr>
        <w:t xml:space="preserve">. </w:t>
      </w:r>
    </w:p>
    <w:p w14:paraId="7F4CC403" w14:textId="5847F0E8" w:rsidR="00E01A1E" w:rsidRPr="000042FE" w:rsidRDefault="00C5367C" w:rsidP="00E01A1E">
      <w:pPr>
        <w:spacing w:after="240"/>
        <w:ind w:firstLine="720"/>
        <w:rPr>
          <w:rFonts w:eastAsia="Times New Roman"/>
          <w:sz w:val="24"/>
          <w:szCs w:val="24"/>
        </w:rPr>
      </w:pPr>
      <w:r>
        <w:rPr>
          <w:rFonts w:eastAsia="Times New Roman"/>
          <w:sz w:val="24"/>
          <w:szCs w:val="24"/>
        </w:rPr>
        <w:t>8</w:t>
      </w:r>
      <w:r w:rsidR="00771A51">
        <w:rPr>
          <w:rFonts w:eastAsia="Times New Roman"/>
          <w:sz w:val="24"/>
          <w:szCs w:val="24"/>
        </w:rPr>
        <w:t xml:space="preserve">. Colorado courts have used the terms “ostensible agency,” “apparent agency,” “apparent authority,” and “agency by estoppel” interchangeably. </w:t>
      </w:r>
      <w:r w:rsidR="00771A51">
        <w:rPr>
          <w:rFonts w:eastAsia="Times New Roman"/>
          <w:b/>
          <w:sz w:val="24"/>
          <w:szCs w:val="24"/>
        </w:rPr>
        <w:t>Carl’s Italian Rest. v. Truck Ins. Exch.</w:t>
      </w:r>
      <w:r w:rsidR="00771A51">
        <w:rPr>
          <w:rFonts w:eastAsia="Times New Roman"/>
          <w:sz w:val="24"/>
          <w:szCs w:val="24"/>
        </w:rPr>
        <w:t xml:space="preserve">, 183 P.3d 636 (Colo. App. 2007); </w:t>
      </w:r>
      <w:r w:rsidR="00771A51">
        <w:rPr>
          <w:rFonts w:eastAsia="Times New Roman"/>
          <w:b/>
          <w:sz w:val="24"/>
          <w:szCs w:val="24"/>
        </w:rPr>
        <w:t>Daly v. Aspen Ctr. for Women’s Health, Inc.</w:t>
      </w:r>
      <w:r w:rsidR="00771A51">
        <w:rPr>
          <w:rFonts w:eastAsia="Times New Roman"/>
          <w:sz w:val="24"/>
          <w:szCs w:val="24"/>
        </w:rPr>
        <w:t>, 134 P.3d 450 (Colo. App. 2005).</w:t>
      </w:r>
    </w:p>
    <w:p w14:paraId="3F08AAE4" w14:textId="77777777" w:rsidR="00E01A1E" w:rsidRDefault="00771A51">
      <w:pPr>
        <w:rPr>
          <w:rFonts w:eastAsia="Times New Roman"/>
          <w:sz w:val="24"/>
          <w:szCs w:val="24"/>
        </w:rPr>
      </w:pPr>
      <w:r>
        <w:rPr>
          <w:rFonts w:eastAsia="Times New Roman"/>
          <w:sz w:val="24"/>
          <w:szCs w:val="24"/>
        </w:rPr>
        <w:br w:type="page"/>
      </w:r>
    </w:p>
    <w:p w14:paraId="4A90B3C9" w14:textId="77777777" w:rsidR="00E01A1E" w:rsidRPr="009E3DA4" w:rsidRDefault="00771A51" w:rsidP="00E01A1E">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2C4E0062" w14:textId="18BEFFEE"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An agent is acting outside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 when the agent substantially departs from </w:t>
      </w:r>
      <w:r w:rsidR="003E686C" w:rsidRPr="003E686C">
        <w:rPr>
          <w:rFonts w:eastAsia="Times New Roman"/>
          <w:bCs/>
          <w:i/>
          <w:iCs/>
          <w:sz w:val="24"/>
          <w:szCs w:val="24"/>
        </w:rPr>
        <w:t>(insert applicable pronoun)</w:t>
      </w:r>
      <w:r w:rsidRPr="008D4A28">
        <w:rPr>
          <w:rFonts w:eastAsia="Times New Roman"/>
          <w:b/>
          <w:sz w:val="24"/>
          <w:szCs w:val="24"/>
        </w:rPr>
        <w:t xml:space="preserve">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w:t>
      </w:r>
    </w:p>
    <w:p w14:paraId="47718BB0" w14:textId="77777777" w:rsidR="00E01A1E" w:rsidRDefault="00E01A1E" w:rsidP="00E01A1E">
      <w:pPr>
        <w:jc w:val="center"/>
        <w:rPr>
          <w:rFonts w:eastAsia="Times New Roman"/>
          <w:sz w:val="24"/>
          <w:szCs w:val="24"/>
        </w:rPr>
      </w:pPr>
    </w:p>
    <w:p w14:paraId="6A08C1D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6D014C50"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65D998E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67CB382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7A36C58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459CB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Marron v. Helmecke</w:t>
      </w:r>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639936D9"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
    <w:p w14:paraId="07DA090A"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52996ED1" w14:textId="77777777" w:rsidR="00E01A1E" w:rsidRDefault="00771A51">
      <w:pPr>
        <w:rPr>
          <w:rFonts w:eastAsia="Times New Roman"/>
          <w:sz w:val="24"/>
          <w:szCs w:val="24"/>
        </w:rPr>
      </w:pPr>
      <w:r>
        <w:rPr>
          <w:rFonts w:eastAsia="Times New Roman"/>
          <w:sz w:val="24"/>
          <w:szCs w:val="24"/>
        </w:rPr>
        <w:br w:type="page"/>
      </w:r>
    </w:p>
    <w:p w14:paraId="633D2BE1" w14:textId="77777777" w:rsidR="00E01A1E" w:rsidRPr="009E3DA4" w:rsidRDefault="00771A51" w:rsidP="00E01A1E">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3CC93C6B"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0F1F9B02" w14:textId="77777777" w:rsidR="00E01A1E" w:rsidRDefault="00E01A1E" w:rsidP="00E01A1E">
      <w:pPr>
        <w:jc w:val="center"/>
        <w:rPr>
          <w:rFonts w:eastAsia="Times New Roman"/>
          <w:sz w:val="24"/>
          <w:szCs w:val="24"/>
        </w:rPr>
      </w:pPr>
    </w:p>
    <w:p w14:paraId="4A8A4FC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7244E87"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 In such circumstances, this instruction should be appropriately modified.</w:t>
      </w:r>
    </w:p>
    <w:p w14:paraId="06E56FD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AFFE93D" w14:textId="004804E1"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Nunnally v. Hilderman</w:t>
      </w:r>
      <w:r w:rsidRPr="008D4A28">
        <w:rPr>
          <w:rFonts w:eastAsia="Times New Roman"/>
          <w:sz w:val="24"/>
          <w:szCs w:val="24"/>
        </w:rPr>
        <w:t>, 150 Colo. 363, 373 P.2d 940 (1962);</w:t>
      </w:r>
      <w:r>
        <w:rPr>
          <w:rFonts w:eastAsia="Times New Roman"/>
          <w:sz w:val="24"/>
          <w:szCs w:val="24"/>
        </w:rPr>
        <w:t xml:space="preserve"> </w:t>
      </w:r>
      <w:r w:rsidR="00C5367C">
        <w:rPr>
          <w:rFonts w:eastAsia="Times New Roman"/>
          <w:b/>
          <w:bCs/>
          <w:sz w:val="24"/>
          <w:szCs w:val="24"/>
        </w:rPr>
        <w:t>Fresquez v. Trinidad Inn, Inc.</w:t>
      </w:r>
      <w:r w:rsidR="00C5367C">
        <w:rPr>
          <w:rFonts w:eastAsia="Times New Roman"/>
          <w:sz w:val="24"/>
          <w:szCs w:val="24"/>
        </w:rPr>
        <w:t>, 2022 COA 96, ¶ 60</w:t>
      </w:r>
      <w:r w:rsidR="0000701C">
        <w:rPr>
          <w:rFonts w:eastAsia="Times New Roman"/>
          <w:sz w:val="24"/>
          <w:szCs w:val="24"/>
        </w:rPr>
        <w:t>, 521 P.3d 399</w:t>
      </w:r>
      <w:r w:rsidR="00C5367C">
        <w:rPr>
          <w:rFonts w:eastAsia="Times New Roman"/>
          <w:sz w:val="24"/>
          <w:szCs w:val="24"/>
        </w:rPr>
        <w:t xml:space="preserve">; </w:t>
      </w:r>
      <w:r>
        <w:rPr>
          <w:rFonts w:eastAsia="Times New Roman"/>
          <w:b/>
          <w:sz w:val="24"/>
          <w:szCs w:val="24"/>
        </w:rPr>
        <w:t>Fiscus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r>
        <w:rPr>
          <w:rFonts w:eastAsia="Times New Roman"/>
          <w:b/>
          <w:sz w:val="24"/>
          <w:szCs w:val="24"/>
        </w:rPr>
        <w:t xml:space="preserve">Siener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r w:rsidRPr="008D4A28">
        <w:rPr>
          <w:rFonts w:eastAsia="Times New Roman"/>
          <w:i/>
          <w:sz w:val="24"/>
          <w:szCs w:val="24"/>
        </w:rPr>
        <w:t>rev’d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r w:rsidRPr="008D4A28">
        <w:rPr>
          <w:rFonts w:eastAsia="Times New Roman"/>
          <w:b/>
          <w:sz w:val="24"/>
          <w:szCs w:val="24"/>
        </w:rPr>
        <w:t>M.S.P.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36A39F1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Colo.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711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3E1B8F66" w14:textId="77777777" w:rsidR="00E01A1E" w:rsidRDefault="00771A51" w:rsidP="00E01A1E">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r w:rsidRPr="008D4A28">
        <w:rPr>
          <w:rFonts w:eastAsia="Times New Roman"/>
          <w:b/>
          <w:sz w:val="24"/>
          <w:szCs w:val="24"/>
        </w:rPr>
        <w:t>Siener</w:t>
      </w:r>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4259058F" w14:textId="115326E8" w:rsidR="00E01A1E" w:rsidRPr="00C15BE2" w:rsidRDefault="00771A51" w:rsidP="00E01A1E">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 40</w:t>
      </w:r>
      <w:r w:rsidR="0090551B">
        <w:rPr>
          <w:rFonts w:eastAsia="Times New Roman"/>
          <w:sz w:val="24"/>
          <w:szCs w:val="24"/>
        </w:rPr>
        <w:t>, 373 P.3d at 652</w:t>
      </w:r>
      <w:r>
        <w:rPr>
          <w:rFonts w:eastAsia="Times New Roman"/>
          <w:sz w:val="24"/>
          <w:szCs w:val="24"/>
        </w:rPr>
        <w:t xml:space="preserve">; </w:t>
      </w:r>
      <w:r>
        <w:rPr>
          <w:rFonts w:eastAsia="Times New Roman"/>
          <w:b/>
          <w:sz w:val="24"/>
          <w:szCs w:val="24"/>
        </w:rPr>
        <w:t>Siener</w:t>
      </w:r>
      <w:r>
        <w:rPr>
          <w:rFonts w:eastAsia="Times New Roman"/>
          <w:sz w:val="24"/>
          <w:szCs w:val="24"/>
        </w:rPr>
        <w:t>, 194 P.3d at 472.</w:t>
      </w:r>
    </w:p>
    <w:p w14:paraId="6C37200E" w14:textId="77777777" w:rsidR="00E01A1E" w:rsidRDefault="00771A51">
      <w:pPr>
        <w:rPr>
          <w:rFonts w:eastAsia="Times New Roman"/>
          <w:sz w:val="24"/>
          <w:szCs w:val="24"/>
        </w:rPr>
      </w:pPr>
      <w:r>
        <w:rPr>
          <w:rFonts w:eastAsia="Times New Roman"/>
          <w:sz w:val="24"/>
          <w:szCs w:val="24"/>
        </w:rPr>
        <w:br w:type="page"/>
      </w:r>
    </w:p>
    <w:p w14:paraId="19D5A283" w14:textId="77777777" w:rsidR="00E01A1E" w:rsidRPr="009E3DA4" w:rsidRDefault="00771A51" w:rsidP="00E01A1E">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33C844F2"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2509CB16" w14:textId="77777777" w:rsidR="00E01A1E" w:rsidRDefault="00E01A1E" w:rsidP="00E01A1E">
      <w:pPr>
        <w:jc w:val="center"/>
        <w:rPr>
          <w:rFonts w:eastAsia="Times New Roman"/>
          <w:sz w:val="24"/>
          <w:szCs w:val="24"/>
        </w:rPr>
      </w:pPr>
    </w:p>
    <w:p w14:paraId="03C0D64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E9EA25"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r w:rsidRPr="008D4A28">
        <w:rPr>
          <w:rFonts w:eastAsia="Times New Roman"/>
          <w:b/>
          <w:sz w:val="24"/>
          <w:szCs w:val="24"/>
        </w:rPr>
        <w:t>Schollay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03C83A5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372546D"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3D4122">
        <w:rPr>
          <w:rFonts w:eastAsia="Times New Roman"/>
          <w:b/>
          <w:sz w:val="24"/>
          <w:szCs w:val="24"/>
        </w:rPr>
        <w:t>Filatov v. Turnage</w:t>
      </w:r>
      <w:r w:rsidRPr="003D4122">
        <w:rPr>
          <w:rFonts w:eastAsia="Times New Roman"/>
          <w:sz w:val="24"/>
          <w:szCs w:val="24"/>
        </w:rPr>
        <w:t xml:space="preserve">, 2019 COA 120, ¶ 21, </w:t>
      </w:r>
      <w:r>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Colo. 560, 283 P.2d 1078 (1955); </w:t>
      </w:r>
      <w:r>
        <w:rPr>
          <w:rFonts w:eastAsia="Times New Roman"/>
          <w:sz w:val="24"/>
          <w:szCs w:val="24"/>
        </w:rPr>
        <w:t xml:space="preserve">and </w:t>
      </w:r>
      <w:r w:rsidRPr="008D4A28">
        <w:rPr>
          <w:rFonts w:eastAsia="Times New Roman"/>
          <w:b/>
          <w:sz w:val="24"/>
          <w:szCs w:val="24"/>
        </w:rPr>
        <w:t>Denver, S. P. &amp; P. R.R. v. Conway</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Colo.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441D9E02" w14:textId="77777777" w:rsidR="00E01A1E" w:rsidRPr="008D4A28" w:rsidRDefault="00771A51" w:rsidP="00E01A1E">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Vail Nat’l Bank v. Finkelman</w:t>
      </w:r>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438659" w14:textId="77777777" w:rsidR="00E01A1E" w:rsidRDefault="00771A51" w:rsidP="00E01A1E">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BMS P’ship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xml:space="preserve">, 926 P.2d 1253 (Colo. 1996). Also, the knowledge of a partner concerning general partnership business is imputable to all of the partners. </w:t>
      </w:r>
      <w:r w:rsidRPr="008D4A28">
        <w:rPr>
          <w:rFonts w:eastAsia="Times New Roman"/>
          <w:b/>
          <w:sz w:val="24"/>
          <w:szCs w:val="24"/>
        </w:rPr>
        <w:t>Zimmerman v. Dan Kamphausen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C85D316" w14:textId="77777777" w:rsidR="00E01A1E" w:rsidRPr="00504ED0" w:rsidRDefault="00771A51" w:rsidP="00E01A1E">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r>
        <w:rPr>
          <w:rFonts w:eastAsia="Times New Roman"/>
          <w:b/>
          <w:sz w:val="24"/>
          <w:szCs w:val="24"/>
        </w:rPr>
        <w:t>Jehly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Clown’s Den, Inc. v. Canjar</w:t>
      </w:r>
      <w:r>
        <w:rPr>
          <w:rFonts w:eastAsia="Times New Roman"/>
          <w:sz w:val="24"/>
          <w:szCs w:val="24"/>
        </w:rPr>
        <w:t xml:space="preserve">, 33 Colo. App. 212, 518 P.2d 957 (1973) (differentiating between actual and imputed knowledge of principal). </w:t>
      </w:r>
    </w:p>
    <w:p w14:paraId="54FFA2CC" w14:textId="77777777" w:rsidR="00E01A1E" w:rsidRDefault="00771A51">
      <w:pPr>
        <w:rPr>
          <w:rFonts w:eastAsia="Times New Roman"/>
          <w:sz w:val="24"/>
          <w:szCs w:val="24"/>
        </w:rPr>
      </w:pPr>
      <w:r>
        <w:rPr>
          <w:rFonts w:eastAsia="Times New Roman"/>
          <w:sz w:val="24"/>
          <w:szCs w:val="24"/>
        </w:rPr>
        <w:br w:type="page"/>
      </w:r>
    </w:p>
    <w:p w14:paraId="6E15419A" w14:textId="77777777" w:rsidR="00E01A1E" w:rsidRPr="009E3DA4" w:rsidRDefault="00771A51" w:rsidP="00E01A1E">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0829473" w14:textId="7FD8A860"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The authority of an agent to represent </w:t>
      </w:r>
      <w:r w:rsidR="003E686C" w:rsidRPr="003E686C">
        <w:rPr>
          <w:rFonts w:eastAsia="Times New Roman"/>
          <w:bCs/>
          <w:i/>
          <w:iCs/>
          <w:sz w:val="24"/>
          <w:szCs w:val="24"/>
        </w:rPr>
        <w:t>(insert applicable pronoun)</w:t>
      </w:r>
      <w:r w:rsidRPr="008D4A28">
        <w:rPr>
          <w:rFonts w:eastAsia="Times New Roman"/>
          <w:b/>
          <w:sz w:val="24"/>
          <w:szCs w:val="24"/>
        </w:rPr>
        <w:t xml:space="preserve">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C85E202" w14:textId="77777777" w:rsidR="00E01A1E" w:rsidRDefault="00E01A1E" w:rsidP="00E01A1E">
      <w:pPr>
        <w:jc w:val="center"/>
        <w:rPr>
          <w:rFonts w:eastAsia="Times New Roman"/>
          <w:sz w:val="24"/>
          <w:szCs w:val="24"/>
        </w:rPr>
      </w:pPr>
    </w:p>
    <w:p w14:paraId="673C4595"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E4663D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D70C22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29D497C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5BD05A34" w14:textId="77777777" w:rsidR="00E01A1E" w:rsidRPr="008D4A28" w:rsidRDefault="00771A51" w:rsidP="00E01A1E">
      <w:pPr>
        <w:spacing w:after="240"/>
        <w:ind w:firstLine="720"/>
        <w:rPr>
          <w:rFonts w:eastAsia="Times New Roman"/>
          <w:sz w:val="24"/>
          <w:szCs w:val="24"/>
        </w:rPr>
      </w:pPr>
      <w:r w:rsidRPr="008D4A28">
        <w:rPr>
          <w:rFonts w:eastAsia="Times New Roman"/>
          <w:iCs/>
          <w:sz w:val="24"/>
          <w:szCs w:val="24"/>
        </w:rPr>
        <w:t xml:space="preserve">1. This instruction is supported by </w:t>
      </w:r>
      <w:r w:rsidRPr="008D4A28">
        <w:rPr>
          <w:rFonts w:eastAsia="Times New Roman"/>
          <w:b/>
          <w:iCs/>
          <w:sz w:val="24"/>
          <w:szCs w:val="24"/>
        </w:rPr>
        <w:t>Stortroen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Lowell v. Hessey</w:t>
      </w:r>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632168B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13BAF692"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0691FA7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the death or incompetency of a bank customer on the authority of a payor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294235E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6C1B42EC" w14:textId="77777777" w:rsidR="00E01A1E" w:rsidRDefault="00771A51">
      <w:pPr>
        <w:rPr>
          <w:rFonts w:eastAsia="Times New Roman"/>
          <w:sz w:val="24"/>
          <w:szCs w:val="24"/>
        </w:rPr>
      </w:pPr>
      <w:r>
        <w:rPr>
          <w:rFonts w:eastAsia="Times New Roman"/>
          <w:sz w:val="24"/>
          <w:szCs w:val="24"/>
        </w:rPr>
        <w:br w:type="page"/>
      </w:r>
    </w:p>
    <w:p w14:paraId="6CE34DAB" w14:textId="77777777" w:rsidR="00E01A1E" w:rsidRPr="009E3DA4" w:rsidRDefault="00771A51" w:rsidP="00E01A1E">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672795BA" w14:textId="0AF7AD70"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333886">
        <w:rPr>
          <w:rFonts w:eastAsia="Times New Roman"/>
          <w:b/>
          <w:sz w:val="24"/>
          <w:szCs w:val="24"/>
        </w:rPr>
        <w:t xml:space="preserve">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w:t>
      </w:r>
      <w:r w:rsidR="003E686C" w:rsidRPr="003E686C">
        <w:rPr>
          <w:rFonts w:eastAsia="Times New Roman"/>
          <w:bCs/>
          <w:i/>
          <w:iCs/>
          <w:sz w:val="24"/>
          <w:szCs w:val="24"/>
        </w:rPr>
        <w:t>(insert applicable pronoun)</w:t>
      </w:r>
      <w:r w:rsidRPr="00333886">
        <w:rPr>
          <w:rFonts w:eastAsia="Times New Roman"/>
          <w:b/>
          <w:sz w:val="24"/>
          <w:szCs w:val="24"/>
        </w:rPr>
        <w:t xml:space="preserve"> knew or was notified of the principal’s termination of the agent’s authority. </w:t>
      </w:r>
    </w:p>
    <w:p w14:paraId="74A7DD1B" w14:textId="77777777"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66DA3B29" w14:textId="77777777" w:rsidR="00E01A1E" w:rsidRDefault="00E01A1E" w:rsidP="00E01A1E">
      <w:pPr>
        <w:jc w:val="center"/>
        <w:rPr>
          <w:rFonts w:eastAsia="Times New Roman"/>
          <w:sz w:val="24"/>
          <w:szCs w:val="24"/>
        </w:rPr>
      </w:pPr>
    </w:p>
    <w:p w14:paraId="5D1C728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7628EB2"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0B08FA7D"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727E4D3F"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726660CC"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5C9C5623"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4A1696F"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cmt. </w:t>
      </w:r>
      <w:r>
        <w:rPr>
          <w:rFonts w:eastAsia="Times New Roman"/>
          <w:iCs/>
          <w:sz w:val="24"/>
          <w:szCs w:val="24"/>
        </w:rPr>
        <w:t>c</w:t>
      </w:r>
      <w:r w:rsidRPr="00333886">
        <w:rPr>
          <w:rFonts w:eastAsia="Times New Roman"/>
          <w:iCs/>
          <w:sz w:val="24"/>
          <w:szCs w:val="24"/>
        </w:rPr>
        <w:t>, 3.11 (2006).</w:t>
      </w:r>
    </w:p>
    <w:p w14:paraId="6F56B6AA"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CAA94F6" w14:textId="77777777" w:rsidR="00E01A1E" w:rsidRDefault="00771A51" w:rsidP="00E01A1E">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67218F49" w14:textId="77777777" w:rsidR="00E01A1E" w:rsidRDefault="00771A51" w:rsidP="00E01A1E">
      <w:pPr>
        <w:spacing w:after="240"/>
        <w:jc w:val="center"/>
        <w:rPr>
          <w:b/>
          <w:sz w:val="24"/>
          <w:szCs w:val="24"/>
        </w:rPr>
      </w:pPr>
      <w:bookmarkStart w:id="20" w:name="a8_IntroB"/>
      <w:bookmarkEnd w:id="20"/>
      <w:r w:rsidRPr="005D01E8">
        <w:rPr>
          <w:b/>
          <w:sz w:val="24"/>
          <w:szCs w:val="24"/>
        </w:rPr>
        <w:lastRenderedPageBreak/>
        <w:t>B. LIABILITY ARISING FROM AGENCY</w:t>
      </w:r>
    </w:p>
    <w:p w14:paraId="0D82CF58" w14:textId="77777777" w:rsidR="00E01A1E" w:rsidRPr="0054263B" w:rsidRDefault="00771A51" w:rsidP="00E01A1E">
      <w:pPr>
        <w:keepNext/>
        <w:spacing w:after="240"/>
        <w:jc w:val="center"/>
        <w:rPr>
          <w:rFonts w:eastAsia="Times New Roman"/>
          <w:b/>
          <w:sz w:val="24"/>
          <w:szCs w:val="24"/>
        </w:rPr>
      </w:pPr>
      <w:r w:rsidRPr="00A73FC9">
        <w:rPr>
          <w:rFonts w:eastAsia="Times New Roman"/>
          <w:b/>
          <w:sz w:val="24"/>
          <w:szCs w:val="24"/>
        </w:rPr>
        <w:t>Introductory Note</w:t>
      </w:r>
    </w:p>
    <w:p w14:paraId="6E59250E" w14:textId="77777777" w:rsidR="00E01A1E" w:rsidRDefault="00771A51" w:rsidP="00E01A1E">
      <w:pPr>
        <w:shd w:val="clear" w:color="auto" w:fill="FFFFFF"/>
        <w:ind w:firstLine="720"/>
        <w:rPr>
          <w:sz w:val="24"/>
          <w:szCs w:val="24"/>
        </w:rPr>
      </w:pPr>
      <w:r>
        <w:rPr>
          <w:sz w:val="24"/>
          <w:szCs w:val="24"/>
        </w:rPr>
        <w:t xml:space="preserve">1. </w:t>
      </w:r>
      <w:r w:rsidRPr="00755460">
        <w:rPr>
          <w:sz w:val="24"/>
          <w:szCs w:val="24"/>
        </w:rPr>
        <w:t xml:space="preserve">Divisions of the court of appeals disagree as to whether a principal is liable for physical injuries caused by agent independent contractors. </w:t>
      </w:r>
      <w:r w:rsidRPr="00755460">
        <w:rPr>
          <w:i/>
          <w:iCs/>
          <w:sz w:val="24"/>
          <w:szCs w:val="24"/>
        </w:rPr>
        <w:t xml:space="preserve">Compare </w:t>
      </w:r>
      <w:r w:rsidRPr="00755460">
        <w:rPr>
          <w:b/>
          <w:bCs/>
          <w:sz w:val="24"/>
          <w:szCs w:val="24"/>
          <w:lang w:val="en"/>
        </w:rPr>
        <w:t>Daly v. Aspen Ctr. for Women’s Health, Inc.</w:t>
      </w:r>
      <w:r w:rsidRPr="00755460">
        <w:rPr>
          <w:sz w:val="24"/>
          <w:szCs w:val="24"/>
          <w:lang w:val="en"/>
        </w:rPr>
        <w:t>, 134 P.3d 450, 454 (Colo. App. 2005) (holding that “[o]</w:t>
      </w:r>
      <w:r w:rsidRPr="00755460">
        <w:rPr>
          <w:sz w:val="24"/>
          <w:szCs w:val="24"/>
        </w:rPr>
        <w:t xml:space="preserve">rdinarily, a principal is not liable for physical injuries caused by the negligence of a nonservant agent” (citing </w:t>
      </w:r>
      <w:r w:rsidRPr="00755460">
        <w:rPr>
          <w:smallCaps/>
          <w:sz w:val="24"/>
          <w:szCs w:val="24"/>
        </w:rPr>
        <w:t>Restatement (Second) of Agency</w:t>
      </w:r>
      <w:r w:rsidRPr="00755460">
        <w:rPr>
          <w:sz w:val="24"/>
          <w:szCs w:val="24"/>
        </w:rPr>
        <w:t xml:space="preserve"> § 250 (1958))), </w:t>
      </w:r>
      <w:r w:rsidRPr="00755460">
        <w:rPr>
          <w:i/>
          <w:iCs/>
          <w:sz w:val="24"/>
          <w:szCs w:val="24"/>
        </w:rPr>
        <w:t xml:space="preserve">with </w:t>
      </w:r>
      <w:r w:rsidRPr="00755460">
        <w:rPr>
          <w:b/>
          <w:bCs/>
          <w:sz w:val="24"/>
          <w:szCs w:val="24"/>
        </w:rPr>
        <w:t>Cheney v. Hailey</w:t>
      </w:r>
      <w:r w:rsidRPr="00755460">
        <w:rPr>
          <w:sz w:val="24"/>
          <w:szCs w:val="24"/>
        </w:rPr>
        <w:t xml:space="preserve">, 686 P.2d 808 (Colo. App. 1984) (holding that a principal was vicariously liable for injuries caused by an agent’s negligent driving, without regard to agent’s independent contractor status). </w:t>
      </w:r>
    </w:p>
    <w:p w14:paraId="6CEF6BDD" w14:textId="77777777" w:rsidR="00E01A1E" w:rsidRPr="00755460" w:rsidRDefault="00E01A1E" w:rsidP="00E01A1E">
      <w:pPr>
        <w:shd w:val="clear" w:color="auto" w:fill="FFFFFF"/>
        <w:ind w:firstLine="720"/>
        <w:rPr>
          <w:sz w:val="24"/>
          <w:szCs w:val="24"/>
        </w:rPr>
      </w:pPr>
    </w:p>
    <w:p w14:paraId="3809FF23" w14:textId="77777777" w:rsidR="00E01A1E" w:rsidRDefault="00771A51" w:rsidP="00E01A1E">
      <w:pPr>
        <w:ind w:firstLine="720"/>
        <w:rPr>
          <w:sz w:val="24"/>
          <w:szCs w:val="24"/>
        </w:rPr>
      </w:pPr>
      <w:r>
        <w:rPr>
          <w:sz w:val="24"/>
          <w:szCs w:val="24"/>
        </w:rPr>
        <w:t xml:space="preserve">2. </w:t>
      </w:r>
      <w:r w:rsidRPr="00755460">
        <w:rPr>
          <w:sz w:val="24"/>
          <w:szCs w:val="24"/>
        </w:rPr>
        <w:t xml:space="preserve">The supreme court has not squarely addressed the issue. In </w:t>
      </w:r>
      <w:r w:rsidRPr="00755460">
        <w:rPr>
          <w:b/>
          <w:bCs/>
          <w:sz w:val="24"/>
          <w:szCs w:val="24"/>
        </w:rPr>
        <w:t>Grease Monkey Int</w:t>
      </w:r>
      <w:r>
        <w:rPr>
          <w:b/>
          <w:bCs/>
          <w:sz w:val="24"/>
          <w:szCs w:val="24"/>
        </w:rPr>
        <w:t>ernational</w:t>
      </w:r>
      <w:r w:rsidRPr="00755460">
        <w:rPr>
          <w:b/>
          <w:bCs/>
          <w:sz w:val="24"/>
          <w:szCs w:val="24"/>
        </w:rPr>
        <w:t>, Inc. v. Montoya</w:t>
      </w:r>
      <w:r w:rsidRPr="00755460">
        <w:rPr>
          <w:sz w:val="24"/>
          <w:szCs w:val="24"/>
        </w:rPr>
        <w:t xml:space="preserve">, 904 P.2d 468, 473 (Colo. 1995), the court noted in dicta that “[w]hen the servant or agent uses the apparent authority of the relationship with the master or principal, the Restatement (Second) of Agency also holds principals vicariously liable for the </w:t>
      </w:r>
      <w:r w:rsidRPr="00755460">
        <w:rPr>
          <w:sz w:val="24"/>
          <w:szCs w:val="24"/>
          <w:shd w:val="clear" w:color="auto" w:fill="FFFFFF"/>
        </w:rPr>
        <w:t>physical</w:t>
      </w:r>
      <w:r w:rsidRPr="00755460">
        <w:rPr>
          <w:sz w:val="24"/>
          <w:szCs w:val="24"/>
        </w:rPr>
        <w:t xml:space="preserve"> torts of agents who are not servants, i.e., if the tort was committed within the scope of the agency.” </w:t>
      </w:r>
      <w:r w:rsidRPr="00D12113">
        <w:rPr>
          <w:sz w:val="24"/>
          <w:szCs w:val="24"/>
        </w:rPr>
        <w:t xml:space="preserve">The court also explained that employees and independent contractor agents are distinguishable partly because an employer, unlike an independent contractor agent, is liable for physical harm resulting from an employee’s physical conduct in the scope of employment. </w:t>
      </w:r>
      <w:r w:rsidRPr="00D12113">
        <w:rPr>
          <w:i/>
          <w:iCs/>
          <w:sz w:val="24"/>
          <w:szCs w:val="24"/>
        </w:rPr>
        <w:t>Id.</w:t>
      </w:r>
      <w:r w:rsidRPr="00755460">
        <w:rPr>
          <w:sz w:val="24"/>
          <w:szCs w:val="24"/>
        </w:rPr>
        <w:t xml:space="preserve"> In light of the unsettled nature of Colorado law, the Committee takes no position on the issue.</w:t>
      </w:r>
    </w:p>
    <w:p w14:paraId="728DB34F" w14:textId="77777777" w:rsidR="00E01A1E" w:rsidRPr="00755460" w:rsidRDefault="00E01A1E" w:rsidP="00B33010">
      <w:pPr>
        <w:rPr>
          <w:rFonts w:eastAsia="Times New Roman"/>
          <w:b/>
          <w:sz w:val="24"/>
          <w:szCs w:val="24"/>
        </w:rPr>
      </w:pPr>
    </w:p>
    <w:p w14:paraId="4124D67C" w14:textId="77777777" w:rsidR="00E01A1E" w:rsidRDefault="00771A51">
      <w:pPr>
        <w:rPr>
          <w:rFonts w:eastAsia="Times New Roman"/>
          <w:b/>
          <w:sz w:val="24"/>
          <w:szCs w:val="24"/>
        </w:rPr>
      </w:pPr>
      <w:r>
        <w:rPr>
          <w:rFonts w:eastAsia="Times New Roman"/>
          <w:b/>
          <w:sz w:val="24"/>
          <w:szCs w:val="24"/>
        </w:rPr>
        <w:br w:type="page"/>
      </w:r>
    </w:p>
    <w:p w14:paraId="3D452565" w14:textId="77777777" w:rsidR="00E01A1E" w:rsidRPr="009E3DA4" w:rsidRDefault="00771A51" w:rsidP="00E01A1E">
      <w:pPr>
        <w:spacing w:after="240"/>
        <w:ind w:left="720" w:hanging="720"/>
        <w:rPr>
          <w:rFonts w:eastAsia="Times New Roman"/>
          <w:b/>
          <w:sz w:val="24"/>
          <w:szCs w:val="24"/>
        </w:rPr>
      </w:pPr>
      <w:bookmarkStart w:id="21" w:name="a8_18"/>
      <w:bookmarkEnd w:id="21"/>
      <w:r w:rsidRPr="00C26751">
        <w:rPr>
          <w:rFonts w:eastAsia="Times New Roman"/>
          <w:b/>
          <w:sz w:val="24"/>
          <w:szCs w:val="24"/>
        </w:rPr>
        <w:lastRenderedPageBreak/>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20B85F12" w14:textId="3CC9042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w:t>
      </w:r>
      <w:r w:rsidR="003E686C" w:rsidRPr="003E686C">
        <w:rPr>
          <w:rFonts w:eastAsia="Times New Roman"/>
          <w:bCs/>
          <w:i/>
          <w:iCs/>
          <w:sz w:val="24"/>
          <w:szCs w:val="24"/>
        </w:rPr>
        <w:t>(insert applicable pronoun)</w:t>
      </w:r>
      <w:r w:rsidRPr="0090149E">
        <w:rPr>
          <w:rFonts w:eastAsia="Times New Roman"/>
          <w:b/>
          <w:sz w:val="24"/>
          <w:szCs w:val="24"/>
        </w:rPr>
        <w:t xml:space="preserve">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C240509" w14:textId="0DF12773"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90149E">
        <w:rPr>
          <w:rFonts w:eastAsia="Times New Roman"/>
          <w:b/>
          <w:sz w:val="24"/>
          <w:szCs w:val="24"/>
        </w:rPr>
        <w:t xml:space="preserve">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6CE21FC1"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39E92820" w14:textId="54DBBD0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90149E">
        <w:rPr>
          <w:rFonts w:eastAsia="Times New Roman"/>
          <w:b/>
          <w:sz w:val="24"/>
          <w:szCs w:val="24"/>
        </w:rPr>
        <w:t xml:space="preserve">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0B51497"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7DE3AAD6"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221DC69C" w14:textId="77777777" w:rsidR="00E01A1E" w:rsidRDefault="00E01A1E" w:rsidP="00E01A1E">
      <w:pPr>
        <w:jc w:val="center"/>
        <w:rPr>
          <w:rFonts w:eastAsia="Times New Roman"/>
          <w:sz w:val="24"/>
          <w:szCs w:val="24"/>
        </w:rPr>
      </w:pPr>
    </w:p>
    <w:p w14:paraId="6B5913A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354DF37"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7A04151F"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nondelegable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Springer v. City &amp; Cty.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Huddleston v. Union Rural Elec. Ass’n</w:t>
      </w:r>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r w:rsidRPr="00E00593">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Garden of the Gods Vill., Inc. v. Hellman</w:t>
      </w:r>
      <w:r w:rsidRPr="00E00593">
        <w:rPr>
          <w:rFonts w:eastAsia="Times New Roman"/>
          <w:sz w:val="24"/>
          <w:szCs w:val="24"/>
        </w:rPr>
        <w:t xml:space="preserve">, 133 Colo. 286, 294 P.2d 597 (1956). This instruction should not be used in </w:t>
      </w:r>
      <w:r w:rsidRPr="00E00593">
        <w:rPr>
          <w:rFonts w:eastAsia="Times New Roman"/>
          <w:sz w:val="24"/>
          <w:szCs w:val="24"/>
        </w:rPr>
        <w:lastRenderedPageBreak/>
        <w:t xml:space="preserve">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(ultrahazardous activities); and Chapter 12 (premises liability).</w:t>
      </w:r>
    </w:p>
    <w:p w14:paraId="09AB45CB"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0AA1363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5A9C20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3C8595E2"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6BD3C4E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636E9C1"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73B25E5D"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2018 COA 97, ¶ 44</w:t>
      </w:r>
      <w:r w:rsidR="001915D6">
        <w:rPr>
          <w:rFonts w:eastAsia="Times New Roman"/>
          <w:iCs/>
          <w:sz w:val="24"/>
          <w:szCs w:val="24"/>
        </w:rPr>
        <w:t>, 488 P.3d 364</w:t>
      </w:r>
      <w:r w:rsidRPr="00E00593">
        <w:rPr>
          <w:rFonts w:eastAsia="Times New Roman"/>
          <w:iCs/>
          <w:sz w:val="24"/>
          <w:szCs w:val="24"/>
        </w:rPr>
        <w:t xml:space="preserve">.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1CDAFA0B"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17B72CF9"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Western Stock Center, Inc. v. Sevit,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r w:rsidRPr="00E00593">
        <w:rPr>
          <w:rFonts w:eastAsia="Times New Roman"/>
          <w:b/>
          <w:iCs/>
          <w:sz w:val="24"/>
          <w:szCs w:val="24"/>
        </w:rPr>
        <w:t>Vikell Inv’rs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6945100A"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198549B2" w14:textId="77777777" w:rsidR="00E01A1E" w:rsidRDefault="00771A51" w:rsidP="00E01A1E">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McShane v. Stirling Ranch Prop. Owners Ass’n</w:t>
      </w:r>
      <w:r w:rsidRPr="00E00593">
        <w:rPr>
          <w:rFonts w:eastAsia="Times New Roman"/>
          <w:iCs/>
          <w:sz w:val="24"/>
          <w:szCs w:val="24"/>
        </w:rPr>
        <w:t xml:space="preserve">, 2017 CO 38, ¶¶ 25-26, 393 P.3d 978 (citing </w:t>
      </w:r>
      <w:r w:rsidRPr="00E00593">
        <w:rPr>
          <w:rFonts w:eastAsia="Times New Roman"/>
          <w:b/>
          <w:iCs/>
          <w:sz w:val="24"/>
          <w:szCs w:val="24"/>
        </w:rPr>
        <w:t>Dworak v. Olson Constr. Co.</w:t>
      </w:r>
      <w:r w:rsidRPr="00E00593">
        <w:rPr>
          <w:rFonts w:eastAsia="Times New Roman"/>
          <w:iCs/>
          <w:sz w:val="24"/>
          <w:szCs w:val="24"/>
        </w:rPr>
        <w:t>, 191 Colo. 161, 551 P.2d 198 (1976)).</w:t>
      </w:r>
    </w:p>
    <w:p w14:paraId="0E87D416" w14:textId="16B61D0D" w:rsidR="00D43091" w:rsidRPr="00777388" w:rsidRDefault="00D43091" w:rsidP="00D43091">
      <w:pPr>
        <w:spacing w:after="240"/>
        <w:ind w:firstLine="720"/>
        <w:rPr>
          <w:rFonts w:eastAsia="Times New Roman"/>
          <w:iCs/>
          <w:sz w:val="24"/>
          <w:szCs w:val="24"/>
        </w:rPr>
      </w:pPr>
      <w:r>
        <w:rPr>
          <w:rFonts w:eastAsia="Times New Roman"/>
          <w:iCs/>
          <w:sz w:val="24"/>
          <w:szCs w:val="24"/>
        </w:rPr>
        <w:t xml:space="preserve">7. A principal is subject to liability for an agent’s defamatory statement if the agent was authorized or apparently authorized to make the statement. </w:t>
      </w:r>
      <w:r>
        <w:rPr>
          <w:rFonts w:eastAsia="Times New Roman"/>
          <w:b/>
          <w:bCs/>
          <w:iCs/>
          <w:sz w:val="24"/>
          <w:szCs w:val="24"/>
        </w:rPr>
        <w:t>Coomer v. Donald J. Trump for President, Inc.</w:t>
      </w:r>
      <w:r>
        <w:rPr>
          <w:rFonts w:eastAsia="Times New Roman"/>
          <w:iCs/>
          <w:sz w:val="24"/>
          <w:szCs w:val="24"/>
        </w:rPr>
        <w:t xml:space="preserve">, 2024 COA 35, ¶ 108, 552 P.3d 562 (citing </w:t>
      </w:r>
      <w:r w:rsidRPr="00CA0E05">
        <w:rPr>
          <w:rFonts w:eastAsia="Times New Roman"/>
          <w:iCs/>
          <w:smallCaps/>
          <w:sz w:val="24"/>
          <w:szCs w:val="24"/>
        </w:rPr>
        <w:t>Restatement (Second) of Agency</w:t>
      </w:r>
      <w:r>
        <w:rPr>
          <w:rFonts w:eastAsia="Times New Roman"/>
          <w:iCs/>
          <w:sz w:val="24"/>
          <w:szCs w:val="24"/>
        </w:rPr>
        <w:t xml:space="preserve"> § 254 (Am. L. Inst. 1958)). </w:t>
      </w:r>
    </w:p>
    <w:p w14:paraId="0B2E9A15" w14:textId="77777777" w:rsidR="00D43091" w:rsidRDefault="00D43091" w:rsidP="00E01A1E">
      <w:pPr>
        <w:spacing w:after="240"/>
        <w:ind w:firstLine="720"/>
        <w:rPr>
          <w:rFonts w:eastAsia="Times New Roman"/>
          <w:iCs/>
          <w:sz w:val="24"/>
          <w:szCs w:val="24"/>
        </w:rPr>
      </w:pPr>
    </w:p>
    <w:p w14:paraId="2968E105" w14:textId="77777777" w:rsidR="00E01A1E" w:rsidRDefault="00771A51">
      <w:pPr>
        <w:rPr>
          <w:rFonts w:eastAsia="Times New Roman"/>
          <w:iCs/>
          <w:sz w:val="24"/>
          <w:szCs w:val="24"/>
        </w:rPr>
      </w:pPr>
      <w:r>
        <w:rPr>
          <w:rFonts w:eastAsia="Times New Roman"/>
          <w:iCs/>
          <w:sz w:val="24"/>
          <w:szCs w:val="24"/>
        </w:rPr>
        <w:br w:type="page"/>
      </w:r>
    </w:p>
    <w:p w14:paraId="378D4EDD" w14:textId="77777777" w:rsidR="00E01A1E" w:rsidRPr="009E3DA4" w:rsidRDefault="00771A51" w:rsidP="00E01A1E">
      <w:pPr>
        <w:spacing w:after="240"/>
        <w:ind w:left="720" w:hanging="720"/>
        <w:rPr>
          <w:rFonts w:eastAsia="Times New Roman"/>
          <w:b/>
          <w:sz w:val="24"/>
          <w:szCs w:val="24"/>
        </w:rPr>
      </w:pPr>
      <w:bookmarkStart w:id="22" w:name="a8_19"/>
      <w:bookmarkEnd w:id="22"/>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43174A27"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6F849A26" w14:textId="15957B76"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4348D7">
        <w:rPr>
          <w:rFonts w:eastAsia="Times New Roman"/>
          <w:b/>
          <w:sz w:val="24"/>
          <w:szCs w:val="24"/>
        </w:rPr>
        <w:t xml:space="preserve">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4D1A97CB" w14:textId="32E12929"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103E277B" w14:textId="31FE3CCB"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3B7D6044" w14:textId="77777777" w:rsidR="00E01A1E" w:rsidRDefault="00E01A1E" w:rsidP="00E01A1E">
      <w:pPr>
        <w:jc w:val="center"/>
        <w:rPr>
          <w:rFonts w:eastAsia="Times New Roman"/>
          <w:sz w:val="24"/>
          <w:szCs w:val="24"/>
        </w:rPr>
      </w:pPr>
    </w:p>
    <w:p w14:paraId="53E2EE9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3E7E12F"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31B6A91C"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nondelegable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Springer v. City &amp; Cty.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Huddleston v. Union Rural Elec. Ass’n</w:t>
      </w:r>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r w:rsidRPr="004348D7">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Garden of the Gods Vill.,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(ultrahazardous activities); and Chapter 12 (premises liability).</w:t>
      </w:r>
    </w:p>
    <w:p w14:paraId="47825344"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6DC1251A"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25B948A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246829" w14:textId="77777777" w:rsidR="00E01A1E" w:rsidRDefault="00771A51" w:rsidP="00E01A1E">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1FBCC9A8" w14:textId="77777777" w:rsidR="00E01A1E" w:rsidRDefault="00771A51">
      <w:pPr>
        <w:rPr>
          <w:rFonts w:eastAsia="Times New Roman"/>
          <w:iCs/>
          <w:sz w:val="24"/>
          <w:szCs w:val="24"/>
        </w:rPr>
      </w:pPr>
      <w:r>
        <w:rPr>
          <w:rFonts w:eastAsia="Times New Roman"/>
          <w:iCs/>
          <w:sz w:val="24"/>
          <w:szCs w:val="24"/>
        </w:rPr>
        <w:br w:type="page"/>
      </w:r>
    </w:p>
    <w:p w14:paraId="289106ED" w14:textId="77777777" w:rsidR="00E01A1E" w:rsidRPr="009E3DA4" w:rsidRDefault="00771A51" w:rsidP="00E01A1E">
      <w:pPr>
        <w:spacing w:after="240"/>
        <w:ind w:left="720" w:hanging="720"/>
        <w:rPr>
          <w:rFonts w:eastAsia="Times New Roman"/>
          <w:b/>
          <w:sz w:val="24"/>
          <w:szCs w:val="24"/>
        </w:rPr>
      </w:pPr>
      <w:bookmarkStart w:id="23" w:name="a8_20"/>
      <w:bookmarkEnd w:id="23"/>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EC38438" w14:textId="1DB19DBC"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w:t>
      </w:r>
      <w:r w:rsidR="003E686C" w:rsidRPr="003E686C">
        <w:rPr>
          <w:rFonts w:eastAsia="Times New Roman"/>
          <w:bCs/>
          <w:i/>
          <w:iCs/>
          <w:sz w:val="24"/>
          <w:szCs w:val="24"/>
        </w:rPr>
        <w:t>(insert applicable pronoun)</w:t>
      </w:r>
      <w:r w:rsidRPr="004B1149">
        <w:rPr>
          <w:rFonts w:eastAsia="Times New Roman"/>
          <w:b/>
          <w:sz w:val="24"/>
          <w:szCs w:val="24"/>
        </w:rPr>
        <w:t xml:space="preserve">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0DB4352F" w14:textId="1C298165"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4B1149">
        <w:rPr>
          <w:rFonts w:eastAsia="Times New Roman"/>
          <w:b/>
          <w:sz w:val="24"/>
          <w:szCs w:val="24"/>
        </w:rPr>
        <w:t xml:space="preserve">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5690192"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386E3267" w14:textId="5B9E0D60"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4B1149">
        <w:rPr>
          <w:rFonts w:eastAsia="Times New Roman"/>
          <w:b/>
          <w:sz w:val="24"/>
          <w:szCs w:val="24"/>
        </w:rPr>
        <w:t xml:space="preserve">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769076A0"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1F23D6D5"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3CF562D9" w14:textId="77777777" w:rsidR="00E01A1E" w:rsidRDefault="00E01A1E" w:rsidP="00E01A1E">
      <w:pPr>
        <w:jc w:val="center"/>
        <w:rPr>
          <w:rFonts w:eastAsia="Times New Roman"/>
          <w:sz w:val="24"/>
          <w:szCs w:val="24"/>
        </w:rPr>
      </w:pPr>
    </w:p>
    <w:p w14:paraId="2CDE04E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C6E3B1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0BDD341A"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nondelegable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Springer v. City &amp; Cty.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Huddleston v. Union Rural Elec. Ass’n</w:t>
      </w:r>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r w:rsidRPr="004B1149">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Garden of the Gods Vill., Inc. v. Hellman</w:t>
      </w:r>
      <w:r w:rsidRPr="004B1149">
        <w:rPr>
          <w:rFonts w:eastAsia="Times New Roman"/>
          <w:sz w:val="24"/>
          <w:szCs w:val="24"/>
        </w:rPr>
        <w:t xml:space="preserve">, 133 Colo. 286, 294 P.2d 597 (1956). This instruction should not be used in cases involving non-agent independent contractors. For instructions concerning those exceptions, </w:t>
      </w:r>
      <w:r w:rsidRPr="004B1149">
        <w:rPr>
          <w:rFonts w:eastAsia="Times New Roman"/>
          <w:i/>
          <w:iCs/>
          <w:sz w:val="24"/>
          <w:szCs w:val="24"/>
        </w:rPr>
        <w:lastRenderedPageBreak/>
        <w:t>see</w:t>
      </w:r>
      <w:r>
        <w:rPr>
          <w:rFonts w:eastAsia="Times New Roman"/>
          <w:iCs/>
          <w:sz w:val="24"/>
          <w:szCs w:val="24"/>
        </w:rPr>
        <w:t xml:space="preserve"> </w:t>
      </w:r>
      <w:r w:rsidRPr="004B1149">
        <w:rPr>
          <w:rFonts w:eastAsia="Times New Roman"/>
          <w:sz w:val="24"/>
          <w:szCs w:val="24"/>
        </w:rPr>
        <w:t>Instruction 9:7 (inherently dangerous activities); Instruction 9:7A (ultrahazardous activities); and Chapter 12 (premises liability).</w:t>
      </w:r>
    </w:p>
    <w:p w14:paraId="4024880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5482A844"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337E15FD"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071E6A39"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34DDC1FB"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6799A5"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37E1227" w14:textId="77777777" w:rsidR="00E01A1E" w:rsidRDefault="00771A51">
      <w:pPr>
        <w:rPr>
          <w:rFonts w:eastAsia="Times New Roman"/>
          <w:iCs/>
          <w:sz w:val="24"/>
          <w:szCs w:val="24"/>
        </w:rPr>
      </w:pPr>
      <w:r>
        <w:rPr>
          <w:rFonts w:eastAsia="Times New Roman"/>
          <w:iCs/>
          <w:sz w:val="24"/>
          <w:szCs w:val="24"/>
        </w:rPr>
        <w:br w:type="page"/>
      </w:r>
    </w:p>
    <w:p w14:paraId="068B3963" w14:textId="77777777" w:rsidR="00E01A1E" w:rsidRPr="009E3DA4" w:rsidRDefault="00771A51" w:rsidP="00E01A1E">
      <w:pPr>
        <w:spacing w:after="240"/>
        <w:ind w:left="720" w:hanging="720"/>
        <w:rPr>
          <w:rFonts w:eastAsia="Times New Roman"/>
          <w:b/>
          <w:sz w:val="24"/>
          <w:szCs w:val="24"/>
        </w:rPr>
      </w:pPr>
      <w:bookmarkStart w:id="24" w:name="a8_21"/>
      <w:bookmarkEnd w:id="24"/>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6254EED" w14:textId="77777777" w:rsidR="00E01A1E" w:rsidRPr="00F939E4" w:rsidRDefault="00771A51" w:rsidP="00E01A1E">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0051AA46" w14:textId="77777777" w:rsidR="00E01A1E" w:rsidRDefault="00E01A1E" w:rsidP="00E01A1E">
      <w:pPr>
        <w:jc w:val="center"/>
        <w:rPr>
          <w:rFonts w:eastAsia="Times New Roman"/>
          <w:sz w:val="24"/>
          <w:szCs w:val="24"/>
        </w:rPr>
      </w:pPr>
    </w:p>
    <w:p w14:paraId="57FE008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667A86B"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11B4E38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nondelegable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Springer v. City &amp; Cty.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Huddleston v. Union Rural Elec. Ass’n</w:t>
      </w:r>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r w:rsidRPr="00F939E4">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Garden of the Gods Vill.,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(ultrahazardous activities); and Chapter 12 (premises liability).</w:t>
      </w:r>
    </w:p>
    <w:p w14:paraId="63892634"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1F8B7E4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4577EDB0"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4E663DD"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591D07B" w14:textId="77777777" w:rsidR="00E01A1E" w:rsidRDefault="00771A51">
      <w:pPr>
        <w:rPr>
          <w:rFonts w:eastAsia="Times New Roman"/>
          <w:iCs/>
          <w:sz w:val="24"/>
          <w:szCs w:val="24"/>
        </w:rPr>
      </w:pPr>
      <w:r>
        <w:rPr>
          <w:rFonts w:eastAsia="Times New Roman"/>
          <w:iCs/>
          <w:sz w:val="24"/>
          <w:szCs w:val="24"/>
        </w:rPr>
        <w:br w:type="page"/>
      </w:r>
    </w:p>
    <w:p w14:paraId="35F7C531" w14:textId="77777777" w:rsidR="00E01A1E" w:rsidRDefault="00771A51" w:rsidP="00E01A1E">
      <w:pPr>
        <w:spacing w:after="240"/>
        <w:jc w:val="center"/>
        <w:rPr>
          <w:rFonts w:eastAsia="Times New Roman"/>
          <w:b/>
          <w:sz w:val="24"/>
          <w:szCs w:val="24"/>
        </w:rPr>
      </w:pPr>
      <w:bookmarkStart w:id="25" w:name="a8_22"/>
      <w:bookmarkEnd w:id="25"/>
      <w:r w:rsidRPr="00327209">
        <w:rPr>
          <w:b/>
          <w:sz w:val="24"/>
          <w:szCs w:val="24"/>
        </w:rPr>
        <w:lastRenderedPageBreak/>
        <w:t>C. LIABILITY ARISING FROM RESPONDEAT SUPERIOR</w:t>
      </w:r>
    </w:p>
    <w:p w14:paraId="7D54BFB7" w14:textId="77777777" w:rsidR="00E01A1E" w:rsidRPr="009E3DA4" w:rsidRDefault="00771A51" w:rsidP="00E01A1E">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74BC44B" w14:textId="0E44E66E"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w:t>
      </w:r>
      <w:r w:rsidR="003E686C" w:rsidRPr="003E686C">
        <w:rPr>
          <w:rFonts w:eastAsia="Times New Roman"/>
          <w:bCs/>
          <w:i/>
          <w:iCs/>
          <w:sz w:val="24"/>
          <w:szCs w:val="24"/>
        </w:rPr>
        <w:t>(insert applicable pronoun)</w:t>
      </w:r>
      <w:r w:rsidRPr="00E33EF9">
        <w:rPr>
          <w:rFonts w:eastAsia="Times New Roman"/>
          <w:b/>
          <w:sz w:val="24"/>
          <w:szCs w:val="24"/>
        </w:rPr>
        <w:t xml:space="preserv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70B651FA" w14:textId="43F9DD09"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E33EF9">
        <w:rPr>
          <w:rFonts w:eastAsia="Times New Roman"/>
          <w:b/>
          <w:sz w:val="24"/>
          <w:szCs w:val="24"/>
        </w:rPr>
        <w:t xml:space="preserve">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D73D0C5"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7F1CCD3C" w14:textId="65C3DEF2"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E33EF9">
        <w:rPr>
          <w:rFonts w:eastAsia="Times New Roman"/>
          <w:b/>
          <w:sz w:val="24"/>
          <w:szCs w:val="24"/>
        </w:rPr>
        <w:t xml:space="preserve">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0EFA756E"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3977AF8A" w14:textId="77777777" w:rsidR="00E01A1E" w:rsidRPr="00E33EF9" w:rsidRDefault="00771A51" w:rsidP="00E01A1E">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3F960BE9" w14:textId="77777777" w:rsidR="00E01A1E" w:rsidRDefault="00E01A1E" w:rsidP="00E01A1E">
      <w:pPr>
        <w:jc w:val="center"/>
        <w:rPr>
          <w:rFonts w:eastAsia="Times New Roman"/>
          <w:sz w:val="24"/>
          <w:szCs w:val="24"/>
        </w:rPr>
      </w:pPr>
    </w:p>
    <w:p w14:paraId="7A53CE1F"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C176B5A"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297E51B6"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6E1169E3"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2D182134"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11BE858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lastRenderedPageBreak/>
        <w:t>Source and Authority</w:t>
      </w:r>
    </w:p>
    <w:p w14:paraId="5516853B" w14:textId="3D334E93"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r w:rsidRPr="00E33EF9">
        <w:rPr>
          <w:rFonts w:eastAsia="Times New Roman"/>
          <w:b/>
          <w:iCs/>
          <w:sz w:val="24"/>
          <w:szCs w:val="24"/>
        </w:rPr>
        <w:t>Bernardi v. Cmty. Hosp. Ass’n</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Marron v. Helmecke</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r w:rsidRPr="00E33EF9">
        <w:rPr>
          <w:rFonts w:eastAsia="Times New Roman"/>
          <w:b/>
          <w:iCs/>
          <w:sz w:val="24"/>
          <w:szCs w:val="24"/>
        </w:rPr>
        <w:t>Crosswaith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Pr>
          <w:rFonts w:eastAsia="Times New Roman"/>
          <w:iCs/>
          <w:sz w:val="24"/>
          <w:szCs w:val="24"/>
        </w:rPr>
        <w:t xml:space="preserve">; </w:t>
      </w:r>
      <w:r w:rsidR="004A04BC" w:rsidRPr="0000701C">
        <w:rPr>
          <w:rFonts w:eastAsia="Times New Roman"/>
          <w:b/>
          <w:bCs/>
          <w:iCs/>
          <w:sz w:val="24"/>
          <w:szCs w:val="24"/>
        </w:rPr>
        <w:t>Dodge v. Padilla</w:t>
      </w:r>
      <w:r w:rsidR="004A04BC">
        <w:rPr>
          <w:rFonts w:eastAsia="Times New Roman"/>
          <w:iCs/>
          <w:sz w:val="24"/>
          <w:szCs w:val="24"/>
        </w:rPr>
        <w:t>, 2023 COA 67, ¶ 37</w:t>
      </w:r>
      <w:r w:rsidR="00D43091">
        <w:rPr>
          <w:rFonts w:eastAsia="Times New Roman"/>
          <w:iCs/>
          <w:sz w:val="24"/>
          <w:szCs w:val="24"/>
        </w:rPr>
        <w:t>, 537 P.3d 409, 417</w:t>
      </w:r>
      <w:r w:rsidR="004A04BC">
        <w:rPr>
          <w:rFonts w:eastAsia="Times New Roman"/>
          <w:iCs/>
          <w:sz w:val="24"/>
          <w:szCs w:val="24"/>
        </w:rPr>
        <w:t xml:space="preserve"> (“The common law doctrine of respondeat superior establishes that ‘an employer is liable for the torts committed</w:t>
      </w:r>
      <w:r w:rsidR="004E4ACB">
        <w:rPr>
          <w:rFonts w:eastAsia="Times New Roman"/>
          <w:iCs/>
          <w:sz w:val="24"/>
          <w:szCs w:val="24"/>
        </w:rPr>
        <w:t xml:space="preserve"> by an employee</w:t>
      </w:r>
      <w:r w:rsidR="0000701C">
        <w:rPr>
          <w:rFonts w:eastAsia="Times New Roman"/>
          <w:iCs/>
          <w:sz w:val="24"/>
          <w:szCs w:val="24"/>
        </w:rPr>
        <w:t xml:space="preserve"> . . . </w:t>
      </w:r>
      <w:r w:rsidR="004E4ACB">
        <w:rPr>
          <w:rFonts w:eastAsia="Times New Roman"/>
          <w:iCs/>
          <w:sz w:val="24"/>
          <w:szCs w:val="24"/>
        </w:rPr>
        <w:t xml:space="preserve">while acting within the scope of his or her employment.’” (quoting </w:t>
      </w:r>
      <w:r w:rsidR="004E4ACB" w:rsidRPr="0000701C">
        <w:rPr>
          <w:rFonts w:eastAsia="Times New Roman"/>
          <w:b/>
          <w:bCs/>
          <w:iCs/>
          <w:sz w:val="24"/>
          <w:szCs w:val="24"/>
        </w:rPr>
        <w:t>Perkins v. Reg’l Transp. Dist.</w:t>
      </w:r>
      <w:r w:rsidR="004E4ACB">
        <w:rPr>
          <w:rFonts w:eastAsia="Times New Roman"/>
          <w:iCs/>
          <w:sz w:val="24"/>
          <w:szCs w:val="24"/>
        </w:rPr>
        <w:t>, 907 P.2d 672, 674 (Colo. App. 1995))</w:t>
      </w:r>
      <w:r w:rsidR="004349B7">
        <w:rPr>
          <w:rFonts w:eastAsia="Times New Roman"/>
          <w:iCs/>
          <w:sz w:val="24"/>
          <w:szCs w:val="24"/>
        </w:rPr>
        <w:t>)</w:t>
      </w:r>
      <w:r w:rsidR="004E4ACB">
        <w:rPr>
          <w:rFonts w:eastAsia="Times New Roman"/>
          <w:iCs/>
          <w:sz w:val="24"/>
          <w:szCs w:val="24"/>
        </w:rPr>
        <w:t>;</w:t>
      </w:r>
      <w:r w:rsidR="004A04BC">
        <w:rPr>
          <w:rFonts w:eastAsia="Times New Roman"/>
          <w:iCs/>
          <w:sz w:val="24"/>
          <w:szCs w:val="24"/>
        </w:rPr>
        <w:t xml:space="preserve"> </w:t>
      </w:r>
      <w:r>
        <w:rPr>
          <w:rFonts w:eastAsia="Times New Roman"/>
          <w:b/>
          <w:bCs/>
          <w:iCs/>
          <w:sz w:val="24"/>
          <w:szCs w:val="24"/>
        </w:rPr>
        <w:t>Suydam v. FLI Fort Pierce, Inc.,</w:t>
      </w:r>
      <w:r>
        <w:rPr>
          <w:rFonts w:eastAsia="Times New Roman"/>
          <w:iCs/>
          <w:sz w:val="24"/>
          <w:szCs w:val="24"/>
        </w:rPr>
        <w:t xml:space="preserve"> 2020 COA 144M, ¶ 13</w:t>
      </w:r>
      <w:r w:rsidR="001915D6">
        <w:rPr>
          <w:rFonts w:eastAsia="Times New Roman"/>
          <w:iCs/>
          <w:sz w:val="24"/>
          <w:szCs w:val="24"/>
        </w:rPr>
        <w:t>, 490 P.3d 930, 934</w:t>
      </w:r>
      <w:r>
        <w:rPr>
          <w:rFonts w:eastAsia="Times New Roman"/>
          <w:iCs/>
          <w:sz w:val="24"/>
          <w:szCs w:val="24"/>
        </w:rPr>
        <w:t xml:space="preserve"> (“</w:t>
      </w:r>
      <w:r w:rsidRPr="007D7C2E">
        <w:rPr>
          <w:rFonts w:eastAsia="Times New Roman"/>
          <w:iCs/>
          <w:sz w:val="24"/>
          <w:szCs w:val="24"/>
        </w:rPr>
        <w:t>Under the doctrine of respondeat superior, an employer is liable for torts committed by its employee while acting within the scope of his or her employment. The emp</w:t>
      </w:r>
      <w:r>
        <w:rPr>
          <w:rFonts w:eastAsia="Times New Roman"/>
          <w:iCs/>
          <w:sz w:val="24"/>
          <w:szCs w:val="24"/>
        </w:rPr>
        <w:t>loyer is liable if the employee’</w:t>
      </w:r>
      <w:r w:rsidRPr="007D7C2E">
        <w:rPr>
          <w:rFonts w:eastAsia="Times New Roman"/>
          <w:iCs/>
          <w:sz w:val="24"/>
          <w:szCs w:val="24"/>
        </w:rPr>
        <w:t xml:space="preserve">s conduct was motivated by </w:t>
      </w:r>
      <w:r>
        <w:rPr>
          <w:rFonts w:eastAsia="Times New Roman"/>
          <w:iCs/>
          <w:sz w:val="24"/>
          <w:szCs w:val="24"/>
        </w:rPr>
        <w:t>an intent to serve the employer’</w:t>
      </w:r>
      <w:r w:rsidRPr="007D7C2E">
        <w:rPr>
          <w:rFonts w:eastAsia="Times New Roman"/>
          <w:iCs/>
          <w:sz w:val="24"/>
          <w:szCs w:val="24"/>
        </w:rPr>
        <w:t>s interests and connected to acts the employee was authorized to perform.”</w:t>
      </w:r>
      <w:r>
        <w:rPr>
          <w:rFonts w:eastAsia="Times New Roman"/>
          <w:iCs/>
          <w:sz w:val="24"/>
          <w:szCs w:val="24"/>
        </w:rPr>
        <w:t xml:space="preserve"> (citation omitted))</w:t>
      </w:r>
      <w:r w:rsidRPr="00E33EF9">
        <w:rPr>
          <w:rFonts w:eastAsia="Times New Roman"/>
          <w:iCs/>
          <w:sz w:val="24"/>
          <w:szCs w:val="24"/>
        </w:rPr>
        <w:t>.</w:t>
      </w:r>
    </w:p>
    <w:p w14:paraId="5C0210C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Connes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564BB003" w14:textId="3DEFE8B9"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r>
        <w:rPr>
          <w:rFonts w:eastAsia="Times New Roman"/>
          <w:b/>
          <w:bCs/>
          <w:iCs/>
          <w:sz w:val="24"/>
          <w:szCs w:val="24"/>
        </w:rPr>
        <w:t>Suydam</w:t>
      </w:r>
      <w:r>
        <w:rPr>
          <w:rFonts w:eastAsia="Times New Roman"/>
          <w:iCs/>
          <w:sz w:val="24"/>
          <w:szCs w:val="24"/>
        </w:rPr>
        <w:t>, ¶ 14</w:t>
      </w:r>
      <w:r w:rsidR="0090551B">
        <w:rPr>
          <w:rFonts w:eastAsia="Times New Roman"/>
          <w:iCs/>
          <w:sz w:val="24"/>
          <w:szCs w:val="24"/>
        </w:rPr>
        <w:t>, 490 P.3d at 934</w:t>
      </w:r>
      <w:r>
        <w:rPr>
          <w:rFonts w:eastAsia="Times New Roman"/>
          <w:iCs/>
          <w:sz w:val="24"/>
          <w:szCs w:val="24"/>
        </w:rPr>
        <w:t>.</w:t>
      </w:r>
      <w:r w:rsidRPr="00E33EF9">
        <w:rPr>
          <w:rFonts w:eastAsia="Times New Roman"/>
          <w:iCs/>
          <w:sz w:val="24"/>
          <w:szCs w:val="24"/>
        </w:rPr>
        <w:t xml:space="preserve"> </w:t>
      </w:r>
    </w:p>
    <w:p w14:paraId="30AC42A0"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B84BE4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Peaberry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Hoang v. Arbess</w:t>
      </w:r>
      <w:r w:rsidRPr="00E33EF9">
        <w:rPr>
          <w:rFonts w:eastAsia="Times New Roman"/>
          <w:iCs/>
          <w:sz w:val="24"/>
          <w:szCs w:val="24"/>
        </w:rPr>
        <w:t xml:space="preserve">, 80 P.3d </w:t>
      </w:r>
      <w:r w:rsidRPr="00E33EF9">
        <w:rPr>
          <w:rFonts w:eastAsia="Times New Roman"/>
          <w:iCs/>
          <w:sz w:val="24"/>
          <w:szCs w:val="24"/>
        </w:rPr>
        <w:lastRenderedPageBreak/>
        <w:t xml:space="preserve">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Sanford v. Kobey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E85896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r w:rsidRPr="00E33EF9">
        <w:rPr>
          <w:rFonts w:eastAsia="Times New Roman"/>
          <w:b/>
          <w:iCs/>
          <w:sz w:val="24"/>
          <w:szCs w:val="24"/>
        </w:rPr>
        <w:t>Destefano v. Grabrian</w:t>
      </w:r>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33F62BA9" w14:textId="3C68337A"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Ferrer v. Okbamicael</w:t>
      </w:r>
      <w:r w:rsidRPr="00E33EF9">
        <w:rPr>
          <w:rFonts w:eastAsia="Times New Roman"/>
          <w:iCs/>
          <w:sz w:val="24"/>
          <w:szCs w:val="24"/>
        </w:rPr>
        <w:t>, 2017 CO 14M, ¶ 30, 390 P.3d 836, 845</w:t>
      </w:r>
      <w:r>
        <w:rPr>
          <w:rFonts w:eastAsia="Times New Roman"/>
          <w:iCs/>
          <w:sz w:val="24"/>
          <w:szCs w:val="24"/>
        </w:rPr>
        <w:t xml:space="preserve"> (subsequently abrogated by </w:t>
      </w:r>
      <w:r w:rsidR="006E28D1">
        <w:rPr>
          <w:rFonts w:eastAsia="Times New Roman"/>
          <w:iCs/>
          <w:sz w:val="24"/>
          <w:szCs w:val="24"/>
        </w:rPr>
        <w:t xml:space="preserve">section 13-21-111.5(1.5), C.R.S., effective for cases filed on or after </w:t>
      </w:r>
      <w:r w:rsidR="00FC1B44">
        <w:rPr>
          <w:rFonts w:eastAsia="Times New Roman"/>
          <w:iCs/>
          <w:sz w:val="24"/>
          <w:szCs w:val="24"/>
        </w:rPr>
        <w:t>September 7</w:t>
      </w:r>
      <w:r w:rsidR="006E28D1">
        <w:rPr>
          <w:rFonts w:eastAsia="Times New Roman"/>
          <w:iCs/>
          <w:sz w:val="24"/>
          <w:szCs w:val="24"/>
        </w:rPr>
        <w:t>, 2021</w:t>
      </w:r>
      <w:r>
        <w:rPr>
          <w:rFonts w:eastAsia="Times New Roman"/>
          <w:iCs/>
          <w:sz w:val="24"/>
          <w:szCs w:val="24"/>
        </w:rPr>
        <w:t>)</w:t>
      </w:r>
      <w:r w:rsidRPr="00E33EF9">
        <w:rPr>
          <w:rFonts w:eastAsia="Times New Roman"/>
          <w:iCs/>
          <w:sz w:val="24"/>
          <w:szCs w:val="24"/>
        </w:rPr>
        <w:t xml:space="preserve">;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r w:rsidR="00D12113">
        <w:rPr>
          <w:rFonts w:eastAsia="Times New Roman"/>
          <w:iCs/>
          <w:sz w:val="24"/>
          <w:szCs w:val="24"/>
        </w:rPr>
        <w:t>.</w:t>
      </w:r>
      <w:r>
        <w:rPr>
          <w:rFonts w:eastAsia="Times New Roman"/>
          <w:iCs/>
          <w:sz w:val="24"/>
          <w:szCs w:val="24"/>
        </w:rPr>
        <w:t xml:space="preserve"> </w:t>
      </w:r>
      <w:r w:rsidR="00D12113">
        <w:rPr>
          <w:rFonts w:eastAsia="Times New Roman"/>
          <w:i/>
          <w:sz w:val="24"/>
          <w:szCs w:val="24"/>
        </w:rPr>
        <w:t>B</w:t>
      </w:r>
      <w:r>
        <w:rPr>
          <w:rFonts w:eastAsia="Times New Roman"/>
          <w:i/>
          <w:sz w:val="24"/>
          <w:szCs w:val="24"/>
        </w:rPr>
        <w:t xml:space="preserve">ut see </w:t>
      </w:r>
      <w:r>
        <w:rPr>
          <w:rFonts w:eastAsia="Times New Roman"/>
          <w:b/>
          <w:bCs/>
          <w:iCs/>
          <w:sz w:val="24"/>
          <w:szCs w:val="24"/>
        </w:rPr>
        <w:t>Brown v. Long Romero</w:t>
      </w:r>
      <w:r>
        <w:rPr>
          <w:rFonts w:eastAsia="Times New Roman"/>
          <w:iCs/>
          <w:sz w:val="24"/>
          <w:szCs w:val="24"/>
        </w:rPr>
        <w:t>, 2021 CO 67, ¶ 29</w:t>
      </w:r>
      <w:r w:rsidR="0090551B">
        <w:rPr>
          <w:rFonts w:eastAsia="Times New Roman"/>
          <w:iCs/>
          <w:sz w:val="24"/>
          <w:szCs w:val="24"/>
        </w:rPr>
        <w:t>, 495 P.3d 955</w:t>
      </w:r>
      <w:r>
        <w:rPr>
          <w:rFonts w:eastAsia="Times New Roman"/>
          <w:iCs/>
          <w:sz w:val="24"/>
          <w:szCs w:val="24"/>
        </w:rPr>
        <w:t xml:space="preserve"> (</w:t>
      </w:r>
      <w:r w:rsidR="00AF12DA">
        <w:rPr>
          <w:sz w:val="24"/>
          <w:szCs w:val="24"/>
        </w:rPr>
        <w:t>plaintiff’s direct negligence claims against an employer are not barred where the plaintiff does not assert vicarious liability for an employee’s negligence)</w:t>
      </w:r>
      <w:r w:rsidRPr="00E33EF9">
        <w:rPr>
          <w:rFonts w:eastAsia="Times New Roman"/>
          <w:iCs/>
          <w:sz w:val="24"/>
          <w:szCs w:val="24"/>
        </w:rPr>
        <w:t>.</w:t>
      </w:r>
    </w:p>
    <w:p w14:paraId="05F5BF0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tortfeasors. </w:t>
      </w:r>
      <w:r w:rsidRPr="00E33EF9">
        <w:rPr>
          <w:rFonts w:eastAsia="Times New Roman"/>
          <w:b/>
          <w:iCs/>
          <w:sz w:val="24"/>
          <w:szCs w:val="24"/>
        </w:rPr>
        <w:t>Marso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Tortfeasors Act, §§ 13-50.5-101 to -106, C.R.S., is not applicable). </w:t>
      </w:r>
    </w:p>
    <w:p w14:paraId="3FAF023B"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37F5673A"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w:t>
      </w:r>
      <w:r w:rsidRPr="00E33EF9">
        <w:rPr>
          <w:rFonts w:eastAsia="Times New Roman"/>
          <w:iCs/>
          <w:sz w:val="24"/>
          <w:szCs w:val="24"/>
        </w:rPr>
        <w:lastRenderedPageBreak/>
        <w:t xml:space="preserve">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5C85F515"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134 P.3d at 452 (healthcare facility did not “employ doctors, perform medical services, or interfere with a doctor’s independent medical judgment . . . [and thus could] not be held accountable under the doctrine of respondeat superior for the doctor’s alleged negligence”).</w:t>
      </w:r>
    </w:p>
    <w:p w14:paraId="1A181EBE" w14:textId="77777777" w:rsidR="00E01A1E" w:rsidRDefault="00771A51" w:rsidP="00E01A1E">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respondeat superior cases); </w:t>
      </w:r>
      <w:r w:rsidRPr="00E33EF9">
        <w:rPr>
          <w:rFonts w:eastAsia="Times New Roman"/>
          <w:b/>
          <w:iCs/>
          <w:sz w:val="24"/>
          <w:szCs w:val="24"/>
        </w:rPr>
        <w:t>Beeson v. Kelran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r w:rsidRPr="00E33EF9">
        <w:rPr>
          <w:rFonts w:eastAsia="Times New Roman"/>
          <w:b/>
          <w:iCs/>
          <w:sz w:val="24"/>
          <w:szCs w:val="24"/>
        </w:rPr>
        <w:t>Goettman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2A601905" w14:textId="2CB24C2F" w:rsidR="00E01A1E" w:rsidRDefault="00771A51" w:rsidP="00E01A1E">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r>
        <w:rPr>
          <w:rFonts w:eastAsia="Times New Roman"/>
          <w:b/>
          <w:bCs/>
          <w:iCs/>
          <w:sz w:val="24"/>
          <w:szCs w:val="24"/>
        </w:rPr>
        <w:t>Suydam</w:t>
      </w:r>
      <w:r>
        <w:rPr>
          <w:rFonts w:eastAsia="Times New Roman"/>
          <w:iCs/>
          <w:sz w:val="24"/>
          <w:szCs w:val="24"/>
        </w:rPr>
        <w:t>, ¶ 15</w:t>
      </w:r>
      <w:r w:rsidR="0090551B">
        <w:rPr>
          <w:rFonts w:eastAsia="Times New Roman"/>
          <w:iCs/>
          <w:sz w:val="24"/>
          <w:szCs w:val="24"/>
        </w:rPr>
        <w:t>, 490 P.3d at 934</w:t>
      </w:r>
      <w:r>
        <w:rPr>
          <w:rFonts w:eastAsia="Times New Roman"/>
          <w:iCs/>
          <w:sz w:val="24"/>
          <w:szCs w:val="24"/>
        </w:rPr>
        <w:t>.</w:t>
      </w:r>
    </w:p>
    <w:p w14:paraId="149185A8" w14:textId="165D90A2" w:rsidR="004E4ACB" w:rsidRPr="004E4ACB" w:rsidRDefault="004E4ACB" w:rsidP="00E01A1E">
      <w:pPr>
        <w:spacing w:after="240"/>
        <w:ind w:firstLine="720"/>
        <w:rPr>
          <w:rFonts w:eastAsia="Times New Roman"/>
          <w:iCs/>
          <w:sz w:val="24"/>
          <w:szCs w:val="24"/>
        </w:rPr>
      </w:pPr>
      <w:r>
        <w:rPr>
          <w:rFonts w:eastAsia="Times New Roman"/>
          <w:iCs/>
          <w:sz w:val="24"/>
          <w:szCs w:val="24"/>
        </w:rPr>
        <w:t xml:space="preserve">14. The common law doctrine of respondeat superior applies to a public entity in circumstances where governmental immunity is waived. </w:t>
      </w:r>
      <w:r>
        <w:rPr>
          <w:rFonts w:eastAsia="Times New Roman"/>
          <w:b/>
          <w:bCs/>
          <w:iCs/>
          <w:sz w:val="24"/>
          <w:szCs w:val="24"/>
        </w:rPr>
        <w:t>Dodge</w:t>
      </w:r>
      <w:r>
        <w:rPr>
          <w:rFonts w:eastAsia="Times New Roman"/>
          <w:iCs/>
          <w:sz w:val="24"/>
          <w:szCs w:val="24"/>
        </w:rPr>
        <w:t>, ¶¶ 40-44</w:t>
      </w:r>
      <w:r w:rsidR="00D43091">
        <w:rPr>
          <w:rFonts w:eastAsia="Times New Roman"/>
          <w:iCs/>
          <w:sz w:val="24"/>
          <w:szCs w:val="24"/>
        </w:rPr>
        <w:t>, 537 P.3d at 417-18</w:t>
      </w:r>
      <w:r>
        <w:rPr>
          <w:rFonts w:eastAsia="Times New Roman"/>
          <w:iCs/>
          <w:sz w:val="24"/>
          <w:szCs w:val="24"/>
        </w:rPr>
        <w:t>.</w:t>
      </w:r>
    </w:p>
    <w:p w14:paraId="43AC9EEC" w14:textId="77777777" w:rsidR="00E01A1E" w:rsidRDefault="00771A51">
      <w:pPr>
        <w:rPr>
          <w:rFonts w:eastAsia="Times New Roman"/>
          <w:iCs/>
          <w:sz w:val="24"/>
          <w:szCs w:val="24"/>
        </w:rPr>
      </w:pPr>
      <w:r>
        <w:rPr>
          <w:rFonts w:eastAsia="Times New Roman"/>
          <w:iCs/>
          <w:sz w:val="24"/>
          <w:szCs w:val="24"/>
        </w:rPr>
        <w:br w:type="page"/>
      </w:r>
    </w:p>
    <w:p w14:paraId="50598FDC" w14:textId="77777777" w:rsidR="00E01A1E" w:rsidRPr="009E3DA4" w:rsidRDefault="00771A51" w:rsidP="00E01A1E">
      <w:pPr>
        <w:spacing w:after="240"/>
        <w:ind w:left="720" w:hanging="720"/>
        <w:rPr>
          <w:rFonts w:eastAsia="Times New Roman"/>
          <w:b/>
          <w:sz w:val="24"/>
          <w:szCs w:val="24"/>
        </w:rPr>
      </w:pPr>
      <w:bookmarkStart w:id="26" w:name="a8_23"/>
      <w:bookmarkEnd w:id="26"/>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16F0D9BE"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30DE1A4D" w14:textId="54D4C085"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2D3065">
        <w:rPr>
          <w:rFonts w:eastAsia="Times New Roman"/>
          <w:b/>
          <w:sz w:val="24"/>
          <w:szCs w:val="24"/>
        </w:rPr>
        <w:t xml:space="preserve">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53A3D25D" w14:textId="226AD96B"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4ECA242F" w14:textId="1744678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3BDAF637" w14:textId="77777777" w:rsidR="00E01A1E" w:rsidRDefault="00E01A1E" w:rsidP="00E01A1E">
      <w:pPr>
        <w:jc w:val="center"/>
        <w:rPr>
          <w:rFonts w:eastAsia="Times New Roman"/>
          <w:sz w:val="24"/>
          <w:szCs w:val="24"/>
        </w:rPr>
      </w:pPr>
    </w:p>
    <w:p w14:paraId="5A247F5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535DA89"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3E0DA0DF"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2BE1627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08AD503"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691A7189" w14:textId="77777777" w:rsidR="00E01A1E" w:rsidRDefault="00771A51">
      <w:pPr>
        <w:rPr>
          <w:rFonts w:eastAsia="Times New Roman"/>
          <w:iCs/>
          <w:sz w:val="24"/>
          <w:szCs w:val="24"/>
        </w:rPr>
      </w:pPr>
      <w:r>
        <w:rPr>
          <w:rFonts w:eastAsia="Times New Roman"/>
          <w:iCs/>
          <w:sz w:val="24"/>
          <w:szCs w:val="24"/>
        </w:rPr>
        <w:br w:type="page"/>
      </w:r>
    </w:p>
    <w:p w14:paraId="36827D5F" w14:textId="77777777" w:rsidR="00E01A1E" w:rsidRPr="009E3DA4" w:rsidRDefault="00771A51" w:rsidP="00E01A1E">
      <w:pPr>
        <w:spacing w:after="240"/>
        <w:ind w:left="720" w:hanging="720"/>
        <w:rPr>
          <w:rFonts w:eastAsia="Times New Roman"/>
          <w:b/>
          <w:sz w:val="24"/>
          <w:szCs w:val="24"/>
        </w:rPr>
      </w:pPr>
      <w:bookmarkStart w:id="27" w:name="a8_24"/>
      <w:bookmarkEnd w:id="27"/>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7107A55" w14:textId="33B620E1"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w:t>
      </w:r>
      <w:r w:rsidR="003E686C" w:rsidRPr="003E686C">
        <w:rPr>
          <w:rFonts w:eastAsia="Times New Roman"/>
          <w:bCs/>
          <w:i/>
          <w:iCs/>
          <w:sz w:val="24"/>
          <w:szCs w:val="24"/>
        </w:rPr>
        <w:t>(insert applicable pronoun)</w:t>
      </w:r>
      <w:r w:rsidRPr="00B1795D">
        <w:rPr>
          <w:rFonts w:eastAsia="Times New Roman"/>
          <w:b/>
          <w:sz w:val="24"/>
          <w:szCs w:val="24"/>
        </w:rPr>
        <w:t xml:space="preserve">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5E31DA08" w14:textId="22047340"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B1795D">
        <w:rPr>
          <w:rFonts w:eastAsia="Times New Roman"/>
          <w:b/>
          <w:sz w:val="24"/>
          <w:szCs w:val="24"/>
        </w:rPr>
        <w:t xml:space="preserve">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98645DD"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6F330AC5" w14:textId="08E813BA"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B1795D">
        <w:rPr>
          <w:rFonts w:eastAsia="Times New Roman"/>
          <w:b/>
          <w:sz w:val="24"/>
          <w:szCs w:val="24"/>
        </w:rPr>
        <w:t xml:space="preserve">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4311F74"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B907098"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2F3C4DB0" w14:textId="77777777" w:rsidR="00E01A1E" w:rsidRDefault="00E01A1E" w:rsidP="00E01A1E">
      <w:pPr>
        <w:jc w:val="center"/>
        <w:rPr>
          <w:rFonts w:eastAsia="Times New Roman"/>
          <w:sz w:val="24"/>
          <w:szCs w:val="24"/>
        </w:rPr>
      </w:pPr>
    </w:p>
    <w:p w14:paraId="377D23F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6D8A792"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50A16FC5"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C49A956"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0F2411B"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38B85BC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3A50F1A"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E4101F5" w14:textId="77777777" w:rsidR="00E01A1E" w:rsidRDefault="00771A51">
      <w:pPr>
        <w:rPr>
          <w:rFonts w:eastAsia="Times New Roman"/>
          <w:iCs/>
          <w:sz w:val="24"/>
          <w:szCs w:val="24"/>
        </w:rPr>
      </w:pPr>
      <w:r>
        <w:rPr>
          <w:rFonts w:eastAsia="Times New Roman"/>
          <w:iCs/>
          <w:sz w:val="24"/>
          <w:szCs w:val="24"/>
        </w:rPr>
        <w:br w:type="page"/>
      </w:r>
    </w:p>
    <w:p w14:paraId="5EF4DF9B" w14:textId="77777777" w:rsidR="00E01A1E" w:rsidRPr="009E3DA4" w:rsidRDefault="00771A51" w:rsidP="00E01A1E">
      <w:pPr>
        <w:spacing w:after="240"/>
        <w:ind w:left="720" w:hanging="720"/>
        <w:rPr>
          <w:rFonts w:eastAsia="Times New Roman"/>
          <w:b/>
          <w:sz w:val="24"/>
          <w:szCs w:val="24"/>
        </w:rPr>
      </w:pPr>
      <w:bookmarkStart w:id="28" w:name="a8_25"/>
      <w:bookmarkEnd w:id="28"/>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733321B6" w14:textId="77777777" w:rsidR="00E01A1E" w:rsidRPr="001E7D74" w:rsidRDefault="00771A51" w:rsidP="00E01A1E">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BA12C3F" w14:textId="77777777" w:rsidR="00E01A1E" w:rsidRDefault="00E01A1E" w:rsidP="00E01A1E">
      <w:pPr>
        <w:jc w:val="center"/>
        <w:rPr>
          <w:rFonts w:eastAsia="Times New Roman"/>
          <w:sz w:val="24"/>
          <w:szCs w:val="24"/>
        </w:rPr>
      </w:pPr>
    </w:p>
    <w:p w14:paraId="412B1A5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D9F6BCE"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57F787A4"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4E1B753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E6BD81B"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1A1E" w:rsidSect="00E01A1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82A5" w14:textId="77777777" w:rsidR="00E26DB9" w:rsidRDefault="00E26DB9">
      <w:r>
        <w:separator/>
      </w:r>
    </w:p>
  </w:endnote>
  <w:endnote w:type="continuationSeparator" w:id="0">
    <w:p w14:paraId="23F20FAD" w14:textId="77777777" w:rsidR="00E26DB9" w:rsidRDefault="00E2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D959" w14:textId="77777777" w:rsidR="003F6403" w:rsidRDefault="00E01A1E">
    <w:pPr>
      <w:pStyle w:val="Footer"/>
      <w:jc w:val="center"/>
      <w:rPr>
        <w:noProof/>
      </w:rPr>
    </w:pPr>
    <w:r w:rsidRPr="006909EA">
      <w:fldChar w:fldCharType="begin"/>
    </w:r>
    <w:r w:rsidRPr="006909EA">
      <w:instrText xml:space="preserve"> PAGE   \* MERGEFORMAT </w:instrText>
    </w:r>
    <w:r w:rsidRPr="006909EA">
      <w:fldChar w:fldCharType="separate"/>
    </w:r>
    <w:r>
      <w:rPr>
        <w:noProof/>
      </w:rPr>
      <w:t>46</w:t>
    </w:r>
    <w:r w:rsidRPr="006909EA">
      <w:rPr>
        <w:noProof/>
      </w:rPr>
      <w:fldChar w:fldCharType="end"/>
    </w:r>
  </w:p>
  <w:p w14:paraId="038881DF" w14:textId="77777777" w:rsidR="003F6403" w:rsidRDefault="00377EF6">
    <w:pPr>
      <w:pStyle w:val="Footer"/>
    </w:pPr>
    <w:r>
      <w:rPr>
        <w:noProof/>
      </w:rPr>
      <w:pict w14:anchorId="2CEDE755">
        <v:shapetype id="_x0000_t202" coordsize="21600,21600" o:spt="202" path="m,l,21600r21600,l21600,xe">
          <v:stroke joinstyle="miter"/>
          <v:path gradientshapeok="t" o:connecttype="rect"/>
        </v:shapetype>
        <v:shape id="zzmpTrailer_1078_19" o:spid="_x0000_s105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17513E2" w14:textId="4988AEAC" w:rsidR="003F6403" w:rsidRDefault="003F640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D7D4" w14:textId="77777777" w:rsidR="005A2C37" w:rsidRDefault="005A2C37" w:rsidP="005A2C37">
    <w:pPr>
      <w:pStyle w:val="MacPacTrailer"/>
    </w:pPr>
  </w:p>
  <w:p w14:paraId="620E40A8" w14:textId="77777777" w:rsidR="003F6403" w:rsidRDefault="00377EF6">
    <w:pPr>
      <w:pStyle w:val="Footer"/>
    </w:pPr>
    <w:r>
      <w:rPr>
        <w:noProof/>
      </w:rPr>
      <w:pict w14:anchorId="5AEA8C0B">
        <v:shapetype id="_x0000_t202" coordsize="21600,21600" o:spt="202" path="m,l,21600r21600,l21600,xe">
          <v:stroke joinstyle="miter"/>
          <v:path gradientshapeok="t" o:connecttype="rect"/>
        </v:shapetype>
        <v:shape id="zzmpTrailer_1078_1B" o:spid="_x0000_s105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96F68A5" w14:textId="4BA68973" w:rsidR="003F6403" w:rsidRDefault="003F640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CD97" w14:textId="77777777" w:rsidR="00E26DB9" w:rsidRDefault="00E26DB9">
      <w:r>
        <w:separator/>
      </w:r>
    </w:p>
  </w:footnote>
  <w:footnote w:type="continuationSeparator" w:id="0">
    <w:p w14:paraId="69CF7571" w14:textId="77777777" w:rsidR="00E26DB9" w:rsidRDefault="00E26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583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FIRM||1~122422741||2~1||3~Chapter 8 (2)||5~KBECKWITH||6~KBECKWITH||7~WORDX||8~WEBDOC||10~1/1/0001 12:00:00 AM||11~1/1/0001 12:00:00 AM||13~77586||17~public||25~888888||26~85793||28~00||29~0225||60~PERSONAL CHARGES||61~Kendra N. Beckwith||63~Accounting Use Only||64~Other||74~Beckwith, Kendra||77~infoLink Web Page||82~docx||85~1/1/0001 12:00:00 AM||99~1/1/0001 12:00:00 AM||107~1/1/0001 12:00:00 AM||109~1/1/0001 12:00:00 AM||113~9/16/2023 1:17:22 AM||114~9/16/2023 1:17:22 AM||"/>
    <w:docVar w:name="ForteTempFile" w:val="C:\Users\Cinda\AppData\Local\Temp\dd800fc4-d0a7-49c4-ba19-d8f6b2f74fb7.docx"/>
    <w:docVar w:name="zzmp10LastTrailerInserted" w:val="^`~#mp!@.%*#8┗┨:5}Ŗ7mi3d5j´eÓ⌉×pţ⌐%ëÊåÌ⌖Éã⌑!⌛4h5⌇F⌚3m⌕§⌓@ÆeŤ⌑⌅ŗ⌗⌊»UY3PLJYL8@AS011"/>
    <w:docVar w:name="zzmp10LastTrailerInserted_1078" w:val="^`~#mp!@.%*#8┗┨:5}Ŗ7mi3d5j´eÓ⌉×pţ⌐%ëÊåÌ⌖Éã⌑!⌛4h5⌇F⌚3m⌕§⌓@ÆeŤ⌑⌅ŗ⌗⌊»UY3PLJYL8@AS011"/>
    <w:docVar w:name="zzmp10mSEGsValidated" w:val="1"/>
    <w:docVar w:name="zzmpLegacyTrailerRemoved" w:val="True"/>
  </w:docVars>
  <w:rsids>
    <w:rsidRoot w:val="00D12113"/>
    <w:rsid w:val="0000701C"/>
    <w:rsid w:val="0004785B"/>
    <w:rsid w:val="00054557"/>
    <w:rsid w:val="00064DD2"/>
    <w:rsid w:val="00081466"/>
    <w:rsid w:val="00090C4E"/>
    <w:rsid w:val="000A4BE5"/>
    <w:rsid w:val="00107FE8"/>
    <w:rsid w:val="0011469E"/>
    <w:rsid w:val="00130D7F"/>
    <w:rsid w:val="00140F42"/>
    <w:rsid w:val="0016520C"/>
    <w:rsid w:val="00191320"/>
    <w:rsid w:val="001915D6"/>
    <w:rsid w:val="001A49DA"/>
    <w:rsid w:val="001A7D87"/>
    <w:rsid w:val="001B1C65"/>
    <w:rsid w:val="001E33CE"/>
    <w:rsid w:val="001F5286"/>
    <w:rsid w:val="001F5A20"/>
    <w:rsid w:val="00245B4F"/>
    <w:rsid w:val="00247A98"/>
    <w:rsid w:val="002576C2"/>
    <w:rsid w:val="00283861"/>
    <w:rsid w:val="002C4C13"/>
    <w:rsid w:val="002D43A4"/>
    <w:rsid w:val="002F72BA"/>
    <w:rsid w:val="00304DB7"/>
    <w:rsid w:val="00314BA0"/>
    <w:rsid w:val="00322B69"/>
    <w:rsid w:val="00326311"/>
    <w:rsid w:val="00333987"/>
    <w:rsid w:val="0035458F"/>
    <w:rsid w:val="0037177A"/>
    <w:rsid w:val="0037602F"/>
    <w:rsid w:val="003772B2"/>
    <w:rsid w:val="00377EF6"/>
    <w:rsid w:val="00380695"/>
    <w:rsid w:val="00381601"/>
    <w:rsid w:val="003967D6"/>
    <w:rsid w:val="00397C89"/>
    <w:rsid w:val="003B2BAE"/>
    <w:rsid w:val="003C1DF1"/>
    <w:rsid w:val="003E0FD1"/>
    <w:rsid w:val="003E686C"/>
    <w:rsid w:val="003F392C"/>
    <w:rsid w:val="003F6403"/>
    <w:rsid w:val="004031ED"/>
    <w:rsid w:val="0041214E"/>
    <w:rsid w:val="00431B98"/>
    <w:rsid w:val="004349B7"/>
    <w:rsid w:val="004521B1"/>
    <w:rsid w:val="00487FF9"/>
    <w:rsid w:val="004A04BC"/>
    <w:rsid w:val="004B7CD3"/>
    <w:rsid w:val="004C41DD"/>
    <w:rsid w:val="004E4ACB"/>
    <w:rsid w:val="004E4EB5"/>
    <w:rsid w:val="00507AD5"/>
    <w:rsid w:val="00524D52"/>
    <w:rsid w:val="00541166"/>
    <w:rsid w:val="005840CD"/>
    <w:rsid w:val="005A2C37"/>
    <w:rsid w:val="005B6EF1"/>
    <w:rsid w:val="005C5868"/>
    <w:rsid w:val="005C5989"/>
    <w:rsid w:val="005D1A80"/>
    <w:rsid w:val="006215F9"/>
    <w:rsid w:val="006241AC"/>
    <w:rsid w:val="00627001"/>
    <w:rsid w:val="00635FA4"/>
    <w:rsid w:val="0068383D"/>
    <w:rsid w:val="00687633"/>
    <w:rsid w:val="006971DD"/>
    <w:rsid w:val="006A006C"/>
    <w:rsid w:val="006E28D1"/>
    <w:rsid w:val="006E6DDB"/>
    <w:rsid w:val="006F5A17"/>
    <w:rsid w:val="00717104"/>
    <w:rsid w:val="00720933"/>
    <w:rsid w:val="00764EDC"/>
    <w:rsid w:val="00771A51"/>
    <w:rsid w:val="007E7A2D"/>
    <w:rsid w:val="00805752"/>
    <w:rsid w:val="00807BA3"/>
    <w:rsid w:val="00807F4B"/>
    <w:rsid w:val="00813FE0"/>
    <w:rsid w:val="00822D91"/>
    <w:rsid w:val="00834ACB"/>
    <w:rsid w:val="008367EC"/>
    <w:rsid w:val="008713F2"/>
    <w:rsid w:val="00875042"/>
    <w:rsid w:val="00894658"/>
    <w:rsid w:val="008A200F"/>
    <w:rsid w:val="008A7A20"/>
    <w:rsid w:val="008C2D4E"/>
    <w:rsid w:val="008F2B54"/>
    <w:rsid w:val="008F5428"/>
    <w:rsid w:val="0090551B"/>
    <w:rsid w:val="00907C37"/>
    <w:rsid w:val="009231F0"/>
    <w:rsid w:val="00967DFE"/>
    <w:rsid w:val="009948B8"/>
    <w:rsid w:val="009D0F94"/>
    <w:rsid w:val="009D1FA9"/>
    <w:rsid w:val="00A254B8"/>
    <w:rsid w:val="00A504FD"/>
    <w:rsid w:val="00A5250C"/>
    <w:rsid w:val="00A77123"/>
    <w:rsid w:val="00AA5222"/>
    <w:rsid w:val="00AB2035"/>
    <w:rsid w:val="00AB330F"/>
    <w:rsid w:val="00AB5C2B"/>
    <w:rsid w:val="00AF12DA"/>
    <w:rsid w:val="00B045F4"/>
    <w:rsid w:val="00B33010"/>
    <w:rsid w:val="00B70731"/>
    <w:rsid w:val="00BA1514"/>
    <w:rsid w:val="00BD66D5"/>
    <w:rsid w:val="00C02D54"/>
    <w:rsid w:val="00C06AA9"/>
    <w:rsid w:val="00C34841"/>
    <w:rsid w:val="00C5367C"/>
    <w:rsid w:val="00CA7F33"/>
    <w:rsid w:val="00CF7AE3"/>
    <w:rsid w:val="00D12113"/>
    <w:rsid w:val="00D21D0E"/>
    <w:rsid w:val="00D22DE9"/>
    <w:rsid w:val="00D43091"/>
    <w:rsid w:val="00D813E6"/>
    <w:rsid w:val="00DA3154"/>
    <w:rsid w:val="00DC1AE2"/>
    <w:rsid w:val="00E01A1E"/>
    <w:rsid w:val="00E11484"/>
    <w:rsid w:val="00E1279E"/>
    <w:rsid w:val="00E14870"/>
    <w:rsid w:val="00E25398"/>
    <w:rsid w:val="00E26BE0"/>
    <w:rsid w:val="00E26DB9"/>
    <w:rsid w:val="00E35115"/>
    <w:rsid w:val="00E36478"/>
    <w:rsid w:val="00E821F7"/>
    <w:rsid w:val="00E93DE9"/>
    <w:rsid w:val="00EA6C76"/>
    <w:rsid w:val="00EE5AC5"/>
    <w:rsid w:val="00EF1E2D"/>
    <w:rsid w:val="00EF402E"/>
    <w:rsid w:val="00F25E27"/>
    <w:rsid w:val="00F32CBF"/>
    <w:rsid w:val="00F6773D"/>
    <w:rsid w:val="00F768F7"/>
    <w:rsid w:val="00FA6D19"/>
    <w:rsid w:val="00FB5056"/>
    <w:rsid w:val="00FC1B44"/>
    <w:rsid w:val="00FD5ADE"/>
    <w:rsid w:val="00FE150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7CD9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2">
    <w:name w:val="Unresolved Mention2"/>
    <w:basedOn w:val="DefaultParagraphFont"/>
    <w:uiPriority w:val="99"/>
    <w:semiHidden/>
    <w:unhideWhenUsed/>
    <w:rsid w:val="00CA7F33"/>
    <w:rPr>
      <w:color w:val="605E5C"/>
      <w:shd w:val="clear" w:color="auto" w:fill="E1DFDD"/>
    </w:rPr>
  </w:style>
  <w:style w:type="paragraph" w:customStyle="1" w:styleId="MacPacTrailer">
    <w:name w:val="MacPac Trailer"/>
    <w:rsid w:val="003F6403"/>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967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2031">
      <w:bodyDiv w:val="1"/>
      <w:marLeft w:val="0"/>
      <w:marRight w:val="0"/>
      <w:marTop w:val="0"/>
      <w:marBottom w:val="0"/>
      <w:divBdr>
        <w:top w:val="none" w:sz="0" w:space="0" w:color="auto"/>
        <w:left w:val="none" w:sz="0" w:space="0" w:color="auto"/>
        <w:bottom w:val="none" w:sz="0" w:space="0" w:color="auto"/>
        <w:right w:val="none" w:sz="0" w:space="0" w:color="auto"/>
      </w:divBdr>
      <w:divsChild>
        <w:div w:id="685133840">
          <w:marLeft w:val="0"/>
          <w:marRight w:val="0"/>
          <w:marTop w:val="0"/>
          <w:marBottom w:val="0"/>
          <w:divBdr>
            <w:top w:val="none" w:sz="0" w:space="0" w:color="auto"/>
            <w:left w:val="none" w:sz="0" w:space="0" w:color="auto"/>
            <w:bottom w:val="none" w:sz="0" w:space="0" w:color="auto"/>
            <w:right w:val="none" w:sz="0" w:space="0" w:color="auto"/>
          </w:divBdr>
          <w:divsChild>
            <w:div w:id="905994645">
              <w:marLeft w:val="0"/>
              <w:marRight w:val="0"/>
              <w:marTop w:val="0"/>
              <w:marBottom w:val="0"/>
              <w:divBdr>
                <w:top w:val="none" w:sz="0" w:space="0" w:color="auto"/>
                <w:left w:val="none" w:sz="0" w:space="0" w:color="auto"/>
                <w:bottom w:val="none" w:sz="0" w:space="0" w:color="auto"/>
                <w:right w:val="none" w:sz="0" w:space="0" w:color="auto"/>
              </w:divBdr>
              <w:divsChild>
                <w:div w:id="16319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588">
      <w:bodyDiv w:val="1"/>
      <w:marLeft w:val="0"/>
      <w:marRight w:val="0"/>
      <w:marTop w:val="0"/>
      <w:marBottom w:val="0"/>
      <w:divBdr>
        <w:top w:val="none" w:sz="0" w:space="0" w:color="auto"/>
        <w:left w:val="none" w:sz="0" w:space="0" w:color="auto"/>
        <w:bottom w:val="none" w:sz="0" w:space="0" w:color="auto"/>
        <w:right w:val="none" w:sz="0" w:space="0" w:color="auto"/>
      </w:divBdr>
      <w:divsChild>
        <w:div w:id="1260331099">
          <w:marLeft w:val="0"/>
          <w:marRight w:val="0"/>
          <w:marTop w:val="0"/>
          <w:marBottom w:val="0"/>
          <w:divBdr>
            <w:top w:val="none" w:sz="0" w:space="0" w:color="auto"/>
            <w:left w:val="none" w:sz="0" w:space="0" w:color="auto"/>
            <w:bottom w:val="none" w:sz="0" w:space="0" w:color="auto"/>
            <w:right w:val="none" w:sz="0" w:space="0" w:color="auto"/>
          </w:divBdr>
          <w:divsChild>
            <w:div w:id="141241075">
              <w:marLeft w:val="0"/>
              <w:marRight w:val="0"/>
              <w:marTop w:val="0"/>
              <w:marBottom w:val="0"/>
              <w:divBdr>
                <w:top w:val="none" w:sz="0" w:space="0" w:color="auto"/>
                <w:left w:val="none" w:sz="0" w:space="0" w:color="auto"/>
                <w:bottom w:val="none" w:sz="0" w:space="0" w:color="auto"/>
                <w:right w:val="none" w:sz="0" w:space="0" w:color="auto"/>
              </w:divBdr>
              <w:divsChild>
                <w:div w:id="4046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6952">
      <w:bodyDiv w:val="1"/>
      <w:marLeft w:val="0"/>
      <w:marRight w:val="0"/>
      <w:marTop w:val="0"/>
      <w:marBottom w:val="0"/>
      <w:divBdr>
        <w:top w:val="none" w:sz="0" w:space="0" w:color="auto"/>
        <w:left w:val="none" w:sz="0" w:space="0" w:color="auto"/>
        <w:bottom w:val="none" w:sz="0" w:space="0" w:color="auto"/>
        <w:right w:val="none" w:sz="0" w:space="0" w:color="auto"/>
      </w:divBdr>
      <w:divsChild>
        <w:div w:id="1431389455">
          <w:marLeft w:val="0"/>
          <w:marRight w:val="0"/>
          <w:marTop w:val="0"/>
          <w:marBottom w:val="0"/>
          <w:divBdr>
            <w:top w:val="none" w:sz="0" w:space="0" w:color="auto"/>
            <w:left w:val="none" w:sz="0" w:space="0" w:color="auto"/>
            <w:bottom w:val="none" w:sz="0" w:space="0" w:color="auto"/>
            <w:right w:val="none" w:sz="0" w:space="0" w:color="auto"/>
          </w:divBdr>
          <w:divsChild>
            <w:div w:id="1468932237">
              <w:marLeft w:val="0"/>
              <w:marRight w:val="0"/>
              <w:marTop w:val="0"/>
              <w:marBottom w:val="0"/>
              <w:divBdr>
                <w:top w:val="none" w:sz="0" w:space="0" w:color="auto"/>
                <w:left w:val="none" w:sz="0" w:space="0" w:color="auto"/>
                <w:bottom w:val="none" w:sz="0" w:space="0" w:color="auto"/>
                <w:right w:val="none" w:sz="0" w:space="0" w:color="auto"/>
              </w:divBdr>
              <w:divsChild>
                <w:div w:id="1517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 F I R M ! 1 2 2 4 2 2 7 4 1 . 1 < / d o c u m e n t i d >  
     < s e n d e r i d > K B E C K W I T H < / s e n d e r i d >  
     < s e n d e r e m a i l > K B E C K W I T H @ L E W I S R O C A . C O M < / s e n d e r e m a i l >  
     < l a s t m o d i f i e d > 2 0 2 3 - 0 9 - 1 5 T 1 9 : 1 7 : 0 0 . 0 0 0 0 0 0 0 - 0 6 : 0 0 < / l a s t m o d i f i e d >  
     < d a t a b a s e > F I R M < / 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DA08-26B4-4AED-9F61-D25678E8CE81}">
  <ds:schemaRefs>
    <ds:schemaRef ds:uri="http://www.imanage.com/work/xmlschema"/>
  </ds:schemaRefs>
</ds:datastoreItem>
</file>

<file path=customXml/itemProps2.xml><?xml version="1.0" encoding="utf-8"?>
<ds:datastoreItem xmlns:ds="http://schemas.openxmlformats.org/officeDocument/2006/customXml" ds:itemID="{2BE484F4-691E-4879-BC1D-159F07E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14337</Words>
  <Characters>81725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creator>Krista Schelhaas</dc:creator>
  <cp:lastModifiedBy>beck, jeremy</cp:lastModifiedBy>
  <cp:revision>3</cp:revision>
  <dcterms:created xsi:type="dcterms:W3CDTF">2025-01-27T20:33:00Z</dcterms:created>
  <dcterms:modified xsi:type="dcterms:W3CDTF">2025-02-11T19:03:00Z</dcterms:modified>
</cp:coreProperties>
</file>