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41AE" w14:textId="666DAA9D"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68336D" w:rsidP="0068336D">
      <w:pPr>
        <w:pStyle w:val="Heading1"/>
        <w:jc w:val="left"/>
        <w:rPr>
          <w:b w:val="0"/>
          <w:caps w:val="0"/>
        </w:rPr>
      </w:pPr>
      <w:hyperlink w:anchor="Intro" w:history="1">
        <w:r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320613" w:rsidP="00914128">
      <w:pPr>
        <w:pStyle w:val="ToC"/>
      </w:pPr>
      <w:hyperlink w:anchor="a6_1" w:history="1">
        <w:r w:rsidRPr="0083763B">
          <w:rPr>
            <w:rStyle w:val="Hyperlink"/>
          </w:rPr>
          <w:t>6:1</w:t>
        </w:r>
      </w:hyperlink>
      <w:r w:rsidRPr="0083763B">
        <w:t xml:space="preserve"> </w:t>
      </w:r>
      <w:r w:rsidRPr="0083763B">
        <w:tab/>
        <w:t>Personal Injuries — Adults</w:t>
      </w:r>
    </w:p>
    <w:p w14:paraId="33035E3A" w14:textId="77777777" w:rsidR="0083763B" w:rsidRDefault="00320613" w:rsidP="00914128">
      <w:pPr>
        <w:pStyle w:val="ToC"/>
      </w:pPr>
      <w:hyperlink w:anchor="a6_1A" w:history="1">
        <w:r w:rsidRPr="0083763B">
          <w:rPr>
            <w:rStyle w:val="Hyperlink"/>
          </w:rPr>
          <w:t>6:1</w:t>
        </w:r>
        <w:r>
          <w:rPr>
            <w:rStyle w:val="Hyperlink"/>
            <w:caps/>
          </w:rPr>
          <w:t>A</w:t>
        </w:r>
      </w:hyperlink>
      <w:r w:rsidRPr="0083763B">
        <w:t xml:space="preserve"> </w:t>
      </w:r>
      <w:r w:rsidRPr="0083763B">
        <w:tab/>
        <w:t xml:space="preserve">Special Interrogatories </w:t>
      </w:r>
      <w:r>
        <w:t>t</w:t>
      </w:r>
      <w:r w:rsidRPr="0083763B">
        <w:t xml:space="preserve">o </w:t>
      </w:r>
      <w:r>
        <w:t>t</w:t>
      </w:r>
      <w:r w:rsidRPr="0083763B">
        <w:t xml:space="preserve">he Jury </w:t>
      </w:r>
      <w:r>
        <w:t>t</w:t>
      </w:r>
      <w:r w:rsidRPr="0083763B">
        <w:t xml:space="preserve">o Determine </w:t>
      </w:r>
      <w:r>
        <w:t>t</w:t>
      </w:r>
      <w:r w:rsidRPr="0083763B">
        <w:t xml:space="preserve">he Amount </w:t>
      </w:r>
      <w:r>
        <w:t>o</w:t>
      </w:r>
      <w:r w:rsidRPr="0083763B">
        <w:t xml:space="preserve">f Damages Awarded </w:t>
      </w:r>
      <w:r>
        <w:t>f</w:t>
      </w:r>
      <w:r w:rsidRPr="0083763B">
        <w:t xml:space="preserve">or Economic </w:t>
      </w:r>
      <w:r>
        <w:t>a</w:t>
      </w:r>
      <w:r w:rsidRPr="0083763B">
        <w:t xml:space="preserve">nd Noneconomic Losses </w:t>
      </w:r>
      <w:r>
        <w:t>o</w:t>
      </w:r>
      <w:r w:rsidRPr="0083763B">
        <w:t xml:space="preserve">r Injuries </w:t>
      </w:r>
      <w:r>
        <w:t>a</w:t>
      </w:r>
      <w:r w:rsidRPr="0083763B">
        <w:t xml:space="preserve">nd </w:t>
      </w:r>
      <w:r>
        <w:t>f</w:t>
      </w:r>
      <w:r w:rsidRPr="0083763B">
        <w:t xml:space="preserve">or Physical Impairment </w:t>
      </w:r>
      <w:r>
        <w:t>o</w:t>
      </w:r>
      <w:r w:rsidRPr="0083763B">
        <w:t xml:space="preserve">r Disfigurement ― Mechanics </w:t>
      </w:r>
      <w:r>
        <w:t>f</w:t>
      </w:r>
      <w:r w:rsidRPr="0083763B">
        <w:t>or Submitting</w:t>
      </w:r>
    </w:p>
    <w:p w14:paraId="23429556" w14:textId="77777777" w:rsidR="0083763B" w:rsidRDefault="00320613" w:rsidP="00914128">
      <w:pPr>
        <w:pStyle w:val="ToC"/>
      </w:pPr>
      <w:hyperlink w:anchor="a6_1B" w:history="1">
        <w:r w:rsidRPr="0083763B">
          <w:rPr>
            <w:rStyle w:val="Hyperlink"/>
          </w:rPr>
          <w:t>6:1</w:t>
        </w:r>
        <w:r>
          <w:rPr>
            <w:rStyle w:val="Hyperlink"/>
          </w:rPr>
          <w:t>B</w:t>
        </w:r>
      </w:hyperlink>
      <w:r w:rsidRPr="0083763B">
        <w:t xml:space="preserve"> </w:t>
      </w:r>
      <w:r w:rsidRPr="0083763B">
        <w:tab/>
        <w:t xml:space="preserve">Answers </w:t>
      </w:r>
      <w:r w:rsidR="000962C8">
        <w:t>t</w:t>
      </w:r>
      <w:r w:rsidRPr="0083763B">
        <w:t xml:space="preserve">o Special Interrogatories </w:t>
      </w:r>
      <w:r w:rsidR="000962C8">
        <w:t>t</w:t>
      </w:r>
      <w:r w:rsidRPr="0083763B">
        <w:t xml:space="preserve">o </w:t>
      </w:r>
      <w:r w:rsidR="000962C8">
        <w:t>t</w:t>
      </w:r>
      <w:r w:rsidRPr="0083763B">
        <w:t xml:space="preserve">he Jury Set Forth </w:t>
      </w:r>
      <w:r w:rsidR="000962C8">
        <w:t>in Instruction 6:1A</w:t>
      </w:r>
    </w:p>
    <w:p w14:paraId="4C67DBE8" w14:textId="77777777" w:rsidR="0083763B" w:rsidRDefault="00320613" w:rsidP="00914128">
      <w:pPr>
        <w:pStyle w:val="ToC"/>
      </w:pPr>
      <w:hyperlink w:anchor="a6_2" w:history="1">
        <w:r w:rsidRPr="0083763B">
          <w:rPr>
            <w:rStyle w:val="Hyperlink"/>
          </w:rPr>
          <w:t>6:2</w:t>
        </w:r>
      </w:hyperlink>
      <w:r w:rsidRPr="0083763B">
        <w:t xml:space="preserve"> </w:t>
      </w:r>
      <w:r w:rsidRPr="0083763B">
        <w:tab/>
        <w:t>Personal Injuries — Minor Child</w:t>
      </w:r>
    </w:p>
    <w:p w14:paraId="476C410D" w14:textId="77777777" w:rsidR="0083763B" w:rsidRDefault="00320613" w:rsidP="00914128">
      <w:pPr>
        <w:pStyle w:val="ToC"/>
      </w:pPr>
      <w:hyperlink w:anchor="a6_3" w:history="1">
        <w:r w:rsidRPr="0083763B">
          <w:rPr>
            <w:rStyle w:val="Hyperlink"/>
          </w:rPr>
          <w:t>6:3</w:t>
        </w:r>
      </w:hyperlink>
      <w:r w:rsidRPr="0083763B">
        <w:t xml:space="preserve"> </w:t>
      </w:r>
      <w:r w:rsidRPr="0083763B">
        <w:tab/>
        <w:t xml:space="preserve">Personal Injuries — Minor Child — Measure </w:t>
      </w:r>
      <w:r w:rsidR="000962C8">
        <w:t>o</w:t>
      </w:r>
      <w:r w:rsidRPr="0083763B">
        <w:t>f Parents’ Damages</w:t>
      </w:r>
    </w:p>
    <w:p w14:paraId="1F086D89" w14:textId="77777777" w:rsidR="0083763B" w:rsidRDefault="00320613" w:rsidP="00914128">
      <w:pPr>
        <w:pStyle w:val="ToC"/>
      </w:pPr>
      <w:hyperlink w:anchor="a6_4" w:history="1">
        <w:r w:rsidRPr="0083763B">
          <w:rPr>
            <w:rStyle w:val="Hyperlink"/>
          </w:rPr>
          <w:t>6:4</w:t>
        </w:r>
      </w:hyperlink>
      <w:r w:rsidRPr="0083763B">
        <w:t xml:space="preserve"> </w:t>
      </w:r>
      <w:r w:rsidRPr="0083763B">
        <w:tab/>
        <w:t xml:space="preserve">Personal Injuries — Minor Child — Loss </w:t>
      </w:r>
      <w:r w:rsidR="000962C8">
        <w:t>o</w:t>
      </w:r>
      <w:r w:rsidRPr="0083763B">
        <w:t xml:space="preserve">f Earnings — Distinction Between Parents’ </w:t>
      </w:r>
      <w:r w:rsidR="000962C8">
        <w:t>a</w:t>
      </w:r>
      <w:r w:rsidRPr="0083763B">
        <w:t>nd Child’s Claims</w:t>
      </w:r>
    </w:p>
    <w:p w14:paraId="215EE422" w14:textId="77777777" w:rsidR="0083763B" w:rsidRDefault="00320613" w:rsidP="00914128">
      <w:pPr>
        <w:pStyle w:val="ToC"/>
      </w:pPr>
      <w:hyperlink w:anchor="a6_5" w:history="1">
        <w:r w:rsidRPr="0083763B">
          <w:rPr>
            <w:rStyle w:val="Hyperlink"/>
          </w:rPr>
          <w:t>6:5</w:t>
        </w:r>
      </w:hyperlink>
      <w:r w:rsidRPr="0083763B">
        <w:t xml:space="preserve"> </w:t>
      </w:r>
      <w:r w:rsidRPr="0083763B">
        <w:tab/>
        <w:t xml:space="preserve">Loss </w:t>
      </w:r>
      <w:r w:rsidR="000962C8">
        <w:t>o</w:t>
      </w:r>
      <w:r w:rsidRPr="0083763B">
        <w:t xml:space="preserve">f Consortium — Elements </w:t>
      </w:r>
      <w:r w:rsidR="000962C8">
        <w:t>o</w:t>
      </w:r>
      <w:r w:rsidRPr="0083763B">
        <w:t>f Liability</w:t>
      </w:r>
    </w:p>
    <w:p w14:paraId="5062AB24" w14:textId="77777777" w:rsidR="00973884" w:rsidRDefault="00320613" w:rsidP="00914128">
      <w:pPr>
        <w:pStyle w:val="ToC"/>
      </w:pPr>
      <w:hyperlink w:anchor="a6_6" w:history="1">
        <w:r w:rsidRPr="00973884">
          <w:rPr>
            <w:rStyle w:val="Hyperlink"/>
          </w:rPr>
          <w:t>6:6</w:t>
        </w:r>
      </w:hyperlink>
      <w:r w:rsidRPr="00973884">
        <w:t xml:space="preserve"> </w:t>
      </w:r>
      <w:r w:rsidRPr="00973884">
        <w:tab/>
        <w:t xml:space="preserve">Loss </w:t>
      </w:r>
      <w:r w:rsidR="000962C8">
        <w:t>o</w:t>
      </w:r>
      <w:r w:rsidRPr="00973884">
        <w:t>f Consortium — Defined — Damages</w:t>
      </w:r>
    </w:p>
    <w:p w14:paraId="744C6628" w14:textId="77777777" w:rsidR="00973884" w:rsidRDefault="00320613" w:rsidP="00914128">
      <w:pPr>
        <w:pStyle w:val="ToC"/>
      </w:pPr>
      <w:hyperlink w:anchor="a6_7" w:history="1">
        <w:r w:rsidRPr="00973884">
          <w:rPr>
            <w:rStyle w:val="Hyperlink"/>
          </w:rPr>
          <w:t>6:7</w:t>
        </w:r>
      </w:hyperlink>
      <w:r w:rsidRPr="00973884">
        <w:t xml:space="preserve"> </w:t>
      </w:r>
      <w:r w:rsidRPr="00973884">
        <w:tab/>
        <w:t xml:space="preserve">Personal Injuries — Non-Reduction </w:t>
      </w:r>
      <w:r w:rsidR="000962C8">
        <w:t>o</w:t>
      </w:r>
      <w:r w:rsidRPr="00973884">
        <w:t>f Damages — “Thin Skull” Doctrine</w:t>
      </w:r>
    </w:p>
    <w:p w14:paraId="31F803D1" w14:textId="77777777" w:rsidR="00973884" w:rsidRDefault="00320613" w:rsidP="00914128">
      <w:pPr>
        <w:pStyle w:val="ToC"/>
      </w:pPr>
      <w:hyperlink w:anchor="a6_8" w:history="1">
        <w:r w:rsidRPr="00973884">
          <w:rPr>
            <w:rStyle w:val="Hyperlink"/>
          </w:rPr>
          <w:t>6:8</w:t>
        </w:r>
      </w:hyperlink>
      <w:r w:rsidRPr="00973884">
        <w:t xml:space="preserve"> </w:t>
      </w:r>
      <w:r w:rsidRPr="00973884">
        <w:tab/>
        <w:t xml:space="preserve">Aggravation </w:t>
      </w:r>
      <w:r w:rsidR="000962C8">
        <w:t>o</w:t>
      </w:r>
      <w:r w:rsidRPr="00973884">
        <w:t>f Preexisting Condition</w:t>
      </w:r>
    </w:p>
    <w:p w14:paraId="12B7495D" w14:textId="77777777" w:rsidR="00973884" w:rsidRDefault="00320613" w:rsidP="00914128">
      <w:pPr>
        <w:pStyle w:val="ToC"/>
      </w:pPr>
      <w:hyperlink w:anchor="a6_9" w:history="1">
        <w:r w:rsidRPr="00973884">
          <w:rPr>
            <w:rStyle w:val="Hyperlink"/>
          </w:rPr>
          <w:t>6:9</w:t>
        </w:r>
      </w:hyperlink>
      <w:r w:rsidR="000962C8">
        <w:t xml:space="preserve"> </w:t>
      </w:r>
      <w:r w:rsidR="000962C8">
        <w:tab/>
        <w:t>Damages Caused b</w:t>
      </w:r>
      <w:r w:rsidRPr="00973884">
        <w:t>y Unrelated Second Event</w:t>
      </w:r>
    </w:p>
    <w:p w14:paraId="1C861F7F" w14:textId="77777777" w:rsidR="00973884" w:rsidRDefault="00320613" w:rsidP="00914128">
      <w:pPr>
        <w:pStyle w:val="ToC"/>
      </w:pPr>
      <w:hyperlink w:anchor="a6_10" w:history="1">
        <w:r w:rsidRPr="00973884">
          <w:rPr>
            <w:rStyle w:val="Hyperlink"/>
          </w:rPr>
          <w:t>6:10</w:t>
        </w:r>
      </w:hyperlink>
      <w:r w:rsidRPr="00973884">
        <w:t xml:space="preserve"> </w:t>
      </w:r>
      <w:r w:rsidRPr="00973884">
        <w:tab/>
        <w:t xml:space="preserve">Effect Of Income Tax </w:t>
      </w:r>
      <w:r w:rsidR="000962C8">
        <w:t>a</w:t>
      </w:r>
      <w:r w:rsidRPr="00973884">
        <w:t xml:space="preserve">nd Other Economic Factors </w:t>
      </w:r>
      <w:r w:rsidR="000962C8">
        <w:t>o</w:t>
      </w:r>
      <w:r w:rsidRPr="00973884">
        <w:t xml:space="preserve">n Award </w:t>
      </w:r>
      <w:r w:rsidR="000962C8">
        <w:t>o</w:t>
      </w:r>
      <w:r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320613" w:rsidP="0068336D">
      <w:pPr>
        <w:pStyle w:val="ToC"/>
      </w:pPr>
      <w:hyperlink w:anchor="a6_11" w:history="1">
        <w:r w:rsidRPr="00973884">
          <w:rPr>
            <w:rStyle w:val="Hyperlink"/>
          </w:rPr>
          <w:t>6:11</w:t>
        </w:r>
      </w:hyperlink>
      <w:r w:rsidRPr="00973884">
        <w:t xml:space="preserve"> </w:t>
      </w:r>
      <w:r w:rsidRPr="00973884">
        <w:tab/>
        <w:t xml:space="preserve">Personal Property — Difference </w:t>
      </w:r>
      <w:r w:rsidR="000962C8">
        <w:t>i</w:t>
      </w:r>
      <w:r w:rsidRPr="00973884">
        <w:t>n Market Value</w:t>
      </w:r>
    </w:p>
    <w:p w14:paraId="4E6BB439" w14:textId="77777777" w:rsidR="00973884" w:rsidRDefault="00320613" w:rsidP="0068336D">
      <w:pPr>
        <w:pStyle w:val="ToC"/>
      </w:pPr>
      <w:hyperlink w:anchor="a6_12" w:history="1">
        <w:r w:rsidRPr="00973884">
          <w:rPr>
            <w:rStyle w:val="Hyperlink"/>
          </w:rPr>
          <w:t>6:12</w:t>
        </w:r>
      </w:hyperlink>
      <w:r w:rsidRPr="00973884">
        <w:t xml:space="preserve"> </w:t>
      </w:r>
      <w:r w:rsidRPr="00973884">
        <w:tab/>
        <w:t xml:space="preserve">Personal Property — Cost </w:t>
      </w:r>
      <w:r w:rsidR="000962C8">
        <w:t>o</w:t>
      </w:r>
      <w:r w:rsidRPr="00973884">
        <w:t>f Repairs</w:t>
      </w:r>
    </w:p>
    <w:p w14:paraId="14EDDAFB" w14:textId="77777777" w:rsidR="00973884" w:rsidRDefault="00320613" w:rsidP="0068336D">
      <w:pPr>
        <w:pStyle w:val="ToC"/>
      </w:pPr>
      <w:hyperlink w:anchor="a6_13" w:history="1">
        <w:r w:rsidRPr="00973884">
          <w:rPr>
            <w:rStyle w:val="Hyperlink"/>
          </w:rPr>
          <w:t>6:13</w:t>
        </w:r>
      </w:hyperlink>
      <w:r w:rsidRPr="00973884">
        <w:t xml:space="preserve"> </w:t>
      </w:r>
      <w:r w:rsidRPr="00973884">
        <w:tab/>
        <w:t xml:space="preserve">Personal Property — Loss </w:t>
      </w:r>
      <w:r w:rsidR="000962C8">
        <w:t>o</w:t>
      </w:r>
      <w:r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320613" w:rsidP="00ED7176">
      <w:pPr>
        <w:pStyle w:val="ToC"/>
      </w:pPr>
      <w:hyperlink w:anchor="a6_14" w:history="1">
        <w:r w:rsidRPr="00973884">
          <w:rPr>
            <w:rStyle w:val="Hyperlink"/>
          </w:rPr>
          <w:t>6:14</w:t>
        </w:r>
      </w:hyperlink>
      <w:r w:rsidRPr="00973884">
        <w:t xml:space="preserve"> </w:t>
      </w:r>
      <w:r w:rsidRPr="00973884">
        <w:tab/>
        <w:t>Multiple Recovery Pr</w:t>
      </w:r>
      <w:r w:rsidR="000962C8">
        <w:t>ohibited (When Plaintiff Suing o</w:t>
      </w:r>
      <w:r w:rsidRPr="00973884">
        <w:t xml:space="preserve">n Alternative But Duplicative Claims </w:t>
      </w:r>
      <w:r w:rsidR="000962C8">
        <w:t>f</w:t>
      </w:r>
      <w:r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64CE2960"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with Instructions 6:1, 6:1A, and 6:1B.</w:t>
      </w:r>
    </w:p>
    <w:p w14:paraId="1EFD2CFA" w14:textId="7043593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with Instruction 6:1, 6:1A, and 6:1B instead of the special verdict forms in Part C of Chapter 9. Instructions 6:1, 6:1A, and 6:1B should also be used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54408F3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4BC314A2"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3898ABD6"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5CD94EF"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physical and mental pain and suffering, inconvenience, emotional stress, impairment of the quality of life, and </w:t>
      </w:r>
      <w:r w:rsidRPr="005E712D">
        <w:rPr>
          <w:rFonts w:eastAsia="Times New Roman"/>
          <w:i/>
          <w:sz w:val="24"/>
          <w:szCs w:val="24"/>
        </w:rPr>
        <w:t>(insert any other recoverable nonecomonic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799EAEB2"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loss of earnings or damage to </w:t>
      </w:r>
      <w:r w:rsidR="00505E5C" w:rsidRPr="00AA267B">
        <w:rPr>
          <w:rFonts w:eastAsia="Times New Roman"/>
          <w:bCs/>
          <w:i/>
          <w:iCs/>
          <w:sz w:val="24"/>
          <w:szCs w:val="24"/>
        </w:rPr>
        <w:t>(</w:t>
      </w:r>
      <w:r w:rsidR="00505E5C">
        <w:rPr>
          <w:rFonts w:eastAsia="Times New Roman"/>
          <w:i/>
          <w:sz w:val="24"/>
          <w:szCs w:val="24"/>
        </w:rPr>
        <w:t>insert applicable pronoun)</w:t>
      </w:r>
      <w:r w:rsidRPr="005E712D">
        <w:rPr>
          <w:rFonts w:eastAsia="Times New Roman"/>
          <w:b/>
          <w:sz w:val="24"/>
          <w:szCs w:val="24"/>
        </w:rPr>
        <w:t xml:space="preserve">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63E89A20"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For civil actions other than </w:t>
      </w:r>
      <w:r w:rsidR="00B861A4">
        <w:rPr>
          <w:rFonts w:eastAsia="Times New Roman"/>
          <w:sz w:val="24"/>
          <w:szCs w:val="24"/>
        </w:rPr>
        <w:t xml:space="preserve">any civil action or binding arbitration </w:t>
      </w:r>
      <w:r w:rsidR="008B4F02">
        <w:rPr>
          <w:rFonts w:eastAsia="Times New Roman"/>
          <w:sz w:val="24"/>
          <w:szCs w:val="24"/>
        </w:rPr>
        <w:t>seeking tort damages against</w:t>
      </w:r>
      <w:r w:rsidR="00B861A4">
        <w:rPr>
          <w:rFonts w:eastAsia="Times New Roman"/>
          <w:sz w:val="24"/>
          <w:szCs w:val="24"/>
        </w:rPr>
        <w:t xml:space="preserve"> a health-care professional, as defined in section 13-64-202(3), </w:t>
      </w:r>
      <w:r w:rsidRPr="005E712D">
        <w:rPr>
          <w:rFonts w:eastAsia="Times New Roman"/>
          <w:sz w:val="24"/>
          <w:szCs w:val="24"/>
        </w:rPr>
        <w:t xml:space="preserve">the maximum amount of noneconomic and derivative noneconomic damages that may be awarded is set by section 13-21-102.5(3)(a) and (b), C.R.S., as adjusted periodically for inflation by the Colorado secretary of state. § 13-21-102.5(3)(c). As of the most recent certification of </w:t>
      </w:r>
      <w:r w:rsidR="00E67D7F">
        <w:rPr>
          <w:rFonts w:eastAsia="Times New Roman"/>
          <w:sz w:val="24"/>
          <w:szCs w:val="24"/>
        </w:rPr>
        <w:t>February 1</w:t>
      </w:r>
      <w:r w:rsidR="00084767">
        <w:rPr>
          <w:rFonts w:eastAsia="Times New Roman"/>
          <w:sz w:val="24"/>
          <w:szCs w:val="24"/>
        </w:rPr>
        <w:t>2</w:t>
      </w:r>
      <w:r w:rsidR="00E67D7F">
        <w:rPr>
          <w:rFonts w:eastAsia="Times New Roman"/>
          <w:sz w:val="24"/>
          <w:szCs w:val="24"/>
        </w:rPr>
        <w:t>, 202</w:t>
      </w:r>
      <w:r w:rsidR="0095456A">
        <w:rPr>
          <w:rFonts w:eastAsia="Times New Roman"/>
          <w:sz w:val="24"/>
          <w:szCs w:val="24"/>
        </w:rPr>
        <w:t>4</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5811E302" w:rsidR="006A2527" w:rsidRDefault="006A2527" w:rsidP="0003475C">
      <w:pPr>
        <w:spacing w:after="240"/>
        <w:ind w:left="720"/>
        <w:rPr>
          <w:rFonts w:eastAsia="Times New Roman"/>
          <w:sz w:val="24"/>
          <w:szCs w:val="24"/>
        </w:rPr>
      </w:pPr>
      <w:r>
        <w:rPr>
          <w:rFonts w:eastAsia="Times New Roman"/>
          <w:sz w:val="24"/>
          <w:szCs w:val="24"/>
        </w:rPr>
        <w:t xml:space="preserve">For claims that accrue on and after January 1, 2020, </w:t>
      </w:r>
      <w:r w:rsidR="00084767">
        <w:rPr>
          <w:rFonts w:eastAsia="Times New Roman"/>
          <w:sz w:val="24"/>
          <w:szCs w:val="24"/>
        </w:rPr>
        <w:t xml:space="preserve">and before January 1, 2022, </w:t>
      </w:r>
      <w:r>
        <w:rPr>
          <w:rFonts w:eastAsia="Times New Roman"/>
          <w:sz w:val="24"/>
          <w:szCs w:val="24"/>
        </w:rPr>
        <w:t>$613,760, which may be increased by the court upon clear and convincing evidence to a maximum of $1,227,530.</w:t>
      </w:r>
    </w:p>
    <w:p w14:paraId="0CAFB808" w14:textId="2E56B32B" w:rsidR="00562F43" w:rsidRDefault="00562F43" w:rsidP="0003475C">
      <w:pPr>
        <w:autoSpaceDE w:val="0"/>
        <w:autoSpaceDN w:val="0"/>
        <w:adjustRightInd w:val="0"/>
        <w:spacing w:after="240"/>
        <w:ind w:left="720"/>
        <w:rPr>
          <w:color w:val="151515"/>
          <w:sz w:val="24"/>
          <w:szCs w:val="24"/>
        </w:rPr>
      </w:pPr>
      <w:r w:rsidRPr="00E67D7F">
        <w:rPr>
          <w:color w:val="151515"/>
          <w:sz w:val="24"/>
          <w:szCs w:val="24"/>
        </w:rPr>
        <w:t>For claims that accrue on and after January 1, 2022</w:t>
      </w:r>
      <w:r>
        <w:rPr>
          <w:color w:val="151515"/>
          <w:sz w:val="24"/>
          <w:szCs w:val="24"/>
        </w:rPr>
        <w:t>,</w:t>
      </w:r>
      <w:r w:rsidRPr="00E67D7F">
        <w:rPr>
          <w:color w:val="151515"/>
          <w:sz w:val="24"/>
          <w:szCs w:val="24"/>
        </w:rPr>
        <w:t xml:space="preserve"> and before January 1, 2024</w:t>
      </w:r>
      <w:r>
        <w:rPr>
          <w:color w:val="151515"/>
          <w:sz w:val="24"/>
          <w:szCs w:val="24"/>
        </w:rPr>
        <w:t xml:space="preserve">, </w:t>
      </w:r>
      <w:r w:rsidRPr="00E67D7F">
        <w:rPr>
          <w:color w:val="151515"/>
          <w:sz w:val="24"/>
          <w:szCs w:val="24"/>
        </w:rPr>
        <w:t>$642,180</w:t>
      </w:r>
      <w:r w:rsidR="00E67D7F">
        <w:rPr>
          <w:color w:val="151515"/>
          <w:sz w:val="24"/>
          <w:szCs w:val="24"/>
        </w:rPr>
        <w:t>,</w:t>
      </w:r>
      <w:r w:rsidRPr="0003475C">
        <w:rPr>
          <w:rFonts w:eastAsia="Times New Roman"/>
          <w:sz w:val="24"/>
          <w:szCs w:val="24"/>
        </w:rPr>
        <w:t xml:space="preserve"> </w:t>
      </w:r>
      <w:r>
        <w:rPr>
          <w:rFonts w:eastAsia="Times New Roman"/>
          <w:sz w:val="24"/>
          <w:szCs w:val="24"/>
        </w:rPr>
        <w:t>which may be increased by the court upon clear and convincing evidence to a maximum of</w:t>
      </w:r>
      <w:r>
        <w:rPr>
          <w:b/>
          <w:bCs/>
          <w:color w:val="151515"/>
          <w:sz w:val="24"/>
          <w:szCs w:val="24"/>
        </w:rPr>
        <w:t xml:space="preserve"> </w:t>
      </w:r>
      <w:r w:rsidRPr="00E67D7F">
        <w:rPr>
          <w:color w:val="151515"/>
          <w:sz w:val="24"/>
          <w:szCs w:val="24"/>
        </w:rPr>
        <w:t>$1,284,370</w:t>
      </w:r>
      <w:r w:rsidR="00E67D7F">
        <w:rPr>
          <w:color w:val="151515"/>
          <w:sz w:val="24"/>
          <w:szCs w:val="24"/>
        </w:rPr>
        <w:t>.</w:t>
      </w:r>
    </w:p>
    <w:p w14:paraId="63253714" w14:textId="01BAE9BE" w:rsidR="00B861A4" w:rsidRPr="005E712D" w:rsidRDefault="00B861A4" w:rsidP="0003475C">
      <w:pPr>
        <w:autoSpaceDE w:val="0"/>
        <w:autoSpaceDN w:val="0"/>
        <w:adjustRightInd w:val="0"/>
        <w:spacing w:after="240"/>
        <w:ind w:left="720"/>
        <w:rPr>
          <w:rFonts w:eastAsia="Times New Roman"/>
          <w:sz w:val="24"/>
          <w:szCs w:val="24"/>
        </w:rPr>
      </w:pPr>
      <w:r>
        <w:rPr>
          <w:color w:val="151515"/>
          <w:sz w:val="24"/>
          <w:szCs w:val="24"/>
        </w:rPr>
        <w:t>For claims filed on or after January 1, 202</w:t>
      </w:r>
      <w:r w:rsidR="0095456A">
        <w:rPr>
          <w:color w:val="151515"/>
          <w:sz w:val="24"/>
          <w:szCs w:val="24"/>
        </w:rPr>
        <w:t>4</w:t>
      </w:r>
      <w:r>
        <w:rPr>
          <w:color w:val="151515"/>
          <w:sz w:val="24"/>
          <w:szCs w:val="24"/>
        </w:rPr>
        <w:t xml:space="preserve">, and before January 1, 2026, or any claim for relief that </w:t>
      </w:r>
      <w:r w:rsidR="00CF3B54">
        <w:rPr>
          <w:color w:val="151515"/>
          <w:sz w:val="24"/>
          <w:szCs w:val="24"/>
        </w:rPr>
        <w:t>accrues</w:t>
      </w:r>
      <w:r>
        <w:rPr>
          <w:color w:val="151515"/>
          <w:sz w:val="24"/>
          <w:szCs w:val="24"/>
        </w:rPr>
        <w:t xml:space="preserve"> on or after January 1, 202</w:t>
      </w:r>
      <w:r w:rsidR="0095456A">
        <w:rPr>
          <w:color w:val="151515"/>
          <w:sz w:val="24"/>
          <w:szCs w:val="24"/>
        </w:rPr>
        <w:t>4</w:t>
      </w:r>
      <w:r>
        <w:rPr>
          <w:color w:val="151515"/>
          <w:sz w:val="24"/>
          <w:szCs w:val="24"/>
        </w:rPr>
        <w:t xml:space="preserve">, other than </w:t>
      </w:r>
      <w:r>
        <w:rPr>
          <w:rFonts w:eastAsia="Times New Roman"/>
          <w:sz w:val="24"/>
          <w:szCs w:val="24"/>
        </w:rPr>
        <w:t xml:space="preserve">civil action or binding arbitration </w:t>
      </w:r>
      <w:r w:rsidR="008B4F02">
        <w:rPr>
          <w:rFonts w:eastAsia="Times New Roman"/>
          <w:sz w:val="24"/>
          <w:szCs w:val="24"/>
        </w:rPr>
        <w:t>seeking tort damages against</w:t>
      </w:r>
      <w:r>
        <w:rPr>
          <w:rFonts w:eastAsia="Times New Roman"/>
          <w:sz w:val="24"/>
          <w:szCs w:val="24"/>
        </w:rPr>
        <w:t xml:space="preserve"> a health-care professional, as defined in section 13-64-202(4)</w:t>
      </w:r>
      <w:r w:rsidR="008C24DC">
        <w:rPr>
          <w:rFonts w:eastAsia="Times New Roman"/>
          <w:sz w:val="24"/>
          <w:szCs w:val="24"/>
        </w:rPr>
        <w:t>,</w:t>
      </w:r>
      <w:r>
        <w:rPr>
          <w:rFonts w:eastAsia="Times New Roman"/>
          <w:sz w:val="24"/>
          <w:szCs w:val="24"/>
        </w:rPr>
        <w:t xml:space="preserve"> or a health-care institution, as defined in section 13-64-202(3), or wrongful death action, in which damages for deriva</w:t>
      </w:r>
      <w:r w:rsidR="0095456A">
        <w:rPr>
          <w:rFonts w:eastAsia="Times New Roman"/>
          <w:sz w:val="24"/>
          <w:szCs w:val="24"/>
        </w:rPr>
        <w:t>tiv</w:t>
      </w:r>
      <w:r>
        <w:rPr>
          <w:rFonts w:eastAsia="Times New Roman"/>
          <w:sz w:val="24"/>
          <w:szCs w:val="24"/>
        </w:rPr>
        <w:t xml:space="preserve">e or direct noneconomic loss </w:t>
      </w:r>
      <w:r w:rsidR="00CF3B54">
        <w:rPr>
          <w:rFonts w:eastAsia="Times New Roman"/>
          <w:sz w:val="24"/>
          <w:szCs w:val="24"/>
        </w:rPr>
        <w:t>or</w:t>
      </w:r>
      <w:r>
        <w:rPr>
          <w:rFonts w:eastAsia="Times New Roman"/>
          <w:sz w:val="24"/>
          <w:szCs w:val="24"/>
        </w:rPr>
        <w:t xml:space="preserve"> injury may </w:t>
      </w:r>
      <w:r>
        <w:rPr>
          <w:rFonts w:eastAsia="Times New Roman"/>
          <w:sz w:val="24"/>
          <w:szCs w:val="24"/>
        </w:rPr>
        <w:lastRenderedPageBreak/>
        <w:t xml:space="preserve">be awarded, the total amount of such damages that may be awarded must not exceed the sum of one million five hundred thousand dollars. </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(Colo. 2007) (“‘If someone tortiously inflicts a permanent injury on another he or she has taken away something valuable which is independent and different from other recognized elements of damages such as pain and suffering and loss of earning capacity.’” (quoting 2 Marilyn Minzer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Cooley v. Paraho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70E808FA"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Alhilo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0F88BDDC" w:rsidR="005E712D" w:rsidRDefault="005E712D" w:rsidP="005E712D">
      <w:pPr>
        <w:spacing w:after="240"/>
        <w:ind w:firstLine="720"/>
        <w:rPr>
          <w:rFonts w:eastAsia="Times New Roman"/>
          <w:sz w:val="24"/>
          <w:szCs w:val="24"/>
        </w:rPr>
      </w:pPr>
      <w:r w:rsidRPr="005E712D">
        <w:rPr>
          <w:rFonts w:eastAsia="Times New Roman"/>
          <w:sz w:val="24"/>
          <w:szCs w:val="24"/>
        </w:rPr>
        <w:lastRenderedPageBreak/>
        <w:t xml:space="preserve">13. Under section 13-21-111.5, the damages awarded against the nonsettling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r w:rsidR="000627A2" w:rsidRPr="000627A2">
        <w:rPr>
          <w:rFonts w:eastAsia="Times New Roman"/>
          <w:i/>
          <w:iCs/>
          <w:sz w:val="24"/>
          <w:szCs w:val="24"/>
        </w:rPr>
        <w:t xml:space="preserve"> </w:t>
      </w:r>
      <w:r w:rsidR="000627A2">
        <w:rPr>
          <w:rFonts w:eastAsia="Times New Roman"/>
          <w:i/>
          <w:iCs/>
          <w:sz w:val="24"/>
          <w:szCs w:val="24"/>
        </w:rPr>
        <w:t>But see</w:t>
      </w:r>
      <w:r w:rsidR="000627A2">
        <w:rPr>
          <w:rFonts w:eastAsia="Times New Roman"/>
          <w:sz w:val="24"/>
          <w:szCs w:val="24"/>
        </w:rPr>
        <w:t xml:space="preserve"> </w:t>
      </w:r>
      <w:r w:rsidR="000627A2" w:rsidRPr="000627A2">
        <w:rPr>
          <w:rFonts w:eastAsia="Times New Roman"/>
          <w:b/>
          <w:bCs/>
          <w:sz w:val="24"/>
          <w:szCs w:val="24"/>
        </w:rPr>
        <w:t>Smith v. Vincent</w:t>
      </w:r>
      <w:r w:rsidR="000627A2" w:rsidRPr="0003475C">
        <w:rPr>
          <w:rFonts w:eastAsia="Times New Roman"/>
          <w:sz w:val="24"/>
          <w:szCs w:val="24"/>
        </w:rPr>
        <w:t xml:space="preserve">, </w:t>
      </w:r>
      <w:r w:rsidR="000627A2">
        <w:rPr>
          <w:rFonts w:eastAsia="Times New Roman"/>
          <w:sz w:val="24"/>
          <w:szCs w:val="24"/>
        </w:rPr>
        <w:t>77 P.3d 927 (Colo. App. 2003) (</w:t>
      </w:r>
      <w:r w:rsidR="000627A2">
        <w:rPr>
          <w:color w:val="191919"/>
          <w:sz w:val="24"/>
          <w:szCs w:val="24"/>
        </w:rPr>
        <w:t>solatium award was not subject to reduction).</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respondeat superior, a monetary settlement with the party whose conduct led to the defendant’s vicarious liability must 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r>
        <w:rPr>
          <w:rFonts w:eastAsia="Times New Roman"/>
          <w:b/>
          <w:bCs/>
          <w:sz w:val="24"/>
          <w:szCs w:val="24"/>
        </w:rPr>
        <w:t>Marso v. Homeowners Realty, Inc.</w:t>
      </w:r>
      <w:r w:rsidRPr="001B593C">
        <w:rPr>
          <w:rFonts w:eastAsia="Times New Roman"/>
          <w:bCs/>
          <w:sz w:val="24"/>
          <w:szCs w:val="24"/>
        </w:rPr>
        <w:t>,</w:t>
      </w:r>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E7FFEF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Pyles-Knutzen v. Bd. of Cty.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r w:rsidRPr="005E712D">
        <w:rPr>
          <w:rFonts w:eastAsia="Times New Roman"/>
          <w:b/>
          <w:sz w:val="24"/>
          <w:szCs w:val="24"/>
        </w:rPr>
        <w:t>Scharrel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r w:rsidRPr="005E712D">
        <w:rPr>
          <w:rFonts w:eastAsia="Times New Roman"/>
          <w:b/>
          <w:sz w:val="24"/>
          <w:szCs w:val="24"/>
        </w:rPr>
        <w:t>Brncic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r w:rsidRPr="005E712D">
        <w:rPr>
          <w:rFonts w:eastAsia="Times New Roman"/>
          <w:b/>
          <w:sz w:val="24"/>
          <w:szCs w:val="24"/>
        </w:rPr>
        <w:t>Brittis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676BB27D"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2012 CO 31, ¶ 18, 276 P.3d 562 (</w:t>
      </w:r>
      <w:r w:rsidR="00580EA6">
        <w:rPr>
          <w:rFonts w:eastAsia="Times New Roman"/>
          <w:sz w:val="24"/>
          <w:szCs w:val="24"/>
        </w:rPr>
        <w:t xml:space="preserve">pre-verdict component </w:t>
      </w:r>
      <w:r w:rsidRPr="005E712D">
        <w:rPr>
          <w:rFonts w:eastAsia="Times New Roman"/>
          <w:sz w:val="24"/>
          <w:szCs w:val="24"/>
        </w:rPr>
        <w:t xml:space="preserve">of the collateral source rule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lastRenderedPageBreak/>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r w:rsidRPr="005E712D">
        <w:rPr>
          <w:rFonts w:eastAsia="Times New Roman"/>
          <w:b/>
          <w:sz w:val="24"/>
          <w:szCs w:val="24"/>
        </w:rPr>
        <w:t>Scharrel</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29AB4253"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damages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r w:rsidR="00B74215">
        <w:rPr>
          <w:rFonts w:eastAsia="Times New Roman"/>
          <w:sz w:val="24"/>
          <w:szCs w:val="24"/>
        </w:rPr>
        <w:t xml:space="preserve"> Where a settlement with an agent is to be set off against a verdict against the principal based on </w:t>
      </w:r>
      <w:r w:rsidR="00B74215">
        <w:rPr>
          <w:rFonts w:eastAsia="Times New Roman"/>
          <w:sz w:val="24"/>
          <w:szCs w:val="24"/>
        </w:rPr>
        <w:lastRenderedPageBreak/>
        <w:t xml:space="preserve">respondeat superior, however, prejudgment interest is to be calculated on the verdict first, before applying the setoff. </w:t>
      </w:r>
      <w:r w:rsidR="00B74215">
        <w:rPr>
          <w:rFonts w:eastAsia="Times New Roman"/>
          <w:b/>
          <w:bCs/>
          <w:sz w:val="24"/>
          <w:szCs w:val="24"/>
        </w:rPr>
        <w:t>Marso</w:t>
      </w:r>
      <w:r w:rsidR="00B74215" w:rsidRPr="00627CE7">
        <w:rPr>
          <w:rFonts w:eastAsia="Times New Roman"/>
          <w:bCs/>
          <w:sz w:val="24"/>
          <w:szCs w:val="24"/>
        </w:rPr>
        <w:t>,</w:t>
      </w:r>
      <w:r w:rsidR="00B74215">
        <w:rPr>
          <w:rFonts w:eastAsia="Times New Roman"/>
          <w:sz w:val="24"/>
          <w:szCs w:val="24"/>
        </w:rPr>
        <w:t xml:space="preserve"> ¶¶ 2, 35-45</w:t>
      </w:r>
      <w:r w:rsidR="00631FE7">
        <w:rPr>
          <w:rFonts w:eastAsia="Times New Roman"/>
          <w:sz w:val="24"/>
          <w:szCs w:val="24"/>
        </w:rPr>
        <w:t>, 418 P.3d at 544, 548-49</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3E596DC4" w14:textId="5D4A9BEC" w:rsidR="00580EA6" w:rsidRDefault="005E712D" w:rsidP="00580EA6">
      <w:pPr>
        <w:spacing w:after="240"/>
        <w:ind w:firstLine="720"/>
        <w:rPr>
          <w:rFonts w:eastAsia="Times New Roman"/>
          <w:sz w:val="24"/>
          <w:szCs w:val="24"/>
        </w:rPr>
      </w:pPr>
      <w:r w:rsidRPr="005E712D">
        <w:rPr>
          <w:rFonts w:eastAsia="Times New Roman"/>
          <w:sz w:val="24"/>
          <w:szCs w:val="24"/>
        </w:rPr>
        <w:t xml:space="preserve">13. </w:t>
      </w:r>
      <w:r w:rsidR="00580EA6">
        <w:rPr>
          <w:rFonts w:eastAsia="Times New Roman"/>
          <w:sz w:val="24"/>
          <w:szCs w:val="24"/>
        </w:rPr>
        <w:t xml:space="preserve">A collateral source payment is an amount by which an injured plaintiff is wholly or partially compensated by a person or entity other than the defendant. </w:t>
      </w:r>
      <w:r w:rsidR="00A36F14">
        <w:rPr>
          <w:rFonts w:eastAsia="Times New Roman"/>
          <w:sz w:val="24"/>
          <w:szCs w:val="24"/>
        </w:rPr>
        <w:t>§</w:t>
      </w:r>
      <w:r w:rsidR="00580EA6">
        <w:rPr>
          <w:rFonts w:eastAsia="Times New Roman"/>
          <w:sz w:val="24"/>
          <w:szCs w:val="24"/>
        </w:rPr>
        <w:t xml:space="preserve"> 13-21-111.6, C.R.S. The “collateral source rule” </w:t>
      </w:r>
      <w:r w:rsidR="00094989">
        <w:rPr>
          <w:rFonts w:eastAsia="Times New Roman"/>
          <w:sz w:val="24"/>
          <w:szCs w:val="24"/>
        </w:rPr>
        <w:t>comprises</w:t>
      </w:r>
      <w:r w:rsidR="00580EA6">
        <w:rPr>
          <w:rFonts w:eastAsia="Times New Roman"/>
          <w:sz w:val="24"/>
          <w:szCs w:val="24"/>
        </w:rPr>
        <w:t xml:space="preserve"> a pre-verdict component and a post-verdict component. The pre-verdict component provides that the “fact or amount of any collateral source payment or benefits shall not be admitted as evidence in any action against an alleged third-party tortfeasor” or in an action to recover benefits for an injury caused by an uninsured motorist. </w:t>
      </w:r>
      <w:r w:rsidR="00A36F14">
        <w:rPr>
          <w:rFonts w:eastAsia="Times New Roman"/>
          <w:sz w:val="24"/>
          <w:szCs w:val="24"/>
        </w:rPr>
        <w:t>§</w:t>
      </w:r>
      <w:r w:rsidR="00580EA6">
        <w:rPr>
          <w:rFonts w:eastAsia="Times New Roman"/>
          <w:sz w:val="24"/>
          <w:szCs w:val="24"/>
        </w:rPr>
        <w:t xml:space="preserve"> </w:t>
      </w:r>
      <w:r w:rsidR="00596A4C">
        <w:rPr>
          <w:rFonts w:eastAsia="Times New Roman"/>
          <w:sz w:val="24"/>
          <w:szCs w:val="24"/>
        </w:rPr>
        <w:t>1</w:t>
      </w:r>
      <w:r w:rsidR="00580EA6">
        <w:rPr>
          <w:rFonts w:eastAsia="Times New Roman"/>
          <w:sz w:val="24"/>
          <w:szCs w:val="24"/>
        </w:rPr>
        <w:t>0-</w:t>
      </w:r>
      <w:r w:rsidR="00596A4C">
        <w:rPr>
          <w:rFonts w:eastAsia="Times New Roman"/>
          <w:sz w:val="24"/>
          <w:szCs w:val="24"/>
        </w:rPr>
        <w:t>1-</w:t>
      </w:r>
      <w:r w:rsidR="00580EA6">
        <w:rPr>
          <w:rFonts w:eastAsia="Times New Roman"/>
          <w:sz w:val="24"/>
          <w:szCs w:val="24"/>
        </w:rPr>
        <w:t>135(10)</w:t>
      </w:r>
      <w:r w:rsidR="00596A4C">
        <w:rPr>
          <w:rFonts w:eastAsia="Times New Roman"/>
          <w:sz w:val="24"/>
          <w:szCs w:val="24"/>
        </w:rPr>
        <w:t>(a</w:t>
      </w:r>
      <w:r w:rsidR="00596A4C" w:rsidRPr="004F1648">
        <w:rPr>
          <w:rFonts w:eastAsia="Times New Roman"/>
          <w:sz w:val="24"/>
          <w:szCs w:val="24"/>
        </w:rPr>
        <w:t>)</w:t>
      </w:r>
      <w:r w:rsidR="00580EA6" w:rsidRPr="004F1648">
        <w:rPr>
          <w:rFonts w:eastAsia="Times New Roman"/>
          <w:sz w:val="24"/>
          <w:szCs w:val="24"/>
        </w:rPr>
        <w:t xml:space="preserve">. </w:t>
      </w:r>
      <w:r w:rsidR="004F1648" w:rsidRPr="004F1648">
        <w:rPr>
          <w:rFonts w:eastAsia="Times New Roman"/>
          <w:sz w:val="24"/>
          <w:szCs w:val="24"/>
        </w:rPr>
        <w:t xml:space="preserve">For cases applying the pre-verdict component of the rule, see </w:t>
      </w:r>
      <w:r w:rsidR="004F1648" w:rsidRPr="004F1648">
        <w:rPr>
          <w:rFonts w:eastAsia="Times New Roman"/>
          <w:b/>
          <w:bCs/>
          <w:sz w:val="24"/>
          <w:szCs w:val="24"/>
        </w:rPr>
        <w:t>Ronquillo v. EcoClean Home Servs.</w:t>
      </w:r>
      <w:r w:rsidR="004F1648" w:rsidRPr="004F1648">
        <w:rPr>
          <w:rFonts w:eastAsia="Times New Roman"/>
          <w:sz w:val="24"/>
          <w:szCs w:val="24"/>
        </w:rPr>
        <w:t>, 2021 CO 82, ¶¶ 20-30</w:t>
      </w:r>
      <w:r w:rsidR="00E67D7F">
        <w:rPr>
          <w:rFonts w:eastAsia="Times New Roman"/>
          <w:sz w:val="24"/>
          <w:szCs w:val="24"/>
        </w:rPr>
        <w:t>, 500 P.3d 1130</w:t>
      </w:r>
      <w:r w:rsidR="004F1648" w:rsidRPr="004F1648">
        <w:rPr>
          <w:rFonts w:eastAsia="Times New Roman"/>
          <w:sz w:val="24"/>
          <w:szCs w:val="24"/>
        </w:rPr>
        <w:t xml:space="preserve"> (Discounted amounts paid to medical providers by medical finance company to enable plaintiff to obtain prompt medical treatment are not collateral source payments where plaintiff remained liable to pay full amounts billed by providers, so the pre-verdict component of the collateral source rule does not exclude evidence of payments by finance company. This result may be different under </w:t>
      </w:r>
      <w:r w:rsidR="002A0F72">
        <w:rPr>
          <w:rFonts w:eastAsia="Times New Roman"/>
          <w:sz w:val="24"/>
          <w:szCs w:val="24"/>
        </w:rPr>
        <w:t>sections</w:t>
      </w:r>
      <w:r w:rsidR="004F1648" w:rsidRPr="004F1648">
        <w:rPr>
          <w:rFonts w:eastAsia="Times New Roman"/>
          <w:sz w:val="24"/>
          <w:szCs w:val="24"/>
        </w:rPr>
        <w:t xml:space="preserve"> 38-27.5-103 and 104, C.R.S., which had not taken effect at the time of the events in </w:t>
      </w:r>
      <w:r w:rsidR="004F1648" w:rsidRPr="004F1648">
        <w:rPr>
          <w:rFonts w:eastAsia="Times New Roman"/>
          <w:b/>
          <w:bCs/>
          <w:sz w:val="24"/>
          <w:szCs w:val="24"/>
        </w:rPr>
        <w:t>Ronquillo</w:t>
      </w:r>
      <w:r w:rsidR="004F1648" w:rsidRPr="004F1648">
        <w:rPr>
          <w:rFonts w:eastAsia="Times New Roman"/>
          <w:sz w:val="24"/>
          <w:szCs w:val="24"/>
        </w:rPr>
        <w:t>.</w:t>
      </w:r>
      <w:r w:rsidR="002A0F72">
        <w:rPr>
          <w:rFonts w:eastAsia="Times New Roman"/>
          <w:sz w:val="24"/>
          <w:szCs w:val="24"/>
        </w:rPr>
        <w:t>)</w:t>
      </w:r>
      <w:r w:rsidR="00580EA6" w:rsidRPr="004F1648">
        <w:rPr>
          <w:rFonts w:eastAsia="Times New Roman"/>
          <w:sz w:val="24"/>
          <w:szCs w:val="24"/>
        </w:rPr>
        <w:t>;</w:t>
      </w:r>
      <w:r w:rsidR="00580EA6" w:rsidRPr="004F1648">
        <w:rPr>
          <w:rFonts w:eastAsia="Times New Roman"/>
          <w:b/>
          <w:sz w:val="24"/>
          <w:szCs w:val="24"/>
        </w:rPr>
        <w:t xml:space="preserve"> </w:t>
      </w:r>
      <w:r w:rsidR="00580EA6" w:rsidRPr="005E712D">
        <w:rPr>
          <w:rFonts w:eastAsia="Times New Roman"/>
          <w:b/>
          <w:sz w:val="24"/>
          <w:szCs w:val="24"/>
        </w:rPr>
        <w:t>Smith</w:t>
      </w:r>
      <w:r w:rsidR="00580EA6" w:rsidRPr="005E712D">
        <w:rPr>
          <w:rFonts w:eastAsia="Times New Roman"/>
          <w:sz w:val="24"/>
          <w:szCs w:val="24"/>
        </w:rPr>
        <w:t>, ¶ 19</w:t>
      </w:r>
      <w:r w:rsidR="00596A4C">
        <w:rPr>
          <w:rFonts w:eastAsia="Times New Roman"/>
          <w:sz w:val="24"/>
          <w:szCs w:val="24"/>
        </w:rPr>
        <w:t xml:space="preserve">, 328 P.3d at </w:t>
      </w:r>
      <w:r w:rsidR="00A8400E">
        <w:rPr>
          <w:rFonts w:eastAsia="Times New Roman"/>
          <w:sz w:val="24"/>
          <w:szCs w:val="24"/>
        </w:rPr>
        <w:t>262</w:t>
      </w:r>
      <w:r w:rsidR="00580EA6" w:rsidRPr="005E712D">
        <w:rPr>
          <w:rFonts w:eastAsia="Times New Roman"/>
          <w:sz w:val="24"/>
          <w:szCs w:val="24"/>
        </w:rPr>
        <w:t xml:space="preserve"> (Medicaid payments are inadmissible collateral source benefits</w:t>
      </w:r>
      <w:r w:rsidR="00580EA6">
        <w:rPr>
          <w:rFonts w:eastAsia="Times New Roman"/>
          <w:sz w:val="24"/>
          <w:szCs w:val="24"/>
        </w:rPr>
        <w:t>,</w:t>
      </w:r>
      <w:r w:rsidR="00580EA6" w:rsidRPr="005E712D">
        <w:rPr>
          <w:rFonts w:eastAsia="Times New Roman"/>
          <w:sz w:val="24"/>
          <w:szCs w:val="24"/>
        </w:rPr>
        <w:t xml:space="preserve"> and the “gratuitous government benefits” exception set forth in </w:t>
      </w:r>
      <w:r w:rsidR="00580EA6" w:rsidRPr="005E712D">
        <w:rPr>
          <w:rFonts w:eastAsia="Times New Roman"/>
          <w:b/>
          <w:sz w:val="24"/>
          <w:szCs w:val="24"/>
        </w:rPr>
        <w:t>City of Englewood</w:t>
      </w:r>
      <w:r w:rsidR="00580EA6" w:rsidRPr="005E712D">
        <w:rPr>
          <w:rFonts w:eastAsia="Times New Roman"/>
          <w:sz w:val="24"/>
          <w:szCs w:val="24"/>
        </w:rPr>
        <w:t xml:space="preserve">, 100 Colo. at 554, 68 P.2d at 915, and </w:t>
      </w:r>
      <w:r w:rsidR="00580EA6" w:rsidRPr="005E712D">
        <w:rPr>
          <w:rFonts w:eastAsia="Times New Roman"/>
          <w:b/>
          <w:sz w:val="24"/>
          <w:szCs w:val="24"/>
        </w:rPr>
        <w:t>Gomez</w:t>
      </w:r>
      <w:r w:rsidR="00580EA6" w:rsidRPr="005E712D">
        <w:rPr>
          <w:rFonts w:eastAsia="Times New Roman"/>
          <w:sz w:val="24"/>
          <w:szCs w:val="24"/>
        </w:rPr>
        <w:t>, 32 Colo. App. at 336, 511 P.2d at 533, was overruled by section 10-1-135(10)(a))</w:t>
      </w:r>
      <w:r w:rsidR="00580EA6">
        <w:rPr>
          <w:rFonts w:eastAsia="Times New Roman"/>
          <w:sz w:val="24"/>
          <w:szCs w:val="24"/>
        </w:rPr>
        <w:t xml:space="preserve">; </w:t>
      </w:r>
      <w:r w:rsidR="00580EA6" w:rsidRPr="005E712D">
        <w:rPr>
          <w:rFonts w:eastAsia="Times New Roman"/>
          <w:b/>
          <w:sz w:val="24"/>
          <w:szCs w:val="24"/>
        </w:rPr>
        <w:t>Crossgrove</w:t>
      </w:r>
      <w:r w:rsidR="00580EA6" w:rsidRPr="005E712D">
        <w:rPr>
          <w:rFonts w:eastAsia="Times New Roman"/>
          <w:sz w:val="24"/>
          <w:szCs w:val="24"/>
        </w:rPr>
        <w:t>, ¶ 18</w:t>
      </w:r>
      <w:r w:rsidR="00A8400E">
        <w:rPr>
          <w:rFonts w:eastAsia="Times New Roman"/>
          <w:sz w:val="24"/>
          <w:szCs w:val="24"/>
        </w:rPr>
        <w:t>, 276 P.3d at 566</w:t>
      </w:r>
      <w:r w:rsidR="00580EA6" w:rsidRPr="005E712D">
        <w:rPr>
          <w:rFonts w:eastAsia="Times New Roman"/>
          <w:sz w:val="24"/>
          <w:szCs w:val="24"/>
        </w:rPr>
        <w:t xml:space="preserve"> (</w:t>
      </w:r>
      <w:r w:rsidR="00580EA6">
        <w:rPr>
          <w:rFonts w:eastAsia="Times New Roman"/>
          <w:sz w:val="24"/>
          <w:szCs w:val="24"/>
        </w:rPr>
        <w:t xml:space="preserve">pre-verdict component </w:t>
      </w:r>
      <w:r w:rsidR="00580EA6" w:rsidRPr="005E712D">
        <w:rPr>
          <w:rFonts w:eastAsia="Times New Roman"/>
          <w:sz w:val="24"/>
          <w:szCs w:val="24"/>
        </w:rPr>
        <w:t>of the collateral source rule</w:t>
      </w:r>
      <w:r w:rsidR="00580EA6">
        <w:rPr>
          <w:rFonts w:eastAsia="Times New Roman"/>
          <w:sz w:val="24"/>
          <w:szCs w:val="24"/>
        </w:rPr>
        <w:t xml:space="preserve"> </w:t>
      </w:r>
      <w:r w:rsidR="00580EA6" w:rsidRPr="005E712D">
        <w:rPr>
          <w:rFonts w:eastAsia="Times New Roman"/>
          <w:sz w:val="24"/>
          <w:szCs w:val="24"/>
        </w:rPr>
        <w:t xml:space="preserve">required exclusion of evidence of amount paid by medical insurer for plaintiff’s medical expenses, even where offered solely to prove reasonable value of medical services); </w:t>
      </w:r>
      <w:r w:rsidR="00580EA6" w:rsidRPr="005E712D">
        <w:rPr>
          <w:rFonts w:eastAsia="Times New Roman"/>
          <w:b/>
          <w:sz w:val="24"/>
          <w:szCs w:val="24"/>
        </w:rPr>
        <w:t>Smith v. Jeppsen</w:t>
      </w:r>
      <w:r w:rsidR="00580EA6" w:rsidRPr="005E712D">
        <w:rPr>
          <w:rFonts w:eastAsia="Times New Roman"/>
          <w:sz w:val="24"/>
          <w:szCs w:val="24"/>
        </w:rPr>
        <w:t xml:space="preserve">, 2012 CO 32, ¶¶ 20-22, 277 P.3d 224 (companion case to </w:t>
      </w:r>
      <w:r w:rsidR="00580EA6" w:rsidRPr="005E712D">
        <w:rPr>
          <w:rFonts w:eastAsia="Times New Roman"/>
          <w:b/>
          <w:sz w:val="24"/>
          <w:szCs w:val="24"/>
        </w:rPr>
        <w:t>Crossgrove</w:t>
      </w:r>
      <w:r w:rsidR="00580EA6" w:rsidRPr="005E712D">
        <w:rPr>
          <w:rFonts w:eastAsia="Times New Roman"/>
          <w:sz w:val="24"/>
          <w:szCs w:val="24"/>
        </w:rPr>
        <w:t xml:space="preserve">); </w:t>
      </w:r>
      <w:r w:rsidR="00580EA6" w:rsidRPr="005E712D">
        <w:rPr>
          <w:rFonts w:eastAsia="Times New Roman"/>
          <w:b/>
          <w:sz w:val="24"/>
          <w:szCs w:val="24"/>
        </w:rPr>
        <w:t>Sunahara v. State Farm Mut. Auto. Ins. Co.</w:t>
      </w:r>
      <w:r w:rsidR="00580EA6" w:rsidRPr="005E712D">
        <w:rPr>
          <w:rFonts w:eastAsia="Times New Roman"/>
          <w:sz w:val="24"/>
          <w:szCs w:val="24"/>
        </w:rPr>
        <w:t xml:space="preserve">, 2012 CO 30M, ¶¶ 13-19, 280 P.3d 649 (companion case to </w:t>
      </w:r>
      <w:r w:rsidR="00580EA6" w:rsidRPr="005E712D">
        <w:rPr>
          <w:rFonts w:eastAsia="Times New Roman"/>
          <w:b/>
          <w:sz w:val="24"/>
          <w:szCs w:val="24"/>
        </w:rPr>
        <w:t>Crossgrove</w:t>
      </w:r>
      <w:r w:rsidR="00580EA6" w:rsidRPr="005E712D">
        <w:rPr>
          <w:rFonts w:eastAsia="Times New Roman"/>
          <w:sz w:val="24"/>
          <w:szCs w:val="24"/>
        </w:rPr>
        <w:t>)</w:t>
      </w:r>
      <w:r w:rsidR="008C1AE1">
        <w:rPr>
          <w:rFonts w:eastAsia="Times New Roman"/>
          <w:sz w:val="24"/>
          <w:szCs w:val="24"/>
        </w:rPr>
        <w:t>.</w:t>
      </w:r>
      <w:r w:rsidR="00580EA6">
        <w:rPr>
          <w:rFonts w:eastAsia="Times New Roman"/>
          <w:sz w:val="24"/>
          <w:szCs w:val="24"/>
        </w:rPr>
        <w:t xml:space="preserve"> </w:t>
      </w:r>
    </w:p>
    <w:p w14:paraId="3CFBBE06" w14:textId="1D5A5652" w:rsidR="0075398E" w:rsidRDefault="00580EA6" w:rsidP="00580EA6">
      <w:pPr>
        <w:spacing w:after="240"/>
        <w:ind w:firstLine="720"/>
        <w:rPr>
          <w:rFonts w:eastAsia="Times New Roman"/>
          <w:sz w:val="24"/>
          <w:szCs w:val="24"/>
        </w:rPr>
      </w:pPr>
      <w:r>
        <w:rPr>
          <w:rFonts w:eastAsia="Times New Roman"/>
          <w:sz w:val="24"/>
          <w:szCs w:val="24"/>
        </w:rPr>
        <w:t xml:space="preserve">14. The post-verdict component of the collateral source rule, codified by </w:t>
      </w:r>
      <w:r w:rsidR="00A8400E">
        <w:rPr>
          <w:rFonts w:eastAsia="Times New Roman"/>
          <w:sz w:val="24"/>
          <w:szCs w:val="24"/>
        </w:rPr>
        <w:t>s</w:t>
      </w:r>
      <w:r w:rsidR="005E712D" w:rsidRPr="005E712D">
        <w:rPr>
          <w:rFonts w:eastAsia="Times New Roman"/>
          <w:sz w:val="24"/>
          <w:szCs w:val="24"/>
        </w:rPr>
        <w:t xml:space="preserve">ection 13-21-111.6,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005E712D" w:rsidRPr="005E712D">
        <w:rPr>
          <w:rFonts w:eastAsia="Times New Roman"/>
          <w:i/>
          <w:sz w:val="24"/>
          <w:szCs w:val="24"/>
        </w:rPr>
        <w:t>See, e.g</w:t>
      </w:r>
      <w:r w:rsidR="005E712D" w:rsidRPr="005E712D">
        <w:rPr>
          <w:rFonts w:eastAsia="Times New Roman"/>
          <w:sz w:val="24"/>
          <w:szCs w:val="24"/>
        </w:rPr>
        <w:t xml:space="preserve">., </w:t>
      </w:r>
      <w:r w:rsidR="005E712D" w:rsidRPr="005E712D">
        <w:rPr>
          <w:rFonts w:eastAsia="Times New Roman"/>
          <w:b/>
          <w:sz w:val="24"/>
          <w:szCs w:val="24"/>
        </w:rPr>
        <w:t>Keelan v. Van Waters &amp; Rogers, Inc.</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005E712D" w:rsidRPr="005E712D">
        <w:rPr>
          <w:rFonts w:eastAsia="Times New Roman"/>
          <w:i/>
          <w:sz w:val="24"/>
          <w:szCs w:val="24"/>
        </w:rPr>
        <w:t>aff’d</w:t>
      </w:r>
      <w:r w:rsidR="005E712D" w:rsidRPr="005E712D">
        <w:rPr>
          <w:rFonts w:eastAsia="Times New Roman"/>
          <w:sz w:val="24"/>
          <w:szCs w:val="24"/>
        </w:rPr>
        <w:t xml:space="preserve">, 840 P.2d 1070 (Colo. 1992); </w:t>
      </w:r>
      <w:r w:rsidR="005E712D" w:rsidRPr="005E712D">
        <w:rPr>
          <w:rFonts w:eastAsia="Times New Roman"/>
          <w:i/>
          <w:sz w:val="24"/>
          <w:szCs w:val="24"/>
        </w:rPr>
        <w:t>see also</w:t>
      </w:r>
      <w:r w:rsidR="005E712D" w:rsidRPr="005E712D">
        <w:rPr>
          <w:rFonts w:eastAsia="Times New Roman"/>
          <w:sz w:val="24"/>
          <w:szCs w:val="24"/>
        </w:rPr>
        <w:t xml:space="preserve"> </w:t>
      </w:r>
      <w:r w:rsidR="005E712D" w:rsidRPr="005E712D">
        <w:rPr>
          <w:rFonts w:eastAsia="Times New Roman"/>
          <w:b/>
          <w:sz w:val="24"/>
          <w:szCs w:val="24"/>
        </w:rPr>
        <w:t>Volunteers of Am. Colo. Branch v. Gardenswartz</w:t>
      </w:r>
      <w:r w:rsidR="005E712D"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005E712D" w:rsidRPr="005E712D">
        <w:rPr>
          <w:rFonts w:eastAsia="Times New Roman"/>
          <w:b/>
          <w:sz w:val="24"/>
          <w:szCs w:val="24"/>
        </w:rPr>
        <w:t>Colo. Permanente Med. Grp.</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005E712D" w:rsidRPr="005E712D">
        <w:rPr>
          <w:rFonts w:eastAsia="Times New Roman"/>
          <w:sz w:val="24"/>
          <w:szCs w:val="24"/>
        </w:rPr>
        <w:t xml:space="preserve"> </w:t>
      </w:r>
      <w:bookmarkStart w:id="2" w:name="_Hlk117769689"/>
      <w:r w:rsidR="005E712D" w:rsidRPr="005E712D">
        <w:rPr>
          <w:rFonts w:eastAsia="Times New Roman"/>
          <w:b/>
          <w:sz w:val="24"/>
          <w:szCs w:val="24"/>
        </w:rPr>
        <w:t>Pressey v. Children’s Hosp. Colo.</w:t>
      </w:r>
      <w:r w:rsidR="005E712D"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005E712D"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005E712D"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00683AEF">
        <w:rPr>
          <w:rFonts w:eastAsia="Times New Roman"/>
          <w:sz w:val="24"/>
          <w:szCs w:val="24"/>
        </w:rPr>
        <w:t xml:space="preserve">, </w:t>
      </w:r>
      <w:r w:rsidR="00683AEF" w:rsidRPr="00683AEF">
        <w:rPr>
          <w:rFonts w:eastAsia="Times New Roman"/>
          <w:i/>
          <w:iCs/>
          <w:sz w:val="24"/>
          <w:szCs w:val="24"/>
        </w:rPr>
        <w:t>overruled on other grounds by</w:t>
      </w:r>
      <w:r w:rsidR="00683AEF">
        <w:rPr>
          <w:rFonts w:eastAsia="Times New Roman"/>
          <w:sz w:val="24"/>
          <w:szCs w:val="24"/>
        </w:rPr>
        <w:t xml:space="preserve"> </w:t>
      </w:r>
      <w:r w:rsidR="00683AEF" w:rsidRPr="00B559AD">
        <w:rPr>
          <w:rFonts w:eastAsia="Times New Roman"/>
          <w:b/>
          <w:bCs/>
          <w:sz w:val="24"/>
          <w:szCs w:val="24"/>
        </w:rPr>
        <w:t>Rudnicki v. Bianco</w:t>
      </w:r>
      <w:r w:rsidR="00683AEF">
        <w:rPr>
          <w:rFonts w:eastAsia="Times New Roman"/>
          <w:sz w:val="24"/>
          <w:szCs w:val="24"/>
        </w:rPr>
        <w:t>, 2021 CO 80, 501 P.3d 776</w:t>
      </w:r>
      <w:r w:rsidR="005E712D" w:rsidRPr="005E712D">
        <w:rPr>
          <w:rFonts w:eastAsia="Times New Roman"/>
          <w:sz w:val="24"/>
          <w:szCs w:val="24"/>
        </w:rPr>
        <w:t xml:space="preserve">; </w:t>
      </w:r>
      <w:bookmarkEnd w:id="2"/>
      <w:r w:rsidR="005E712D" w:rsidRPr="005E712D">
        <w:rPr>
          <w:rFonts w:eastAsia="Times New Roman"/>
          <w:b/>
          <w:sz w:val="24"/>
          <w:szCs w:val="24"/>
        </w:rPr>
        <w:t xml:space="preserve">Dep’t of </w:t>
      </w:r>
      <w:r w:rsidR="005E712D" w:rsidRPr="005E712D">
        <w:rPr>
          <w:rFonts w:eastAsia="Times New Roman"/>
          <w:b/>
          <w:sz w:val="24"/>
          <w:szCs w:val="24"/>
        </w:rPr>
        <w:lastRenderedPageBreak/>
        <w:t>Human Servs. v. State Personnel Bd.</w:t>
      </w:r>
      <w:r w:rsidR="005E712D" w:rsidRPr="005E712D">
        <w:rPr>
          <w:rFonts w:eastAsia="Times New Roman"/>
          <w:sz w:val="24"/>
          <w:szCs w:val="24"/>
        </w:rPr>
        <w:t xml:space="preserve">, 2016 COA 37, ¶¶ 31-42, 371 P.3d 748 (PERA disability benefits constitute a collateral source and are not to be offset against a damage award.); </w:t>
      </w:r>
      <w:r w:rsidR="005E712D" w:rsidRPr="005E712D">
        <w:rPr>
          <w:rFonts w:eastAsia="Times New Roman"/>
          <w:b/>
          <w:sz w:val="24"/>
          <w:szCs w:val="24"/>
        </w:rPr>
        <w:t>Calderon v. Am. Family Mut. Ins. Co.</w:t>
      </w:r>
      <w:r w:rsidR="005E712D" w:rsidRPr="005E712D">
        <w:rPr>
          <w:rFonts w:eastAsia="Times New Roman"/>
          <w:sz w:val="24"/>
          <w:szCs w:val="24"/>
        </w:rPr>
        <w:t>, 2014 COA 70, ¶¶ 28-32</w:t>
      </w:r>
      <w:r w:rsidR="009A5ACD">
        <w:rPr>
          <w:rFonts w:eastAsia="Times New Roman"/>
          <w:sz w:val="24"/>
          <w:szCs w:val="24"/>
        </w:rPr>
        <w:t>, 409 P.3d 393</w:t>
      </w:r>
      <w:r w:rsidR="005E712D" w:rsidRPr="005E712D">
        <w:rPr>
          <w:rFonts w:eastAsia="Times New Roman"/>
          <w:sz w:val="24"/>
          <w:szCs w:val="24"/>
        </w:rPr>
        <w:t xml:space="preserve"> (post-verdict setoff rule codified in section 13-21-111.6</w:t>
      </w:r>
      <w:r w:rsidR="005E712D" w:rsidRPr="005E712D">
        <w:rPr>
          <w:rFonts w:eastAsia="Times New Roman"/>
          <w:b/>
          <w:sz w:val="24"/>
          <w:szCs w:val="24"/>
        </w:rPr>
        <w:t xml:space="preserve"> </w:t>
      </w:r>
      <w:r w:rsidR="005E712D" w:rsidRPr="005E712D">
        <w:rPr>
          <w:rFonts w:eastAsia="Times New Roman"/>
          <w:sz w:val="24"/>
          <w:szCs w:val="24"/>
        </w:rPr>
        <w:t>does not bar insurer from setting off Medpay benefit against judgment against insurer for UM/UIM benefits because the defendant is the collateral source),</w:t>
      </w:r>
      <w:r w:rsidR="005E712D" w:rsidRPr="005E712D">
        <w:rPr>
          <w:rFonts w:eastAsia="Times New Roman"/>
          <w:i/>
          <w:sz w:val="24"/>
          <w:szCs w:val="24"/>
        </w:rPr>
        <w:t xml:space="preserve"> rev’d on other grounds</w:t>
      </w:r>
      <w:r w:rsidR="005E712D" w:rsidRPr="005E712D">
        <w:rPr>
          <w:rFonts w:eastAsia="Times New Roman"/>
          <w:sz w:val="24"/>
          <w:szCs w:val="24"/>
        </w:rPr>
        <w:t xml:space="preserve">, 2016 CO 72, 383 P.3d 676; </w:t>
      </w:r>
      <w:r w:rsidR="005E712D" w:rsidRPr="005E712D">
        <w:rPr>
          <w:rFonts w:eastAsia="Times New Roman"/>
          <w:b/>
          <w:sz w:val="24"/>
          <w:szCs w:val="24"/>
        </w:rPr>
        <w:t>Stresscon Corp. v.</w:t>
      </w:r>
      <w:r w:rsidR="005E712D" w:rsidRPr="005E712D">
        <w:rPr>
          <w:rFonts w:eastAsia="Times New Roman"/>
          <w:sz w:val="24"/>
          <w:szCs w:val="24"/>
        </w:rPr>
        <w:t xml:space="preserve"> </w:t>
      </w:r>
      <w:r w:rsidR="005E712D" w:rsidRPr="005E712D">
        <w:rPr>
          <w:rFonts w:eastAsia="Times New Roman"/>
          <w:b/>
          <w:sz w:val="24"/>
          <w:szCs w:val="24"/>
        </w:rPr>
        <w:t>Travelers Prop. Cas. Co. of Am.</w:t>
      </w:r>
      <w:r w:rsidR="005E712D" w:rsidRPr="005E712D">
        <w:rPr>
          <w:rFonts w:eastAsia="Times New Roman"/>
          <w:sz w:val="24"/>
          <w:szCs w:val="24"/>
        </w:rPr>
        <w:t>, 2013 COA 131, ¶¶ 80-86</w:t>
      </w:r>
      <w:r w:rsidR="009A5ACD">
        <w:rPr>
          <w:rFonts w:eastAsia="Times New Roman"/>
          <w:sz w:val="24"/>
          <w:szCs w:val="24"/>
        </w:rPr>
        <w:t>, 373 P.3d 615</w:t>
      </w:r>
      <w:r w:rsidR="005E712D" w:rsidRPr="005E712D">
        <w:rPr>
          <w:rFonts w:eastAsia="Times New Roman"/>
          <w:sz w:val="24"/>
          <w:szCs w:val="24"/>
        </w:rPr>
        <w:t xml:space="preserve"> (contract clause of statutory collateral source rule normally would apply</w:t>
      </w:r>
      <w:r w:rsidR="005E712D" w:rsidRPr="005E712D">
        <w:rPr>
          <w:rFonts w:eastAsia="Times New Roman"/>
          <w:b/>
          <w:sz w:val="24"/>
          <w:szCs w:val="24"/>
        </w:rPr>
        <w:t xml:space="preserve"> </w:t>
      </w:r>
      <w:r w:rsidR="005E712D"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r w:rsidR="005E712D" w:rsidRPr="005E712D">
        <w:rPr>
          <w:rFonts w:eastAsia="Times New Roman"/>
          <w:i/>
          <w:sz w:val="24"/>
          <w:szCs w:val="24"/>
        </w:rPr>
        <w:t>rev’d on other grounds</w:t>
      </w:r>
      <w:r w:rsidR="005E712D" w:rsidRPr="005E712D">
        <w:rPr>
          <w:rFonts w:eastAsia="Times New Roman"/>
          <w:sz w:val="24"/>
          <w:szCs w:val="24"/>
        </w:rPr>
        <w:t xml:space="preserve">, 2016 CO 22M, 370 P.3d 140; </w:t>
      </w:r>
      <w:r w:rsidR="005E712D" w:rsidRPr="005E712D">
        <w:rPr>
          <w:rFonts w:eastAsia="Times New Roman"/>
          <w:b/>
          <w:sz w:val="24"/>
          <w:szCs w:val="24"/>
        </w:rPr>
        <w:t>Miller v. Brannon</w:t>
      </w:r>
      <w:r w:rsidR="005E712D" w:rsidRPr="005E712D">
        <w:rPr>
          <w:rFonts w:eastAsia="Times New Roman"/>
          <w:sz w:val="24"/>
          <w:szCs w:val="24"/>
        </w:rPr>
        <w:t xml:space="preserve">, 207 P.3d 923 (Colo. App. 2009) (PIP benefits received by plaintiff within contract exception to collateral source rule); </w:t>
      </w:r>
      <w:r w:rsidR="005E712D" w:rsidRPr="005E712D">
        <w:rPr>
          <w:rFonts w:eastAsia="Times New Roman"/>
          <w:b/>
          <w:sz w:val="24"/>
          <w:szCs w:val="24"/>
        </w:rPr>
        <w:t>Combined Commc’ns Corp. v. Pub. Serv. Co.</w:t>
      </w:r>
      <w:r w:rsidR="005E712D" w:rsidRPr="005E712D">
        <w:rPr>
          <w:rFonts w:eastAsia="Times New Roman"/>
          <w:sz w:val="24"/>
          <w:szCs w:val="24"/>
        </w:rPr>
        <w:t>,</w:t>
      </w:r>
      <w:r w:rsidR="005E712D" w:rsidRPr="005E712D">
        <w:rPr>
          <w:rFonts w:eastAsia="Times New Roman"/>
          <w:b/>
          <w:sz w:val="24"/>
          <w:szCs w:val="24"/>
        </w:rPr>
        <w:t xml:space="preserve"> </w:t>
      </w:r>
      <w:r w:rsidR="005E712D" w:rsidRPr="005E712D">
        <w:rPr>
          <w:rFonts w:eastAsia="Times New Roman"/>
          <w:sz w:val="24"/>
          <w:szCs w:val="24"/>
        </w:rPr>
        <w:t>865 P.2d 893 (Colo. App. 1993).</w:t>
      </w:r>
    </w:p>
    <w:p w14:paraId="28F43FD5" w14:textId="5683E7A4" w:rsidR="005E712D" w:rsidRDefault="0075398E" w:rsidP="00580EA6">
      <w:pPr>
        <w:spacing w:after="240"/>
        <w:ind w:firstLine="720"/>
        <w:rPr>
          <w:rFonts w:eastAsia="Times New Roman"/>
          <w:sz w:val="24"/>
          <w:szCs w:val="24"/>
        </w:rPr>
      </w:pPr>
      <w:r>
        <w:rPr>
          <w:rFonts w:eastAsia="Times New Roman"/>
          <w:sz w:val="24"/>
          <w:szCs w:val="24"/>
        </w:rPr>
        <w:t xml:space="preserve">15. </w:t>
      </w:r>
      <w:r w:rsidR="005E712D" w:rsidRPr="005E712D">
        <w:rPr>
          <w:rFonts w:eastAsia="Times New Roman"/>
          <w:sz w:val="24"/>
          <w:szCs w:val="24"/>
        </w:rPr>
        <w:t xml:space="preserve">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005E712D" w:rsidRPr="005E712D">
        <w:rPr>
          <w:rFonts w:eastAsia="Times New Roman"/>
          <w:b/>
          <w:sz w:val="24"/>
          <w:szCs w:val="24"/>
        </w:rPr>
        <w:t>Levy v. Am. Family Mut. Ins. Co.</w:t>
      </w:r>
      <w:r w:rsidR="005E712D" w:rsidRPr="005E712D">
        <w:rPr>
          <w:rFonts w:eastAsia="Times New Roman"/>
          <w:sz w:val="24"/>
          <w:szCs w:val="24"/>
        </w:rPr>
        <w:t>, 293 P.3d 40 (Colo. App. 2011).</w:t>
      </w:r>
    </w:p>
    <w:p w14:paraId="1D0A8BEB" w14:textId="368545B5" w:rsidR="000D0AB6" w:rsidRPr="00876699" w:rsidRDefault="000D0AB6" w:rsidP="00597A3B">
      <w:pPr>
        <w:ind w:firstLine="720"/>
        <w:rPr>
          <w:sz w:val="24"/>
          <w:szCs w:val="24"/>
        </w:rPr>
      </w:pPr>
      <w:r w:rsidRPr="00876699">
        <w:rPr>
          <w:sz w:val="24"/>
          <w:szCs w:val="24"/>
        </w:rPr>
        <w:t>1</w:t>
      </w:r>
      <w:r w:rsidR="0075398E">
        <w:rPr>
          <w:sz w:val="24"/>
          <w:szCs w:val="24"/>
        </w:rPr>
        <w:t>6</w:t>
      </w:r>
      <w:r w:rsidRPr="00876699">
        <w:rPr>
          <w:sz w:val="24"/>
          <w:szCs w:val="24"/>
        </w:rPr>
        <w:t>.</w:t>
      </w:r>
      <w:r>
        <w:rPr>
          <w:sz w:val="24"/>
          <w:szCs w:val="24"/>
        </w:rPr>
        <w:t xml:space="preserve"> </w:t>
      </w:r>
      <w:r w:rsidRPr="00876699">
        <w:rPr>
          <w:sz w:val="24"/>
          <w:szCs w:val="24"/>
        </w:rPr>
        <w:t xml:space="preserve">The collateral source rule does not apply to an employee’s claim for past medical expenses where the employer’s workers’ compensation insurer has settled its subrogation claim for reimbursement of those expenses, because such a settlement completely extinguishes the employee’s claim for such expenses. </w:t>
      </w:r>
      <w:r w:rsidRPr="00876699">
        <w:rPr>
          <w:b/>
          <w:bCs/>
          <w:sz w:val="24"/>
          <w:szCs w:val="24"/>
        </w:rPr>
        <w:t>Delta Airlines v. Scholle</w:t>
      </w:r>
      <w:r w:rsidRPr="002E0384">
        <w:rPr>
          <w:bCs/>
          <w:sz w:val="24"/>
          <w:szCs w:val="24"/>
        </w:rPr>
        <w:t xml:space="preserve">, </w:t>
      </w:r>
      <w:r w:rsidRPr="00876699">
        <w:rPr>
          <w:sz w:val="24"/>
          <w:szCs w:val="24"/>
        </w:rPr>
        <w:t>2021 CO 20, ¶¶ 1, 21-22, 484 P.3d 695.</w:t>
      </w:r>
      <w:r w:rsidR="00597A3B">
        <w:rPr>
          <w:rFonts w:eastAsia="Times New Roman"/>
          <w:sz w:val="24"/>
          <w:szCs w:val="24"/>
        </w:rPr>
        <w:t xml:space="preserve"> </w:t>
      </w:r>
      <w:r w:rsidR="00DE17D1" w:rsidRPr="00DE17D1">
        <w:rPr>
          <w:rFonts w:eastAsia="Times New Roman"/>
          <w:i/>
          <w:iCs/>
          <w:sz w:val="24"/>
          <w:szCs w:val="24"/>
        </w:rPr>
        <w:t>But see</w:t>
      </w:r>
      <w:r w:rsidR="00DE17D1">
        <w:rPr>
          <w:rFonts w:eastAsia="Times New Roman"/>
          <w:sz w:val="24"/>
          <w:szCs w:val="24"/>
        </w:rPr>
        <w:t xml:space="preserve"> </w:t>
      </w:r>
      <w:r w:rsidR="006C6103" w:rsidRPr="00616E80">
        <w:rPr>
          <w:b/>
          <w:bCs/>
          <w:sz w:val="24"/>
          <w:szCs w:val="24"/>
        </w:rPr>
        <w:t>Scholle v. Ehrichs,</w:t>
      </w:r>
      <w:r w:rsidR="006C6103" w:rsidRPr="00616E80">
        <w:rPr>
          <w:sz w:val="24"/>
          <w:szCs w:val="24"/>
        </w:rPr>
        <w:t xml:space="preserve"> 2024 CO 22, </w:t>
      </w:r>
      <w:r w:rsidR="00597A3B">
        <w:rPr>
          <w:sz w:val="24"/>
          <w:szCs w:val="24"/>
        </w:rPr>
        <w:t xml:space="preserve">¶ 59, </w:t>
      </w:r>
      <w:r w:rsidR="006C6103" w:rsidRPr="00616E80">
        <w:rPr>
          <w:sz w:val="24"/>
          <w:szCs w:val="24"/>
        </w:rPr>
        <w:t xml:space="preserve">546 P.3d 1170 </w:t>
      </w:r>
      <w:r w:rsidR="00597A3B">
        <w:rPr>
          <w:sz w:val="24"/>
          <w:szCs w:val="24"/>
        </w:rPr>
        <w:t>(</w:t>
      </w:r>
      <w:r w:rsidR="006C6103">
        <w:rPr>
          <w:sz w:val="24"/>
          <w:szCs w:val="24"/>
        </w:rPr>
        <w:t>holding</w:t>
      </w:r>
      <w:r w:rsidR="006C6103" w:rsidRPr="00616E80">
        <w:rPr>
          <w:sz w:val="24"/>
          <w:szCs w:val="24"/>
        </w:rPr>
        <w:t xml:space="preserve"> trial court was prohibited from</w:t>
      </w:r>
      <w:r w:rsidR="006C6103">
        <w:rPr>
          <w:sz w:val="24"/>
          <w:szCs w:val="24"/>
        </w:rPr>
        <w:t xml:space="preserve"> </w:t>
      </w:r>
      <w:r w:rsidR="006C6103" w:rsidRPr="00616E80">
        <w:rPr>
          <w:sz w:val="24"/>
          <w:szCs w:val="24"/>
        </w:rPr>
        <w:t xml:space="preserve">considering </w:t>
      </w:r>
      <w:r w:rsidR="006C6103">
        <w:rPr>
          <w:sz w:val="24"/>
          <w:szCs w:val="24"/>
        </w:rPr>
        <w:t xml:space="preserve">insurance contract liabilities </w:t>
      </w:r>
      <w:r w:rsidR="006C6103" w:rsidRPr="00616E80">
        <w:rPr>
          <w:sz w:val="24"/>
          <w:szCs w:val="24"/>
        </w:rPr>
        <w:t>in good cause analysis for exceeding damages cap</w:t>
      </w:r>
      <w:r w:rsidR="006C6103">
        <w:rPr>
          <w:sz w:val="24"/>
          <w:szCs w:val="24"/>
        </w:rPr>
        <w:t xml:space="preserve"> under the</w:t>
      </w:r>
      <w:r w:rsidR="006C6103" w:rsidRPr="00616E80">
        <w:rPr>
          <w:sz w:val="24"/>
          <w:szCs w:val="24"/>
        </w:rPr>
        <w:t xml:space="preserve"> Health Care Availability Act</w:t>
      </w:r>
      <w:r w:rsidR="00597A3B">
        <w:rPr>
          <w:sz w:val="24"/>
          <w:szCs w:val="24"/>
        </w:rPr>
        <w:t>)</w:t>
      </w:r>
      <w:r w:rsidR="00891344">
        <w:rPr>
          <w:sz w:val="24"/>
          <w:szCs w:val="24"/>
        </w:rPr>
        <w:t>.</w:t>
      </w:r>
    </w:p>
    <w:p w14:paraId="146CB76F" w14:textId="77777777" w:rsidR="00597A3B" w:rsidRDefault="00597A3B" w:rsidP="00597A3B">
      <w:pPr>
        <w:ind w:firstLine="720"/>
        <w:rPr>
          <w:rFonts w:eastAsia="Times New Roman"/>
          <w:sz w:val="24"/>
          <w:szCs w:val="24"/>
        </w:rPr>
      </w:pPr>
    </w:p>
    <w:p w14:paraId="3D419BC8" w14:textId="5B27797E"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7</w:t>
      </w:r>
      <w:r w:rsidRPr="005E712D">
        <w:rPr>
          <w:rFonts w:eastAsia="Times New Roman"/>
          <w:sz w:val="24"/>
          <w:szCs w:val="24"/>
        </w:rPr>
        <w:t xml:space="preserve">.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05DCC804"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8</w:t>
      </w:r>
      <w:r w:rsidRPr="005E712D">
        <w:rPr>
          <w:rFonts w:eastAsia="Times New Roman"/>
          <w:sz w:val="24"/>
          <w:szCs w:val="24"/>
        </w:rPr>
        <w:t xml:space="preserve">.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01F1FCBA" w:rsidR="0068336D" w:rsidRDefault="005E712D" w:rsidP="007A3A0E">
      <w:pPr>
        <w:spacing w:after="240"/>
        <w:ind w:firstLine="720"/>
        <w:rPr>
          <w:rFonts w:eastAsia="Times New Roman"/>
          <w:sz w:val="24"/>
          <w:szCs w:val="24"/>
        </w:rPr>
      </w:pPr>
      <w:r w:rsidRPr="005E712D">
        <w:rPr>
          <w:rFonts w:eastAsia="Times New Roman"/>
          <w:sz w:val="24"/>
          <w:szCs w:val="24"/>
        </w:rPr>
        <w:t>1</w:t>
      </w:r>
      <w:r w:rsidR="0075398E">
        <w:rPr>
          <w:rFonts w:eastAsia="Times New Roman"/>
          <w:sz w:val="24"/>
          <w:szCs w:val="24"/>
        </w:rPr>
        <w:t>9</w:t>
      </w:r>
      <w:r w:rsidRPr="005E712D">
        <w:rPr>
          <w:rFonts w:eastAsia="Times New Roman"/>
          <w:sz w:val="24"/>
          <w:szCs w:val="24"/>
        </w:rPr>
        <w:t>. Other limitations on the recovery of damages may apply when recovery is sought against a volunteer of a nonprofit organization or governmental entity “for harm caused by an act or omission of the volunteer on behalf of the organization or entity.” 42 U.S.C. § 14503(a) (201</w:t>
      </w:r>
      <w:r w:rsidR="009C72B0">
        <w:rPr>
          <w:rFonts w:eastAsia="Times New Roman"/>
          <w:sz w:val="24"/>
          <w:szCs w:val="24"/>
        </w:rPr>
        <w:t>8</w:t>
      </w:r>
      <w:r w:rsidRPr="005E712D">
        <w:rPr>
          <w:rFonts w:eastAsia="Times New Roman"/>
          <w:sz w:val="24"/>
          <w:szCs w:val="24"/>
        </w:rPr>
        <w:t xml:space="preserve">). For the applicable limitations, see Volunteer Protection Act of 1997, 42 U.S.C. §§ 14503 </w:t>
      </w:r>
      <w:r w:rsidRPr="005E712D">
        <w:rPr>
          <w:rFonts w:eastAsia="Times New Roman"/>
          <w:sz w:val="24"/>
          <w:szCs w:val="24"/>
        </w:rPr>
        <w:lastRenderedPageBreak/>
        <w:t xml:space="preserve">and 14504. When applicable, this and related instructions on damages must be modified as appropriate. </w:t>
      </w:r>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F02467" w:rsidRPr="00B97C9F" w14:paraId="5596DC2C" w14:textId="77777777" w:rsidTr="00D8019D">
        <w:trPr>
          <w:trHeight w:val="4580"/>
        </w:trPr>
        <w:tc>
          <w:tcPr>
            <w:tcW w:w="6460" w:type="dxa"/>
          </w:tcPr>
          <w:p w14:paraId="062DF31C" w14:textId="77777777" w:rsidR="00F02467" w:rsidRPr="00B97C9F" w:rsidRDefault="00F02467"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20F67427" wp14:editId="29D2C23A">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AEFDE"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71FE8B" wp14:editId="513EDB4F">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17822"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BD423E2" w14:textId="77777777" w:rsidR="00F02467" w:rsidRPr="00B97C9F" w:rsidRDefault="00F02467" w:rsidP="00D8019D">
            <w:pPr>
              <w:jc w:val="both"/>
              <w:rPr>
                <w:sz w:val="24"/>
                <w:szCs w:val="24"/>
              </w:rPr>
            </w:pPr>
          </w:p>
          <w:p w14:paraId="04715D1D" w14:textId="77777777" w:rsidR="00F02467" w:rsidRPr="00B97C9F" w:rsidRDefault="00F02467"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C0DC401" w14:textId="77777777" w:rsidR="00F02467" w:rsidRPr="00B97C9F" w:rsidRDefault="00F02467"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25231F"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6C11E0D" w14:textId="77777777" w:rsidR="00F02467" w:rsidRPr="00B97C9F" w:rsidRDefault="00F02467"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AA9EA2" w14:textId="77777777" w:rsidR="00F02467" w:rsidRPr="00B97C9F" w:rsidRDefault="00F02467"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1947263" w14:textId="77777777" w:rsidR="00F02467" w:rsidRPr="00B97C9F" w:rsidRDefault="00F02467" w:rsidP="00D8019D">
            <w:pPr>
              <w:jc w:val="both"/>
              <w:rPr>
                <w:b/>
                <w:sz w:val="24"/>
                <w:szCs w:val="24"/>
              </w:rPr>
            </w:pPr>
          </w:p>
          <w:p w14:paraId="06F50906" w14:textId="77777777" w:rsidR="00F02467" w:rsidRPr="00B97C9F" w:rsidRDefault="00F02467" w:rsidP="00D8019D">
            <w:pPr>
              <w:jc w:val="both"/>
              <w:rPr>
                <w:b/>
                <w:sz w:val="24"/>
                <w:szCs w:val="24"/>
              </w:rPr>
            </w:pPr>
          </w:p>
          <w:p w14:paraId="0167E27B" w14:textId="77777777" w:rsidR="00F02467" w:rsidRPr="00B97C9F" w:rsidRDefault="00F02467" w:rsidP="00D8019D">
            <w:pPr>
              <w:jc w:val="both"/>
              <w:rPr>
                <w:b/>
                <w:sz w:val="24"/>
                <w:szCs w:val="24"/>
              </w:rPr>
            </w:pPr>
          </w:p>
          <w:p w14:paraId="09683E1C" w14:textId="77777777" w:rsidR="00F02467" w:rsidRPr="00B97C9F" w:rsidRDefault="00F02467" w:rsidP="00D8019D">
            <w:pPr>
              <w:jc w:val="both"/>
              <w:rPr>
                <w:b/>
                <w:sz w:val="24"/>
                <w:szCs w:val="24"/>
              </w:rPr>
            </w:pPr>
          </w:p>
          <w:p w14:paraId="7F237F34" w14:textId="77777777" w:rsidR="00F02467" w:rsidRPr="00B97C9F" w:rsidRDefault="00F02467" w:rsidP="00D8019D">
            <w:pPr>
              <w:jc w:val="both"/>
              <w:rPr>
                <w:b/>
                <w:sz w:val="24"/>
                <w:szCs w:val="24"/>
              </w:rPr>
            </w:pPr>
          </w:p>
          <w:p w14:paraId="0FD3DABA" w14:textId="77777777" w:rsidR="00F02467" w:rsidRPr="00B97C9F" w:rsidRDefault="00F02467" w:rsidP="00D8019D">
            <w:pPr>
              <w:jc w:val="both"/>
              <w:rPr>
                <w:b/>
                <w:sz w:val="24"/>
                <w:szCs w:val="24"/>
              </w:rPr>
            </w:pPr>
          </w:p>
        </w:tc>
        <w:tc>
          <w:tcPr>
            <w:tcW w:w="3757" w:type="dxa"/>
            <w:tcBorders>
              <w:top w:val="single" w:sz="4" w:space="0" w:color="auto"/>
            </w:tcBorders>
          </w:tcPr>
          <w:p w14:paraId="4D7AD1EF" w14:textId="77777777" w:rsidR="00F02467" w:rsidRPr="00B97C9F" w:rsidRDefault="00F02467" w:rsidP="00D8019D">
            <w:pPr>
              <w:jc w:val="center"/>
              <w:rPr>
                <w:sz w:val="24"/>
                <w:szCs w:val="24"/>
              </w:rPr>
            </w:pPr>
          </w:p>
          <w:p w14:paraId="7BD498C9" w14:textId="77777777" w:rsidR="00F02467" w:rsidRPr="00B97C9F" w:rsidRDefault="00F02467" w:rsidP="00D8019D">
            <w:pPr>
              <w:jc w:val="center"/>
              <w:rPr>
                <w:sz w:val="24"/>
                <w:szCs w:val="24"/>
              </w:rPr>
            </w:pPr>
          </w:p>
          <w:p w14:paraId="25F6447E" w14:textId="77777777" w:rsidR="00F02467" w:rsidRPr="00B97C9F" w:rsidRDefault="00F02467" w:rsidP="00D8019D">
            <w:pPr>
              <w:jc w:val="center"/>
              <w:rPr>
                <w:sz w:val="24"/>
                <w:szCs w:val="24"/>
              </w:rPr>
            </w:pPr>
          </w:p>
          <w:p w14:paraId="73AE57C8" w14:textId="77777777" w:rsidR="00F02467" w:rsidRPr="00B97C9F" w:rsidRDefault="00F02467" w:rsidP="00D8019D">
            <w:pPr>
              <w:jc w:val="center"/>
              <w:rPr>
                <w:sz w:val="24"/>
                <w:szCs w:val="24"/>
              </w:rPr>
            </w:pPr>
          </w:p>
          <w:p w14:paraId="026A94D6" w14:textId="77777777" w:rsidR="00F02467" w:rsidRPr="00B97C9F" w:rsidRDefault="00F02467" w:rsidP="00D8019D">
            <w:pPr>
              <w:jc w:val="center"/>
              <w:rPr>
                <w:sz w:val="24"/>
                <w:szCs w:val="24"/>
              </w:rPr>
            </w:pPr>
          </w:p>
          <w:p w14:paraId="4DDC8EE9" w14:textId="77777777" w:rsidR="00F02467" w:rsidRPr="00B97C9F" w:rsidRDefault="00F02467" w:rsidP="00D8019D">
            <w:pPr>
              <w:jc w:val="center"/>
              <w:rPr>
                <w:sz w:val="24"/>
                <w:szCs w:val="24"/>
              </w:rPr>
            </w:pPr>
          </w:p>
          <w:p w14:paraId="21637131" w14:textId="77777777" w:rsidR="00F02467" w:rsidRPr="00B97C9F" w:rsidRDefault="00F02467"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EFA2888" w14:textId="77777777" w:rsidR="00F02467" w:rsidRPr="00B97C9F" w:rsidRDefault="00F02467" w:rsidP="00D8019D">
            <w:pPr>
              <w:pStyle w:val="Heading2"/>
              <w:rPr>
                <w:rFonts w:ascii="Times New Roman" w:hAnsi="Times New Roman" w:cs="Times New Roman"/>
                <w:sz w:val="24"/>
                <w:szCs w:val="24"/>
              </w:rPr>
            </w:pPr>
          </w:p>
          <w:p w14:paraId="5DF1F166" w14:textId="77777777" w:rsidR="00F02467" w:rsidRPr="00B97C9F" w:rsidRDefault="00F02467" w:rsidP="00D8019D">
            <w:pPr>
              <w:pStyle w:val="Heading2"/>
              <w:rPr>
                <w:rFonts w:ascii="Times New Roman" w:hAnsi="Times New Roman" w:cs="Times New Roman"/>
                <w:sz w:val="24"/>
                <w:szCs w:val="24"/>
              </w:rPr>
            </w:pPr>
          </w:p>
          <w:p w14:paraId="25C6C9F8" w14:textId="77777777" w:rsidR="00F02467" w:rsidRPr="00886487" w:rsidRDefault="00F02467"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63F08DB" w14:textId="77777777" w:rsidR="00F02467" w:rsidRPr="00886487" w:rsidRDefault="00F02467" w:rsidP="00D8019D">
            <w:pPr>
              <w:pStyle w:val="Heading2"/>
              <w:rPr>
                <w:rFonts w:ascii="Times New Roman" w:hAnsi="Times New Roman" w:cs="Times New Roman"/>
                <w:color w:val="000000" w:themeColor="text1"/>
                <w:sz w:val="24"/>
                <w:szCs w:val="24"/>
              </w:rPr>
            </w:pPr>
          </w:p>
          <w:p w14:paraId="4B43AAA0" w14:textId="77777777" w:rsidR="00F02467" w:rsidRPr="00B97C9F" w:rsidRDefault="00F02467" w:rsidP="00D8019D">
            <w:pPr>
              <w:pStyle w:val="Heading2"/>
              <w:rPr>
                <w:rFonts w:ascii="Times New Roman" w:hAnsi="Times New Roman" w:cs="Times New Roman"/>
                <w:sz w:val="24"/>
                <w:szCs w:val="24"/>
              </w:rPr>
            </w:pPr>
          </w:p>
          <w:p w14:paraId="7DF599A2" w14:textId="77777777" w:rsidR="00F02467" w:rsidRPr="00B97C9F" w:rsidRDefault="00F02467" w:rsidP="00D8019D">
            <w:pPr>
              <w:rPr>
                <w:sz w:val="24"/>
                <w:szCs w:val="24"/>
              </w:rPr>
            </w:pPr>
          </w:p>
          <w:p w14:paraId="5213D011" w14:textId="77777777" w:rsidR="00F02467" w:rsidRPr="00B97C9F" w:rsidRDefault="00F02467" w:rsidP="00D8019D">
            <w:pPr>
              <w:rPr>
                <w:sz w:val="24"/>
                <w:szCs w:val="24"/>
              </w:rPr>
            </w:pPr>
            <w:r w:rsidRPr="00B97C9F">
              <w:rPr>
                <w:sz w:val="24"/>
                <w:szCs w:val="24"/>
              </w:rPr>
              <w:t>Case Number:</w:t>
            </w:r>
          </w:p>
          <w:p w14:paraId="5D21EB86" w14:textId="77777777" w:rsidR="00F02467" w:rsidRPr="00B97C9F" w:rsidRDefault="00F02467"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55B3A" w14:textId="77777777" w:rsidR="00F02467" w:rsidRPr="00B97C9F" w:rsidRDefault="00F02467" w:rsidP="00D8019D">
            <w:pPr>
              <w:rPr>
                <w:sz w:val="24"/>
                <w:szCs w:val="24"/>
              </w:rPr>
            </w:pPr>
          </w:p>
          <w:p w14:paraId="5A99C152" w14:textId="77777777" w:rsidR="00F02467" w:rsidRPr="00B97C9F" w:rsidRDefault="00F02467" w:rsidP="00D8019D">
            <w:pPr>
              <w:rPr>
                <w:sz w:val="24"/>
                <w:szCs w:val="24"/>
              </w:rPr>
            </w:pPr>
          </w:p>
          <w:p w14:paraId="579A4D5D" w14:textId="77777777" w:rsidR="00F02467" w:rsidRPr="00B97C9F" w:rsidRDefault="00F02467"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F02467" w:rsidRPr="00B97C9F" w14:paraId="18B2DDDF" w14:textId="77777777" w:rsidTr="00D8019D">
        <w:trPr>
          <w:trHeight w:val="287"/>
        </w:trPr>
        <w:tc>
          <w:tcPr>
            <w:tcW w:w="10217" w:type="dxa"/>
            <w:gridSpan w:val="2"/>
            <w:vAlign w:val="center"/>
          </w:tcPr>
          <w:p w14:paraId="178979B3" w14:textId="77777777" w:rsidR="00F02467" w:rsidRDefault="00F02467" w:rsidP="00D8019D">
            <w:pPr>
              <w:pStyle w:val="Heading1"/>
              <w:spacing w:after="0"/>
            </w:pPr>
          </w:p>
          <w:p w14:paraId="100E8938" w14:textId="119195E2" w:rsidR="00F02467" w:rsidRPr="00B97C9F" w:rsidRDefault="00F02467" w:rsidP="00D8019D">
            <w:pPr>
              <w:pStyle w:val="Heading1"/>
            </w:pPr>
            <w:r>
              <w:t>ANSWERS TO QUESTIONS REGARDING DAMAGES</w:t>
            </w:r>
            <w:r w:rsidRPr="00B97C9F">
              <w:t xml:space="preserve"> </w:t>
            </w:r>
          </w:p>
        </w:tc>
      </w:tr>
    </w:tbl>
    <w:p w14:paraId="10F93A74" w14:textId="77777777" w:rsidR="00F02467" w:rsidRPr="009E3DA4" w:rsidRDefault="00F02467" w:rsidP="008557E1">
      <w:pPr>
        <w:spacing w:after="240"/>
        <w:ind w:left="720" w:hanging="720"/>
        <w:rPr>
          <w:rFonts w:eastAsia="Times New Roman"/>
          <w:b/>
          <w:sz w:val="24"/>
          <w:szCs w:val="24"/>
        </w:rPr>
      </w:pP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w:t>
      </w:r>
      <w:r w:rsidRPr="008557E1">
        <w:rPr>
          <w:rFonts w:eastAsia="Times New Roman"/>
          <w:b/>
          <w:sz w:val="24"/>
          <w:szCs w:val="24"/>
        </w:rPr>
        <w:lastRenderedPageBreak/>
        <w:t xml:space="preserve">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4DA3AFF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51AC98E2" w:rsid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probably </w:t>
      </w:r>
      <w:r w:rsidR="00EB724A">
        <w:rPr>
          <w:rFonts w:eastAsia="Times New Roman"/>
          <w:b/>
          <w:sz w:val="24"/>
          <w:szCs w:val="24"/>
        </w:rPr>
        <w:t xml:space="preserve">will </w:t>
      </w:r>
      <w:r w:rsidRPr="00683FA1">
        <w:rPr>
          <w:rFonts w:eastAsia="Times New Roman"/>
          <w:b/>
          <w:sz w:val="24"/>
          <w:szCs w:val="24"/>
        </w:rPr>
        <w:t xml:space="preserve">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116D706E" w14:textId="77777777" w:rsidR="00EB724A" w:rsidRPr="00683FA1" w:rsidRDefault="00EB724A" w:rsidP="00EB724A">
      <w:pPr>
        <w:spacing w:after="240"/>
        <w:ind w:firstLine="720"/>
        <w:rPr>
          <w:rFonts w:eastAsia="Times New Roman"/>
          <w:b/>
          <w:sz w:val="24"/>
          <w:szCs w:val="24"/>
        </w:rPr>
      </w:pPr>
      <w:r>
        <w:rPr>
          <w:rFonts w:eastAsia="Times New Roman"/>
          <w:b/>
          <w:sz w:val="24"/>
          <w:szCs w:val="24"/>
        </w:rPr>
        <w:t>2. Any (reasonable and necessary) medical, hospital, and similar expenses which plaintiff has had or probably will have in the future;</w:t>
      </w:r>
    </w:p>
    <w:p w14:paraId="64CB0F0C" w14:textId="624D0703" w:rsidR="00683FA1" w:rsidRPr="00683FA1" w:rsidRDefault="00EB724A" w:rsidP="00683FA1">
      <w:pPr>
        <w:spacing w:after="240"/>
        <w:ind w:firstLine="720"/>
        <w:rPr>
          <w:rFonts w:eastAsia="Times New Roman"/>
          <w:b/>
          <w:sz w:val="24"/>
          <w:szCs w:val="24"/>
        </w:rPr>
      </w:pPr>
      <w:r>
        <w:rPr>
          <w:rFonts w:eastAsia="Times New Roman"/>
          <w:b/>
          <w:sz w:val="24"/>
          <w:szCs w:val="24"/>
        </w:rPr>
        <w:t>3</w:t>
      </w:r>
      <w:r w:rsidR="00683FA1" w:rsidRPr="00683FA1">
        <w:rPr>
          <w:rFonts w:eastAsia="Times New Roman"/>
          <w:b/>
          <w:sz w:val="24"/>
          <w:szCs w:val="24"/>
        </w:rPr>
        <w:t xml:space="preserve">. Any </w:t>
      </w:r>
      <w:r>
        <w:rPr>
          <w:rFonts w:eastAsia="Times New Roman"/>
          <w:b/>
          <w:sz w:val="24"/>
          <w:szCs w:val="24"/>
        </w:rPr>
        <w:t xml:space="preserve">other </w:t>
      </w:r>
      <w:r w:rsidR="00683FA1" w:rsidRPr="00683FA1">
        <w:rPr>
          <w:rFonts w:eastAsia="Times New Roman"/>
          <w:b/>
          <w:sz w:val="24"/>
          <w:szCs w:val="24"/>
        </w:rPr>
        <w:t xml:space="preserve">economic losses or injuries which plaintiff will probably have in the future after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reaches the age of 18 (or is otherwise emancipated), including: loss or damage to </w:t>
      </w:r>
      <w:r w:rsidR="00505E5C" w:rsidRPr="00AA267B">
        <w:rPr>
          <w:rFonts w:eastAsia="Times New Roman"/>
          <w:bCs/>
          <w:i/>
          <w:iCs/>
          <w:sz w:val="24"/>
          <w:szCs w:val="24"/>
        </w:rPr>
        <w:t>(</w:t>
      </w:r>
      <w:r w:rsidR="00505E5C">
        <w:rPr>
          <w:rFonts w:eastAsia="Times New Roman"/>
          <w:i/>
          <w:sz w:val="24"/>
          <w:szCs w:val="24"/>
        </w:rPr>
        <w:t>insert applicable pronoun)</w:t>
      </w:r>
      <w:r w:rsidR="00683FA1" w:rsidRPr="00683FA1">
        <w:rPr>
          <w:rFonts w:eastAsia="Times New Roman"/>
          <w:b/>
          <w:sz w:val="24"/>
          <w:szCs w:val="24"/>
        </w:rPr>
        <w:t xml:space="preserve"> ability to earn money in the future, and </w:t>
      </w:r>
      <w:r w:rsidR="00683FA1" w:rsidRPr="00683FA1">
        <w:rPr>
          <w:rFonts w:eastAsia="Times New Roman"/>
          <w:i/>
          <w:sz w:val="24"/>
          <w:szCs w:val="24"/>
        </w:rPr>
        <w:t>(insert any other recoverable economic losses of which there is sufficient evidence)</w:t>
      </w:r>
      <w:r w:rsidR="00683FA1"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01E3F53E"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w:t>
      </w:r>
      <w:r w:rsidR="00EB724A">
        <w:rPr>
          <w:rFonts w:eastAsia="Times New Roman"/>
          <w:b/>
          <w:sz w:val="24"/>
          <w:szCs w:val="24"/>
        </w:rPr>
        <w:t>4</w:t>
      </w:r>
      <w:r w:rsidRPr="00683FA1">
        <w:rPr>
          <w:rFonts w:eastAsia="Times New Roman"/>
          <w:b/>
          <w:sz w:val="24"/>
          <w:szCs w:val="24"/>
        </w:rPr>
        <w:t>. Any [physical impairment] [or] [disfigurement]. In considering damages in this category, you shall not include damages again for losses or injuries already determined under numbered paragraph</w:t>
      </w:r>
      <w:r w:rsidR="00EB724A">
        <w:rPr>
          <w:rFonts w:eastAsia="Times New Roman"/>
          <w:b/>
          <w:sz w:val="24"/>
          <w:szCs w:val="24"/>
        </w:rPr>
        <w:t>s</w:t>
      </w:r>
      <w:r w:rsidRPr="00683FA1">
        <w:rPr>
          <w:rFonts w:eastAsia="Times New Roman"/>
          <w:b/>
          <w:sz w:val="24"/>
          <w:szCs w:val="24"/>
        </w:rPr>
        <w:t xml:space="preserve"> 1</w:t>
      </w:r>
      <w:r w:rsidR="00EB724A">
        <w:rPr>
          <w:rFonts w:eastAsia="Times New Roman"/>
          <w:b/>
          <w:sz w:val="24"/>
          <w:szCs w:val="24"/>
        </w:rPr>
        <w:t>,</w:t>
      </w:r>
      <w:r w:rsidRPr="00683FA1">
        <w:rPr>
          <w:rFonts w:eastAsia="Times New Roman"/>
          <w:b/>
          <w:sz w:val="24"/>
          <w:szCs w:val="24"/>
        </w:rPr>
        <w:t xml:space="preserve"> 2</w:t>
      </w:r>
      <w:r w:rsidR="00EB724A">
        <w:rPr>
          <w:rFonts w:eastAsia="Times New Roman"/>
          <w:b/>
          <w:sz w:val="24"/>
          <w:szCs w:val="24"/>
        </w:rPr>
        <w:t>, or 3</w:t>
      </w:r>
      <w:r w:rsidRPr="00683FA1">
        <w:rPr>
          <w:rFonts w:eastAsia="Times New Roman"/>
          <w:b/>
          <w:sz w:val="24"/>
          <w:szCs w:val="24"/>
        </w:rPr>
        <w:t xml:space="preserve"> above.)</w:t>
      </w:r>
    </w:p>
    <w:p w14:paraId="5BBA5D9E" w14:textId="0BBEC312"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00EB724A">
        <w:rPr>
          <w:rFonts w:eastAsia="Times New Roman"/>
          <w:i/>
          <w:sz w:val="24"/>
          <w:szCs w:val="24"/>
        </w:rPr>
        <w:t xml:space="preserve"> of non-medical expenses</w:t>
      </w:r>
      <w:r w:rsidRPr="00683FA1">
        <w:rPr>
          <w:rFonts w:eastAsia="Times New Roman"/>
          <w:i/>
          <w:sz w:val="24"/>
          <w:szCs w:val="24"/>
        </w:rPr>
        <w:t>)</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3182B8D2"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 xml:space="preserve">2. Omit any parenthesized or bracketed words or phrases which are inappropriate to the particular case. The last paragraph in particular should be omitted if there is no claim for damages relating to earnings or to </w:t>
      </w:r>
      <w:r w:rsidR="00EB724A">
        <w:rPr>
          <w:rFonts w:eastAsia="Times New Roman"/>
          <w:sz w:val="24"/>
          <w:szCs w:val="24"/>
        </w:rPr>
        <w:t xml:space="preserve">non-medical </w:t>
      </w:r>
      <w:r w:rsidRPr="008A637B">
        <w:rPr>
          <w:rFonts w:eastAsia="Times New Roman"/>
          <w:sz w:val="24"/>
          <w:szCs w:val="24"/>
        </w:rPr>
        <w:t>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6CC0887A" w14:textId="5457328F" w:rsidR="00EB724A" w:rsidRPr="008A637B" w:rsidRDefault="00EB724A" w:rsidP="00EB724A">
      <w:pPr>
        <w:spacing w:after="240"/>
        <w:ind w:firstLine="720"/>
        <w:rPr>
          <w:rFonts w:eastAsia="Times New Roman"/>
          <w:sz w:val="24"/>
          <w:szCs w:val="24"/>
        </w:rPr>
      </w:pPr>
      <w:r>
        <w:rPr>
          <w:rFonts w:eastAsia="Times New Roman"/>
          <w:sz w:val="24"/>
          <w:szCs w:val="24"/>
        </w:rPr>
        <w:t xml:space="preserve">3. In </w:t>
      </w:r>
      <w:r w:rsidRPr="00563A63">
        <w:rPr>
          <w:rFonts w:eastAsia="Times New Roman"/>
          <w:b/>
          <w:bCs/>
          <w:sz w:val="24"/>
          <w:szCs w:val="24"/>
        </w:rPr>
        <w:t>Rudnicki v. Bianco</w:t>
      </w:r>
      <w:r>
        <w:rPr>
          <w:rFonts w:eastAsia="Times New Roman"/>
          <w:sz w:val="24"/>
          <w:szCs w:val="24"/>
        </w:rPr>
        <w:t xml:space="preserve">, 2021 CO 80, ¶¶ 44-45, </w:t>
      </w:r>
      <w:r w:rsidR="004B7F05">
        <w:rPr>
          <w:rFonts w:eastAsia="Times New Roman"/>
          <w:sz w:val="24"/>
          <w:szCs w:val="24"/>
        </w:rPr>
        <w:t xml:space="preserve">501 P.3d 776, </w:t>
      </w:r>
      <w:r>
        <w:rPr>
          <w:rFonts w:eastAsia="Times New Roman"/>
          <w:sz w:val="24"/>
          <w:szCs w:val="24"/>
        </w:rPr>
        <w:t>the Colorado Supreme Court overruled prior precedent and held that an unemancipated minor child could recover damages for pre-majority medical expenses. Parents of the child also may recover such expenses, provided that no double recovery is permitted.</w:t>
      </w:r>
    </w:p>
    <w:p w14:paraId="315499EC" w14:textId="500D91CD" w:rsidR="008A637B" w:rsidRPr="008A637B" w:rsidRDefault="00EB724A" w:rsidP="008A637B">
      <w:pPr>
        <w:spacing w:after="240"/>
        <w:ind w:firstLine="720"/>
        <w:rPr>
          <w:rFonts w:eastAsia="Times New Roman"/>
          <w:sz w:val="24"/>
          <w:szCs w:val="24"/>
        </w:rPr>
      </w:pPr>
      <w:r>
        <w:rPr>
          <w:rFonts w:eastAsia="Times New Roman"/>
          <w:sz w:val="24"/>
          <w:szCs w:val="24"/>
        </w:rPr>
        <w:t>4</w:t>
      </w:r>
      <w:r w:rsidR="008A637B" w:rsidRPr="008A637B">
        <w:rPr>
          <w:rFonts w:eastAsia="Times New Roman"/>
          <w:sz w:val="24"/>
          <w:szCs w:val="24"/>
        </w:rPr>
        <w:t xml:space="preserve">.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008A637B" w:rsidRPr="008A637B">
        <w:rPr>
          <w:rFonts w:eastAsia="Times New Roman"/>
          <w:b/>
          <w:sz w:val="24"/>
          <w:szCs w:val="24"/>
        </w:rPr>
        <w:t>Pressey v. Children’s Hosp. Colo.</w:t>
      </w:r>
      <w:r w:rsidR="008A637B" w:rsidRPr="008A637B">
        <w:rPr>
          <w:rFonts w:eastAsia="Times New Roman"/>
          <w:sz w:val="24"/>
          <w:szCs w:val="24"/>
        </w:rPr>
        <w:t>, 2017 COA 28, ¶ 26</w:t>
      </w:r>
      <w:r w:rsidR="00631FE7">
        <w:rPr>
          <w:rFonts w:eastAsia="Times New Roman"/>
          <w:sz w:val="24"/>
          <w:szCs w:val="24"/>
        </w:rPr>
        <w:t>, 488 P.3d 151, 159</w:t>
      </w:r>
      <w:r>
        <w:rPr>
          <w:rFonts w:eastAsia="Times New Roman"/>
          <w:sz w:val="24"/>
          <w:szCs w:val="24"/>
        </w:rPr>
        <w:t xml:space="preserve"> (overruled as to pre-majority medical expenses by </w:t>
      </w:r>
      <w:r w:rsidRPr="00563A63">
        <w:rPr>
          <w:rFonts w:eastAsia="Times New Roman"/>
          <w:b/>
          <w:bCs/>
          <w:sz w:val="24"/>
          <w:szCs w:val="24"/>
        </w:rPr>
        <w:t>Rudnicki</w:t>
      </w:r>
      <w:r w:rsidRPr="00EB724A">
        <w:rPr>
          <w:rFonts w:eastAsia="Times New Roman"/>
          <w:iCs/>
          <w:sz w:val="24"/>
          <w:szCs w:val="24"/>
        </w:rPr>
        <w:t>,</w:t>
      </w:r>
      <w:r w:rsidRPr="00563A63">
        <w:rPr>
          <w:rFonts w:eastAsia="Times New Roman"/>
          <w:sz w:val="24"/>
          <w:szCs w:val="24"/>
        </w:rPr>
        <w:t xml:space="preserve"> </w:t>
      </w:r>
      <w:r w:rsidR="00146EDF">
        <w:rPr>
          <w:rFonts w:eastAsia="Times New Roman"/>
          <w:sz w:val="24"/>
          <w:szCs w:val="24"/>
        </w:rPr>
        <w:t>¶ 44, 501 P.3d at 785-86</w:t>
      </w:r>
      <w:r>
        <w:rPr>
          <w:rFonts w:eastAsia="Times New Roman"/>
          <w:sz w:val="24"/>
          <w:szCs w:val="24"/>
        </w:rPr>
        <w:t>)</w:t>
      </w:r>
      <w:r w:rsidR="008A637B" w:rsidRPr="008A637B">
        <w:rPr>
          <w:rFonts w:eastAsia="Times New Roman"/>
          <w:sz w:val="24"/>
          <w:szCs w:val="24"/>
        </w:rPr>
        <w:t xml:space="preserve">;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Nat’l Fuel Co. v. Green</w:t>
      </w:r>
      <w:r w:rsidR="008A637B" w:rsidRPr="008A637B">
        <w:rPr>
          <w:rFonts w:eastAsia="Times New Roman"/>
          <w:sz w:val="24"/>
          <w:szCs w:val="24"/>
        </w:rPr>
        <w:t>, 50 Colo. 307, 115 P. 709 (1911).</w:t>
      </w:r>
    </w:p>
    <w:p w14:paraId="15A1CB4D" w14:textId="47138643" w:rsidR="008A637B" w:rsidRPr="008A637B" w:rsidRDefault="00EB724A" w:rsidP="008A637B">
      <w:pPr>
        <w:spacing w:after="240"/>
        <w:ind w:firstLine="720"/>
        <w:rPr>
          <w:rFonts w:eastAsia="Times New Roman"/>
          <w:sz w:val="24"/>
          <w:szCs w:val="24"/>
        </w:rPr>
      </w:pPr>
      <w:r>
        <w:rPr>
          <w:rFonts w:eastAsia="Times New Roman"/>
          <w:sz w:val="24"/>
          <w:szCs w:val="24"/>
        </w:rPr>
        <w:t>5</w:t>
      </w:r>
      <w:r w:rsidR="008A637B" w:rsidRPr="008A637B">
        <w:rPr>
          <w:rFonts w:eastAsia="Times New Roman"/>
          <w:sz w:val="24"/>
          <w:szCs w:val="24"/>
        </w:rPr>
        <w:t xml:space="preserve">. As to the minor’s right to recover for pain and suffering, see </w:t>
      </w:r>
      <w:r w:rsidR="008A637B" w:rsidRPr="008A637B">
        <w:rPr>
          <w:rFonts w:eastAsia="Times New Roman"/>
          <w:b/>
          <w:sz w:val="24"/>
          <w:szCs w:val="24"/>
        </w:rPr>
        <w:t>Colorado Utilities Corp. v. Casady</w:t>
      </w:r>
      <w:r w:rsidR="008A637B" w:rsidRPr="008A637B">
        <w:rPr>
          <w:rFonts w:eastAsia="Times New Roman"/>
          <w:sz w:val="24"/>
          <w:szCs w:val="24"/>
        </w:rPr>
        <w:t>, 89 Colo. 156, 300 P. 601 (1931).</w:t>
      </w:r>
    </w:p>
    <w:p w14:paraId="7B011745" w14:textId="531299BF" w:rsidR="008A637B" w:rsidRPr="008A637B" w:rsidRDefault="00EB724A" w:rsidP="008A637B">
      <w:pPr>
        <w:spacing w:after="240"/>
        <w:ind w:firstLine="720"/>
        <w:rPr>
          <w:rFonts w:eastAsia="Times New Roman"/>
          <w:sz w:val="24"/>
          <w:szCs w:val="24"/>
        </w:rPr>
      </w:pPr>
      <w:r>
        <w:rPr>
          <w:rFonts w:eastAsia="Times New Roman"/>
          <w:sz w:val="24"/>
          <w:szCs w:val="24"/>
        </w:rPr>
        <w:t>6</w:t>
      </w:r>
      <w:r w:rsidR="008A637B" w:rsidRPr="008A637B">
        <w:rPr>
          <w:rFonts w:eastAsia="Times New Roman"/>
          <w:sz w:val="24"/>
          <w:szCs w:val="24"/>
        </w:rPr>
        <w:t xml:space="preserve">. The parent is entitled to recover for loss of the minor’s earnings during the child’s minority unless the child has been emancipated, </w:t>
      </w:r>
      <w:r w:rsidR="008A637B" w:rsidRPr="008A637B">
        <w:rPr>
          <w:rFonts w:eastAsia="Times New Roman"/>
          <w:b/>
          <w:sz w:val="24"/>
          <w:szCs w:val="24"/>
        </w:rPr>
        <w:t>Pawnee Farmers’ Elevator Co. v. Powell</w:t>
      </w:r>
      <w:r w:rsidR="008A637B" w:rsidRPr="008A637B">
        <w:rPr>
          <w:rFonts w:eastAsia="Times New Roman"/>
          <w:sz w:val="24"/>
          <w:szCs w:val="24"/>
        </w:rPr>
        <w:t xml:space="preserve">, 76 Colo. 1, 227 P. 836 (1924), or, unless the parent has allowed the child to retain the child’s own earnings. </w:t>
      </w:r>
      <w:r w:rsidR="008A637B" w:rsidRPr="008A637B">
        <w:rPr>
          <w:rFonts w:eastAsia="Times New Roman"/>
          <w:i/>
          <w:sz w:val="24"/>
          <w:szCs w:val="24"/>
        </w:rPr>
        <w:t>See</w:t>
      </w:r>
      <w:r w:rsidR="008A637B" w:rsidRPr="008A637B">
        <w:rPr>
          <w:rFonts w:eastAsia="Times New Roman"/>
          <w:sz w:val="24"/>
          <w:szCs w:val="24"/>
        </w:rPr>
        <w:t xml:space="preserve"> </w:t>
      </w:r>
      <w:r w:rsidR="008A637B" w:rsidRPr="008A637B">
        <w:rPr>
          <w:rFonts w:eastAsia="Times New Roman"/>
          <w:b/>
          <w:sz w:val="24"/>
          <w:szCs w:val="24"/>
        </w:rPr>
        <w:t>Harman v. Chase</w:t>
      </w:r>
      <w:r w:rsidR="008A637B"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008A637B" w:rsidRPr="008A637B">
        <w:rPr>
          <w:rFonts w:eastAsia="Times New Roman"/>
          <w:b/>
          <w:sz w:val="24"/>
          <w:szCs w:val="24"/>
        </w:rPr>
        <w:t>Pawnee Farmers Elevator Co.</w:t>
      </w:r>
      <w:r w:rsidR="008A637B" w:rsidRPr="008A637B">
        <w:rPr>
          <w:rFonts w:eastAsia="Times New Roman"/>
          <w:sz w:val="24"/>
          <w:szCs w:val="24"/>
        </w:rPr>
        <w:t xml:space="preserve">, 76 Colo. at 7, 227 P. at 839;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Thompson v. Tartler</w:t>
      </w:r>
      <w:r w:rsidR="008A637B" w:rsidRPr="008A637B">
        <w:rPr>
          <w:rFonts w:eastAsia="Times New Roman"/>
          <w:sz w:val="24"/>
          <w:szCs w:val="24"/>
        </w:rPr>
        <w:t xml:space="preserve">, 166 Colo. 247, 443 P.2d 365 (1968); </w:t>
      </w:r>
      <w:r w:rsidR="008A637B" w:rsidRPr="008A637B">
        <w:rPr>
          <w:rFonts w:eastAsia="Times New Roman"/>
          <w:b/>
          <w:sz w:val="24"/>
          <w:szCs w:val="24"/>
        </w:rPr>
        <w:t>Odell v. Pub. Serv. Co</w:t>
      </w:r>
      <w:r w:rsidR="008A637B" w:rsidRPr="008A637B">
        <w:rPr>
          <w:rFonts w:eastAsia="Times New Roman"/>
          <w:sz w:val="24"/>
          <w:szCs w:val="24"/>
        </w:rPr>
        <w:t>., 158 Colo. 404, 407 P.2d 330 (1965).</w:t>
      </w:r>
    </w:p>
    <w:p w14:paraId="73E6AB26" w14:textId="4B6882F0" w:rsidR="008A637B" w:rsidRPr="008A637B" w:rsidRDefault="00EB724A" w:rsidP="008A637B">
      <w:pPr>
        <w:spacing w:after="240"/>
        <w:ind w:firstLine="720"/>
        <w:rPr>
          <w:rFonts w:eastAsia="Times New Roman"/>
          <w:sz w:val="24"/>
          <w:szCs w:val="24"/>
        </w:rPr>
      </w:pPr>
      <w:r>
        <w:rPr>
          <w:rFonts w:eastAsia="Times New Roman"/>
          <w:sz w:val="24"/>
          <w:szCs w:val="24"/>
        </w:rPr>
        <w:lastRenderedPageBreak/>
        <w:t>7</w:t>
      </w:r>
      <w:r w:rsidR="008A637B" w:rsidRPr="008A637B">
        <w:rPr>
          <w:rFonts w:eastAsia="Times New Roman"/>
          <w:sz w:val="24"/>
          <w:szCs w:val="24"/>
        </w:rPr>
        <w:t xml:space="preserve">. A parent may relinquish the right to pre-majority expenses. </w:t>
      </w:r>
      <w:r w:rsidR="008A637B" w:rsidRPr="008A637B">
        <w:rPr>
          <w:rFonts w:eastAsia="Times New Roman"/>
          <w:b/>
          <w:sz w:val="24"/>
          <w:szCs w:val="24"/>
        </w:rPr>
        <w:t>Pressey</w:t>
      </w:r>
      <w:r w:rsidR="008A637B" w:rsidRPr="008A637B">
        <w:rPr>
          <w:rFonts w:eastAsia="Times New Roman"/>
          <w:sz w:val="24"/>
          <w:szCs w:val="24"/>
        </w:rPr>
        <w:t>, ¶ 27</w:t>
      </w:r>
      <w:r w:rsidR="00631FE7">
        <w:rPr>
          <w:rFonts w:eastAsia="Times New Roman"/>
          <w:sz w:val="24"/>
          <w:szCs w:val="24"/>
        </w:rPr>
        <w:t>, 488 P.3d at 159</w:t>
      </w:r>
      <w:r w:rsidR="008A637B" w:rsidRPr="008A637B">
        <w:rPr>
          <w:rFonts w:eastAsia="Times New Roman"/>
          <w:sz w:val="24"/>
          <w:szCs w:val="24"/>
        </w:rPr>
        <w:t>.</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1440BDF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claim of damages for injuries caused to </w:t>
      </w:r>
      <w:r w:rsidR="00505E5C" w:rsidRPr="00AA267B">
        <w:rPr>
          <w:rFonts w:eastAsia="Times New Roman"/>
          <w:bCs/>
          <w:i/>
          <w:iCs/>
          <w:sz w:val="24"/>
          <w:szCs w:val="24"/>
        </w:rPr>
        <w:t>(</w:t>
      </w:r>
      <w:r w:rsidR="00505E5C">
        <w:rPr>
          <w:rFonts w:eastAsia="Times New Roman"/>
          <w:i/>
          <w:sz w:val="24"/>
          <w:szCs w:val="24"/>
        </w:rPr>
        <w:t>insert applicable pronoun)</w:t>
      </w:r>
      <w:r w:rsidRPr="00683FA1">
        <w:rPr>
          <w:rFonts w:eastAsia="Times New Roman"/>
          <w:b/>
          <w:sz w:val="24"/>
          <w:szCs w:val="24"/>
        </w:rPr>
        <w:t xml:space="preserve">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3D6F0FF3"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68C3AAFA"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probably </w:t>
      </w:r>
      <w:r w:rsidR="00EB724A">
        <w:rPr>
          <w:rFonts w:eastAsia="Times New Roman"/>
          <w:b/>
          <w:sz w:val="24"/>
          <w:szCs w:val="24"/>
        </w:rPr>
        <w:t xml:space="preserve">will </w:t>
      </w:r>
      <w:r w:rsidRPr="00683FA1">
        <w:rPr>
          <w:rFonts w:eastAsia="Times New Roman"/>
          <w:b/>
          <w:sz w:val="24"/>
          <w:szCs w:val="24"/>
        </w:rPr>
        <w:t xml:space="preserve">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12C46155"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 xml:space="preserve">(Insert any other appropriate elements of damages, e.g., any unusual services the plaintiff may be required to render the child because of </w:t>
      </w:r>
      <w:r w:rsidR="00AA267B">
        <w:rPr>
          <w:rFonts w:eastAsia="Times New Roman"/>
          <w:i/>
          <w:sz w:val="24"/>
          <w:szCs w:val="24"/>
        </w:rPr>
        <w:t>[insert applicable pronoun]</w:t>
      </w:r>
      <w:r w:rsidRPr="00683FA1">
        <w:rPr>
          <w:rFonts w:eastAsia="Times New Roman"/>
          <w:i/>
          <w:sz w:val="24"/>
          <w:szCs w:val="24"/>
        </w:rPr>
        <w:t xml:space="preserve">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5BA6AD2A" w14:textId="13AFF60C" w:rsidR="00EB724A" w:rsidRDefault="00EB724A" w:rsidP="00683FA1">
      <w:pPr>
        <w:spacing w:after="240"/>
        <w:ind w:firstLine="720"/>
        <w:rPr>
          <w:rFonts w:eastAsia="Times New Roman"/>
          <w:sz w:val="24"/>
          <w:szCs w:val="24"/>
        </w:rPr>
      </w:pPr>
      <w:r>
        <w:rPr>
          <w:rFonts w:eastAsia="Times New Roman"/>
          <w:sz w:val="24"/>
          <w:szCs w:val="24"/>
        </w:rPr>
        <w:t xml:space="preserve">2. Under the Colorado Supreme Court’s decision in </w:t>
      </w:r>
      <w:r w:rsidRPr="00563A63">
        <w:rPr>
          <w:rFonts w:eastAsia="Times New Roman"/>
          <w:b/>
          <w:bCs/>
          <w:sz w:val="24"/>
          <w:szCs w:val="24"/>
        </w:rPr>
        <w:t>Rudnicki v. Bianco</w:t>
      </w:r>
      <w:r>
        <w:rPr>
          <w:rFonts w:eastAsia="Times New Roman"/>
          <w:sz w:val="24"/>
          <w:szCs w:val="24"/>
        </w:rPr>
        <w:t xml:space="preserve">, 2021 CO 80, ¶¶ 44-45, </w:t>
      </w:r>
      <w:r w:rsidR="00463C54">
        <w:rPr>
          <w:rFonts w:eastAsia="Times New Roman"/>
          <w:sz w:val="24"/>
          <w:szCs w:val="24"/>
        </w:rPr>
        <w:t xml:space="preserve">501 P.3d 776, </w:t>
      </w:r>
      <w:r>
        <w:rPr>
          <w:rFonts w:eastAsia="Times New Roman"/>
          <w:sz w:val="24"/>
          <w:szCs w:val="24"/>
        </w:rPr>
        <w:t>both an unemancipated minor child and the child’s parents may sue to recover damages for the child’s pre-majority medical expenses, provided that no double recovery is permitted.</w:t>
      </w:r>
    </w:p>
    <w:p w14:paraId="7755A5F8" w14:textId="35832086" w:rsidR="00683FA1" w:rsidRPr="00683FA1" w:rsidRDefault="00EB724A" w:rsidP="00683FA1">
      <w:pPr>
        <w:spacing w:after="240"/>
        <w:ind w:firstLine="720"/>
        <w:rPr>
          <w:rFonts w:eastAsia="Times New Roman"/>
          <w:sz w:val="24"/>
          <w:szCs w:val="24"/>
        </w:rPr>
      </w:pPr>
      <w:r>
        <w:rPr>
          <w:rFonts w:eastAsia="Times New Roman"/>
          <w:sz w:val="24"/>
          <w:szCs w:val="24"/>
        </w:rPr>
        <w:t>3</w:t>
      </w:r>
      <w:r w:rsidR="00683FA1" w:rsidRPr="00683FA1">
        <w:rPr>
          <w:rFonts w:eastAsia="Times New Roman"/>
          <w:sz w:val="24"/>
          <w:szCs w:val="24"/>
        </w:rPr>
        <w:t>. When the parent only is suing on his or her own claim, Instruction 6:4 should be given with this instruction.</w:t>
      </w:r>
    </w:p>
    <w:p w14:paraId="2BCD0D23" w14:textId="02837725" w:rsidR="00683FA1" w:rsidRPr="00683FA1" w:rsidRDefault="00EB724A" w:rsidP="00683FA1">
      <w:pPr>
        <w:spacing w:after="240"/>
        <w:ind w:firstLine="720"/>
        <w:rPr>
          <w:rFonts w:eastAsia="Times New Roman"/>
          <w:sz w:val="24"/>
          <w:szCs w:val="24"/>
        </w:rPr>
      </w:pPr>
      <w:r>
        <w:rPr>
          <w:rFonts w:eastAsia="Times New Roman"/>
          <w:sz w:val="24"/>
          <w:szCs w:val="24"/>
        </w:rPr>
        <w:lastRenderedPageBreak/>
        <w:t>4</w:t>
      </w:r>
      <w:r w:rsidR="00683FA1" w:rsidRPr="00683FA1">
        <w:rPr>
          <w:rFonts w:eastAsia="Times New Roman"/>
          <w:sz w:val="24"/>
          <w:szCs w:val="24"/>
        </w:rPr>
        <w:t>.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6F54A47C"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r w:rsidR="00263D17">
        <w:rPr>
          <w:rFonts w:eastAsia="Times New Roman"/>
          <w:sz w:val="24"/>
          <w:szCs w:val="24"/>
        </w:rPr>
        <w:t>,</w:t>
      </w:r>
      <w:r w:rsidR="009D3B2A" w:rsidRPr="009D3B2A">
        <w:rPr>
          <w:rFonts w:eastAsia="Times New Roman"/>
          <w:i/>
          <w:iCs/>
          <w:sz w:val="24"/>
          <w:szCs w:val="24"/>
        </w:rPr>
        <w:t xml:space="preserve"> </w:t>
      </w:r>
      <w:r w:rsidR="009D3B2A" w:rsidRPr="00683AEF">
        <w:rPr>
          <w:rFonts w:eastAsia="Times New Roman"/>
          <w:i/>
          <w:iCs/>
          <w:sz w:val="24"/>
          <w:szCs w:val="24"/>
        </w:rPr>
        <w:t>overruled on other grounds by</w:t>
      </w:r>
      <w:r w:rsidR="009D3B2A">
        <w:rPr>
          <w:rFonts w:eastAsia="Times New Roman"/>
          <w:sz w:val="24"/>
          <w:szCs w:val="24"/>
        </w:rPr>
        <w:t xml:space="preserve"> </w:t>
      </w:r>
      <w:r w:rsidR="009D3B2A" w:rsidRPr="00B559AD">
        <w:rPr>
          <w:rFonts w:eastAsia="Times New Roman"/>
          <w:b/>
          <w:bCs/>
          <w:sz w:val="24"/>
          <w:szCs w:val="24"/>
        </w:rPr>
        <w:t>Rudnicki v. Bianco</w:t>
      </w:r>
      <w:r w:rsidR="009D3B2A">
        <w:rPr>
          <w:rFonts w:eastAsia="Times New Roman"/>
          <w:sz w:val="24"/>
          <w:szCs w:val="24"/>
        </w:rPr>
        <w:t>, 2021 CO 80, 501 P.3d 776</w:t>
      </w:r>
      <w:r w:rsidRPr="00683FA1">
        <w:rPr>
          <w:rFonts w:eastAsia="Times New Roman"/>
          <w:sz w:val="24"/>
          <w:szCs w:val="24"/>
        </w:rPr>
        <w:t>.</w:t>
      </w:r>
    </w:p>
    <w:p w14:paraId="3A228B27" w14:textId="2E76593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r w:rsidR="00EB724A">
        <w:rPr>
          <w:rFonts w:eastAsia="Times New Roman"/>
          <w:sz w:val="24"/>
          <w:szCs w:val="24"/>
        </w:rPr>
        <w:t xml:space="preserve"> (overruled as to pre-majority medical expenses by </w:t>
      </w:r>
      <w:r w:rsidR="00EB724A">
        <w:rPr>
          <w:rFonts w:eastAsia="Times New Roman"/>
          <w:i/>
          <w:iCs/>
          <w:sz w:val="24"/>
          <w:szCs w:val="24"/>
        </w:rPr>
        <w:t>Rudnicki</w:t>
      </w:r>
      <w:r w:rsidR="00EB724A" w:rsidRPr="00EB724A">
        <w:rPr>
          <w:rFonts w:eastAsia="Times New Roman"/>
          <w:iCs/>
          <w:sz w:val="24"/>
          <w:szCs w:val="24"/>
        </w:rPr>
        <w:t>,</w:t>
      </w:r>
      <w:r w:rsidR="00EB724A">
        <w:rPr>
          <w:rFonts w:eastAsia="Times New Roman"/>
          <w:i/>
          <w:iCs/>
          <w:sz w:val="24"/>
          <w:szCs w:val="24"/>
        </w:rPr>
        <w:t xml:space="preserve"> supra</w:t>
      </w:r>
      <w:r w:rsidR="00EB724A">
        <w:rPr>
          <w:rFonts w:eastAsia="Times New Roman"/>
          <w:sz w:val="24"/>
          <w:szCs w:val="24"/>
        </w:rPr>
        <w:t>)</w:t>
      </w:r>
      <w:r w:rsidRPr="00683FA1">
        <w:rPr>
          <w:rFonts w:eastAsia="Times New Roman"/>
          <w:sz w:val="24"/>
          <w:szCs w:val="24"/>
        </w:rPr>
        <w:t>.</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8028203"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w:t>
      </w:r>
      <w:bookmarkStart w:id="9" w:name="_Hlk146358878"/>
      <w:r w:rsidR="00AA267B" w:rsidRPr="00AA267B">
        <w:rPr>
          <w:rFonts w:eastAsia="Times New Roman"/>
          <w:bCs/>
          <w:i/>
          <w:iCs/>
          <w:sz w:val="24"/>
          <w:szCs w:val="24"/>
        </w:rPr>
        <w:t>(</w:t>
      </w:r>
      <w:r w:rsidR="00AA267B">
        <w:rPr>
          <w:rFonts w:eastAsia="Times New Roman"/>
          <w:i/>
          <w:sz w:val="24"/>
          <w:szCs w:val="24"/>
        </w:rPr>
        <w:t>insert applicable pronoun)</w:t>
      </w:r>
      <w:bookmarkEnd w:id="9"/>
      <w:r w:rsidR="00AA267B" w:rsidRPr="00EF4043" w:rsidDel="00AA267B">
        <w:rPr>
          <w:rFonts w:eastAsia="Times New Roman"/>
          <w:b/>
          <w:sz w:val="24"/>
          <w:szCs w:val="24"/>
        </w:rPr>
        <w:t xml:space="preserve"> </w:t>
      </w:r>
      <w:r w:rsidRPr="00EF4043">
        <w:rPr>
          <w:rFonts w:eastAsia="Times New Roman"/>
          <w:b/>
          <w:sz w:val="24"/>
          <w:szCs w:val="24"/>
        </w:rPr>
        <w:t xml:space="preserve">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27EDC5AF"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xml:space="preserve">, the plaintiff also had a loss of </w:t>
      </w:r>
      <w:r w:rsidR="00505E5C" w:rsidRPr="00AA267B">
        <w:rPr>
          <w:rFonts w:eastAsia="Times New Roman"/>
          <w:bCs/>
          <w:i/>
          <w:iCs/>
          <w:sz w:val="24"/>
          <w:szCs w:val="24"/>
        </w:rPr>
        <w:t>(</w:t>
      </w:r>
      <w:r w:rsidR="00505E5C">
        <w:rPr>
          <w:rFonts w:eastAsia="Times New Roman"/>
          <w:i/>
          <w:sz w:val="24"/>
          <w:szCs w:val="24"/>
        </w:rPr>
        <w:t>insert applicable pronoun)</w:t>
      </w:r>
      <w:r w:rsidRPr="00EF4043">
        <w:rPr>
          <w:rFonts w:eastAsia="Times New Roman"/>
          <w:b/>
          <w:sz w:val="24"/>
          <w:szCs w:val="24"/>
        </w:rPr>
        <w:t xml:space="preserve">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1F6B6723"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Draper v. DeFrenchi-</w:t>
      </w:r>
      <w:r w:rsidRPr="00EF4043">
        <w:rPr>
          <w:rFonts w:eastAsia="Times New Roman"/>
          <w:b/>
          <w:sz w:val="24"/>
          <w:szCs w:val="24"/>
        </w:rPr>
        <w:lastRenderedPageBreak/>
        <w:t>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994 P.2d 411 (Colo. 1999) (claims for derivative damages subject to same defenses available to underlying claims)</w:t>
      </w:r>
      <w:r w:rsidR="00263D17">
        <w:rPr>
          <w:rFonts w:eastAsia="Times New Roman"/>
          <w:sz w:val="24"/>
          <w:szCs w:val="24"/>
        </w:rPr>
        <w:t>,</w:t>
      </w:r>
      <w:r w:rsidR="009D3B2A" w:rsidRPr="009D3B2A">
        <w:rPr>
          <w:rFonts w:eastAsia="Times New Roman"/>
          <w:i/>
          <w:iCs/>
          <w:sz w:val="24"/>
          <w:szCs w:val="24"/>
        </w:rPr>
        <w:t xml:space="preserve"> </w:t>
      </w:r>
      <w:r w:rsidR="009D3B2A" w:rsidRPr="00683AEF">
        <w:rPr>
          <w:rFonts w:eastAsia="Times New Roman"/>
          <w:i/>
          <w:iCs/>
          <w:sz w:val="24"/>
          <w:szCs w:val="24"/>
        </w:rPr>
        <w:t>overruled on other grounds by</w:t>
      </w:r>
      <w:r w:rsidR="009D3B2A">
        <w:rPr>
          <w:rFonts w:eastAsia="Times New Roman"/>
          <w:sz w:val="24"/>
          <w:szCs w:val="24"/>
        </w:rPr>
        <w:t xml:space="preserve"> </w:t>
      </w:r>
      <w:r w:rsidR="009D3B2A" w:rsidRPr="00B559AD">
        <w:rPr>
          <w:rFonts w:eastAsia="Times New Roman"/>
          <w:b/>
          <w:bCs/>
          <w:sz w:val="24"/>
          <w:szCs w:val="24"/>
        </w:rPr>
        <w:t>Rudnicki v. Bianco</w:t>
      </w:r>
      <w:r w:rsidR="009D3B2A">
        <w:rPr>
          <w:rFonts w:eastAsia="Times New Roman"/>
          <w:sz w:val="24"/>
          <w:szCs w:val="24"/>
        </w:rPr>
        <w:t xml:space="preserve">, 2021 CO 80, 501 P.3d 776 </w:t>
      </w:r>
      <w:r w:rsidRPr="00EF4043">
        <w:rPr>
          <w:rFonts w:eastAsia="Times New Roman"/>
          <w:sz w:val="24"/>
          <w:szCs w:val="24"/>
        </w:rPr>
        <w:t xml:space="preserve">.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10" w:name="a6_6"/>
      <w:bookmarkEnd w:id="10"/>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317E7AFA"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6CCBCE0F"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w:t>
      </w:r>
      <w:r w:rsidRPr="00EC3919">
        <w:rPr>
          <w:rFonts w:eastAsia="Times New Roman"/>
          <w:sz w:val="24"/>
          <w:szCs w:val="24"/>
        </w:rPr>
        <w:lastRenderedPageBreak/>
        <w:t xml:space="preserve">definitions of consortium, “companionship” includes sexual relations, </w:t>
      </w:r>
      <w:r w:rsidRPr="00EC3919">
        <w:rPr>
          <w:rFonts w:eastAsia="Times New Roman"/>
          <w:smallCaps/>
          <w:sz w:val="24"/>
          <w:szCs w:val="24"/>
        </w:rPr>
        <w:t>W. Page Keeton et al., 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1" w:name="a6_7"/>
      <w:bookmarkEnd w:id="11"/>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0E6D7096"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w:t>
      </w:r>
      <w:r w:rsidR="00505E5C" w:rsidRPr="00AA267B">
        <w:rPr>
          <w:rFonts w:eastAsia="Times New Roman"/>
          <w:bCs/>
          <w:i/>
          <w:iCs/>
          <w:sz w:val="24"/>
          <w:szCs w:val="24"/>
        </w:rPr>
        <w:t>(</w:t>
      </w:r>
      <w:r w:rsidR="00505E5C">
        <w:rPr>
          <w:rFonts w:eastAsia="Times New Roman"/>
          <w:i/>
          <w:sz w:val="24"/>
          <w:szCs w:val="24"/>
        </w:rPr>
        <w:t>insert applicable pronoun)</w:t>
      </w:r>
      <w:r w:rsidRPr="00EC3919">
        <w:rPr>
          <w:rFonts w:eastAsia="Times New Roman"/>
          <w:b/>
          <w:sz w:val="24"/>
          <w:szCs w:val="24"/>
        </w:rPr>
        <w:t xml:space="preserve">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6090741"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r w:rsidR="00A36F14">
        <w:rPr>
          <w:rFonts w:eastAsia="Times New Roman"/>
          <w:b/>
          <w:bCs/>
          <w:sz w:val="24"/>
          <w:szCs w:val="24"/>
        </w:rPr>
        <w:t>Scholle v. Ehrichs</w:t>
      </w:r>
      <w:r w:rsidR="00A36F14">
        <w:rPr>
          <w:rFonts w:eastAsia="Times New Roman"/>
          <w:sz w:val="24"/>
          <w:szCs w:val="24"/>
        </w:rPr>
        <w:t>, 2022 COA 87M, ¶¶</w:t>
      </w:r>
      <w:r w:rsidR="00A8400E">
        <w:rPr>
          <w:rFonts w:eastAsia="Times New Roman"/>
          <w:sz w:val="24"/>
          <w:szCs w:val="24"/>
        </w:rPr>
        <w:t xml:space="preserve"> </w:t>
      </w:r>
      <w:r w:rsidR="00A36F14">
        <w:rPr>
          <w:rFonts w:eastAsia="Times New Roman"/>
          <w:sz w:val="24"/>
          <w:szCs w:val="24"/>
        </w:rPr>
        <w:t>70-80</w:t>
      </w:r>
      <w:r w:rsidR="00E67D7F">
        <w:rPr>
          <w:rFonts w:eastAsia="Times New Roman"/>
          <w:sz w:val="24"/>
          <w:szCs w:val="24"/>
        </w:rPr>
        <w:t>, 519 P.3d 1093</w:t>
      </w:r>
      <w:r w:rsidR="00263D17">
        <w:rPr>
          <w:rFonts w:eastAsia="Times New Roman"/>
          <w:sz w:val="24"/>
          <w:szCs w:val="24"/>
        </w:rPr>
        <w:t>,</w:t>
      </w:r>
      <w:r w:rsidR="009D3B2A">
        <w:rPr>
          <w:rFonts w:eastAsia="Times New Roman"/>
          <w:sz w:val="24"/>
          <w:szCs w:val="24"/>
        </w:rPr>
        <w:t xml:space="preserve"> </w:t>
      </w:r>
      <w:r w:rsidR="00263D17" w:rsidRPr="00263D17">
        <w:rPr>
          <w:rFonts w:eastAsia="Times New Roman"/>
          <w:i/>
          <w:iCs/>
          <w:sz w:val="24"/>
          <w:szCs w:val="24"/>
        </w:rPr>
        <w:t xml:space="preserve">aff’d in part, </w:t>
      </w:r>
      <w:r w:rsidR="009D3B2A">
        <w:rPr>
          <w:rFonts w:eastAsia="Times New Roman"/>
          <w:i/>
          <w:iCs/>
          <w:sz w:val="24"/>
          <w:szCs w:val="24"/>
        </w:rPr>
        <w:t>rev</w:t>
      </w:r>
      <w:r w:rsidR="00263D17">
        <w:rPr>
          <w:rFonts w:eastAsia="Times New Roman"/>
          <w:i/>
          <w:iCs/>
          <w:sz w:val="24"/>
          <w:szCs w:val="24"/>
        </w:rPr>
        <w:t>’</w:t>
      </w:r>
      <w:r w:rsidR="009D3B2A">
        <w:rPr>
          <w:rFonts w:eastAsia="Times New Roman"/>
          <w:i/>
          <w:iCs/>
          <w:sz w:val="24"/>
          <w:szCs w:val="24"/>
        </w:rPr>
        <w:t>d</w:t>
      </w:r>
      <w:r w:rsidR="009D3B2A" w:rsidRPr="00683AEF">
        <w:rPr>
          <w:rFonts w:eastAsia="Times New Roman"/>
          <w:i/>
          <w:iCs/>
          <w:sz w:val="24"/>
          <w:szCs w:val="24"/>
        </w:rPr>
        <w:t xml:space="preserve"> </w:t>
      </w:r>
      <w:r w:rsidR="00263D17">
        <w:rPr>
          <w:rFonts w:eastAsia="Times New Roman"/>
          <w:i/>
          <w:iCs/>
          <w:sz w:val="24"/>
          <w:szCs w:val="24"/>
        </w:rPr>
        <w:t xml:space="preserve">in part </w:t>
      </w:r>
      <w:r w:rsidR="009D3B2A" w:rsidRPr="00683AEF">
        <w:rPr>
          <w:rFonts w:eastAsia="Times New Roman"/>
          <w:i/>
          <w:iCs/>
          <w:sz w:val="24"/>
          <w:szCs w:val="24"/>
        </w:rPr>
        <w:t>on other grounds by</w:t>
      </w:r>
      <w:r w:rsidR="009D3B2A">
        <w:rPr>
          <w:rFonts w:eastAsia="Times New Roman"/>
          <w:sz w:val="24"/>
          <w:szCs w:val="24"/>
        </w:rPr>
        <w:t xml:space="preserve"> </w:t>
      </w:r>
      <w:r w:rsidR="009D3B2A" w:rsidRPr="00263D17">
        <w:rPr>
          <w:b/>
          <w:bCs/>
          <w:sz w:val="24"/>
          <w:szCs w:val="24"/>
        </w:rPr>
        <w:t>Scholle v. Ehrichs</w:t>
      </w:r>
      <w:r w:rsidR="009D3B2A" w:rsidRPr="00616E80">
        <w:rPr>
          <w:sz w:val="24"/>
          <w:szCs w:val="24"/>
        </w:rPr>
        <w:t>, 2024 CO 22, 546 P.3d 1170</w:t>
      </w:r>
      <w:r w:rsidR="00A36F14">
        <w:rPr>
          <w:rFonts w:eastAsia="Times New Roman"/>
          <w:sz w:val="24"/>
          <w:szCs w:val="24"/>
        </w:rPr>
        <w:t xml:space="preserve">;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2" w:name="a6_8"/>
      <w:bookmarkEnd w:id="12"/>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r w:rsidRPr="00AF7D47">
        <w:rPr>
          <w:rFonts w:eastAsia="Times New Roman"/>
          <w:b/>
          <w:sz w:val="24"/>
          <w:szCs w:val="24"/>
        </w:rPr>
        <w:t>Brittis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 xml:space="preserve">. Instructing the jury based on this instruction “is proper when sufficient evidence shows that a later event or incident either (1) causes a new, unrelated injury to the </w:t>
      </w:r>
      <w:r w:rsidR="00B74215">
        <w:rPr>
          <w:rFonts w:eastAsia="Times New Roman"/>
          <w:sz w:val="24"/>
          <w:szCs w:val="24"/>
        </w:rPr>
        <w:lastRenderedPageBreak/>
        <w:t xml:space="preserve">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363F9991"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Intermill v. Heumesser</w:t>
      </w:r>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 44</w:t>
      </w:r>
      <w:r w:rsidR="00146EDF">
        <w:rPr>
          <w:rFonts w:eastAsia="Times New Roman"/>
          <w:sz w:val="24"/>
          <w:szCs w:val="24"/>
        </w:rPr>
        <w:t>, 300 P.3d at 937</w:t>
      </w:r>
      <w:r w:rsidRPr="00AF7D47">
        <w:rPr>
          <w:rFonts w:eastAsia="Times New Roman"/>
          <w:sz w:val="24"/>
          <w:szCs w:val="24"/>
        </w:rPr>
        <w:t>.</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3" w:name="a6_9"/>
      <w:bookmarkEnd w:id="13"/>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Columbia/HealthONE,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40877B0A"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2014 COA 29, ¶</w:t>
      </w:r>
      <w:r w:rsidR="00146EDF">
        <w:rPr>
          <w:rFonts w:eastAsia="Times New Roman"/>
          <w:sz w:val="24"/>
          <w:szCs w:val="24"/>
        </w:rPr>
        <w:t xml:space="preserve"> </w:t>
      </w:r>
      <w:r w:rsidRPr="00AF7D47">
        <w:rPr>
          <w:rFonts w:eastAsia="Times New Roman"/>
          <w:sz w:val="24"/>
          <w:szCs w:val="24"/>
        </w:rPr>
        <w:t xml:space="preserve">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r>
        <w:rPr>
          <w:rFonts w:eastAsia="Times New Roman"/>
          <w:b/>
          <w:sz w:val="24"/>
          <w:szCs w:val="24"/>
        </w:rPr>
        <w:t>Herrera v. Lerma</w:t>
      </w:r>
      <w:r>
        <w:rPr>
          <w:rFonts w:eastAsia="Times New Roman"/>
          <w:sz w:val="24"/>
          <w:szCs w:val="24"/>
        </w:rPr>
        <w:t>, 2018 COA 141 ¶¶ 8-9, 440 P.3d 1194.</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4" w:name="a6_10"/>
      <w:bookmarkEnd w:id="14"/>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6C675912" w:rsidR="004C723A" w:rsidRPr="0054263B" w:rsidRDefault="004C723A" w:rsidP="004C723A">
      <w:pPr>
        <w:keepNext/>
        <w:spacing w:after="240"/>
        <w:jc w:val="center"/>
        <w:rPr>
          <w:rFonts w:eastAsia="Times New Roman"/>
          <w:b/>
          <w:sz w:val="24"/>
          <w:szCs w:val="24"/>
        </w:rPr>
      </w:pPr>
      <w:r>
        <w:rPr>
          <w:rFonts w:eastAsia="Times New Roman"/>
          <w:b/>
          <w:sz w:val="24"/>
          <w:szCs w:val="24"/>
        </w:rPr>
        <w:t>Note</w:t>
      </w:r>
    </w:p>
    <w:p w14:paraId="345EF4E9" w14:textId="33F71FD0" w:rsidR="004C723A" w:rsidRPr="00263D17" w:rsidRDefault="00263D17" w:rsidP="00263D17">
      <w:pPr>
        <w:pStyle w:val="ListParagraph"/>
        <w:spacing w:after="240"/>
        <w:ind w:left="0" w:firstLine="720"/>
        <w:rPr>
          <w:rFonts w:eastAsia="Times New Roman"/>
          <w:sz w:val="24"/>
          <w:szCs w:val="24"/>
        </w:rPr>
      </w:pPr>
      <w:r>
        <w:rPr>
          <w:rFonts w:eastAsia="Times New Roman"/>
          <w:sz w:val="24"/>
          <w:szCs w:val="24"/>
        </w:rPr>
        <w:t xml:space="preserve">1. </w:t>
      </w:r>
      <w:r w:rsidR="004C723A" w:rsidRPr="00263D17">
        <w:rPr>
          <w:rFonts w:eastAsia="Times New Roman"/>
          <w:sz w:val="24"/>
          <w:szCs w:val="24"/>
        </w:rPr>
        <w:t>The Committee has taken no position on the formulation of instructions dealing with</w:t>
      </w:r>
      <w:r>
        <w:rPr>
          <w:rFonts w:eastAsia="Times New Roman"/>
          <w:sz w:val="24"/>
          <w:szCs w:val="24"/>
        </w:rPr>
        <w:t xml:space="preserve"> </w:t>
      </w:r>
      <w:r w:rsidR="004C723A" w:rsidRPr="00263D17">
        <w:rPr>
          <w:rFonts w:eastAsia="Times New Roman"/>
          <w:sz w:val="24"/>
          <w:szCs w:val="24"/>
        </w:rPr>
        <w:t>“economic factors” as they may affect an award of damages.</w:t>
      </w:r>
    </w:p>
    <w:p w14:paraId="2DE8AD52" w14:textId="1E524DFA" w:rsidR="009C3BCF" w:rsidRPr="004C723A" w:rsidRDefault="00407D3A" w:rsidP="009C3BCF">
      <w:pPr>
        <w:spacing w:after="240"/>
        <w:ind w:firstLine="720"/>
        <w:rPr>
          <w:rFonts w:eastAsia="Times New Roman"/>
          <w:sz w:val="24"/>
          <w:szCs w:val="24"/>
        </w:rPr>
      </w:pPr>
      <w:r>
        <w:rPr>
          <w:rFonts w:eastAsia="Times New Roman"/>
          <w:sz w:val="24"/>
          <w:szCs w:val="24"/>
        </w:rPr>
        <w:t>2.</w:t>
      </w:r>
      <w:r w:rsidR="009C3BCF" w:rsidRPr="004C723A">
        <w:rPr>
          <w:rFonts w:eastAsia="Times New Roman"/>
          <w:sz w:val="24"/>
          <w:szCs w:val="24"/>
        </w:rPr>
        <w:t xml:space="preserve"> In personal injury actions, an instruction on the nontaxability of damage awards as income should not be given. </w:t>
      </w:r>
      <w:r w:rsidR="009C3BCF" w:rsidRPr="004C723A">
        <w:rPr>
          <w:rFonts w:eastAsia="Times New Roman"/>
          <w:b/>
          <w:sz w:val="24"/>
          <w:szCs w:val="24"/>
        </w:rPr>
        <w:t>Rego Co. v. McKown-Katy</w:t>
      </w:r>
      <w:r w:rsidR="009C3BCF" w:rsidRPr="004C723A">
        <w:rPr>
          <w:rFonts w:eastAsia="Times New Roman"/>
          <w:sz w:val="24"/>
          <w:szCs w:val="24"/>
        </w:rPr>
        <w:t>, 801 P.2d 536 (Colo. 1990).</w:t>
      </w:r>
    </w:p>
    <w:p w14:paraId="55044895" w14:textId="5686429D" w:rsidR="004C723A" w:rsidRPr="004C723A" w:rsidRDefault="00407D3A"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w:t>
      </w:r>
      <w:r w:rsidR="009C3BCF">
        <w:rPr>
          <w:rFonts w:eastAsia="Times New Roman"/>
          <w:sz w:val="24"/>
          <w:szCs w:val="24"/>
        </w:rPr>
        <w:t xml:space="preserve">Even before </w:t>
      </w:r>
      <w:r w:rsidR="009C3BCF">
        <w:rPr>
          <w:rFonts w:eastAsia="Times New Roman"/>
          <w:b/>
          <w:bCs/>
          <w:sz w:val="24"/>
          <w:szCs w:val="24"/>
        </w:rPr>
        <w:t>Rego</w:t>
      </w:r>
      <w:r w:rsidR="009C3BCF">
        <w:rPr>
          <w:rFonts w:eastAsia="Times New Roman"/>
          <w:sz w:val="24"/>
          <w:szCs w:val="24"/>
        </w:rPr>
        <w:t>, the court of appeals had upheld trial court decision</w:t>
      </w:r>
      <w:r w:rsidR="00EA4B71">
        <w:rPr>
          <w:rFonts w:eastAsia="Times New Roman"/>
          <w:sz w:val="24"/>
          <w:szCs w:val="24"/>
        </w:rPr>
        <w:t>s</w:t>
      </w:r>
      <w:r w:rsidR="009C3BCF">
        <w:rPr>
          <w:rFonts w:eastAsia="Times New Roman"/>
          <w:sz w:val="24"/>
          <w:szCs w:val="24"/>
        </w:rPr>
        <w:t xml:space="preserve"> not to give such an instruction.</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Ford v. Bd. of Cty.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r w:rsidR="004C723A" w:rsidRPr="004C723A">
        <w:rPr>
          <w:rFonts w:eastAsia="Times New Roman"/>
          <w:b/>
          <w:sz w:val="24"/>
          <w:szCs w:val="24"/>
        </w:rPr>
        <w:t>Polster v. Griff’s of Am., Inc.</w:t>
      </w:r>
      <w:r w:rsidR="004C723A" w:rsidRPr="004C723A">
        <w:rPr>
          <w:rFonts w:eastAsia="Times New Roman"/>
          <w:sz w:val="24"/>
          <w:szCs w:val="24"/>
        </w:rPr>
        <w:t xml:space="preserve">, 32 Colo. App. 264, 514 P.2d 80 (1973), </w:t>
      </w:r>
      <w:r w:rsidR="004C723A" w:rsidRPr="004C723A">
        <w:rPr>
          <w:rFonts w:eastAsia="Times New Roman"/>
          <w:i/>
          <w:sz w:val="24"/>
          <w:szCs w:val="24"/>
        </w:rPr>
        <w:t>rev’d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Davis v. Fortino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7573327C" w:rsidR="004C723A" w:rsidRPr="004C723A" w:rsidRDefault="00407D3A"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r w:rsidR="004C723A" w:rsidRPr="004C723A">
        <w:rPr>
          <w:rFonts w:eastAsia="Times New Roman"/>
          <w:b/>
          <w:sz w:val="24"/>
          <w:szCs w:val="24"/>
        </w:rPr>
        <w:t>In re Estate of Beren</w:t>
      </w:r>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aff’d in part, rev’d in part on other grounds sub nom.</w:t>
      </w:r>
      <w:r w:rsidR="004C723A" w:rsidRPr="004C723A">
        <w:rPr>
          <w:rFonts w:eastAsia="Times New Roman"/>
          <w:sz w:val="24"/>
          <w:szCs w:val="24"/>
        </w:rPr>
        <w:t xml:space="preserve"> </w:t>
      </w:r>
      <w:r w:rsidR="004C723A" w:rsidRPr="004C723A">
        <w:rPr>
          <w:rFonts w:eastAsia="Times New Roman"/>
          <w:b/>
          <w:sz w:val="24"/>
          <w:szCs w:val="24"/>
        </w:rPr>
        <w:t>Beren v. Beren</w:t>
      </w:r>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5F64C551" w:rsidR="004C723A" w:rsidRPr="004C723A" w:rsidRDefault="00407D3A"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Hoyal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Lewis v. Great W. Distrib.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37F2A172" w:rsidR="004C723A" w:rsidRPr="004C723A" w:rsidRDefault="00407D3A"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In </w:t>
      </w:r>
      <w:r w:rsidR="004C723A" w:rsidRPr="004C723A">
        <w:rPr>
          <w:rFonts w:eastAsia="Times New Roman"/>
          <w:b/>
          <w:sz w:val="24"/>
          <w:szCs w:val="24"/>
        </w:rPr>
        <w:t>Norfolk &amp; W. Ry. v. Liepelt</w:t>
      </w:r>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r w:rsidR="008B0EBD">
        <w:rPr>
          <w:rFonts w:eastAsia="Times New Roman"/>
          <w:b/>
          <w:bCs/>
          <w:sz w:val="24"/>
          <w:szCs w:val="24"/>
        </w:rPr>
        <w:t>Rego</w:t>
      </w:r>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r w:rsidR="008B0EBD">
        <w:rPr>
          <w:rFonts w:eastAsia="Times New Roman"/>
          <w:b/>
          <w:bCs/>
          <w:sz w:val="24"/>
          <w:szCs w:val="24"/>
        </w:rPr>
        <w:t>Liepelt</w:t>
      </w:r>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w:t>
      </w:r>
      <w:r w:rsidR="004C723A" w:rsidRPr="004C723A">
        <w:rPr>
          <w:rFonts w:eastAsia="Times New Roman"/>
          <w:sz w:val="24"/>
          <w:szCs w:val="24"/>
        </w:rPr>
        <w:lastRenderedPageBreak/>
        <w:t xml:space="preserve">instruction should be determined as a matter of federal law or state law). On the other hand, “the failure to give [a] non-taxability instruction [in a FELA case not involving wrongful death] is harmless error unless there is a showing that the verdict is excessive.” </w:t>
      </w:r>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
    <w:p w14:paraId="1CC97A84" w14:textId="72287744" w:rsidR="004C723A" w:rsidRPr="004C723A" w:rsidRDefault="00407D3A" w:rsidP="004C723A">
      <w:pPr>
        <w:spacing w:after="240"/>
        <w:ind w:firstLine="720"/>
        <w:rPr>
          <w:rFonts w:eastAsia="Times New Roman"/>
          <w:sz w:val="24"/>
          <w:szCs w:val="24"/>
        </w:rPr>
      </w:pPr>
      <w:r>
        <w:rPr>
          <w:rFonts w:eastAsia="Times New Roman"/>
          <w:sz w:val="24"/>
          <w:szCs w:val="24"/>
        </w:rPr>
        <w:t>7</w:t>
      </w:r>
      <w:r w:rsidR="004C723A" w:rsidRPr="004C723A">
        <w:rPr>
          <w:rFonts w:eastAsia="Times New Roman"/>
          <w:sz w:val="24"/>
          <w:szCs w:val="24"/>
        </w:rPr>
        <w:t xml:space="preserve">. For a discussion of both income taxes and inflation, see </w:t>
      </w:r>
      <w:r w:rsidR="004C723A" w:rsidRPr="004C723A">
        <w:rPr>
          <w:rFonts w:eastAsia="Times New Roman"/>
          <w:b/>
          <w:sz w:val="24"/>
          <w:szCs w:val="24"/>
        </w:rPr>
        <w:t>Good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15745847" w:rsidR="004C723A" w:rsidRPr="004C723A" w:rsidRDefault="00407D3A" w:rsidP="004C723A">
      <w:pPr>
        <w:spacing w:after="240"/>
        <w:ind w:firstLine="720"/>
        <w:rPr>
          <w:rFonts w:eastAsia="Times New Roman"/>
          <w:sz w:val="24"/>
          <w:szCs w:val="24"/>
        </w:rPr>
      </w:pPr>
      <w:r>
        <w:rPr>
          <w:rFonts w:eastAsia="Times New Roman"/>
          <w:sz w:val="24"/>
          <w:szCs w:val="24"/>
        </w:rPr>
        <w:t>8</w:t>
      </w:r>
      <w:r w:rsidR="004C723A" w:rsidRPr="004C723A">
        <w:rPr>
          <w:rFonts w:eastAsia="Times New Roman"/>
          <w:sz w:val="24"/>
          <w:szCs w:val="24"/>
        </w:rPr>
        <w:t xml:space="preserve">.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004C723A" w:rsidRPr="004C723A">
        <w:rPr>
          <w:rFonts w:eastAsia="Times New Roman"/>
          <w:b/>
          <w:sz w:val="24"/>
          <w:szCs w:val="24"/>
        </w:rPr>
        <w:t>Boettcher &amp; Co. v. Munson</w:t>
      </w:r>
      <w:r w:rsidR="004C723A"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5" w:name="a6_11"/>
      <w:bookmarkEnd w:id="15"/>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680BBD2F"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4C723A">
        <w:rPr>
          <w:rFonts w:eastAsia="Times New Roman"/>
          <w:b/>
          <w:sz w:val="24"/>
          <w:szCs w:val="24"/>
        </w:rPr>
        <w:t xml:space="preserve">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Isbill Assocs., Inc. v. City &amp; Cty.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r w:rsidRPr="004C723A">
        <w:rPr>
          <w:rFonts w:eastAsia="Times New Roman"/>
          <w:b/>
          <w:sz w:val="24"/>
          <w:szCs w:val="24"/>
        </w:rPr>
        <w:t>Chryar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6" w:name="a6_12"/>
      <w:bookmarkEnd w:id="16"/>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0F788C3B"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xml:space="preserve">, you shall award as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Bd. of Cty. Comm’rs of Weld Cty. v. Slovek</w:t>
      </w:r>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w:t>
      </w:r>
      <w:r w:rsidR="00E07BB8">
        <w:rPr>
          <w:rFonts w:eastAsia="Times New Roman"/>
          <w:sz w:val="24"/>
          <w:szCs w:val="24"/>
        </w:rPr>
        <w:t xml:space="preserve">discretion of the trial court. </w:t>
      </w:r>
      <w:r w:rsidRPr="00E551EB">
        <w:rPr>
          <w:rFonts w:eastAsia="Times New Roman"/>
          <w:b/>
          <w:sz w:val="24"/>
          <w:szCs w:val="24"/>
        </w:rPr>
        <w:t>Slovek</w:t>
      </w:r>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7" w:name="a6_13"/>
      <w:bookmarkEnd w:id="17"/>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60F7CA0D"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8" w:name="_Hlk56516278"/>
      <w:r w:rsidR="00C7356F">
        <w:rPr>
          <w:rFonts w:eastAsia="Times New Roman"/>
          <w:sz w:val="24"/>
          <w:szCs w:val="24"/>
        </w:rPr>
        <w:t xml:space="preserve"> </w:t>
      </w:r>
      <w:r w:rsidR="008B0EBD">
        <w:rPr>
          <w:rFonts w:eastAsia="Times New Roman"/>
          <w:sz w:val="24"/>
          <w:szCs w:val="24"/>
        </w:rPr>
        <w:t>—</w:t>
      </w:r>
      <w:bookmarkEnd w:id="18"/>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period of time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Duggan v. Bd. of Cty.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Koenig v. PurCo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40F32073"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 14</w:t>
      </w:r>
      <w:r w:rsidR="00146EDF">
        <w:rPr>
          <w:rFonts w:eastAsia="Times New Roman"/>
          <w:sz w:val="24"/>
          <w:szCs w:val="24"/>
        </w:rPr>
        <w:t>, 285 P.3d at 983</w:t>
      </w:r>
      <w:r w:rsidRPr="00E551EB">
        <w:rPr>
          <w:rFonts w:eastAsia="Times New Roman"/>
          <w:sz w:val="24"/>
          <w:szCs w:val="24"/>
        </w:rPr>
        <w:t xml:space="preserve">.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9" w:name="a6_14"/>
      <w:bookmarkEnd w:id="19"/>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1C751A44"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for the plaintiff on more than one claim for relief, you may award </w:t>
      </w:r>
      <w:r w:rsidR="00505E5C" w:rsidRPr="00AA267B">
        <w:rPr>
          <w:rFonts w:eastAsia="Times New Roman"/>
          <w:bCs/>
          <w:i/>
          <w:iCs/>
          <w:sz w:val="24"/>
          <w:szCs w:val="24"/>
        </w:rPr>
        <w:t>(</w:t>
      </w:r>
      <w:r w:rsidR="00505E5C">
        <w:rPr>
          <w:rFonts w:eastAsia="Times New Roman"/>
          <w:i/>
          <w:sz w:val="24"/>
          <w:szCs w:val="24"/>
        </w:rPr>
        <w:t>insert applicable pronoun)</w:t>
      </w:r>
      <w:r w:rsidRPr="00E551EB">
        <w:rPr>
          <w:rFonts w:eastAsia="Times New Roman"/>
          <w:b/>
          <w:sz w:val="24"/>
          <w:szCs w:val="24"/>
        </w:rPr>
        <w:t xml:space="preserve">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78E7EF5C" w14:textId="77777777" w:rsidR="009E365F" w:rsidRPr="001B32FD" w:rsidRDefault="009E365F" w:rsidP="009E365F">
      <w:pPr>
        <w:spacing w:after="240"/>
        <w:ind w:firstLine="720"/>
        <w:rPr>
          <w:rFonts w:asciiTheme="minorBidi" w:hAnsiTheme="minorBidi" w:cs="Times New Roman (Body CS)"/>
          <w:sz w:val="24"/>
          <w:szCs w:val="24"/>
        </w:rPr>
      </w:pPr>
      <w:r w:rsidRPr="001B32FD">
        <w:rPr>
          <w:rFonts w:eastAsia="Times New Roman"/>
          <w:sz w:val="24"/>
          <w:szCs w:val="24"/>
        </w:rPr>
        <w:t xml:space="preserve">1. </w:t>
      </w:r>
      <w:r w:rsidRPr="001B32FD">
        <w:rPr>
          <w:rFonts w:asciiTheme="minorBidi" w:hAnsiTheme="minorBidi" w:cs="Times New Roman (Body CS)"/>
          <w:sz w:val="24"/>
          <w:szCs w:val="24"/>
        </w:rPr>
        <w:t xml:space="preserve">Where a party </w:t>
      </w:r>
      <w:r>
        <w:rPr>
          <w:rFonts w:asciiTheme="minorBidi" w:hAnsiTheme="minorBidi" w:cs="Times New Roman (Body CS)"/>
          <w:sz w:val="24"/>
          <w:szCs w:val="24"/>
        </w:rPr>
        <w:t>prevails on</w:t>
      </w:r>
      <w:r w:rsidRPr="001B32FD">
        <w:rPr>
          <w:rFonts w:asciiTheme="minorBidi" w:hAnsiTheme="minorBidi" w:cs="Times New Roman (Body CS)"/>
          <w:sz w:val="24"/>
          <w:szCs w:val="24"/>
        </w:rPr>
        <w:t xml:space="preserve"> multiple claims seeking the same damages, the jury must award the full amount of damages it finds but must award those damages only once. The Committee recommends that, wherever possible, the jury be given unified step-by-step special verdict forms (</w:t>
      </w:r>
      <w:r w:rsidRPr="001B32FD">
        <w:rPr>
          <w:rFonts w:asciiTheme="minorBidi" w:hAnsiTheme="minorBidi" w:cs="Times New Roman (Body CS)"/>
          <w:i/>
          <w:sz w:val="24"/>
          <w:szCs w:val="24"/>
        </w:rPr>
        <w:t>see, e.g.</w:t>
      </w:r>
      <w:r w:rsidRPr="001B32FD">
        <w:rPr>
          <w:rFonts w:asciiTheme="minorBidi" w:hAnsiTheme="minorBidi" w:cs="Times New Roman (Body CS)"/>
          <w:sz w:val="24"/>
          <w:szCs w:val="24"/>
        </w:rPr>
        <w:t xml:space="preserve">, Instruction 4:20) that should lead the jury to award the full amount of damages it intends but minimize the risk of awarding the same damages more than once. </w:t>
      </w:r>
    </w:p>
    <w:p w14:paraId="74D6A371" w14:textId="439E298B" w:rsidR="009E365F" w:rsidRPr="0043369C" w:rsidRDefault="009E365F" w:rsidP="009E365F">
      <w:pPr>
        <w:spacing w:after="240"/>
        <w:ind w:firstLine="720"/>
        <w:rPr>
          <w:rFonts w:eastAsia="Times New Roman"/>
          <w:sz w:val="24"/>
          <w:szCs w:val="24"/>
        </w:rPr>
      </w:pPr>
      <w:r>
        <w:rPr>
          <w:rFonts w:eastAsia="Times New Roman"/>
          <w:sz w:val="24"/>
          <w:szCs w:val="24"/>
        </w:rPr>
        <w:t>2</w:t>
      </w:r>
      <w:r w:rsidRPr="0043369C">
        <w:rPr>
          <w:rFonts w:eastAsia="Times New Roman"/>
          <w:sz w:val="24"/>
          <w:szCs w:val="24"/>
        </w:rPr>
        <w:t xml:space="preserve">. In </w:t>
      </w:r>
      <w:r w:rsidRPr="0043369C">
        <w:rPr>
          <w:rFonts w:eastAsia="Times New Roman"/>
          <w:b/>
          <w:sz w:val="24"/>
          <w:szCs w:val="24"/>
        </w:rPr>
        <w:t>Schuessler v. Wolter</w:t>
      </w:r>
      <w:r w:rsidRPr="0043369C">
        <w:rPr>
          <w:rFonts w:eastAsia="Times New Roman"/>
          <w:sz w:val="24"/>
          <w:szCs w:val="24"/>
        </w:rPr>
        <w:t xml:space="preserve">, 2012 COA 86, </w:t>
      </w:r>
      <w:r>
        <w:rPr>
          <w:rFonts w:eastAsia="Times New Roman"/>
          <w:sz w:val="24"/>
          <w:szCs w:val="24"/>
        </w:rPr>
        <w:t xml:space="preserve">310 P.3d 151, </w:t>
      </w:r>
      <w:r w:rsidRPr="0043369C">
        <w:rPr>
          <w:rFonts w:eastAsia="Times New Roman"/>
          <w:sz w:val="24"/>
          <w:szCs w:val="24"/>
        </w:rPr>
        <w:t xml:space="preserve">the jury awarded an identical amount against each of two defendants for noneconomic damages. One defendant argued on appeal that the jury had impermissibly awarded the same damages twice. The court of appeals disagreed and affirmed the damage award because Instruction 6:14 had been given, and the court presumed that the jury had followed it.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65. The court further stated: “When multiple claims are presented that are duplicative in terms of their recoverable damages, an instruction prohibiting multiple recoveries for the same damages must be given.” </w:t>
      </w:r>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 xml:space="preserve">64. </w:t>
      </w:r>
    </w:p>
    <w:p w14:paraId="69490C2D" w14:textId="65F6BA6F" w:rsidR="009E365F" w:rsidRDefault="009E365F" w:rsidP="009E365F">
      <w:pPr>
        <w:spacing w:after="240"/>
        <w:ind w:firstLine="720"/>
        <w:rPr>
          <w:rFonts w:eastAsia="Times New Roman"/>
          <w:sz w:val="24"/>
          <w:szCs w:val="24"/>
        </w:rPr>
      </w:pPr>
      <w:r>
        <w:rPr>
          <w:rFonts w:eastAsia="Times New Roman"/>
          <w:sz w:val="24"/>
          <w:szCs w:val="24"/>
        </w:rPr>
        <w:t>3</w:t>
      </w:r>
      <w:r w:rsidRPr="0043369C">
        <w:rPr>
          <w:rFonts w:eastAsia="Times New Roman"/>
          <w:sz w:val="24"/>
          <w:szCs w:val="24"/>
        </w:rPr>
        <w:t xml:space="preserve">. In </w:t>
      </w:r>
      <w:r w:rsidRPr="0043369C">
        <w:rPr>
          <w:rFonts w:eastAsia="Times New Roman"/>
          <w:b/>
          <w:sz w:val="24"/>
          <w:szCs w:val="24"/>
        </w:rPr>
        <w:t>Steward Software Co. v. Kopcho</w:t>
      </w:r>
      <w:r w:rsidRPr="0043369C">
        <w:rPr>
          <w:rFonts w:eastAsia="Times New Roman"/>
          <w:sz w:val="24"/>
          <w:szCs w:val="24"/>
        </w:rPr>
        <w:t xml:space="preserve">, 275 P.3d 702 (Colo. App. 2010), </w:t>
      </w:r>
      <w:r w:rsidRPr="001B32FD">
        <w:rPr>
          <w:rFonts w:eastAsia="Times New Roman"/>
          <w:i/>
          <w:sz w:val="24"/>
          <w:szCs w:val="24"/>
        </w:rPr>
        <w:t>rev’d on other grounds</w:t>
      </w:r>
      <w:r w:rsidRPr="0043369C">
        <w:rPr>
          <w:rFonts w:eastAsia="Times New Roman"/>
          <w:sz w:val="24"/>
          <w:szCs w:val="24"/>
        </w:rPr>
        <w:t xml:space="preserve">, 266 P.3d 1085 (Colo. 2011), in contrast, the court reversed a judgment involving multiple claims for the same damages even though this instruction was given. Plaintiff asserted three claims for the same damages, and the jury found for plaintiff on all three. However, the jury awarded substantive damages on one claim and nominal damages on the other two. </w:t>
      </w:r>
      <w:r w:rsidRPr="008664CD">
        <w:rPr>
          <w:rFonts w:eastAsia="Times New Roman"/>
          <w:sz w:val="24"/>
          <w:szCs w:val="24"/>
        </w:rPr>
        <w:t>While declining to conclude that “pattern instruction 6:14, standing alone, was erroneous,”</w:t>
      </w:r>
      <w:r w:rsidRPr="00F50150">
        <w:rPr>
          <w:rFonts w:eastAsia="Times New Roman"/>
          <w:sz w:val="24"/>
          <w:szCs w:val="24"/>
        </w:rPr>
        <w:t xml:space="preserve"> </w:t>
      </w:r>
      <w:r w:rsidRPr="009F2C43">
        <w:rPr>
          <w:rFonts w:eastAsia="Times New Roman"/>
          <w:sz w:val="24"/>
          <w:szCs w:val="24"/>
        </w:rPr>
        <w:t>t</w:t>
      </w:r>
      <w:r w:rsidRPr="0043369C">
        <w:rPr>
          <w:rFonts w:eastAsia="Times New Roman"/>
          <w:sz w:val="24"/>
          <w:szCs w:val="24"/>
        </w:rPr>
        <w:t xml:space="preserve">he court held that under all the circumstances of the case and in the absence of other clarifying instructions, “the instructions as a whole erroneously prevented the jury from awarding the same damages on all three of [plaintiff’s] claims.” 275 P.3d at 711. In such cases, the court held, “the jury must be directed to award the same damages on all three claims if the damages are proven as to those claims.” </w:t>
      </w:r>
      <w:r w:rsidRPr="00BA40D4">
        <w:rPr>
          <w:rFonts w:eastAsia="Times New Roman"/>
          <w:i/>
          <w:sz w:val="24"/>
          <w:szCs w:val="24"/>
        </w:rPr>
        <w:t>Id.</w:t>
      </w:r>
      <w:r w:rsidRPr="0043369C">
        <w:rPr>
          <w:rFonts w:eastAsia="Times New Roman"/>
          <w:sz w:val="24"/>
          <w:szCs w:val="24"/>
        </w:rPr>
        <w:t xml:space="preserve">  </w:t>
      </w:r>
    </w:p>
    <w:p w14:paraId="32650A5E" w14:textId="532F5C6D" w:rsidR="009E365F" w:rsidRPr="00BA40D4" w:rsidRDefault="009E365F" w:rsidP="009E365F">
      <w:pPr>
        <w:spacing w:after="240"/>
        <w:ind w:firstLine="720"/>
        <w:rPr>
          <w:rFonts w:eastAsia="Times New Roman"/>
          <w:sz w:val="24"/>
          <w:szCs w:val="24"/>
        </w:rPr>
      </w:pPr>
      <w:r>
        <w:rPr>
          <w:rFonts w:eastAsia="Times New Roman"/>
          <w:sz w:val="24"/>
          <w:szCs w:val="24"/>
        </w:rPr>
        <w:t>4</w:t>
      </w:r>
      <w:r w:rsidRPr="00BA40D4">
        <w:rPr>
          <w:rFonts w:eastAsia="Times New Roman"/>
          <w:sz w:val="24"/>
          <w:szCs w:val="24"/>
        </w:rPr>
        <w:t xml:space="preserve">. </w:t>
      </w:r>
      <w:r w:rsidRPr="00BA40D4">
        <w:rPr>
          <w:rFonts w:asciiTheme="minorBidi" w:hAnsiTheme="minorBidi" w:cs="Times New Roman (Body CS)"/>
          <w:sz w:val="24"/>
          <w:szCs w:val="24"/>
        </w:rPr>
        <w:t xml:space="preserve">In cases with multiple claims seeking the same damages, the Committee recommends that the issues illustrated by </w:t>
      </w:r>
      <w:r w:rsidRPr="00BA40D4">
        <w:rPr>
          <w:rFonts w:asciiTheme="minorBidi" w:hAnsiTheme="minorBidi" w:cs="Times New Roman (Body CS)"/>
          <w:b/>
          <w:bCs/>
          <w:sz w:val="24"/>
          <w:szCs w:val="24"/>
        </w:rPr>
        <w:t>Schuessler</w:t>
      </w:r>
      <w:r w:rsidRPr="00BA40D4">
        <w:rPr>
          <w:rFonts w:asciiTheme="minorBidi" w:hAnsiTheme="minorBidi" w:cs="Times New Roman (Body CS)"/>
          <w:sz w:val="24"/>
          <w:szCs w:val="24"/>
        </w:rPr>
        <w:t xml:space="preserve"> and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be dealt with primarily by designing the special verdict form to lead the jury ste</w:t>
      </w:r>
      <w:r>
        <w:rPr>
          <w:rFonts w:asciiTheme="minorBidi" w:hAnsiTheme="minorBidi" w:cs="Times New Roman (Body CS)"/>
          <w:sz w:val="24"/>
          <w:szCs w:val="24"/>
        </w:rPr>
        <w:t>p-by-</w:t>
      </w:r>
      <w:r w:rsidRPr="00BA40D4">
        <w:rPr>
          <w:rFonts w:asciiTheme="minorBidi" w:hAnsiTheme="minorBidi" w:cs="Times New Roman (Body CS)"/>
          <w:sz w:val="24"/>
          <w:szCs w:val="24"/>
        </w:rPr>
        <w:t xml:space="preserve">step through the decision-making process. Additional clarifying instructions may be necessary.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275 P.3d at 711.</w:t>
      </w:r>
      <w:r w:rsidRPr="00BA40D4">
        <w:rPr>
          <w:rFonts w:asciiTheme="minorBidi" w:hAnsiTheme="minorBidi" w:cs="Times New Roman (Body CS)"/>
          <w:b/>
          <w:bCs/>
          <w:sz w:val="24"/>
          <w:szCs w:val="24"/>
        </w:rPr>
        <w:t xml:space="preserve"> </w:t>
      </w:r>
      <w:r w:rsidRPr="00BA40D4">
        <w:rPr>
          <w:rFonts w:asciiTheme="minorBidi" w:hAnsiTheme="minorBidi" w:cs="Times New Roman (Body CS)"/>
          <w:sz w:val="24"/>
          <w:szCs w:val="24"/>
        </w:rPr>
        <w:t xml:space="preserve">For example, in a case where a single plaintiff asserts three claims against a single defendant for the same damages, the verdict form should direct the jury, using or adapting the </w:t>
      </w:r>
      <w:r w:rsidRPr="00BA40D4">
        <w:rPr>
          <w:rFonts w:asciiTheme="minorBidi" w:hAnsiTheme="minorBidi" w:cs="Times New Roman (Body CS)"/>
          <w:sz w:val="24"/>
          <w:szCs w:val="24"/>
        </w:rPr>
        <w:lastRenderedPageBreak/>
        <w:t>format in Instructions 4:15, 4:16, and 4:20, to decide which party prevailed on each claim. If the jury finds for the plaintiff on any of the claims, the jury should be directed to answer a separate single question asking the jury to state the amount of damages. The damages question should be introduced with a direction, in sum or substance, that plaintiff has asserted three claims for the same damages and that consequently the jury’s answer to the damages question must be the same regardless of whether the jury found for the plaintiff on one, two, or all three claims. If the plaintiff asserts other claims for different damages, the verdict form then would lead the jury to decide those claims.</w:t>
      </w:r>
    </w:p>
    <w:p w14:paraId="694B80D4" w14:textId="4A5258F5" w:rsidR="009E365F" w:rsidRDefault="009E365F" w:rsidP="009E365F">
      <w:pPr>
        <w:spacing w:after="240"/>
        <w:ind w:firstLine="720"/>
        <w:rPr>
          <w:rFonts w:eastAsia="Times New Roman"/>
          <w:sz w:val="24"/>
          <w:szCs w:val="24"/>
        </w:rPr>
      </w:pPr>
      <w:r>
        <w:rPr>
          <w:rFonts w:eastAsia="Times New Roman"/>
          <w:sz w:val="24"/>
          <w:szCs w:val="24"/>
        </w:rPr>
        <w:t>5</w:t>
      </w:r>
      <w:r w:rsidRPr="0043369C">
        <w:rPr>
          <w:rFonts w:eastAsia="Times New Roman"/>
          <w:sz w:val="24"/>
          <w:szCs w:val="24"/>
        </w:rPr>
        <w:t xml:space="preserve">. </w:t>
      </w:r>
      <w:r>
        <w:rPr>
          <w:rFonts w:eastAsia="Times New Roman"/>
          <w:sz w:val="24"/>
          <w:szCs w:val="24"/>
        </w:rPr>
        <w:t>S</w:t>
      </w:r>
      <w:r w:rsidRPr="0043369C">
        <w:rPr>
          <w:rFonts w:eastAsia="Times New Roman"/>
          <w:sz w:val="24"/>
          <w:szCs w:val="24"/>
        </w:rPr>
        <w:t>ome cases are more complex because, for example</w:t>
      </w:r>
      <w:r>
        <w:rPr>
          <w:rFonts w:eastAsia="Times New Roman"/>
          <w:sz w:val="24"/>
          <w:szCs w:val="24"/>
        </w:rPr>
        <w:t>,</w:t>
      </w:r>
      <w:r w:rsidRPr="0043369C">
        <w:rPr>
          <w:rFonts w:eastAsia="Times New Roman"/>
          <w:sz w:val="24"/>
          <w:szCs w:val="24"/>
        </w:rPr>
        <w:t xml:space="preserve"> the damages awardable on two claims overlap but are not identical</w:t>
      </w:r>
      <w:r>
        <w:rPr>
          <w:rFonts w:eastAsia="Times New Roman"/>
          <w:sz w:val="24"/>
          <w:szCs w:val="24"/>
        </w:rPr>
        <w:t>,</w:t>
      </w:r>
      <w:r w:rsidRPr="0043369C">
        <w:rPr>
          <w:rFonts w:eastAsia="Times New Roman"/>
          <w:sz w:val="24"/>
          <w:szCs w:val="24"/>
        </w:rPr>
        <w:t xml:space="preserve"> </w:t>
      </w:r>
      <w:r>
        <w:rPr>
          <w:rFonts w:eastAsia="Times New Roman"/>
          <w:sz w:val="24"/>
          <w:szCs w:val="24"/>
        </w:rPr>
        <w:t xml:space="preserve">or </w:t>
      </w:r>
      <w:r w:rsidRPr="0043369C">
        <w:rPr>
          <w:rFonts w:eastAsia="Times New Roman"/>
          <w:sz w:val="24"/>
          <w:szCs w:val="24"/>
        </w:rPr>
        <w:t xml:space="preserve">some claims are asserted by or against fewer than all plaintiffs or defendants. Most of these cases </w:t>
      </w:r>
      <w:r>
        <w:rPr>
          <w:rFonts w:eastAsia="Times New Roman"/>
          <w:sz w:val="24"/>
          <w:szCs w:val="24"/>
        </w:rPr>
        <w:t>can be addressed by</w:t>
      </w:r>
      <w:r w:rsidRPr="0043369C">
        <w:rPr>
          <w:rFonts w:eastAsia="Times New Roman"/>
          <w:sz w:val="24"/>
          <w:szCs w:val="24"/>
        </w:rPr>
        <w:t xml:space="preserve"> the recommended approach. For example, where </w:t>
      </w:r>
      <w:r>
        <w:rPr>
          <w:rFonts w:eastAsia="Times New Roman"/>
          <w:sz w:val="24"/>
          <w:szCs w:val="24"/>
        </w:rPr>
        <w:t xml:space="preserve">the same economic damages are sought on both </w:t>
      </w:r>
      <w:r w:rsidRPr="0043369C">
        <w:rPr>
          <w:rFonts w:eastAsia="Times New Roman"/>
          <w:sz w:val="24"/>
          <w:szCs w:val="24"/>
        </w:rPr>
        <w:t xml:space="preserve">tort </w:t>
      </w:r>
      <w:r>
        <w:rPr>
          <w:rFonts w:eastAsia="Times New Roman"/>
          <w:sz w:val="24"/>
          <w:szCs w:val="24"/>
        </w:rPr>
        <w:t>and contract claims</w:t>
      </w:r>
      <w:r w:rsidRPr="0043369C">
        <w:rPr>
          <w:rFonts w:eastAsia="Times New Roman"/>
          <w:sz w:val="24"/>
          <w:szCs w:val="24"/>
        </w:rPr>
        <w:t>,</w:t>
      </w:r>
      <w:r>
        <w:rPr>
          <w:rFonts w:eastAsia="Times New Roman"/>
          <w:sz w:val="24"/>
          <w:szCs w:val="24"/>
        </w:rPr>
        <w:t xml:space="preserve"> noneconomic damages may be sought only on </w:t>
      </w:r>
      <w:r w:rsidRPr="0043369C">
        <w:rPr>
          <w:rFonts w:eastAsia="Times New Roman"/>
          <w:sz w:val="24"/>
          <w:szCs w:val="24"/>
        </w:rPr>
        <w:t xml:space="preserve">the tort claim. This situation can be dealt with by asking the jury to state separately the amounts of economic and noneconomic </w:t>
      </w:r>
      <w:r>
        <w:rPr>
          <w:rFonts w:eastAsia="Times New Roman"/>
          <w:sz w:val="24"/>
          <w:szCs w:val="24"/>
        </w:rPr>
        <w:t>damages</w:t>
      </w:r>
      <w:r w:rsidRPr="0043369C">
        <w:rPr>
          <w:rFonts w:eastAsia="Times New Roman"/>
          <w:sz w:val="24"/>
          <w:szCs w:val="24"/>
        </w:rPr>
        <w:t>. After the verdict, counsel and the court can readily determine the damages to be included in the judgment.</w:t>
      </w:r>
    </w:p>
    <w:p w14:paraId="2A206B8B" w14:textId="24DA1BA2" w:rsidR="00E551EB" w:rsidRPr="00E551EB" w:rsidRDefault="009E365F" w:rsidP="009E365F">
      <w:pPr>
        <w:spacing w:after="240"/>
        <w:ind w:firstLine="720"/>
        <w:rPr>
          <w:rFonts w:eastAsia="Times New Roman"/>
          <w:sz w:val="24"/>
          <w:szCs w:val="24"/>
        </w:rPr>
      </w:pPr>
      <w:r>
        <w:rPr>
          <w:rFonts w:eastAsia="Times New Roman"/>
          <w:sz w:val="24"/>
          <w:szCs w:val="24"/>
        </w:rPr>
        <w:t>6</w:t>
      </w:r>
      <w:r w:rsidRPr="00E551EB">
        <w:rPr>
          <w:rFonts w:eastAsia="Times New Roman"/>
          <w:sz w:val="24"/>
          <w:szCs w:val="24"/>
        </w:rPr>
        <w:t xml:space="preserve">. </w:t>
      </w:r>
      <w:r w:rsidRPr="00AE62BD">
        <w:rPr>
          <w:rFonts w:eastAsia="Times New Roman"/>
          <w:i/>
          <w:sz w:val="24"/>
          <w:szCs w:val="24"/>
        </w:rPr>
        <w:t>See also</w:t>
      </w:r>
      <w:r>
        <w:rPr>
          <w:rFonts w:eastAsia="Times New Roman"/>
          <w:sz w:val="24"/>
          <w:szCs w:val="24"/>
        </w:rPr>
        <w:t xml:space="preserve"> </w:t>
      </w:r>
      <w:r w:rsidR="00E551EB" w:rsidRPr="00E551EB">
        <w:rPr>
          <w:rFonts w:eastAsia="Times New Roman"/>
          <w:b/>
          <w:sz w:val="24"/>
          <w:szCs w:val="24"/>
        </w:rPr>
        <w:t>Am. Furniture Co. v. Veazie</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131 Colo. 340, 281 P.2d 803 (1955); </w:t>
      </w:r>
      <w:r w:rsidR="00E551EB" w:rsidRPr="00E551EB">
        <w:rPr>
          <w:rFonts w:eastAsia="Times New Roman"/>
          <w:b/>
          <w:sz w:val="24"/>
          <w:szCs w:val="24"/>
        </w:rPr>
        <w:t>Andrews v. Picard</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199 P.3d 6 (Colo. App. 2007); </w:t>
      </w:r>
      <w:r w:rsidR="00E551EB" w:rsidRPr="00E551EB">
        <w:rPr>
          <w:rFonts w:eastAsia="Times New Roman"/>
          <w:b/>
          <w:sz w:val="24"/>
          <w:szCs w:val="24"/>
        </w:rPr>
        <w:t>Colo. Homes, Ltd. v. Loerch-Wilson</w:t>
      </w:r>
      <w:r w:rsidR="00E551EB" w:rsidRPr="00E551EB">
        <w:rPr>
          <w:rFonts w:eastAsia="Times New Roman"/>
          <w:sz w:val="24"/>
          <w:szCs w:val="24"/>
        </w:rPr>
        <w:t xml:space="preserve">, 43 P.3d 718 (Colo. App. 2001); </w:t>
      </w:r>
      <w:r w:rsidR="00E551EB" w:rsidRPr="00E551EB">
        <w:rPr>
          <w:rFonts w:eastAsia="Times New Roman"/>
          <w:b/>
          <w:sz w:val="24"/>
          <w:szCs w:val="24"/>
        </w:rPr>
        <w:t>DeBose v. Bear Valley Church of Christ</w:t>
      </w:r>
      <w:r w:rsidR="00E551EB" w:rsidRPr="00E551EB">
        <w:rPr>
          <w:rFonts w:eastAsia="Times New Roman"/>
          <w:sz w:val="24"/>
          <w:szCs w:val="24"/>
        </w:rPr>
        <w:t xml:space="preserve">, 890 P.2d 214 (Colo. App. 1994), </w:t>
      </w:r>
      <w:r w:rsidR="00E551EB" w:rsidRPr="00E551EB">
        <w:rPr>
          <w:rFonts w:eastAsia="Times New Roman"/>
          <w:i/>
          <w:sz w:val="24"/>
          <w:szCs w:val="24"/>
        </w:rPr>
        <w:t>rev’d on other grounds</w:t>
      </w:r>
      <w:r w:rsidR="00E551EB" w:rsidRPr="00E551EB">
        <w:rPr>
          <w:rFonts w:eastAsia="Times New Roman"/>
          <w:sz w:val="24"/>
          <w:szCs w:val="24"/>
        </w:rPr>
        <w:t>, 928 P.2d 1315 (Colo. 1996)</w:t>
      </w:r>
      <w:r>
        <w:rPr>
          <w:rFonts w:eastAsia="Times New Roman"/>
          <w:sz w:val="24"/>
          <w:szCs w:val="24"/>
        </w:rPr>
        <w:t xml:space="preserve">; </w:t>
      </w:r>
      <w:r w:rsidRPr="00E551EB">
        <w:rPr>
          <w:rFonts w:eastAsia="Times New Roman"/>
          <w:b/>
          <w:sz w:val="24"/>
          <w:szCs w:val="24"/>
        </w:rPr>
        <w:t>Rusch v. Lincoln-Devore Testing Lab., Inc.</w:t>
      </w:r>
      <w:r w:rsidRPr="00E551EB">
        <w:rPr>
          <w:rFonts w:eastAsia="Times New Roman"/>
          <w:sz w:val="24"/>
          <w:szCs w:val="24"/>
        </w:rPr>
        <w:t>, 698 P.2d 832 (Colo. App. 1984)</w:t>
      </w:r>
      <w:r w:rsidR="00E551EB" w:rsidRPr="00E551EB">
        <w:rPr>
          <w:rFonts w:eastAsia="Times New Roman"/>
          <w:sz w:val="24"/>
          <w:szCs w:val="24"/>
        </w:rPr>
        <w:t>.</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1A379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90BD" w14:textId="77777777" w:rsidR="007145C7" w:rsidRDefault="007145C7" w:rsidP="0054263B">
      <w:r>
        <w:separator/>
      </w:r>
    </w:p>
    <w:p w14:paraId="10B45F35" w14:textId="77777777" w:rsidR="007145C7" w:rsidRDefault="007145C7"/>
  </w:endnote>
  <w:endnote w:type="continuationSeparator" w:id="0">
    <w:p w14:paraId="29691220" w14:textId="77777777" w:rsidR="007145C7" w:rsidRDefault="007145C7" w:rsidP="0054263B">
      <w:r>
        <w:continuationSeparator/>
      </w:r>
    </w:p>
    <w:p w14:paraId="3EE92AF8" w14:textId="77777777" w:rsidR="007145C7" w:rsidRDefault="00714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5F223A">
          <w:rPr>
            <w:noProof/>
          </w:rPr>
          <w:t>2</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EC95" w14:textId="77777777" w:rsidR="007145C7" w:rsidRDefault="007145C7" w:rsidP="0054263B">
      <w:r>
        <w:separator/>
      </w:r>
    </w:p>
    <w:p w14:paraId="5777C9D3" w14:textId="77777777" w:rsidR="007145C7" w:rsidRDefault="007145C7"/>
  </w:footnote>
  <w:footnote w:type="continuationSeparator" w:id="0">
    <w:p w14:paraId="26BFE580" w14:textId="77777777" w:rsidR="007145C7" w:rsidRDefault="007145C7" w:rsidP="0054263B">
      <w:r>
        <w:continuationSeparator/>
      </w:r>
    </w:p>
    <w:p w14:paraId="2AD42675" w14:textId="77777777" w:rsidR="007145C7" w:rsidRDefault="00714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F2036C"/>
    <w:multiLevelType w:val="hybridMultilevel"/>
    <w:tmpl w:val="46CC8B66"/>
    <w:lvl w:ilvl="0" w:tplc="EF40F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E03B1E"/>
    <w:multiLevelType w:val="hybridMultilevel"/>
    <w:tmpl w:val="B212E9C8"/>
    <w:lvl w:ilvl="0" w:tplc="8DE6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1038606">
    <w:abstractNumId w:val="0"/>
  </w:num>
  <w:num w:numId="2" w16cid:durableId="1823354797">
    <w:abstractNumId w:val="2"/>
  </w:num>
  <w:num w:numId="3" w16cid:durableId="153048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16142"/>
    <w:rsid w:val="0003475C"/>
    <w:rsid w:val="00037111"/>
    <w:rsid w:val="000425EB"/>
    <w:rsid w:val="00042DA3"/>
    <w:rsid w:val="000437A0"/>
    <w:rsid w:val="00050E11"/>
    <w:rsid w:val="000627A2"/>
    <w:rsid w:val="00067F64"/>
    <w:rsid w:val="00084767"/>
    <w:rsid w:val="00085495"/>
    <w:rsid w:val="00085913"/>
    <w:rsid w:val="000921F1"/>
    <w:rsid w:val="00094989"/>
    <w:rsid w:val="000962C8"/>
    <w:rsid w:val="000C6F97"/>
    <w:rsid w:val="000C7496"/>
    <w:rsid w:val="000C7606"/>
    <w:rsid w:val="000C76FE"/>
    <w:rsid w:val="000D0AB6"/>
    <w:rsid w:val="001024A2"/>
    <w:rsid w:val="001117D9"/>
    <w:rsid w:val="001246C3"/>
    <w:rsid w:val="00146EDF"/>
    <w:rsid w:val="00164C72"/>
    <w:rsid w:val="0016520C"/>
    <w:rsid w:val="00172674"/>
    <w:rsid w:val="001903CB"/>
    <w:rsid w:val="001913B1"/>
    <w:rsid w:val="00191498"/>
    <w:rsid w:val="001944B5"/>
    <w:rsid w:val="001967DF"/>
    <w:rsid w:val="001A2648"/>
    <w:rsid w:val="001A3389"/>
    <w:rsid w:val="001A3797"/>
    <w:rsid w:val="001A49DA"/>
    <w:rsid w:val="001B593C"/>
    <w:rsid w:val="001E48B2"/>
    <w:rsid w:val="001F41F5"/>
    <w:rsid w:val="00200BA5"/>
    <w:rsid w:val="0020410C"/>
    <w:rsid w:val="002065D8"/>
    <w:rsid w:val="00213641"/>
    <w:rsid w:val="0021368F"/>
    <w:rsid w:val="0021580F"/>
    <w:rsid w:val="0022134E"/>
    <w:rsid w:val="00223286"/>
    <w:rsid w:val="00263D17"/>
    <w:rsid w:val="00276FAB"/>
    <w:rsid w:val="00291B13"/>
    <w:rsid w:val="0029583A"/>
    <w:rsid w:val="00296236"/>
    <w:rsid w:val="002A0F72"/>
    <w:rsid w:val="002A23B0"/>
    <w:rsid w:val="002A5AB7"/>
    <w:rsid w:val="002B6D2C"/>
    <w:rsid w:val="002E0384"/>
    <w:rsid w:val="002E0970"/>
    <w:rsid w:val="002E6FAF"/>
    <w:rsid w:val="002F48D6"/>
    <w:rsid w:val="00320613"/>
    <w:rsid w:val="003247EA"/>
    <w:rsid w:val="00334049"/>
    <w:rsid w:val="003355B1"/>
    <w:rsid w:val="00336CE4"/>
    <w:rsid w:val="00344302"/>
    <w:rsid w:val="00352111"/>
    <w:rsid w:val="003613FE"/>
    <w:rsid w:val="00361BB0"/>
    <w:rsid w:val="003937B8"/>
    <w:rsid w:val="003B4332"/>
    <w:rsid w:val="003C576A"/>
    <w:rsid w:val="003D518C"/>
    <w:rsid w:val="003D6B3B"/>
    <w:rsid w:val="003F108C"/>
    <w:rsid w:val="003F5E0B"/>
    <w:rsid w:val="00407D3A"/>
    <w:rsid w:val="0041214E"/>
    <w:rsid w:val="00412186"/>
    <w:rsid w:val="00421670"/>
    <w:rsid w:val="00431F59"/>
    <w:rsid w:val="00434371"/>
    <w:rsid w:val="004425AA"/>
    <w:rsid w:val="00455845"/>
    <w:rsid w:val="00456038"/>
    <w:rsid w:val="00463C54"/>
    <w:rsid w:val="00467B80"/>
    <w:rsid w:val="00471618"/>
    <w:rsid w:val="0047356A"/>
    <w:rsid w:val="0049418C"/>
    <w:rsid w:val="004A5BE8"/>
    <w:rsid w:val="004B0071"/>
    <w:rsid w:val="004B0CD2"/>
    <w:rsid w:val="004B7F05"/>
    <w:rsid w:val="004C0718"/>
    <w:rsid w:val="004C4647"/>
    <w:rsid w:val="004C4966"/>
    <w:rsid w:val="004C62F9"/>
    <w:rsid w:val="004C723A"/>
    <w:rsid w:val="004D0C95"/>
    <w:rsid w:val="004E2F91"/>
    <w:rsid w:val="004E7EF1"/>
    <w:rsid w:val="004F1648"/>
    <w:rsid w:val="004F3856"/>
    <w:rsid w:val="0050325D"/>
    <w:rsid w:val="00505377"/>
    <w:rsid w:val="00505E5C"/>
    <w:rsid w:val="00514DFE"/>
    <w:rsid w:val="00531F87"/>
    <w:rsid w:val="0054263B"/>
    <w:rsid w:val="00557FCC"/>
    <w:rsid w:val="00562F43"/>
    <w:rsid w:val="00563A63"/>
    <w:rsid w:val="0056459F"/>
    <w:rsid w:val="00580EA6"/>
    <w:rsid w:val="00583B5A"/>
    <w:rsid w:val="00596A4C"/>
    <w:rsid w:val="00597A3B"/>
    <w:rsid w:val="005B3A78"/>
    <w:rsid w:val="005C52E2"/>
    <w:rsid w:val="005D3156"/>
    <w:rsid w:val="005E712D"/>
    <w:rsid w:val="005F223A"/>
    <w:rsid w:val="005F6120"/>
    <w:rsid w:val="005F6FC8"/>
    <w:rsid w:val="006009C3"/>
    <w:rsid w:val="00602F87"/>
    <w:rsid w:val="00626BC4"/>
    <w:rsid w:val="006272FE"/>
    <w:rsid w:val="00627CE7"/>
    <w:rsid w:val="006312C6"/>
    <w:rsid w:val="00631FE7"/>
    <w:rsid w:val="006602BD"/>
    <w:rsid w:val="00661D05"/>
    <w:rsid w:val="006645E4"/>
    <w:rsid w:val="0066513D"/>
    <w:rsid w:val="00671CEE"/>
    <w:rsid w:val="00675252"/>
    <w:rsid w:val="00682B93"/>
    <w:rsid w:val="0068336D"/>
    <w:rsid w:val="00683AEF"/>
    <w:rsid w:val="00683FA1"/>
    <w:rsid w:val="006A0F62"/>
    <w:rsid w:val="006A2527"/>
    <w:rsid w:val="006A4CD6"/>
    <w:rsid w:val="006A74B6"/>
    <w:rsid w:val="006B089F"/>
    <w:rsid w:val="006B0DB1"/>
    <w:rsid w:val="006C6103"/>
    <w:rsid w:val="006D3694"/>
    <w:rsid w:val="006E0D06"/>
    <w:rsid w:val="006E3575"/>
    <w:rsid w:val="006E62F0"/>
    <w:rsid w:val="0070333F"/>
    <w:rsid w:val="0070752A"/>
    <w:rsid w:val="007119D8"/>
    <w:rsid w:val="00713514"/>
    <w:rsid w:val="007145C7"/>
    <w:rsid w:val="0071624D"/>
    <w:rsid w:val="007303EC"/>
    <w:rsid w:val="00740D94"/>
    <w:rsid w:val="007532AB"/>
    <w:rsid w:val="0075398E"/>
    <w:rsid w:val="007563B8"/>
    <w:rsid w:val="00762771"/>
    <w:rsid w:val="00776921"/>
    <w:rsid w:val="00787D74"/>
    <w:rsid w:val="007A1C6B"/>
    <w:rsid w:val="007A3A0E"/>
    <w:rsid w:val="007A612E"/>
    <w:rsid w:val="007C3712"/>
    <w:rsid w:val="007D2BCE"/>
    <w:rsid w:val="007E1675"/>
    <w:rsid w:val="007F61BD"/>
    <w:rsid w:val="007F7129"/>
    <w:rsid w:val="007F7846"/>
    <w:rsid w:val="00801691"/>
    <w:rsid w:val="00810A39"/>
    <w:rsid w:val="00816A00"/>
    <w:rsid w:val="0082168C"/>
    <w:rsid w:val="0083264A"/>
    <w:rsid w:val="00832DB4"/>
    <w:rsid w:val="0083763B"/>
    <w:rsid w:val="00837F81"/>
    <w:rsid w:val="008410CD"/>
    <w:rsid w:val="00845F81"/>
    <w:rsid w:val="00850A48"/>
    <w:rsid w:val="00853ECF"/>
    <w:rsid w:val="008557E1"/>
    <w:rsid w:val="00861824"/>
    <w:rsid w:val="00866EDB"/>
    <w:rsid w:val="0087148E"/>
    <w:rsid w:val="00875064"/>
    <w:rsid w:val="00876699"/>
    <w:rsid w:val="00882FCD"/>
    <w:rsid w:val="00891344"/>
    <w:rsid w:val="008A0EE0"/>
    <w:rsid w:val="008A6339"/>
    <w:rsid w:val="008A637B"/>
    <w:rsid w:val="008B0EBD"/>
    <w:rsid w:val="008B1617"/>
    <w:rsid w:val="008B1A76"/>
    <w:rsid w:val="008B4F02"/>
    <w:rsid w:val="008C1AE1"/>
    <w:rsid w:val="008C24DC"/>
    <w:rsid w:val="008E41F1"/>
    <w:rsid w:val="008F4C42"/>
    <w:rsid w:val="00902A25"/>
    <w:rsid w:val="0090556D"/>
    <w:rsid w:val="00914128"/>
    <w:rsid w:val="00925459"/>
    <w:rsid w:val="00935DA8"/>
    <w:rsid w:val="0094446E"/>
    <w:rsid w:val="00951DAF"/>
    <w:rsid w:val="0095456A"/>
    <w:rsid w:val="0095709A"/>
    <w:rsid w:val="00960E95"/>
    <w:rsid w:val="0096521C"/>
    <w:rsid w:val="00971A26"/>
    <w:rsid w:val="00973884"/>
    <w:rsid w:val="009902F2"/>
    <w:rsid w:val="009A3899"/>
    <w:rsid w:val="009A5ACD"/>
    <w:rsid w:val="009B6746"/>
    <w:rsid w:val="009B70E6"/>
    <w:rsid w:val="009C3BCF"/>
    <w:rsid w:val="009C72B0"/>
    <w:rsid w:val="009D0D24"/>
    <w:rsid w:val="009D3B2A"/>
    <w:rsid w:val="009D7371"/>
    <w:rsid w:val="009E20C7"/>
    <w:rsid w:val="009E365F"/>
    <w:rsid w:val="009E3DA4"/>
    <w:rsid w:val="009F23A7"/>
    <w:rsid w:val="00A06792"/>
    <w:rsid w:val="00A347B5"/>
    <w:rsid w:val="00A36457"/>
    <w:rsid w:val="00A36812"/>
    <w:rsid w:val="00A36F14"/>
    <w:rsid w:val="00A54AE1"/>
    <w:rsid w:val="00A5516F"/>
    <w:rsid w:val="00A67468"/>
    <w:rsid w:val="00A7048D"/>
    <w:rsid w:val="00A73AE6"/>
    <w:rsid w:val="00A80C10"/>
    <w:rsid w:val="00A83BD6"/>
    <w:rsid w:val="00A8400E"/>
    <w:rsid w:val="00A85AAA"/>
    <w:rsid w:val="00A94F0A"/>
    <w:rsid w:val="00AA267B"/>
    <w:rsid w:val="00AA2E83"/>
    <w:rsid w:val="00AA606D"/>
    <w:rsid w:val="00AB189B"/>
    <w:rsid w:val="00AC1BAC"/>
    <w:rsid w:val="00AC78F7"/>
    <w:rsid w:val="00AD39B2"/>
    <w:rsid w:val="00AE62BD"/>
    <w:rsid w:val="00AF7D47"/>
    <w:rsid w:val="00B0264D"/>
    <w:rsid w:val="00B04DC4"/>
    <w:rsid w:val="00B35C57"/>
    <w:rsid w:val="00B37722"/>
    <w:rsid w:val="00B53DA7"/>
    <w:rsid w:val="00B567C1"/>
    <w:rsid w:val="00B579DF"/>
    <w:rsid w:val="00B6275E"/>
    <w:rsid w:val="00B70D68"/>
    <w:rsid w:val="00B72D6B"/>
    <w:rsid w:val="00B739A6"/>
    <w:rsid w:val="00B74215"/>
    <w:rsid w:val="00B85E83"/>
    <w:rsid w:val="00B861A4"/>
    <w:rsid w:val="00B86781"/>
    <w:rsid w:val="00B937E4"/>
    <w:rsid w:val="00B938FF"/>
    <w:rsid w:val="00B972E4"/>
    <w:rsid w:val="00BA4966"/>
    <w:rsid w:val="00BC0B87"/>
    <w:rsid w:val="00BC1DC9"/>
    <w:rsid w:val="00BC49BF"/>
    <w:rsid w:val="00BC56E2"/>
    <w:rsid w:val="00BD7299"/>
    <w:rsid w:val="00BE2B09"/>
    <w:rsid w:val="00BE654D"/>
    <w:rsid w:val="00C00091"/>
    <w:rsid w:val="00C01572"/>
    <w:rsid w:val="00C14241"/>
    <w:rsid w:val="00C207CC"/>
    <w:rsid w:val="00C30637"/>
    <w:rsid w:val="00C40968"/>
    <w:rsid w:val="00C473A2"/>
    <w:rsid w:val="00C60E95"/>
    <w:rsid w:val="00C64E7E"/>
    <w:rsid w:val="00C65208"/>
    <w:rsid w:val="00C7356F"/>
    <w:rsid w:val="00C84E71"/>
    <w:rsid w:val="00C8797B"/>
    <w:rsid w:val="00CA41CC"/>
    <w:rsid w:val="00CA4F3B"/>
    <w:rsid w:val="00CA4F46"/>
    <w:rsid w:val="00CB3564"/>
    <w:rsid w:val="00CC0502"/>
    <w:rsid w:val="00CC1AC8"/>
    <w:rsid w:val="00CC6A95"/>
    <w:rsid w:val="00CC7E17"/>
    <w:rsid w:val="00CD4A7D"/>
    <w:rsid w:val="00CE593D"/>
    <w:rsid w:val="00CF3B54"/>
    <w:rsid w:val="00D03A29"/>
    <w:rsid w:val="00D05926"/>
    <w:rsid w:val="00D06D8D"/>
    <w:rsid w:val="00D333AA"/>
    <w:rsid w:val="00D57BA1"/>
    <w:rsid w:val="00D6297A"/>
    <w:rsid w:val="00D70F81"/>
    <w:rsid w:val="00DB2C90"/>
    <w:rsid w:val="00DC5DBF"/>
    <w:rsid w:val="00DC63A9"/>
    <w:rsid w:val="00DC66A6"/>
    <w:rsid w:val="00DE17D1"/>
    <w:rsid w:val="00DE2930"/>
    <w:rsid w:val="00DE7078"/>
    <w:rsid w:val="00DF2CB7"/>
    <w:rsid w:val="00DF3BF1"/>
    <w:rsid w:val="00E045FA"/>
    <w:rsid w:val="00E058BA"/>
    <w:rsid w:val="00E07BB8"/>
    <w:rsid w:val="00E16777"/>
    <w:rsid w:val="00E172C8"/>
    <w:rsid w:val="00E2200B"/>
    <w:rsid w:val="00E53ACD"/>
    <w:rsid w:val="00E551EB"/>
    <w:rsid w:val="00E6035F"/>
    <w:rsid w:val="00E67D7F"/>
    <w:rsid w:val="00E8031C"/>
    <w:rsid w:val="00E87C31"/>
    <w:rsid w:val="00E912D6"/>
    <w:rsid w:val="00E91DC9"/>
    <w:rsid w:val="00E92A63"/>
    <w:rsid w:val="00E970B9"/>
    <w:rsid w:val="00E97FB8"/>
    <w:rsid w:val="00EA4B71"/>
    <w:rsid w:val="00EA6F5A"/>
    <w:rsid w:val="00EB1B50"/>
    <w:rsid w:val="00EB724A"/>
    <w:rsid w:val="00EC17E3"/>
    <w:rsid w:val="00EC385D"/>
    <w:rsid w:val="00EC3919"/>
    <w:rsid w:val="00EC7C98"/>
    <w:rsid w:val="00ED5E52"/>
    <w:rsid w:val="00ED7176"/>
    <w:rsid w:val="00EE20D0"/>
    <w:rsid w:val="00EE72B5"/>
    <w:rsid w:val="00EF1E2D"/>
    <w:rsid w:val="00EF37D7"/>
    <w:rsid w:val="00EF4043"/>
    <w:rsid w:val="00EF711B"/>
    <w:rsid w:val="00EF7890"/>
    <w:rsid w:val="00F02467"/>
    <w:rsid w:val="00F14548"/>
    <w:rsid w:val="00F30F12"/>
    <w:rsid w:val="00F32AA4"/>
    <w:rsid w:val="00F32CBF"/>
    <w:rsid w:val="00F34D28"/>
    <w:rsid w:val="00F50D0F"/>
    <w:rsid w:val="00F53140"/>
    <w:rsid w:val="00F7023A"/>
    <w:rsid w:val="00F764F4"/>
    <w:rsid w:val="00F972E3"/>
    <w:rsid w:val="00FA7B76"/>
    <w:rsid w:val="00FB5548"/>
    <w:rsid w:val="00FD488F"/>
    <w:rsid w:val="00FD7887"/>
    <w:rsid w:val="00FE00D7"/>
    <w:rsid w:val="00FF171F"/>
    <w:rsid w:val="00FF2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F02467"/>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580EA6"/>
    <w:rPr>
      <w:sz w:val="22"/>
      <w:szCs w:val="26"/>
    </w:rPr>
  </w:style>
  <w:style w:type="character" w:styleId="UnresolvedMention">
    <w:name w:val="Unresolved Mention"/>
    <w:basedOn w:val="DefaultParagraphFont"/>
    <w:uiPriority w:val="99"/>
    <w:semiHidden/>
    <w:unhideWhenUsed/>
    <w:rsid w:val="00A83BD6"/>
    <w:rPr>
      <w:color w:val="605E5C"/>
      <w:shd w:val="clear" w:color="auto" w:fill="E1DFDD"/>
    </w:rPr>
  </w:style>
  <w:style w:type="character" w:customStyle="1" w:styleId="Heading2Char">
    <w:name w:val="Heading 2 Char"/>
    <w:basedOn w:val="DefaultParagraphFont"/>
    <w:link w:val="Heading2"/>
    <w:uiPriority w:val="9"/>
    <w:semiHidden/>
    <w:rsid w:val="00F024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0A9B-1B19-480B-952C-B7C2D813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13317</Words>
  <Characters>75913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Ellen Buckley</dc:creator>
  <cp:lastModifiedBy>beck, jeremy</cp:lastModifiedBy>
  <cp:revision>3</cp:revision>
  <dcterms:created xsi:type="dcterms:W3CDTF">2025-01-27T22:48:00Z</dcterms:created>
  <dcterms:modified xsi:type="dcterms:W3CDTF">2025-02-11T19:01:00Z</dcterms:modified>
</cp:coreProperties>
</file>