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7EBF" w14:textId="55A193A4" w:rsidR="00CA41CC" w:rsidRPr="00914128" w:rsidRDefault="007A3A0E" w:rsidP="00914128">
      <w:pPr>
        <w:pStyle w:val="Heading1"/>
      </w:pPr>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CC6103" w:rsidP="00914128">
      <w:pPr>
        <w:pStyle w:val="ToC"/>
      </w:pPr>
      <w:hyperlink w:anchor="a5_1" w:history="1">
        <w:r w:rsidRPr="00CC6103">
          <w:rPr>
            <w:rStyle w:val="Hyperlink"/>
          </w:rPr>
          <w:t>5:1</w:t>
        </w:r>
      </w:hyperlink>
      <w:r w:rsidRPr="00CC6103">
        <w:t xml:space="preserve"> </w:t>
      </w:r>
      <w:r w:rsidRPr="00CC6103">
        <w:tab/>
        <w:t xml:space="preserve">Damages Not </w:t>
      </w:r>
      <w:r>
        <w:t>t</w:t>
      </w:r>
      <w:r w:rsidRPr="00CC6103">
        <w:t>o Be Inferred</w:t>
      </w:r>
    </w:p>
    <w:p w14:paraId="4452B906" w14:textId="77777777" w:rsidR="00CC6103" w:rsidRDefault="00CC6103" w:rsidP="00914128">
      <w:pPr>
        <w:pStyle w:val="ToC"/>
      </w:pPr>
      <w:hyperlink w:anchor="a5_2" w:history="1">
        <w:r w:rsidRPr="00CC6103">
          <w:rPr>
            <w:rStyle w:val="Hyperlink"/>
          </w:rPr>
          <w:t>5:2</w:t>
        </w:r>
      </w:hyperlink>
      <w:r w:rsidRPr="00CC6103">
        <w:t xml:space="preserve"> </w:t>
      </w:r>
      <w:r w:rsidRPr="00CC6103">
        <w:tab/>
        <w:t xml:space="preserve">Affirmative Defense — Failure </w:t>
      </w:r>
      <w:r>
        <w:t>t</w:t>
      </w:r>
      <w:r w:rsidRPr="00CC6103">
        <w:t>o Mitigate</w:t>
      </w:r>
    </w:p>
    <w:p w14:paraId="3491020F" w14:textId="77777777" w:rsidR="00CC6103" w:rsidRDefault="00CC6103" w:rsidP="00914128">
      <w:pPr>
        <w:pStyle w:val="ToC"/>
      </w:pPr>
      <w:hyperlink w:anchor="a5_3" w:history="1">
        <w:r w:rsidRPr="00CC6103">
          <w:rPr>
            <w:rStyle w:val="Hyperlink"/>
          </w:rPr>
          <w:t>5:3</w:t>
        </w:r>
      </w:hyperlink>
      <w:r w:rsidRPr="00CC6103">
        <w:t xml:space="preserve"> </w:t>
      </w:r>
      <w:r w:rsidRPr="00CC6103">
        <w:tab/>
        <w:t xml:space="preserve">Affirmative Defense — Nonuse </w:t>
      </w:r>
      <w:r>
        <w:t>o</w:t>
      </w:r>
      <w:r w:rsidRPr="00CC6103">
        <w:t>f Safety Belt</w:t>
      </w:r>
    </w:p>
    <w:p w14:paraId="3A08BBFC" w14:textId="77777777" w:rsidR="00CC6103" w:rsidRDefault="00CC6103" w:rsidP="00914128">
      <w:pPr>
        <w:pStyle w:val="ToC"/>
      </w:pPr>
      <w:hyperlink w:anchor="a5_4" w:history="1">
        <w:r w:rsidRPr="00CC6103">
          <w:rPr>
            <w:rStyle w:val="Hyperlink"/>
          </w:rPr>
          <w:t>5:4</w:t>
        </w:r>
      </w:hyperlink>
      <w:r w:rsidRPr="00CC6103">
        <w:t xml:space="preserve"> </w:t>
      </w:r>
      <w:r w:rsidRPr="00CC6103">
        <w:tab/>
        <w:t xml:space="preserve">Exemplary </w:t>
      </w:r>
      <w:r>
        <w:t>o</w:t>
      </w:r>
      <w:r w:rsidRPr="00CC6103">
        <w:t>r Punitive Damages</w:t>
      </w:r>
    </w:p>
    <w:p w14:paraId="7C2097C6" w14:textId="77777777" w:rsidR="00CC6103" w:rsidRDefault="00CC6103" w:rsidP="00914128">
      <w:pPr>
        <w:pStyle w:val="ToC"/>
      </w:pPr>
      <w:hyperlink w:anchor="a5_5" w:history="1">
        <w:r w:rsidRPr="00CC6103">
          <w:rPr>
            <w:rStyle w:val="Hyperlink"/>
          </w:rPr>
          <w:t>5:5</w:t>
        </w:r>
      </w:hyperlink>
      <w:r w:rsidRPr="00CC6103">
        <w:t xml:space="preserve"> </w:t>
      </w:r>
      <w:r w:rsidRPr="00CC6103">
        <w:tab/>
        <w:t>Determining Life Expectancy — Mortality Table</w:t>
      </w:r>
    </w:p>
    <w:p w14:paraId="096B6FFC" w14:textId="77777777" w:rsidR="00CC6103" w:rsidRDefault="00CC6103" w:rsidP="00914128">
      <w:pPr>
        <w:pStyle w:val="ToC"/>
      </w:pPr>
      <w:hyperlink w:anchor="a5_6" w:history="1">
        <w:r w:rsidRPr="00CC6103">
          <w:rPr>
            <w:rStyle w:val="Hyperlink"/>
          </w:rPr>
          <w:t>5:6</w:t>
        </w:r>
      </w:hyperlink>
      <w:r w:rsidRPr="00CC6103">
        <w:t xml:space="preserve"> </w:t>
      </w:r>
      <w:r w:rsidRPr="00CC6103">
        <w:tab/>
        <w:t xml:space="preserve">Uncertainty </w:t>
      </w:r>
      <w:r>
        <w:t>a</w:t>
      </w:r>
      <w:r w:rsidRPr="00CC6103">
        <w:t xml:space="preserve">s </w:t>
      </w:r>
      <w:r>
        <w:t>t</w:t>
      </w:r>
      <w:r w:rsidRPr="00CC6103">
        <w:t xml:space="preserve">o Amount </w:t>
      </w:r>
      <w:r>
        <w:t>o</w:t>
      </w:r>
      <w:r w:rsidRPr="00CC6103">
        <w:t>f Damages</w:t>
      </w:r>
    </w:p>
    <w:p w14:paraId="79B3BD22" w14:textId="77777777" w:rsidR="00CC6103" w:rsidRDefault="00CC6103" w:rsidP="00914128">
      <w:pPr>
        <w:pStyle w:val="ToC"/>
      </w:pPr>
      <w:hyperlink w:anchor="a5_7" w:history="1">
        <w:r w:rsidRPr="00CC6103">
          <w:rPr>
            <w:rStyle w:val="Hyperlink"/>
          </w:rPr>
          <w:t>5:7</w:t>
        </w:r>
      </w:hyperlink>
      <w:r w:rsidRPr="00CC6103">
        <w:t xml:space="preserve"> </w:t>
      </w:r>
      <w:r w:rsidRPr="00CC6103">
        <w:tab/>
        <w:t xml:space="preserve">Damages </w:t>
      </w:r>
      <w:r>
        <w:t>f</w:t>
      </w:r>
      <w:r w:rsidRPr="00CC6103">
        <w:t xml:space="preserve">or Wrong </w:t>
      </w:r>
      <w:r>
        <w:t>o</w:t>
      </w:r>
      <w:r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0" w:name="a5_1"/>
      <w:bookmarkEnd w:id="0"/>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3A53824C" w:rsidR="00506631" w:rsidRPr="009E3DA4" w:rsidRDefault="00506631" w:rsidP="00506631">
      <w:pPr>
        <w:spacing w:after="240"/>
        <w:ind w:left="720" w:hanging="720"/>
        <w:rPr>
          <w:rFonts w:eastAsia="Times New Roman"/>
          <w:b/>
          <w:sz w:val="24"/>
          <w:szCs w:val="24"/>
        </w:rPr>
      </w:pPr>
      <w:bookmarkStart w:id="1" w:name="a5_2"/>
      <w:bookmarkEnd w:id="1"/>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0245C3B1"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xml:space="preserve">, has proved </w:t>
      </w:r>
      <w:r w:rsidR="009A5EFC">
        <w:rPr>
          <w:rFonts w:eastAsia="Times New Roman"/>
          <w:bCs/>
          <w:i/>
          <w:iCs/>
          <w:sz w:val="24"/>
          <w:szCs w:val="24"/>
        </w:rPr>
        <w:t>(insert applicable pronoun)</w:t>
      </w:r>
      <w:r w:rsidRPr="00506631">
        <w:rPr>
          <w:rFonts w:eastAsia="Times New Roman"/>
          <w:b/>
          <w:sz w:val="24"/>
          <w:szCs w:val="24"/>
        </w:rPr>
        <w:t xml:space="preserve"> affirmative defense of plaintiff’s failure to mitigate or minimize damages. The plaintiff has the duty to take reasonable steps under the circumstances to mitigate or minimize </w:t>
      </w:r>
      <w:r w:rsidR="009A5EFC">
        <w:rPr>
          <w:rFonts w:eastAsia="Times New Roman"/>
          <w:bCs/>
          <w:i/>
          <w:iCs/>
          <w:sz w:val="24"/>
          <w:szCs w:val="24"/>
        </w:rPr>
        <w:t>(insert applicable pronoun)</w:t>
      </w:r>
      <w:r w:rsidRPr="00506631">
        <w:rPr>
          <w:rFonts w:eastAsia="Times New Roman"/>
          <w:b/>
          <w:sz w:val="24"/>
          <w:szCs w:val="24"/>
        </w:rPr>
        <w:t xml:space="preserve"> damages. Damages, if any, caused by plaintiff’s failure to take such reasonable steps cannot be awarded to the plaintiff.</w:t>
      </w:r>
    </w:p>
    <w:p w14:paraId="4AF81F0E" w14:textId="389C8FE5"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3604DF1E"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w:t>
      </w:r>
      <w:r w:rsidR="009A5EFC">
        <w:rPr>
          <w:rFonts w:eastAsia="Times New Roman"/>
          <w:bCs/>
          <w:i/>
          <w:iCs/>
          <w:sz w:val="24"/>
          <w:szCs w:val="24"/>
        </w:rPr>
        <w:t>(insert applicable pronoun)</w:t>
      </w:r>
      <w:r w:rsidRPr="00506631">
        <w:rPr>
          <w:rFonts w:eastAsia="Times New Roman"/>
          <w:b/>
          <w:sz w:val="24"/>
          <w:szCs w:val="24"/>
        </w:rPr>
        <w:t xml:space="preserve">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5EACF94C"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 16</w:t>
      </w:r>
      <w:r w:rsidR="00BB0F06">
        <w:rPr>
          <w:rFonts w:eastAsia="Times New Roman"/>
          <w:sz w:val="24"/>
          <w:szCs w:val="24"/>
        </w:rPr>
        <w:t xml:space="preserve">, </w:t>
      </w:r>
      <w:r w:rsidR="00BB0F06" w:rsidRPr="00672A3E">
        <w:rPr>
          <w:rFonts w:eastAsia="Times New Roman"/>
          <w:sz w:val="24"/>
          <w:szCs w:val="24"/>
        </w:rPr>
        <w:t>420 P.3d</w:t>
      </w:r>
      <w:r w:rsidR="00BB0F06">
        <w:rPr>
          <w:rFonts w:eastAsia="Times New Roman"/>
          <w:sz w:val="24"/>
          <w:szCs w:val="24"/>
        </w:rPr>
        <w:t xml:space="preserve"> at 282</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w:t>
      </w:r>
      <w:r w:rsidRPr="00506631">
        <w:rPr>
          <w:rFonts w:eastAsia="Times New Roman"/>
          <w:sz w:val="24"/>
          <w:szCs w:val="24"/>
        </w:rPr>
        <w:lastRenderedPageBreak/>
        <w:t xml:space="preserve">refusal to consent to 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189B0408"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33 Colo. App. 396, 404, 522 P.2d 596, 600 (1974).</w:t>
      </w:r>
      <w:r w:rsidR="00A643C0">
        <w:rPr>
          <w:rFonts w:eastAsia="Times New Roman"/>
          <w:sz w:val="24"/>
          <w:szCs w:val="24"/>
        </w:rPr>
        <w:t xml:space="preserve"> A “plaintiff for whom an otherwise recommended medical treatment is contraindicated while pregnant or nursing has no duty to terminate the pregnancy or forgo nursing to receive the treatment.” </w:t>
      </w:r>
      <w:r w:rsidR="00A643C0">
        <w:rPr>
          <w:rFonts w:eastAsia="Times New Roman"/>
          <w:b/>
          <w:bCs/>
          <w:sz w:val="24"/>
          <w:szCs w:val="24"/>
        </w:rPr>
        <w:t>Burlington v. Barela</w:t>
      </w:r>
      <w:r w:rsidR="00A643C0">
        <w:rPr>
          <w:rFonts w:eastAsia="Times New Roman"/>
          <w:sz w:val="24"/>
          <w:szCs w:val="24"/>
        </w:rPr>
        <w:t>, 2024 COA 56, ¶ 2</w:t>
      </w:r>
      <w:r w:rsidR="000565E1">
        <w:rPr>
          <w:rFonts w:eastAsia="Times New Roman"/>
          <w:sz w:val="24"/>
          <w:szCs w:val="24"/>
        </w:rPr>
        <w:t>, 555 P.3d 102, 104</w:t>
      </w:r>
      <w:r w:rsidR="00A643C0">
        <w:rPr>
          <w:rFonts w:eastAsia="Times New Roman"/>
          <w:sz w:val="24"/>
          <w:szCs w:val="24"/>
        </w:rPr>
        <w:t>.</w:t>
      </w:r>
      <w:r w:rsidRPr="00506631">
        <w:rPr>
          <w:rFonts w:eastAsia="Times New Roman"/>
          <w:sz w:val="24"/>
          <w:szCs w:val="24"/>
        </w:rPr>
        <w:t xml:space="preserve"> </w:t>
      </w:r>
    </w:p>
    <w:p w14:paraId="213BB25D" w14:textId="2CE4C63B"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2" w:name="a5_3"/>
      <w:bookmarkEnd w:id="2"/>
      <w:r w:rsidRPr="005B122D">
        <w:rPr>
          <w:rFonts w:eastAsia="Times New Roman"/>
          <w:b/>
          <w:sz w:val="24"/>
          <w:szCs w:val="24"/>
        </w:rPr>
        <w:lastRenderedPageBreak/>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lastRenderedPageBreak/>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3" w:name="a5_4"/>
      <w:bookmarkEnd w:id="3"/>
      <w:r w:rsidRPr="00864C8B">
        <w:rPr>
          <w:rFonts w:eastAsia="Times New Roman"/>
          <w:b/>
          <w:sz w:val="24"/>
          <w:szCs w:val="24"/>
        </w:rPr>
        <w:lastRenderedPageBreak/>
        <w:t xml:space="preserve">5:4 </w:t>
      </w:r>
      <w:r w:rsidRPr="00864C8B">
        <w:rPr>
          <w:rFonts w:eastAsia="Times New Roman"/>
          <w:b/>
          <w:sz w:val="24"/>
          <w:szCs w:val="24"/>
        </w:rPr>
        <w:tab/>
        <w:t>EXEMPLARY OR PUNITIVE DAMAGES</w:t>
      </w:r>
    </w:p>
    <w:p w14:paraId="375C9966" w14:textId="5DCB0AA8"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w:t>
      </w:r>
      <w:r w:rsidR="009A5EFC">
        <w:rPr>
          <w:rFonts w:eastAsia="Times New Roman"/>
          <w:bCs/>
          <w:i/>
          <w:iCs/>
          <w:sz w:val="24"/>
          <w:szCs w:val="24"/>
        </w:rPr>
        <w:t>(insert applicable pronoun)</w:t>
      </w:r>
      <w:r w:rsidRPr="00864C8B">
        <w:rPr>
          <w:rFonts w:eastAsia="Times New Roman"/>
          <w:b/>
          <w:sz w:val="24"/>
          <w:szCs w:val="24"/>
        </w:rPr>
        <w:t xml:space="preserve">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w:t>
      </w:r>
      <w:r w:rsidRPr="00452874">
        <w:rPr>
          <w:rFonts w:eastAsia="Times New Roman"/>
          <w:sz w:val="24"/>
          <w:szCs w:val="24"/>
        </w:rPr>
        <w:lastRenderedPageBreak/>
        <w:t xml:space="preserve">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w:t>
      </w:r>
      <w:r w:rsidRPr="00452874">
        <w:rPr>
          <w:rFonts w:eastAsia="Times New Roman"/>
          <w:sz w:val="24"/>
          <w:szCs w:val="24"/>
        </w:rPr>
        <w:lastRenderedPageBreak/>
        <w:t xml:space="preserve">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w:t>
      </w:r>
      <w:r w:rsidRPr="00452874">
        <w:rPr>
          <w:rFonts w:eastAsia="Times New Roman"/>
          <w:sz w:val="24"/>
          <w:szCs w:val="24"/>
        </w:rPr>
        <w:lastRenderedPageBreak/>
        <w:t xml:space="preserve">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w:t>
      </w:r>
      <w:r w:rsidRPr="00452874">
        <w:rPr>
          <w:rFonts w:eastAsia="Times New Roman"/>
          <w:sz w:val="24"/>
          <w:szCs w:val="24"/>
        </w:rPr>
        <w:lastRenderedPageBreak/>
        <w:t xml:space="preserve">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1EDF2D3D"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r w:rsidR="00026100">
        <w:rPr>
          <w:rFonts w:eastAsia="Times New Roman"/>
          <w:sz w:val="24"/>
          <w:szCs w:val="24"/>
        </w:rPr>
        <w:t xml:space="preserve"> </w:t>
      </w:r>
      <w:r w:rsidR="00026100">
        <w:rPr>
          <w:rFonts w:eastAsia="Times New Roman"/>
          <w:iCs/>
          <w:sz w:val="24"/>
          <w:szCs w:val="24"/>
        </w:rPr>
        <w:t>(subsequently abrogated by section 13-21-111.5(1.5), C.R.S., effective for cases filed on or after September 7, 2021)</w:t>
      </w:r>
      <w:r w:rsidRPr="00452874">
        <w:rPr>
          <w:rFonts w:eastAsia="Times New Roman"/>
          <w:sz w:val="24"/>
          <w:szCs w:val="24"/>
        </w:rPr>
        <w:t>.</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4" w:name="a5_5"/>
      <w:bookmarkEnd w:id="4"/>
      <w:r w:rsidRPr="00301CFB">
        <w:rPr>
          <w:rFonts w:eastAsia="Times New Roman"/>
          <w:b/>
          <w:sz w:val="24"/>
          <w:szCs w:val="24"/>
        </w:rPr>
        <w:lastRenderedPageBreak/>
        <w:t xml:space="preserve">5:5 </w:t>
      </w:r>
      <w:r w:rsidRPr="00301CFB">
        <w:rPr>
          <w:rFonts w:eastAsia="Times New Roman"/>
          <w:b/>
          <w:sz w:val="24"/>
          <w:szCs w:val="24"/>
        </w:rPr>
        <w:tab/>
        <w:t>DETERMINING LIFE EXPECTANCY — MORTALITY TABLE</w:t>
      </w:r>
    </w:p>
    <w:p w14:paraId="317F262C" w14:textId="6E3EDC73" w:rsidR="00301CFB" w:rsidRPr="00301CFB" w:rsidRDefault="000565E1" w:rsidP="00301CFB">
      <w:pPr>
        <w:spacing w:after="240"/>
        <w:ind w:firstLine="720"/>
        <w:rPr>
          <w:rFonts w:eastAsia="Times New Roman"/>
          <w:b/>
          <w:sz w:val="24"/>
          <w:szCs w:val="24"/>
        </w:rPr>
      </w:pPr>
      <w:r>
        <w:rPr>
          <w:rFonts w:eastAsia="Times New Roman"/>
          <w:b/>
          <w:sz w:val="24"/>
          <w:szCs w:val="24"/>
        </w:rPr>
        <w:t>Under the United States census bureau mortality table</w:t>
      </w:r>
      <w:r w:rsidR="00301CFB" w:rsidRPr="00301CFB">
        <w:rPr>
          <w:rFonts w:eastAsia="Times New Roman"/>
          <w:b/>
          <w:sz w:val="24"/>
          <w:szCs w:val="24"/>
        </w:rPr>
        <w:t xml:space="preserve">, plaintiff, </w:t>
      </w:r>
      <w:r w:rsidR="00301CFB" w:rsidRPr="00301CFB">
        <w:rPr>
          <w:rFonts w:eastAsia="Times New Roman"/>
          <w:i/>
          <w:sz w:val="24"/>
          <w:szCs w:val="24"/>
        </w:rPr>
        <w:t>(name)</w:t>
      </w:r>
      <w:r w:rsidR="00301CFB" w:rsidRPr="00301CFB">
        <w:rPr>
          <w:rFonts w:eastAsia="Times New Roman"/>
          <w:b/>
          <w:sz w:val="24"/>
          <w:szCs w:val="24"/>
        </w:rPr>
        <w:t xml:space="preserve">, had a life expectancy of </w:t>
      </w:r>
      <w:r w:rsidR="00301CFB" w:rsidRPr="00301CFB">
        <w:rPr>
          <w:rFonts w:eastAsia="Times New Roman"/>
          <w:i/>
          <w:sz w:val="24"/>
          <w:szCs w:val="24"/>
        </w:rPr>
        <w:t>(insert appropriate number of years)</w:t>
      </w:r>
      <w:r w:rsidR="00301CFB" w:rsidRPr="00301CFB">
        <w:rPr>
          <w:rFonts w:eastAsia="Times New Roman"/>
          <w:b/>
          <w:sz w:val="24"/>
          <w:szCs w:val="24"/>
        </w:rPr>
        <w:t xml:space="preserve"> years</w:t>
      </w:r>
      <w:r>
        <w:rPr>
          <w:rFonts w:eastAsia="Times New Roman"/>
          <w:b/>
          <w:sz w:val="24"/>
          <w:szCs w:val="24"/>
        </w:rPr>
        <w:t xml:space="preserve"> at the beginning of this trial</w:t>
      </w:r>
      <w:r w:rsidR="00301CFB" w:rsidRPr="00301CFB">
        <w:rPr>
          <w:rFonts w:eastAsia="Times New Roman"/>
          <w:b/>
          <w:sz w:val="24"/>
          <w:szCs w:val="24"/>
        </w:rPr>
        <w:t>.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D5CB6C0" w14:textId="3DA57866" w:rsidR="000565E1" w:rsidRDefault="00301CFB" w:rsidP="00301CFB">
      <w:pPr>
        <w:spacing w:after="240"/>
        <w:ind w:firstLine="720"/>
        <w:rPr>
          <w:rFonts w:eastAsia="Times New Roman"/>
          <w:sz w:val="24"/>
          <w:szCs w:val="24"/>
        </w:rPr>
      </w:pPr>
      <w:r w:rsidRPr="00301CFB">
        <w:rPr>
          <w:rFonts w:eastAsia="Times New Roman"/>
          <w:sz w:val="24"/>
          <w:szCs w:val="24"/>
        </w:rPr>
        <w:t xml:space="preserve">1. </w:t>
      </w:r>
      <w:r w:rsidR="000565E1">
        <w:rPr>
          <w:rFonts w:eastAsia="Times New Roman"/>
          <w:sz w:val="24"/>
          <w:szCs w:val="24"/>
        </w:rPr>
        <w:t xml:space="preserve">This instruction is supported by section 13-25-102, C.R.S. (providing “the table set out in section 13-25-102 shall be received as evidence, together with other evidence as to health, constitution, habits, and occupation” in determining life expectancy). </w:t>
      </w:r>
      <w:r w:rsidR="000565E1" w:rsidRPr="00301CFB">
        <w:rPr>
          <w:rFonts w:eastAsia="Times New Roman"/>
          <w:sz w:val="24"/>
          <w:szCs w:val="24"/>
        </w:rPr>
        <w:t xml:space="preserve">The most recent United States census bureau mortality table </w:t>
      </w:r>
      <w:r w:rsidR="000565E1">
        <w:rPr>
          <w:rFonts w:eastAsia="Times New Roman"/>
          <w:sz w:val="24"/>
          <w:szCs w:val="24"/>
        </w:rPr>
        <w:t>must be used</w:t>
      </w:r>
      <w:r w:rsidR="000565E1" w:rsidRPr="00301CFB">
        <w:rPr>
          <w:rFonts w:eastAsia="Times New Roman"/>
          <w:sz w:val="24"/>
          <w:szCs w:val="24"/>
        </w:rPr>
        <w:t>.</w:t>
      </w:r>
      <w:r w:rsidR="000565E1">
        <w:rPr>
          <w:rFonts w:eastAsia="Times New Roman"/>
          <w:sz w:val="24"/>
          <w:szCs w:val="24"/>
        </w:rPr>
        <w:t xml:space="preserve"> </w:t>
      </w:r>
      <w:r w:rsidR="000565E1">
        <w:rPr>
          <w:rFonts w:eastAsia="Times New Roman"/>
          <w:i/>
          <w:iCs/>
          <w:sz w:val="24"/>
          <w:szCs w:val="24"/>
        </w:rPr>
        <w:t>Id</w:t>
      </w:r>
      <w:r w:rsidR="000565E1">
        <w:rPr>
          <w:rFonts w:eastAsia="Times New Roman"/>
          <w:sz w:val="24"/>
          <w:szCs w:val="24"/>
        </w:rPr>
        <w:t>.</w:t>
      </w:r>
    </w:p>
    <w:p w14:paraId="13BB87F3" w14:textId="3A2983C9" w:rsidR="00301CFB" w:rsidRPr="00301CFB" w:rsidRDefault="000565E1" w:rsidP="00301CFB">
      <w:pPr>
        <w:spacing w:after="240"/>
        <w:ind w:firstLine="720"/>
        <w:rPr>
          <w:rFonts w:eastAsia="Times New Roman"/>
          <w:sz w:val="24"/>
          <w:szCs w:val="24"/>
        </w:rPr>
      </w:pPr>
      <w:r>
        <w:rPr>
          <w:rFonts w:eastAsia="Times New Roman"/>
          <w:sz w:val="24"/>
          <w:szCs w:val="24"/>
        </w:rPr>
        <w:t xml:space="preserve">2. </w:t>
      </w:r>
      <w:r w:rsidR="00301CFB" w:rsidRPr="00301CFB">
        <w:rPr>
          <w:rFonts w:eastAsia="Times New Roman"/>
          <w:sz w:val="24"/>
          <w:szCs w:val="24"/>
        </w:rPr>
        <w:t>This instruction assumes the age of the party seeking to use this instruction is not in dispute. If the party’s age is disputed, this instruction must be appropriately modified.</w:t>
      </w:r>
    </w:p>
    <w:p w14:paraId="1C5B22C3" w14:textId="161ADA1A" w:rsidR="00301CFB" w:rsidRPr="00301CFB" w:rsidRDefault="000565E1" w:rsidP="00301CFB">
      <w:pPr>
        <w:spacing w:after="240"/>
        <w:ind w:firstLine="720"/>
        <w:rPr>
          <w:rFonts w:eastAsia="Times New Roman"/>
          <w:sz w:val="24"/>
          <w:szCs w:val="24"/>
        </w:rPr>
      </w:pPr>
      <w:r>
        <w:rPr>
          <w:rFonts w:eastAsia="Times New Roman"/>
          <w:sz w:val="24"/>
          <w:szCs w:val="24"/>
        </w:rPr>
        <w:t>3</w:t>
      </w:r>
      <w:r w:rsidR="00301CFB" w:rsidRPr="00301CFB">
        <w:rPr>
          <w:rFonts w:eastAsia="Times New Roman"/>
          <w:sz w:val="24"/>
          <w:szCs w:val="24"/>
        </w:rPr>
        <w:t xml:space="preserve">. This instruction should not be given unless there is sufficient evidence that the plaintiff’s injuries will be permanent. </w:t>
      </w:r>
      <w:r w:rsidR="00301CFB" w:rsidRPr="00301CFB">
        <w:rPr>
          <w:rFonts w:eastAsia="Times New Roman"/>
          <w:i/>
          <w:sz w:val="24"/>
          <w:szCs w:val="24"/>
        </w:rPr>
        <w:t>See</w:t>
      </w:r>
      <w:r w:rsidR="00301CFB" w:rsidRPr="00301CFB">
        <w:rPr>
          <w:rFonts w:eastAsia="Times New Roman"/>
          <w:sz w:val="24"/>
          <w:szCs w:val="24"/>
        </w:rPr>
        <w:t xml:space="preserve"> </w:t>
      </w:r>
      <w:r w:rsidR="00301CFB" w:rsidRPr="00301CFB">
        <w:rPr>
          <w:rFonts w:eastAsia="Times New Roman"/>
          <w:b/>
          <w:sz w:val="24"/>
          <w:szCs w:val="24"/>
        </w:rPr>
        <w:t>Alcon v. Spicer</w:t>
      </w:r>
      <w:r w:rsidR="00301CFB" w:rsidRPr="00301CFB">
        <w:rPr>
          <w:rFonts w:eastAsia="Times New Roman"/>
          <w:sz w:val="24"/>
          <w:szCs w:val="24"/>
        </w:rPr>
        <w:t xml:space="preserve">, 113 P.3d 735 (Colo. 2005); </w:t>
      </w:r>
      <w:r w:rsidR="00301CFB" w:rsidRPr="00301CFB">
        <w:rPr>
          <w:rFonts w:eastAsia="Times New Roman"/>
          <w:b/>
          <w:sz w:val="24"/>
          <w:szCs w:val="24"/>
        </w:rPr>
        <w:t>Rio Grande S. R.R. v. Nichols</w:t>
      </w:r>
      <w:r w:rsidR="00301CFB" w:rsidRPr="00301CFB">
        <w:rPr>
          <w:rFonts w:eastAsia="Times New Roman"/>
          <w:sz w:val="24"/>
          <w:szCs w:val="24"/>
        </w:rPr>
        <w:t>, 52 Colo. 300, 123 P. 318 (1912).</w:t>
      </w:r>
    </w:p>
    <w:p w14:paraId="1D7BF229" w14:textId="7E59F29B" w:rsidR="00301CFB" w:rsidRPr="00301CFB" w:rsidRDefault="000565E1" w:rsidP="00301CFB">
      <w:pPr>
        <w:spacing w:after="240"/>
        <w:ind w:firstLine="720"/>
        <w:rPr>
          <w:rFonts w:eastAsia="Times New Roman"/>
          <w:sz w:val="24"/>
          <w:szCs w:val="24"/>
        </w:rPr>
      </w:pPr>
      <w:r>
        <w:rPr>
          <w:rFonts w:eastAsia="Times New Roman"/>
          <w:sz w:val="24"/>
          <w:szCs w:val="24"/>
        </w:rPr>
        <w:t>4</w:t>
      </w:r>
      <w:r w:rsidR="00301CFB" w:rsidRPr="00301CFB">
        <w:rPr>
          <w:rFonts w:eastAsia="Times New Roman"/>
          <w:sz w:val="24"/>
          <w:szCs w:val="24"/>
        </w:rPr>
        <w:t>.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3AD26A3" w:rsidR="005B122D" w:rsidRDefault="000565E1" w:rsidP="00506631">
      <w:pPr>
        <w:spacing w:after="240"/>
        <w:ind w:firstLine="720"/>
        <w:rPr>
          <w:rFonts w:eastAsia="Times New Roman"/>
          <w:sz w:val="24"/>
          <w:szCs w:val="24"/>
        </w:rPr>
      </w:pPr>
      <w:r>
        <w:rPr>
          <w:rFonts w:eastAsia="Times New Roman"/>
          <w:sz w:val="24"/>
          <w:szCs w:val="24"/>
        </w:rPr>
        <w:t xml:space="preserve">1. </w:t>
      </w:r>
      <w:r w:rsidR="00301CFB" w:rsidRPr="00301CFB">
        <w:rPr>
          <w:rFonts w:eastAsia="Times New Roman"/>
          <w:sz w:val="24"/>
          <w:szCs w:val="24"/>
        </w:rPr>
        <w:t>This instruction is</w:t>
      </w:r>
      <w:r w:rsidR="00840F42">
        <w:rPr>
          <w:rFonts w:eastAsia="Times New Roman"/>
          <w:sz w:val="24"/>
          <w:szCs w:val="24"/>
        </w:rPr>
        <w:t xml:space="preserve"> supported by section 13-25-102</w:t>
      </w:r>
      <w:r w:rsidR="00301CFB" w:rsidRPr="00301CFB">
        <w:rPr>
          <w:rFonts w:eastAsia="Times New Roman"/>
          <w:sz w:val="24"/>
          <w:szCs w:val="24"/>
        </w:rPr>
        <w:t xml:space="preserve"> and the cases cited in the Notes on Use. </w:t>
      </w:r>
      <w:r w:rsidR="00301CFB" w:rsidRPr="00301CFB">
        <w:rPr>
          <w:rFonts w:eastAsia="Times New Roman"/>
          <w:i/>
          <w:sz w:val="24"/>
          <w:szCs w:val="24"/>
        </w:rPr>
        <w:t>See also</w:t>
      </w:r>
      <w:r w:rsidR="00301CFB" w:rsidRPr="00301CFB">
        <w:rPr>
          <w:rFonts w:eastAsia="Times New Roman"/>
          <w:sz w:val="24"/>
          <w:szCs w:val="24"/>
        </w:rPr>
        <w:t xml:space="preserve"> </w:t>
      </w:r>
      <w:r w:rsidR="00301CFB" w:rsidRPr="00301CFB">
        <w:rPr>
          <w:rFonts w:eastAsia="Times New Roman"/>
          <w:b/>
          <w:sz w:val="24"/>
          <w:szCs w:val="24"/>
        </w:rPr>
        <w:t>Colo. Fuel &amp; Iron Corp. v. Indus. Comm’n</w:t>
      </w:r>
      <w:r w:rsidR="00301CFB" w:rsidRPr="00301CFB">
        <w:rPr>
          <w:rFonts w:eastAsia="Times New Roman"/>
          <w:sz w:val="24"/>
          <w:szCs w:val="24"/>
        </w:rPr>
        <w:t xml:space="preserve">, 148 Colo. 557, 367 P.2d 597 (1961); </w:t>
      </w:r>
      <w:r w:rsidR="00301CFB" w:rsidRPr="00301CFB">
        <w:rPr>
          <w:rFonts w:eastAsia="Times New Roman"/>
          <w:b/>
          <w:sz w:val="24"/>
          <w:szCs w:val="24"/>
        </w:rPr>
        <w:t>City of Ft. Collins v. Smith</w:t>
      </w:r>
      <w:r w:rsidR="00301CFB" w:rsidRPr="00301CFB">
        <w:rPr>
          <w:rFonts w:eastAsia="Times New Roman"/>
          <w:sz w:val="24"/>
          <w:szCs w:val="24"/>
        </w:rPr>
        <w:t>, 84 Colo. 511, 272 P. 6 (1928).</w:t>
      </w:r>
    </w:p>
    <w:p w14:paraId="20EE7DD5" w14:textId="0C12A0F7" w:rsidR="000565E1" w:rsidRPr="000F16A5" w:rsidRDefault="000565E1" w:rsidP="000565E1">
      <w:pPr>
        <w:spacing w:after="240"/>
        <w:ind w:firstLine="720"/>
        <w:rPr>
          <w:rFonts w:eastAsia="Times New Roman"/>
          <w:sz w:val="24"/>
          <w:szCs w:val="24"/>
        </w:rPr>
      </w:pPr>
      <w:r>
        <w:rPr>
          <w:rFonts w:eastAsia="Times New Roman"/>
          <w:sz w:val="24"/>
          <w:szCs w:val="24"/>
        </w:rPr>
        <w:t xml:space="preserve">2. Determining life expectancy is a jury question. </w:t>
      </w:r>
      <w:r w:rsidRPr="000565E1">
        <w:rPr>
          <w:rFonts w:eastAsia="Times New Roman"/>
          <w:b/>
          <w:bCs/>
          <w:sz w:val="24"/>
          <w:szCs w:val="24"/>
        </w:rPr>
        <w:t>Gresser v</w:t>
      </w:r>
      <w:r>
        <w:rPr>
          <w:rFonts w:eastAsia="Times New Roman"/>
          <w:b/>
          <w:bCs/>
          <w:sz w:val="24"/>
          <w:szCs w:val="24"/>
        </w:rPr>
        <w:t>.</w:t>
      </w:r>
      <w:r w:rsidRPr="000565E1">
        <w:rPr>
          <w:rFonts w:eastAsia="Times New Roman"/>
          <w:b/>
          <w:bCs/>
          <w:sz w:val="24"/>
          <w:szCs w:val="24"/>
        </w:rPr>
        <w:t xml:space="preserve"> Banner Health</w:t>
      </w:r>
      <w:r>
        <w:rPr>
          <w:rFonts w:eastAsia="Times New Roman"/>
          <w:sz w:val="24"/>
          <w:szCs w:val="24"/>
        </w:rPr>
        <w:t>, 2023 COA 108, ¶¶ 68–96, 543 P.3d 1059</w:t>
      </w:r>
      <w:r w:rsidR="00575EB1">
        <w:rPr>
          <w:rFonts w:eastAsia="Times New Roman"/>
          <w:sz w:val="24"/>
          <w:szCs w:val="24"/>
        </w:rPr>
        <w:t xml:space="preserve"> (</w:t>
      </w:r>
      <w:r w:rsidR="00575EB1" w:rsidRPr="00575EB1">
        <w:rPr>
          <w:rFonts w:eastAsia="Times New Roman"/>
          <w:i/>
          <w:iCs/>
          <w:sz w:val="24"/>
          <w:szCs w:val="24"/>
        </w:rPr>
        <w:t>cert. granted</w:t>
      </w:r>
      <w:r w:rsidR="00575EB1">
        <w:rPr>
          <w:rFonts w:eastAsia="Times New Roman"/>
          <w:sz w:val="24"/>
          <w:szCs w:val="24"/>
        </w:rPr>
        <w:t xml:space="preserve"> Sept. 9, 2024)</w:t>
      </w:r>
      <w:r>
        <w:rPr>
          <w:rFonts w:eastAsia="Times New Roman"/>
          <w:sz w:val="24"/>
          <w:szCs w:val="24"/>
        </w:rPr>
        <w:t xml:space="preserve">. </w:t>
      </w:r>
    </w:p>
    <w:p w14:paraId="2609FC29" w14:textId="77777777" w:rsidR="000565E1" w:rsidRDefault="000565E1" w:rsidP="00506631">
      <w:pPr>
        <w:spacing w:after="240"/>
        <w:ind w:firstLine="720"/>
        <w:rPr>
          <w:rFonts w:eastAsia="Times New Roman"/>
          <w:sz w:val="24"/>
          <w:szCs w:val="24"/>
        </w:rPr>
      </w:pP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5" w:name="a5_6"/>
      <w:bookmarkEnd w:id="5"/>
      <w:r w:rsidRPr="00BC758C">
        <w:rPr>
          <w:rFonts w:eastAsia="Times New Roman"/>
          <w:b/>
          <w:sz w:val="24"/>
          <w:szCs w:val="24"/>
        </w:rPr>
        <w:lastRenderedPageBreak/>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6" w:name="a5_7"/>
      <w:bookmarkEnd w:id="6"/>
      <w:r w:rsidRPr="00E14212">
        <w:rPr>
          <w:rFonts w:eastAsia="Times New Roman"/>
          <w:b/>
          <w:sz w:val="24"/>
          <w:szCs w:val="24"/>
        </w:rPr>
        <w:lastRenderedPageBreak/>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5164C7F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5E99" w14:textId="77777777" w:rsidR="00255211" w:rsidRDefault="00255211" w:rsidP="0054263B">
      <w:r>
        <w:separator/>
      </w:r>
    </w:p>
    <w:p w14:paraId="23E6E2A2" w14:textId="77777777" w:rsidR="00255211" w:rsidRDefault="00255211"/>
  </w:endnote>
  <w:endnote w:type="continuationSeparator" w:id="0">
    <w:p w14:paraId="3B66226A" w14:textId="77777777" w:rsidR="00255211" w:rsidRDefault="00255211" w:rsidP="0054263B">
      <w:r>
        <w:continuationSeparator/>
      </w:r>
    </w:p>
    <w:p w14:paraId="58432196" w14:textId="77777777" w:rsidR="00255211" w:rsidRDefault="0025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B2223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F846" w14:textId="77777777" w:rsidR="00255211" w:rsidRDefault="00255211" w:rsidP="0054263B">
      <w:r>
        <w:separator/>
      </w:r>
    </w:p>
    <w:p w14:paraId="1AAE6049" w14:textId="77777777" w:rsidR="00255211" w:rsidRDefault="00255211"/>
  </w:footnote>
  <w:footnote w:type="continuationSeparator" w:id="0">
    <w:p w14:paraId="476820EB" w14:textId="77777777" w:rsidR="00255211" w:rsidRDefault="00255211" w:rsidP="0054263B">
      <w:r>
        <w:continuationSeparator/>
      </w:r>
    </w:p>
    <w:p w14:paraId="00C3A766" w14:textId="77777777" w:rsidR="00255211" w:rsidRDefault="00255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68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6100"/>
    <w:rsid w:val="00037111"/>
    <w:rsid w:val="00052C46"/>
    <w:rsid w:val="000565E1"/>
    <w:rsid w:val="0008545A"/>
    <w:rsid w:val="00085495"/>
    <w:rsid w:val="000921F1"/>
    <w:rsid w:val="00093931"/>
    <w:rsid w:val="000C0F3E"/>
    <w:rsid w:val="000C6F97"/>
    <w:rsid w:val="001117D9"/>
    <w:rsid w:val="001146FE"/>
    <w:rsid w:val="001305D1"/>
    <w:rsid w:val="00130D7F"/>
    <w:rsid w:val="0016520C"/>
    <w:rsid w:val="00171069"/>
    <w:rsid w:val="00172674"/>
    <w:rsid w:val="00182044"/>
    <w:rsid w:val="001903CB"/>
    <w:rsid w:val="001913B1"/>
    <w:rsid w:val="00191498"/>
    <w:rsid w:val="001A2648"/>
    <w:rsid w:val="001A49DA"/>
    <w:rsid w:val="001C5769"/>
    <w:rsid w:val="001D3C87"/>
    <w:rsid w:val="001E55E8"/>
    <w:rsid w:val="00200BA5"/>
    <w:rsid w:val="002065D8"/>
    <w:rsid w:val="0021368F"/>
    <w:rsid w:val="0022134E"/>
    <w:rsid w:val="00223286"/>
    <w:rsid w:val="00235B34"/>
    <w:rsid w:val="00255211"/>
    <w:rsid w:val="00297285"/>
    <w:rsid w:val="002A23B0"/>
    <w:rsid w:val="002C3947"/>
    <w:rsid w:val="002E0970"/>
    <w:rsid w:val="00301CFB"/>
    <w:rsid w:val="003247EA"/>
    <w:rsid w:val="00336CE4"/>
    <w:rsid w:val="00352111"/>
    <w:rsid w:val="003563DF"/>
    <w:rsid w:val="003613FE"/>
    <w:rsid w:val="00376A34"/>
    <w:rsid w:val="003937B8"/>
    <w:rsid w:val="003A11F9"/>
    <w:rsid w:val="003B32F5"/>
    <w:rsid w:val="003D1A6B"/>
    <w:rsid w:val="003D731E"/>
    <w:rsid w:val="003F108C"/>
    <w:rsid w:val="00423AA5"/>
    <w:rsid w:val="004255C6"/>
    <w:rsid w:val="004425AA"/>
    <w:rsid w:val="00452874"/>
    <w:rsid w:val="00456038"/>
    <w:rsid w:val="00467B80"/>
    <w:rsid w:val="00471618"/>
    <w:rsid w:val="004B6778"/>
    <w:rsid w:val="004C62F9"/>
    <w:rsid w:val="004D60E5"/>
    <w:rsid w:val="004E18A0"/>
    <w:rsid w:val="004E7EF1"/>
    <w:rsid w:val="00506631"/>
    <w:rsid w:val="00511CB9"/>
    <w:rsid w:val="00514CA7"/>
    <w:rsid w:val="00522AFB"/>
    <w:rsid w:val="00531E26"/>
    <w:rsid w:val="00531F87"/>
    <w:rsid w:val="0053688F"/>
    <w:rsid w:val="0054263B"/>
    <w:rsid w:val="00557FCC"/>
    <w:rsid w:val="00575EB1"/>
    <w:rsid w:val="0058333E"/>
    <w:rsid w:val="005917DB"/>
    <w:rsid w:val="005A3DB9"/>
    <w:rsid w:val="005B122D"/>
    <w:rsid w:val="005B3A78"/>
    <w:rsid w:val="005B41A9"/>
    <w:rsid w:val="005C5B4C"/>
    <w:rsid w:val="005D1DD8"/>
    <w:rsid w:val="005D3156"/>
    <w:rsid w:val="005F208B"/>
    <w:rsid w:val="006272FE"/>
    <w:rsid w:val="00627E27"/>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1759"/>
    <w:rsid w:val="007532AB"/>
    <w:rsid w:val="00755E9A"/>
    <w:rsid w:val="00771A76"/>
    <w:rsid w:val="0078421F"/>
    <w:rsid w:val="007A3A0E"/>
    <w:rsid w:val="007A612E"/>
    <w:rsid w:val="007C0D2F"/>
    <w:rsid w:val="007C5193"/>
    <w:rsid w:val="007D2BCE"/>
    <w:rsid w:val="007D6198"/>
    <w:rsid w:val="007E1675"/>
    <w:rsid w:val="007F7129"/>
    <w:rsid w:val="00801691"/>
    <w:rsid w:val="008066E2"/>
    <w:rsid w:val="0082168C"/>
    <w:rsid w:val="0083264A"/>
    <w:rsid w:val="00832DB4"/>
    <w:rsid w:val="0083508A"/>
    <w:rsid w:val="00837F81"/>
    <w:rsid w:val="00840F42"/>
    <w:rsid w:val="008446B7"/>
    <w:rsid w:val="00845F81"/>
    <w:rsid w:val="00850A48"/>
    <w:rsid w:val="00853ECF"/>
    <w:rsid w:val="0086380E"/>
    <w:rsid w:val="00864C8B"/>
    <w:rsid w:val="00875064"/>
    <w:rsid w:val="00881C14"/>
    <w:rsid w:val="008A149A"/>
    <w:rsid w:val="008B1617"/>
    <w:rsid w:val="008C05F9"/>
    <w:rsid w:val="008C315D"/>
    <w:rsid w:val="008D78F2"/>
    <w:rsid w:val="008E1370"/>
    <w:rsid w:val="008E41F1"/>
    <w:rsid w:val="008F4C42"/>
    <w:rsid w:val="00902A25"/>
    <w:rsid w:val="00914128"/>
    <w:rsid w:val="0091711B"/>
    <w:rsid w:val="00935DA8"/>
    <w:rsid w:val="00956791"/>
    <w:rsid w:val="0095709A"/>
    <w:rsid w:val="00985E2E"/>
    <w:rsid w:val="009902F2"/>
    <w:rsid w:val="009A5EFC"/>
    <w:rsid w:val="009A6C2E"/>
    <w:rsid w:val="009B6746"/>
    <w:rsid w:val="009D3104"/>
    <w:rsid w:val="009E0285"/>
    <w:rsid w:val="009E20C7"/>
    <w:rsid w:val="009E3DA4"/>
    <w:rsid w:val="009F47F0"/>
    <w:rsid w:val="00A35384"/>
    <w:rsid w:val="00A36457"/>
    <w:rsid w:val="00A400B9"/>
    <w:rsid w:val="00A54674"/>
    <w:rsid w:val="00A643C0"/>
    <w:rsid w:val="00A73AE6"/>
    <w:rsid w:val="00A769CC"/>
    <w:rsid w:val="00A80C10"/>
    <w:rsid w:val="00AA25F3"/>
    <w:rsid w:val="00AA6D6E"/>
    <w:rsid w:val="00AB011A"/>
    <w:rsid w:val="00AB6188"/>
    <w:rsid w:val="00B0264D"/>
    <w:rsid w:val="00B06831"/>
    <w:rsid w:val="00B22238"/>
    <w:rsid w:val="00B37722"/>
    <w:rsid w:val="00B4542A"/>
    <w:rsid w:val="00B567C1"/>
    <w:rsid w:val="00B579DF"/>
    <w:rsid w:val="00B6275E"/>
    <w:rsid w:val="00B70D68"/>
    <w:rsid w:val="00B72D6B"/>
    <w:rsid w:val="00B937E4"/>
    <w:rsid w:val="00B94952"/>
    <w:rsid w:val="00BA750F"/>
    <w:rsid w:val="00BB0F06"/>
    <w:rsid w:val="00BC49BF"/>
    <w:rsid w:val="00BC758C"/>
    <w:rsid w:val="00BE2B09"/>
    <w:rsid w:val="00BE654D"/>
    <w:rsid w:val="00BF6B6D"/>
    <w:rsid w:val="00C16D9B"/>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36E0"/>
    <w:rsid w:val="00CE593D"/>
    <w:rsid w:val="00D05926"/>
    <w:rsid w:val="00D06D8D"/>
    <w:rsid w:val="00D121AA"/>
    <w:rsid w:val="00D333AA"/>
    <w:rsid w:val="00D40E5F"/>
    <w:rsid w:val="00D823ED"/>
    <w:rsid w:val="00D8688D"/>
    <w:rsid w:val="00D97DD0"/>
    <w:rsid w:val="00DB2C90"/>
    <w:rsid w:val="00DC63A9"/>
    <w:rsid w:val="00DC66A6"/>
    <w:rsid w:val="00DD6C4A"/>
    <w:rsid w:val="00DE2930"/>
    <w:rsid w:val="00DE5CC7"/>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1E2D"/>
    <w:rsid w:val="00EF488A"/>
    <w:rsid w:val="00EF4E84"/>
    <w:rsid w:val="00F17B86"/>
    <w:rsid w:val="00F32AA4"/>
    <w:rsid w:val="00F764F4"/>
    <w:rsid w:val="00FA7B76"/>
    <w:rsid w:val="00FB760B"/>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B0F0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7589</Words>
  <Characters>43261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Ellen Buckley</dc:creator>
  <cp:lastModifiedBy>beck, jeremy</cp:lastModifiedBy>
  <cp:revision>3</cp:revision>
  <dcterms:created xsi:type="dcterms:W3CDTF">2025-01-27T20:14:00Z</dcterms:created>
  <dcterms:modified xsi:type="dcterms:W3CDTF">2025-02-11T19:00:00Z</dcterms:modified>
</cp:coreProperties>
</file>