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19D42" w14:textId="77777777" w:rsidR="00CA41CC" w:rsidRPr="00914128" w:rsidRDefault="0068336D" w:rsidP="00914128">
      <w:pPr>
        <w:pStyle w:val="Heading1"/>
      </w:pPr>
      <w:bookmarkStart w:id="0" w:name="_GoBack"/>
      <w:bookmarkEnd w:id="0"/>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9F1548" w:rsidP="00914128">
      <w:pPr>
        <w:pStyle w:val="ToC"/>
      </w:pPr>
      <w:hyperlink w:anchor="a25_01" w:history="1">
        <w:r w:rsidR="00232C53" w:rsidRPr="00107079">
          <w:rPr>
            <w:rStyle w:val="Hyperlink"/>
          </w:rPr>
          <w:t>25:1</w:t>
        </w:r>
      </w:hyperlink>
      <w:r w:rsidR="00232C53" w:rsidRPr="00107079">
        <w:t xml:space="preserve"> </w:t>
      </w:r>
      <w:r w:rsidR="00232C53" w:rsidRPr="00107079">
        <w:tab/>
        <w:t xml:space="preserve">Elements </w:t>
      </w:r>
      <w:r w:rsidR="00232C53">
        <w:t>of</w:t>
      </w:r>
      <w:r w:rsidR="00232C53" w:rsidRPr="00107079">
        <w:t xml:space="preserve"> Liability — Third-Party Claims</w:t>
      </w:r>
    </w:p>
    <w:p w14:paraId="66B2F1F5" w14:textId="77777777" w:rsidR="00107079" w:rsidRDefault="009F1548" w:rsidP="00914128">
      <w:pPr>
        <w:pStyle w:val="ToC"/>
      </w:pPr>
      <w:hyperlink w:anchor="a25_02" w:history="1">
        <w:r w:rsidR="00232C53" w:rsidRPr="00107079">
          <w:rPr>
            <w:rStyle w:val="Hyperlink"/>
          </w:rPr>
          <w:t>25:2</w:t>
        </w:r>
      </w:hyperlink>
      <w:r w:rsidR="00232C53" w:rsidRPr="00107079">
        <w:t xml:space="preserve"> </w:t>
      </w:r>
      <w:r w:rsidR="00232C53" w:rsidRPr="00107079">
        <w:tab/>
        <w:t xml:space="preserve">Elements </w:t>
      </w:r>
      <w:r w:rsidR="00232C53">
        <w:t>of</w:t>
      </w:r>
      <w:r w:rsidR="00232C53" w:rsidRPr="00107079">
        <w:t xml:space="preserve"> Liability — First-Party Common-Law Claims</w:t>
      </w:r>
    </w:p>
    <w:p w14:paraId="79F92256" w14:textId="77777777" w:rsidR="00107079" w:rsidRDefault="009F1548" w:rsidP="00914128">
      <w:pPr>
        <w:pStyle w:val="ToC"/>
      </w:pPr>
      <w:hyperlink w:anchor="a25_03" w:history="1">
        <w:r w:rsidR="00232C53" w:rsidRPr="00107079">
          <w:rPr>
            <w:rStyle w:val="Hyperlink"/>
          </w:rPr>
          <w:t>25:3</w:t>
        </w:r>
      </w:hyperlink>
      <w:r w:rsidR="00232C53" w:rsidRPr="00107079">
        <w:t xml:space="preserve"> </w:t>
      </w:r>
      <w:r w:rsidR="00232C53" w:rsidRPr="00107079">
        <w:tab/>
        <w:t xml:space="preserve">Unreasonable Conduct/Unreasonable </w:t>
      </w:r>
      <w:r w:rsidR="00232C53">
        <w:t xml:space="preserve">Position — Common-Law Claims — </w:t>
      </w:r>
      <w:r w:rsidR="00232C53" w:rsidRPr="00107079">
        <w:t>Defined</w:t>
      </w:r>
    </w:p>
    <w:p w14:paraId="65A73161" w14:textId="77777777" w:rsidR="00107079" w:rsidRDefault="009F1548" w:rsidP="00914128">
      <w:pPr>
        <w:pStyle w:val="ToC"/>
      </w:pPr>
      <w:hyperlink w:anchor="a25_04" w:history="1">
        <w:r w:rsidR="00232C53" w:rsidRPr="00107079">
          <w:rPr>
            <w:rStyle w:val="Hyperlink"/>
          </w:rPr>
          <w:t>25:4</w:t>
        </w:r>
      </w:hyperlink>
      <w:r w:rsidR="00232C53" w:rsidRPr="00107079">
        <w:t xml:space="preserve"> </w:t>
      </w:r>
      <w:r w:rsidR="00232C53" w:rsidRPr="00107079">
        <w:tab/>
        <w:t xml:space="preserve">Elements </w:t>
      </w:r>
      <w:r w:rsidR="00232C53">
        <w:t>of</w:t>
      </w:r>
      <w:r w:rsidR="00232C53" w:rsidRPr="00107079">
        <w:t xml:space="preserve"> Liability — First-Party Statutory Claims</w:t>
      </w:r>
    </w:p>
    <w:p w14:paraId="5A1E450E" w14:textId="2A1D178F" w:rsidR="00107079" w:rsidRDefault="009F1548" w:rsidP="00914128">
      <w:pPr>
        <w:pStyle w:val="ToC"/>
      </w:pPr>
      <w:hyperlink w:anchor="a25_05" w:history="1">
        <w:r w:rsidR="00232C53" w:rsidRPr="00107079">
          <w:rPr>
            <w:rStyle w:val="Hyperlink"/>
          </w:rPr>
          <w:t>25:5</w:t>
        </w:r>
      </w:hyperlink>
      <w:r w:rsidR="00232C53" w:rsidRPr="00107079">
        <w:tab/>
        <w:t xml:space="preserve">Unreasonable Delay </w:t>
      </w:r>
      <w:r w:rsidR="00232C53">
        <w:t>or</w:t>
      </w:r>
      <w:r w:rsidR="00232C53" w:rsidRPr="00107079">
        <w:t xml:space="preserve"> Denial</w:t>
      </w:r>
    </w:p>
    <w:p w14:paraId="564C1CBA" w14:textId="77777777" w:rsidR="00107079" w:rsidRDefault="009F1548" w:rsidP="00914128">
      <w:pPr>
        <w:pStyle w:val="ToC"/>
      </w:pPr>
      <w:hyperlink w:anchor="a25_06" w:history="1">
        <w:r w:rsidR="00232C53" w:rsidRPr="00107079">
          <w:rPr>
            <w:rStyle w:val="Hyperlink"/>
          </w:rPr>
          <w:t>25:6</w:t>
        </w:r>
      </w:hyperlink>
      <w:r w:rsidR="00232C53" w:rsidRPr="00107079">
        <w:t xml:space="preserve"> </w:t>
      </w:r>
      <w:r w:rsidR="00232C53" w:rsidRPr="00107079">
        <w:tab/>
        <w:t>Unreasonable Conduct/Unreasonable Position — Statutory Violations — Defined</w:t>
      </w:r>
    </w:p>
    <w:p w14:paraId="40F6E1F7" w14:textId="77777777" w:rsidR="00107079" w:rsidRDefault="009F1548" w:rsidP="00914128">
      <w:pPr>
        <w:pStyle w:val="ToC"/>
      </w:pPr>
      <w:hyperlink w:anchor="a25_07" w:history="1">
        <w:r w:rsidR="00232C53" w:rsidRPr="00107079">
          <w:rPr>
            <w:rStyle w:val="Hyperlink"/>
          </w:rPr>
          <w:t>25:7</w:t>
        </w:r>
      </w:hyperlink>
      <w:r w:rsidR="00232C53" w:rsidRPr="00107079">
        <w:t xml:space="preserve"> </w:t>
      </w:r>
      <w:r w:rsidR="00232C53" w:rsidRPr="00107079">
        <w:tab/>
        <w:t xml:space="preserve">Reckless </w:t>
      </w:r>
      <w:proofErr w:type="gramStart"/>
      <w:r w:rsidR="00232C53" w:rsidRPr="00107079">
        <w:t>Disregard</w:t>
      </w:r>
      <w:proofErr w:type="gramEnd"/>
      <w:r w:rsidR="00232C53" w:rsidRPr="00107079">
        <w:t xml:space="preserve"> — Defined</w:t>
      </w:r>
    </w:p>
    <w:p w14:paraId="5A4784C4" w14:textId="77777777" w:rsidR="00107079" w:rsidRDefault="009F1548" w:rsidP="00914128">
      <w:pPr>
        <w:pStyle w:val="ToC"/>
      </w:pPr>
      <w:hyperlink w:anchor="a25_08" w:history="1">
        <w:r w:rsidR="00232C53" w:rsidRPr="00107079">
          <w:rPr>
            <w:rStyle w:val="Hyperlink"/>
          </w:rPr>
          <w:t>25:8</w:t>
        </w:r>
      </w:hyperlink>
      <w:r w:rsidR="00232C53" w:rsidRPr="00107079">
        <w:t xml:space="preserve"> </w:t>
      </w:r>
      <w:r w:rsidR="00232C53" w:rsidRPr="00107079">
        <w:tab/>
      </w:r>
      <w:proofErr w:type="gramStart"/>
      <w:r w:rsidR="00232C53" w:rsidRPr="00107079">
        <w:t>Duty</w:t>
      </w:r>
      <w:proofErr w:type="gramEnd"/>
      <w:r w:rsidR="00232C53" w:rsidRPr="00107079">
        <w:t xml:space="preserve"> </w:t>
      </w:r>
      <w:r w:rsidR="00232C53">
        <w:t>of</w:t>
      </w:r>
      <w:r w:rsidR="00232C53" w:rsidRPr="00107079">
        <w:t xml:space="preserve"> Good Faith </w:t>
      </w:r>
      <w:r w:rsidR="00232C53">
        <w:t>and</w:t>
      </w:r>
      <w:r w:rsidR="00232C53" w:rsidRPr="00107079">
        <w:t xml:space="preserve"> Fair Dealing</w:t>
      </w:r>
    </w:p>
    <w:p w14:paraId="04BD2A59" w14:textId="77777777" w:rsidR="00107079" w:rsidRDefault="009F1548" w:rsidP="00914128">
      <w:pPr>
        <w:pStyle w:val="ToC"/>
      </w:pPr>
      <w:hyperlink w:anchor="a25_09" w:history="1">
        <w:r w:rsidR="00232C53" w:rsidRPr="00107079">
          <w:rPr>
            <w:rStyle w:val="Hyperlink"/>
          </w:rPr>
          <w:t>25:9</w:t>
        </w:r>
      </w:hyperlink>
      <w:r w:rsidR="00232C53" w:rsidRPr="00107079">
        <w:t xml:space="preserve"> </w:t>
      </w:r>
      <w:r w:rsidR="00232C53" w:rsidRPr="00107079">
        <w:tab/>
        <w:t>Actual Damages — Common-Law Claims</w:t>
      </w:r>
    </w:p>
    <w:p w14:paraId="680E5552" w14:textId="77777777" w:rsidR="00107079" w:rsidRDefault="009F1548" w:rsidP="00914128">
      <w:pPr>
        <w:pStyle w:val="ToC"/>
      </w:pPr>
      <w:hyperlink w:anchor="a25_10" w:history="1">
        <w:r w:rsidR="00232C53" w:rsidRPr="00107079">
          <w:rPr>
            <w:rStyle w:val="Hyperlink"/>
          </w:rPr>
          <w:t>25:10</w:t>
        </w:r>
      </w:hyperlink>
      <w:r w:rsidR="00232C53" w:rsidRPr="00107079">
        <w:tab/>
        <w:t>Benefit Amount — First-Party Statutory Claims</w:t>
      </w:r>
    </w:p>
    <w:p w14:paraId="08EC2573" w14:textId="77777777" w:rsidR="00107079" w:rsidRDefault="009F1548" w:rsidP="00914128">
      <w:pPr>
        <w:pStyle w:val="ToC"/>
      </w:pPr>
      <w:hyperlink w:anchor="a25_11" w:history="1">
        <w:r w:rsidR="00232C53" w:rsidRPr="00107079">
          <w:rPr>
            <w:rStyle w:val="Hyperlink"/>
          </w:rPr>
          <w:t>25:11</w:t>
        </w:r>
      </w:hyperlink>
      <w:r w:rsidR="00232C53" w:rsidRPr="00107079">
        <w:t xml:space="preserve"> </w:t>
      </w:r>
      <w:r w:rsidR="00232C53"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1" w:name="a25_01"/>
      <w:bookmarkEnd w:id="1"/>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on (his) (her) (its)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 xml:space="preserve">Olson v. State Farm Mut. Auto. </w:t>
      </w:r>
      <w:proofErr w:type="gramStart"/>
      <w:r w:rsidRPr="00F94DD6">
        <w:rPr>
          <w:rFonts w:eastAsia="Times New Roman"/>
          <w:b/>
          <w:sz w:val="24"/>
          <w:szCs w:val="24"/>
        </w:rPr>
        <w:t>Ins. Co.</w:t>
      </w:r>
      <w:r w:rsidRPr="00F94DD6">
        <w:rPr>
          <w:rFonts w:eastAsia="Times New Roman"/>
          <w:sz w:val="24"/>
          <w:szCs w:val="24"/>
        </w:rPr>
        <w:t>, 174 P.3d 849 (Colo. App. 2007) (same).</w:t>
      </w:r>
      <w:proofErr w:type="gramEnd"/>
      <w:r w:rsidRPr="00F94DD6">
        <w:rPr>
          <w:rFonts w:eastAsia="Times New Roman"/>
          <w:sz w:val="24"/>
          <w:szCs w:val="24"/>
        </w:rPr>
        <w:t xml:space="preserv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proofErr w:type="gramStart"/>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706 P.2d 1258 (Colo. 1985) (requiring insurer knowledge or reckless disregard of its unreasonable conduct).</w:t>
      </w:r>
      <w:proofErr w:type="gramEnd"/>
      <w:r w:rsidRPr="00F94DD6">
        <w:rPr>
          <w:rFonts w:eastAsia="Times New Roman"/>
          <w:sz w:val="24"/>
          <w:szCs w:val="24"/>
        </w:rPr>
        <w:t xml:space="preserve">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 xml:space="preserve">Brodeur v. Am. Home Assur. </w:t>
      </w:r>
      <w:proofErr w:type="gramStart"/>
      <w:r w:rsidRPr="001D31A6">
        <w:rPr>
          <w:rFonts w:eastAsia="Times New Roman"/>
          <w:b/>
          <w:sz w:val="24"/>
          <w:szCs w:val="24"/>
        </w:rPr>
        <w:t>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w:t>
      </w:r>
      <w:proofErr w:type="gramEnd"/>
      <w:r w:rsidRPr="001D31A6">
        <w:rPr>
          <w:rFonts w:eastAsia="Times New Roman"/>
          <w:b/>
          <w:sz w:val="24"/>
          <w:szCs w:val="24"/>
        </w:rPr>
        <w:t xml:space="preserve"> Auto. </w:t>
      </w:r>
      <w:proofErr w:type="gramStart"/>
      <w:r w:rsidRPr="001D31A6">
        <w:rPr>
          <w:rFonts w:eastAsia="Times New Roman"/>
          <w:b/>
          <w:sz w:val="24"/>
          <w:szCs w:val="24"/>
        </w:rPr>
        <w:t>Ins. Co.</w:t>
      </w:r>
      <w:r w:rsidRPr="001D31A6">
        <w:rPr>
          <w:rFonts w:eastAsia="Times New Roman"/>
          <w:sz w:val="24"/>
          <w:szCs w:val="24"/>
        </w:rPr>
        <w:t>, 174 P.3d 849 (Colo. App. 2007).</w:t>
      </w:r>
      <w:proofErr w:type="gramEnd"/>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w:t>
      </w:r>
      <w:proofErr w:type="gramStart"/>
      <w:r w:rsidRPr="001D31A6">
        <w:rPr>
          <w:rFonts w:eastAsia="Times New Roman"/>
          <w:sz w:val="24"/>
          <w:szCs w:val="24"/>
        </w:rPr>
        <w:t>691 P.2d at 1141</w:t>
      </w:r>
      <w:proofErr w:type="gramEnd"/>
      <w:r w:rsidRPr="001D31A6">
        <w:rPr>
          <w:rFonts w:eastAsia="Times New Roman"/>
          <w:sz w:val="24"/>
          <w:szCs w:val="24"/>
        </w:rPr>
        <w:t xml:space="preserve">.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proofErr w:type="gramStart"/>
      <w:r w:rsidRPr="001D31A6">
        <w:rPr>
          <w:rFonts w:eastAsia="Times New Roman"/>
          <w:b/>
          <w:sz w:val="24"/>
          <w:szCs w:val="24"/>
        </w:rPr>
        <w:t>Colo. Special Dists.</w:t>
      </w:r>
      <w:proofErr w:type="gramEnd"/>
      <w:r w:rsidRPr="001D31A6">
        <w:rPr>
          <w:rFonts w:eastAsia="Times New Roman"/>
          <w:b/>
          <w:sz w:val="24"/>
          <w:szCs w:val="24"/>
        </w:rPr>
        <w:t xml:space="preserve"> Prop. </w:t>
      </w:r>
      <w:proofErr w:type="gramStart"/>
      <w:r w:rsidRPr="001D31A6">
        <w:rPr>
          <w:rFonts w:eastAsia="Times New Roman"/>
          <w:b/>
          <w:sz w:val="24"/>
          <w:szCs w:val="24"/>
        </w:rPr>
        <w:t>&amp; Liab.</w:t>
      </w:r>
      <w:proofErr w:type="gramEnd"/>
      <w:r w:rsidRPr="001D31A6">
        <w:rPr>
          <w:rFonts w:eastAsia="Times New Roman"/>
          <w:b/>
          <w:sz w:val="24"/>
          <w:szCs w:val="24"/>
        </w:rPr>
        <w:t xml:space="preserve">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 xml:space="preserve">Colo. Pool </w:t>
      </w:r>
      <w:proofErr w:type="gramStart"/>
      <w:r w:rsidRPr="001D31A6">
        <w:rPr>
          <w:rFonts w:eastAsia="Times New Roman"/>
          <w:b/>
          <w:sz w:val="24"/>
          <w:szCs w:val="24"/>
        </w:rPr>
        <w:t>Sys.,</w:t>
      </w:r>
      <w:proofErr w:type="gramEnd"/>
      <w:r w:rsidRPr="001D31A6">
        <w:rPr>
          <w:rFonts w:eastAsia="Times New Roman"/>
          <w:b/>
          <w:sz w:val="24"/>
          <w:szCs w:val="24"/>
        </w:rPr>
        <w:t xml:space="preserve">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 xml:space="preserve">Thompson v. Md. </w:t>
      </w:r>
      <w:proofErr w:type="gramStart"/>
      <w:r w:rsidRPr="001D31A6">
        <w:rPr>
          <w:rFonts w:eastAsia="Times New Roman"/>
          <w:b/>
          <w:sz w:val="24"/>
          <w:szCs w:val="24"/>
        </w:rPr>
        <w:t>Cas</w:t>
      </w:r>
      <w:proofErr w:type="gramEnd"/>
      <w:r w:rsidRPr="001D31A6">
        <w:rPr>
          <w:rFonts w:eastAsia="Times New Roman"/>
          <w:b/>
          <w:sz w:val="24"/>
          <w:szCs w:val="24"/>
        </w:rPr>
        <w:t xml:space="preserve">. </w:t>
      </w:r>
      <w:proofErr w:type="gramStart"/>
      <w:r w:rsidRPr="001D31A6">
        <w:rPr>
          <w:rFonts w:eastAsia="Times New Roman"/>
          <w:b/>
          <w:sz w:val="24"/>
          <w:szCs w:val="24"/>
        </w:rPr>
        <w:t>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w:t>
      </w:r>
      <w:proofErr w:type="gramEnd"/>
      <w:r w:rsidRPr="001D31A6">
        <w:rPr>
          <w:rFonts w:eastAsia="Times New Roman"/>
          <w:b/>
          <w:sz w:val="24"/>
          <w:szCs w:val="24"/>
        </w:rPr>
        <w:t xml:space="preserve"> </w:t>
      </w:r>
      <w:proofErr w:type="gramStart"/>
      <w:r w:rsidRPr="001D31A6">
        <w:rPr>
          <w:rFonts w:eastAsia="Times New Roman"/>
          <w:b/>
          <w:sz w:val="24"/>
          <w:szCs w:val="24"/>
        </w:rPr>
        <w:t>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w:t>
      </w:r>
      <w:proofErr w:type="gramEnd"/>
      <w:r w:rsidRPr="001D31A6">
        <w:rPr>
          <w:rFonts w:eastAsia="Times New Roman"/>
          <w:b/>
          <w:sz w:val="24"/>
          <w:szCs w:val="24"/>
        </w:rPr>
        <w:t xml:space="preserve">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 xml:space="preserve">Miller v. Hartford </w:t>
      </w:r>
      <w:proofErr w:type="gramStart"/>
      <w:r w:rsidRPr="001D31A6">
        <w:rPr>
          <w:rFonts w:eastAsia="Times New Roman"/>
          <w:b/>
          <w:sz w:val="24"/>
          <w:szCs w:val="24"/>
        </w:rPr>
        <w:t>Cas</w:t>
      </w:r>
      <w:proofErr w:type="gramEnd"/>
      <w:r w:rsidRPr="001D31A6">
        <w:rPr>
          <w:rFonts w:eastAsia="Times New Roman"/>
          <w:b/>
          <w:sz w:val="24"/>
          <w:szCs w:val="24"/>
        </w:rPr>
        <w:t>.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 xml:space="preserve">Traveler’s </w:t>
      </w:r>
      <w:proofErr w:type="gramStart"/>
      <w:r w:rsidRPr="001D31A6">
        <w:rPr>
          <w:rFonts w:eastAsia="Times New Roman"/>
          <w:b/>
          <w:sz w:val="24"/>
          <w:szCs w:val="24"/>
        </w:rPr>
        <w:t>Cas</w:t>
      </w:r>
      <w:proofErr w:type="gramEnd"/>
      <w:r w:rsidRPr="001D31A6">
        <w:rPr>
          <w:rFonts w:eastAsia="Times New Roman"/>
          <w:b/>
          <w:sz w:val="24"/>
          <w:szCs w:val="24"/>
        </w:rPr>
        <w:t xml:space="preserve">. </w:t>
      </w:r>
      <w:proofErr w:type="gramStart"/>
      <w:r w:rsidRPr="001D31A6">
        <w:rPr>
          <w:rFonts w:eastAsia="Times New Roman"/>
          <w:b/>
          <w:sz w:val="24"/>
          <w:szCs w:val="24"/>
        </w:rPr>
        <w:t>Co.</w:t>
      </w:r>
      <w:r w:rsidRPr="001D31A6">
        <w:rPr>
          <w:rFonts w:eastAsia="Times New Roman"/>
          <w:sz w:val="24"/>
          <w:szCs w:val="24"/>
        </w:rPr>
        <w:t xml:space="preserve">, 159 P.3d 748 (Colo. App. 2006); </w:t>
      </w:r>
      <w:r w:rsidRPr="001D31A6">
        <w:rPr>
          <w:rFonts w:eastAsia="Times New Roman"/>
          <w:b/>
          <w:sz w:val="24"/>
          <w:szCs w:val="24"/>
        </w:rPr>
        <w:t>Leprino v. Nationwide Prop.</w:t>
      </w:r>
      <w:proofErr w:type="gramEnd"/>
      <w:r w:rsidRPr="001D31A6">
        <w:rPr>
          <w:rFonts w:eastAsia="Times New Roman"/>
          <w:b/>
          <w:sz w:val="24"/>
          <w:szCs w:val="24"/>
        </w:rPr>
        <w:t xml:space="preserve"> &amp; </w:t>
      </w:r>
      <w:proofErr w:type="gramStart"/>
      <w:r w:rsidRPr="001D31A6">
        <w:rPr>
          <w:rFonts w:eastAsia="Times New Roman"/>
          <w:b/>
          <w:sz w:val="24"/>
          <w:szCs w:val="24"/>
        </w:rPr>
        <w:t>Cas</w:t>
      </w:r>
      <w:proofErr w:type="gramEnd"/>
      <w:r w:rsidRPr="001D31A6">
        <w:rPr>
          <w:rFonts w:eastAsia="Times New Roman"/>
          <w:b/>
          <w:sz w:val="24"/>
          <w:szCs w:val="24"/>
        </w:rPr>
        <w:t xml:space="preserve">. </w:t>
      </w:r>
      <w:proofErr w:type="gramStart"/>
      <w:r w:rsidRPr="001D31A6">
        <w:rPr>
          <w:rFonts w:eastAsia="Times New Roman"/>
          <w:b/>
          <w:sz w:val="24"/>
          <w:szCs w:val="24"/>
        </w:rPr>
        <w:t>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roofErr w:type="gramEnd"/>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proofErr w:type="gramStart"/>
      <w:r w:rsidRPr="001D31A6">
        <w:rPr>
          <w:rFonts w:eastAsia="Times New Roman"/>
          <w:sz w:val="24"/>
          <w:szCs w:val="24"/>
        </w:rPr>
        <w:t>90 P.3d at 827</w:t>
      </w:r>
      <w:proofErr w:type="gramEnd"/>
      <w:r w:rsidRPr="001D31A6">
        <w:rPr>
          <w:rFonts w:eastAsia="Times New Roman"/>
          <w:sz w:val="24"/>
          <w:szCs w:val="24"/>
        </w:rPr>
        <w:t xml:space="preserve">.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 xml:space="preserve">does not ordinarily waive its policy defenses by payment of settlement proceeds to a claimant.”  </w:t>
      </w:r>
      <w:proofErr w:type="gramStart"/>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w:t>
      </w:r>
      <w:proofErr w:type="gramEnd"/>
      <w:r w:rsidRPr="001D31A6">
        <w:rPr>
          <w:rFonts w:eastAsia="Times New Roman"/>
          <w:b/>
          <w:sz w:val="24"/>
          <w:szCs w:val="24"/>
        </w:rPr>
        <w:t xml:space="preserve"> </w:t>
      </w:r>
      <w:proofErr w:type="gramStart"/>
      <w:r w:rsidRPr="001D31A6">
        <w:rPr>
          <w:rFonts w:eastAsia="Times New Roman"/>
          <w:b/>
          <w:sz w:val="24"/>
          <w:szCs w:val="24"/>
        </w:rPr>
        <w:t>Mut.</w:t>
      </w:r>
      <w:proofErr w:type="gramEnd"/>
      <w:r w:rsidRPr="001D31A6">
        <w:rPr>
          <w:rFonts w:eastAsia="Times New Roman"/>
          <w:b/>
          <w:sz w:val="24"/>
          <w:szCs w:val="24"/>
        </w:rPr>
        <w:t xml:space="preserve"> </w:t>
      </w:r>
      <w:proofErr w:type="gramStart"/>
      <w:r w:rsidRPr="001D31A6">
        <w:rPr>
          <w:rFonts w:eastAsia="Times New Roman"/>
          <w:b/>
          <w:sz w:val="24"/>
          <w:szCs w:val="24"/>
        </w:rPr>
        <w:t>Ins. Co.</w:t>
      </w:r>
      <w:r w:rsidRPr="001D31A6">
        <w:rPr>
          <w:rFonts w:eastAsia="Times New Roman"/>
          <w:sz w:val="24"/>
          <w:szCs w:val="24"/>
        </w:rPr>
        <w:t>, 830 P.2d 1070, 1073 (Colo. App. 1991)).</w:t>
      </w:r>
      <w:proofErr w:type="gramEnd"/>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proofErr w:type="gramStart"/>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roofErr w:type="gramEnd"/>
    </w:p>
    <w:p w14:paraId="269CC789" w14:textId="77777777"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xml:space="preserve">, 811 P.2d at1083, 1089, held that an insurer that defends the insured under a reservation of rights may seek reimbursement of defense costs after settlement or following trial if the facts at trial or determined in a declaratory judgment action prove that the claim was not covered.  </w:t>
      </w:r>
    </w:p>
    <w:p w14:paraId="679F908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w:t>
      </w:r>
      <w:proofErr w:type="gramStart"/>
      <w:r w:rsidRPr="001D31A6">
        <w:rPr>
          <w:rFonts w:eastAsia="Times New Roman"/>
          <w:sz w:val="24"/>
          <w:szCs w:val="24"/>
        </w:rPr>
        <w:t>policies that contains</w:t>
      </w:r>
      <w:proofErr w:type="gramEnd"/>
      <w:r w:rsidRPr="001D31A6">
        <w:rPr>
          <w:rFonts w:eastAsia="Times New Roman"/>
          <w:sz w:val="24"/>
          <w:szCs w:val="24"/>
        </w:rPr>
        <w:t xml:space="preserve">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 xml:space="preserve">2016 COA 164, ¶¶ 10-25 (rejecting insurer’s argument that the policy supplemental payment provision was “superseded” by its reservation of rights letter).   </w:t>
      </w:r>
    </w:p>
    <w:p w14:paraId="6F77BED7" w14:textId="77777777"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1138);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13-20-808(b</w:t>
      </w:r>
      <w:proofErr w:type="gramStart"/>
      <w:r w:rsidR="001D31A6" w:rsidRPr="001D31A6">
        <w:rPr>
          <w:rFonts w:eastAsia="Times New Roman"/>
          <w:sz w:val="24"/>
          <w:szCs w:val="24"/>
        </w:rPr>
        <w:t>)(</w:t>
      </w:r>
      <w:proofErr w:type="gramEnd"/>
      <w:r w:rsidR="001D31A6" w:rsidRPr="001D31A6">
        <w:rPr>
          <w:rFonts w:eastAsia="Times New Roman"/>
          <w:sz w:val="24"/>
          <w:szCs w:val="24"/>
        </w:rPr>
        <w:t xml:space="preserve">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proofErr w:type="gramStart"/>
      <w:r w:rsidRPr="001D31A6">
        <w:rPr>
          <w:rFonts w:eastAsia="Times New Roman"/>
          <w:i/>
          <w:sz w:val="24"/>
          <w:szCs w:val="24"/>
        </w:rPr>
        <w:t xml:space="preserve">Id. </w:t>
      </w:r>
      <w:r w:rsidRPr="001D31A6">
        <w:rPr>
          <w:rFonts w:eastAsia="Times New Roman"/>
          <w:sz w:val="24"/>
          <w:szCs w:val="24"/>
        </w:rPr>
        <w:t>at 437.</w:t>
      </w:r>
      <w:proofErr w:type="gramEnd"/>
      <w:r w:rsidRPr="001D31A6">
        <w:rPr>
          <w:rFonts w:eastAsia="Times New Roman"/>
          <w:sz w:val="24"/>
          <w:szCs w:val="24"/>
        </w:rPr>
        <w:t xml:space="preserve"> The court stated, however, “</w:t>
      </w:r>
      <w:proofErr w:type="gramStart"/>
      <w:r w:rsidRPr="001D31A6">
        <w:rPr>
          <w:rFonts w:eastAsia="Times New Roman"/>
          <w:sz w:val="24"/>
          <w:szCs w:val="24"/>
        </w:rPr>
        <w:t>we</w:t>
      </w:r>
      <w:proofErr w:type="gramEnd"/>
      <w:r w:rsidRPr="001D31A6">
        <w:rPr>
          <w:rFonts w:eastAsia="Times New Roman"/>
          <w:sz w:val="24"/>
          <w:szCs w:val="24"/>
        </w:rPr>
        <w:t xml:space="preserv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w:t>
      </w:r>
      <w:proofErr w:type="gramStart"/>
      <w:r w:rsidRPr="001D31A6">
        <w:rPr>
          <w:rFonts w:eastAsia="Times New Roman"/>
          <w:sz w:val="24"/>
          <w:szCs w:val="24"/>
        </w:rPr>
        <w:t>at</w:t>
      </w:r>
      <w:proofErr w:type="gramEnd"/>
      <w:r w:rsidRPr="001D31A6">
        <w:rPr>
          <w:rFonts w:eastAsia="Times New Roman"/>
          <w:sz w:val="24"/>
          <w:szCs w:val="24"/>
        </w:rPr>
        <w:t xml:space="preserve">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w:t>
      </w:r>
      <w:proofErr w:type="gramStart"/>
      <w:r w:rsidRPr="001D31A6">
        <w:rPr>
          <w:rFonts w:eastAsia="Times New Roman"/>
          <w:sz w:val="24"/>
          <w:szCs w:val="24"/>
        </w:rPr>
        <w:t>supreme court</w:t>
      </w:r>
      <w:proofErr w:type="gramEnd"/>
      <w:r w:rsidRPr="001D31A6">
        <w:rPr>
          <w:rFonts w:eastAsia="Times New Roman"/>
          <w:sz w:val="24"/>
          <w:szCs w:val="24"/>
        </w:rPr>
        <w:t xml:space="preserve">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EE8C9F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16. The logic of </w:t>
      </w:r>
      <w:r w:rsidRPr="001D31A6">
        <w:rPr>
          <w:rFonts w:eastAsia="Times New Roman"/>
          <w:b/>
          <w:sz w:val="24"/>
          <w:szCs w:val="24"/>
        </w:rPr>
        <w:t>Nunn</w:t>
      </w:r>
      <w:r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Pr="001D31A6">
        <w:rPr>
          <w:rFonts w:eastAsia="Times New Roman"/>
          <w:b/>
          <w:sz w:val="24"/>
          <w:szCs w:val="24"/>
        </w:rPr>
        <w:t>DC-10 Entm’t, LLC v. Manor Ins. Agency, Inc.</w:t>
      </w:r>
      <w:r w:rsidRPr="001D31A6">
        <w:rPr>
          <w:rFonts w:eastAsia="Times New Roman"/>
          <w:sz w:val="24"/>
          <w:szCs w:val="24"/>
        </w:rPr>
        <w:t xml:space="preserve">, 2013 COA 14, ¶ 14, </w:t>
      </w:r>
      <w:proofErr w:type="gramStart"/>
      <w:r w:rsidRPr="001D31A6">
        <w:rPr>
          <w:rFonts w:eastAsia="Times New Roman"/>
          <w:sz w:val="24"/>
          <w:szCs w:val="24"/>
        </w:rPr>
        <w:t>308 P.3d 1223</w:t>
      </w:r>
      <w:proofErr w:type="gramEnd"/>
      <w:r w:rsidRPr="001D31A6">
        <w:rPr>
          <w:rFonts w:eastAsia="Times New Roman"/>
          <w:sz w:val="24"/>
          <w:szCs w:val="24"/>
        </w:rPr>
        <w:t xml:space="preserve">. In that case, the insurer of a nightclub denied coverage for a fight between patrons based on </w:t>
      </w:r>
      <w:proofErr w:type="gramStart"/>
      <w:r w:rsidRPr="001D31A6">
        <w:rPr>
          <w:rFonts w:eastAsia="Times New Roman"/>
          <w:sz w:val="24"/>
          <w:szCs w:val="24"/>
        </w:rPr>
        <w:t>an exclusion</w:t>
      </w:r>
      <w:proofErr w:type="gramEnd"/>
      <w:r w:rsidRPr="001D31A6">
        <w:rPr>
          <w:rFonts w:eastAsia="Times New Roman"/>
          <w:sz w:val="24"/>
          <w:szCs w:val="24"/>
        </w:rPr>
        <w:t xml:space="preserve"> for assault and battery. The injured patron and the club entered </w:t>
      </w:r>
      <w:r w:rsidRPr="001D31A6">
        <w:rPr>
          <w:rFonts w:eastAsia="Times New Roman"/>
          <w:sz w:val="24"/>
          <w:szCs w:val="24"/>
        </w:rPr>
        <w:lastRenderedPageBreak/>
        <w:t>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17.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proofErr w:type="gramStart"/>
      <w:r w:rsidRPr="001D31A6">
        <w:rPr>
          <w:rFonts w:eastAsia="Times New Roman"/>
          <w:b/>
          <w:sz w:val="24"/>
          <w:szCs w:val="24"/>
        </w:rPr>
        <w:t>Friedland v. Travelers Indem.</w:t>
      </w:r>
      <w:proofErr w:type="gramEnd"/>
      <w:r w:rsidRPr="001D31A6">
        <w:rPr>
          <w:rFonts w:eastAsia="Times New Roman"/>
          <w:b/>
          <w:sz w:val="24"/>
          <w:szCs w:val="24"/>
        </w:rPr>
        <w:t xml:space="preserve">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18. The </w:t>
      </w:r>
      <w:proofErr w:type="gramStart"/>
      <w:r w:rsidRPr="001D31A6">
        <w:rPr>
          <w:rFonts w:eastAsia="Times New Roman"/>
          <w:sz w:val="24"/>
          <w:szCs w:val="24"/>
        </w:rPr>
        <w:t>supreme court</w:t>
      </w:r>
      <w:proofErr w:type="gramEnd"/>
      <w:r w:rsidRPr="001D31A6">
        <w:rPr>
          <w:rFonts w:eastAsia="Times New Roman"/>
          <w:sz w:val="24"/>
          <w:szCs w:val="24"/>
        </w:rPr>
        <w:t xml:space="preserve"> held that an insured’s violation of a policy’s no-voluntary-payments clause by settling with a claimant without suit and without advance notice to or the consent of its liability insurer bars coverage. </w:t>
      </w:r>
      <w:proofErr w:type="gramStart"/>
      <w:r w:rsidRPr="001D31A6">
        <w:rPr>
          <w:rFonts w:eastAsia="Times New Roman"/>
          <w:b/>
          <w:sz w:val="24"/>
          <w:szCs w:val="24"/>
        </w:rPr>
        <w:t>Travelers Prop.</w:t>
      </w:r>
      <w:proofErr w:type="gramEnd"/>
      <w:r w:rsidRPr="001D31A6">
        <w:rPr>
          <w:rFonts w:eastAsia="Times New Roman"/>
          <w:b/>
          <w:sz w:val="24"/>
          <w:szCs w:val="24"/>
        </w:rPr>
        <w:t xml:space="preserve"> </w:t>
      </w:r>
      <w:proofErr w:type="gramStart"/>
      <w:r w:rsidRPr="001D31A6">
        <w:rPr>
          <w:rFonts w:eastAsia="Times New Roman"/>
          <w:b/>
          <w:sz w:val="24"/>
          <w:szCs w:val="24"/>
        </w:rPr>
        <w:t>Cas</w:t>
      </w:r>
      <w:proofErr w:type="gramEnd"/>
      <w:r w:rsidRPr="001D31A6">
        <w:rPr>
          <w:rFonts w:eastAsia="Times New Roman"/>
          <w:b/>
          <w:sz w:val="24"/>
          <w:szCs w:val="24"/>
        </w:rPr>
        <w:t xml:space="preserve">. </w:t>
      </w:r>
      <w:proofErr w:type="gramStart"/>
      <w:r w:rsidRPr="001D31A6">
        <w:rPr>
          <w:rFonts w:eastAsia="Times New Roman"/>
          <w:b/>
          <w:sz w:val="24"/>
          <w:szCs w:val="24"/>
        </w:rPr>
        <w:t>Co. of Am. v. Stresscon Corp.</w:t>
      </w:r>
      <w:r w:rsidRPr="001D31A6">
        <w:rPr>
          <w:rFonts w:eastAsia="Times New Roman"/>
          <w:sz w:val="24"/>
          <w:szCs w:val="24"/>
        </w:rPr>
        <w:t>, 2016 CO 22M, ¶¶ 13-15, 370 P.3d 140.</w:t>
      </w:r>
      <w:proofErr w:type="gramEnd"/>
      <w:r w:rsidRPr="001D31A6">
        <w:rPr>
          <w:rFonts w:eastAsia="Times New Roman"/>
          <w:sz w:val="24"/>
          <w:szCs w:val="24"/>
        </w:rPr>
        <w:t xml:space="preserve"> The court, refusing to apply the notice-prejudice rule, held that a no-voluntary-payments clause, like the notice provision in a claims-made policy, </w:t>
      </w:r>
      <w:r w:rsidRPr="001D31A6">
        <w:rPr>
          <w:rFonts w:eastAsia="Times New Roman"/>
          <w:i/>
          <w:sz w:val="24"/>
          <w:szCs w:val="24"/>
        </w:rPr>
        <w:t xml:space="preserve">see </w:t>
      </w:r>
      <w:r w:rsidRPr="001D31A6">
        <w:rPr>
          <w:rFonts w:eastAsia="Times New Roman"/>
          <w:b/>
          <w:sz w:val="24"/>
          <w:szCs w:val="24"/>
        </w:rPr>
        <w:t xml:space="preserve">Craft v. Philadelphia Indem. Ins. Co., </w:t>
      </w:r>
      <w:r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proofErr w:type="gramStart"/>
      <w:r w:rsidRPr="001D31A6">
        <w:rPr>
          <w:rFonts w:eastAsia="Times New Roman"/>
          <w:b/>
          <w:sz w:val="24"/>
          <w:szCs w:val="24"/>
        </w:rPr>
        <w:t>Stresscon</w:t>
      </w:r>
      <w:r w:rsidRPr="001D31A6">
        <w:rPr>
          <w:rFonts w:eastAsia="Times New Roman"/>
          <w:sz w:val="24"/>
          <w:szCs w:val="24"/>
        </w:rPr>
        <w:t>, ¶ 12.</w:t>
      </w:r>
      <w:proofErr w:type="gramEnd"/>
    </w:p>
    <w:p w14:paraId="1881235E"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19. The court of appeals applied the notice-prejudice rule to violation of an occurrence policy clause requiring notice of incidents within 60 days of their occurrence. </w:t>
      </w:r>
      <w:r w:rsidRPr="001D31A6">
        <w:rPr>
          <w:rFonts w:eastAsia="Times New Roman"/>
          <w:b/>
          <w:sz w:val="24"/>
          <w:szCs w:val="24"/>
        </w:rPr>
        <w:t>MarkWest Energy Partners, L.P. v. Zurich Am. Ins. Co.</w:t>
      </w:r>
      <w:r w:rsidRPr="001D31A6">
        <w:rPr>
          <w:rFonts w:eastAsia="Times New Roman"/>
          <w:sz w:val="24"/>
          <w:szCs w:val="24"/>
        </w:rPr>
        <w:t>, 2016 COA 110, ¶ 31</w:t>
      </w:r>
      <w:r w:rsidR="0000771A">
        <w:rPr>
          <w:rFonts w:eastAsia="Times New Roman"/>
          <w:sz w:val="24"/>
          <w:szCs w:val="24"/>
        </w:rPr>
        <w:t>, 411 P.3d 1080</w:t>
      </w:r>
      <w:r w:rsidRPr="001D31A6">
        <w:rPr>
          <w:rFonts w:eastAsia="Times New Roman"/>
          <w:sz w:val="24"/>
          <w:szCs w:val="24"/>
        </w:rPr>
        <w:t xml:space="preserve">. In doing so, the court distinguished </w:t>
      </w:r>
      <w:r w:rsidRPr="001D31A6">
        <w:rPr>
          <w:rFonts w:eastAsia="Times New Roman"/>
          <w:b/>
          <w:sz w:val="24"/>
          <w:szCs w:val="24"/>
        </w:rPr>
        <w:t>Stresscon</w:t>
      </w:r>
      <w:r w:rsidRPr="001D31A6">
        <w:rPr>
          <w:rFonts w:eastAsia="Times New Roman"/>
          <w:sz w:val="24"/>
          <w:szCs w:val="24"/>
        </w:rPr>
        <w:t xml:space="preserve">, 2016 CO 22M, and </w:t>
      </w:r>
      <w:r w:rsidRPr="001D31A6">
        <w:rPr>
          <w:rFonts w:eastAsia="Times New Roman"/>
          <w:b/>
          <w:sz w:val="24"/>
          <w:szCs w:val="24"/>
        </w:rPr>
        <w:t>Craft</w:t>
      </w:r>
      <w:r w:rsidRPr="001D31A6">
        <w:rPr>
          <w:rFonts w:eastAsia="Times New Roman"/>
          <w:sz w:val="24"/>
          <w:szCs w:val="24"/>
        </w:rPr>
        <w:t xml:space="preserve">, 2015 CO 11, as dealing with policy terms that defined the scope of coverage. </w:t>
      </w:r>
      <w:r w:rsidRPr="001D31A6">
        <w:rPr>
          <w:rFonts w:eastAsia="Times New Roman"/>
          <w:b/>
          <w:sz w:val="24"/>
          <w:szCs w:val="24"/>
        </w:rPr>
        <w:t>MarkWest Energy Partners</w:t>
      </w:r>
      <w:r w:rsidRPr="001D31A6">
        <w:rPr>
          <w:rFonts w:eastAsia="Times New Roman"/>
          <w:sz w:val="24"/>
          <w:szCs w:val="24"/>
        </w:rPr>
        <w:t xml:space="preserve">, ¶¶ 24-26. Even though the 60-day notice provision was phrased as a condition precedent to coverage, the court stated that the purpose of the notice provision — avoidance of prejudice — is lacking if the insurer is unable to show prejudice from a failure to give required notice. </w:t>
      </w:r>
      <w:r w:rsidRPr="001D31A6">
        <w:rPr>
          <w:rFonts w:eastAsia="Times New Roman"/>
          <w:i/>
          <w:sz w:val="24"/>
          <w:szCs w:val="24"/>
        </w:rPr>
        <w:t>Id.</w:t>
      </w:r>
      <w:r w:rsidRPr="001D31A6">
        <w:rPr>
          <w:rFonts w:eastAsia="Times New Roman"/>
          <w:sz w:val="24"/>
          <w:szCs w:val="24"/>
        </w:rPr>
        <w:t xml:space="preserve"> at ¶¶ 29-30.</w:t>
      </w:r>
    </w:p>
    <w:p w14:paraId="2D368785" w14:textId="77777777" w:rsidR="00EE26F9" w:rsidRDefault="00B649E0" w:rsidP="00EC29A6">
      <w:pPr>
        <w:spacing w:after="240"/>
        <w:ind w:firstLine="720"/>
        <w:rPr>
          <w:rFonts w:eastAsia="Times New Roman"/>
          <w:sz w:val="24"/>
          <w:szCs w:val="24"/>
        </w:rPr>
      </w:pPr>
      <w:r w:rsidRPr="00CB62DC">
        <w:rPr>
          <w:rFonts w:eastAsia="Times New Roman"/>
          <w:sz w:val="24"/>
          <w:szCs w:val="24"/>
        </w:rPr>
        <w:t xml:space="preserve"> </w:t>
      </w:r>
    </w:p>
    <w:p w14:paraId="1FF9BFE7" w14:textId="77777777" w:rsidR="00EE26F9" w:rsidRDefault="00EE26F9" w:rsidP="00EE26F9">
      <w:r>
        <w:br w:type="page"/>
      </w:r>
    </w:p>
    <w:p w14:paraId="4B43B871" w14:textId="77777777" w:rsidR="00EE26F9" w:rsidRPr="009E3DA4" w:rsidRDefault="00EE26F9" w:rsidP="00EE26F9">
      <w:pPr>
        <w:spacing w:after="240"/>
        <w:ind w:left="720" w:hanging="720"/>
        <w:rPr>
          <w:rFonts w:eastAsia="Times New Roman"/>
          <w:b/>
          <w:sz w:val="24"/>
          <w:szCs w:val="24"/>
        </w:rPr>
      </w:pPr>
      <w:bookmarkStart w:id="2" w:name="a25_02"/>
      <w:bookmarkEnd w:id="2"/>
      <w:r w:rsidRPr="00EE26F9">
        <w:rPr>
          <w:rFonts w:eastAsia="Times New Roman"/>
          <w:b/>
          <w:sz w:val="24"/>
          <w:szCs w:val="24"/>
        </w:rPr>
        <w:lastRenderedPageBreak/>
        <w:t xml:space="preserve">25:2 </w:t>
      </w:r>
      <w:r w:rsidRPr="00EE26F9">
        <w:rPr>
          <w:rFonts w:eastAsia="Times New Roman"/>
          <w:b/>
          <w:sz w:val="24"/>
          <w:szCs w:val="24"/>
        </w:rPr>
        <w:tab/>
        <w:t>ELEMENTS OF LIABILITY — FIRST-PARTY COMMON-LAW CLAIMS</w:t>
      </w:r>
    </w:p>
    <w:p w14:paraId="00079162"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on (his) (her) (its)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3. The defendant knew that its (conduct) (position) was unreasonable or the defendant recklessly disregarded the fact that (his) (her) (its)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lastRenderedPageBreak/>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 xml:space="preserve">Am. Family Mut. </w:t>
      </w:r>
      <w:proofErr w:type="gramStart"/>
      <w:r w:rsidRPr="00EE26F9">
        <w:rPr>
          <w:rFonts w:eastAsia="Times New Roman"/>
          <w:b/>
          <w:sz w:val="24"/>
          <w:szCs w:val="24"/>
        </w:rPr>
        <w:t>Ins. Co. v. Allen</w:t>
      </w:r>
      <w:r w:rsidRPr="00EE26F9">
        <w:rPr>
          <w:rFonts w:eastAsia="Times New Roman"/>
          <w:sz w:val="24"/>
          <w:szCs w:val="24"/>
        </w:rPr>
        <w:t>, 102 P.3d 333 (Colo. 2004).</w:t>
      </w:r>
      <w:proofErr w:type="gramEnd"/>
      <w:r w:rsidRPr="00EE26F9">
        <w:rPr>
          <w:rFonts w:eastAsia="Times New Roman"/>
          <w:sz w:val="24"/>
          <w:szCs w:val="24"/>
        </w:rPr>
        <w:t xml:space="preserve">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proofErr w:type="gramStart"/>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100 P.3d 472 (Colo. App. 2003).</w:t>
      </w:r>
      <w:proofErr w:type="gramEnd"/>
      <w:r w:rsidRPr="00EE26F9">
        <w:rPr>
          <w:rFonts w:eastAsia="Times New Roman"/>
          <w:sz w:val="24"/>
          <w:szCs w:val="24"/>
        </w:rPr>
        <w:t xml:space="preserve">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 xml:space="preserve">Brodeur v. Am. Home Assur. </w:t>
      </w:r>
      <w:proofErr w:type="gramStart"/>
      <w:r w:rsidRPr="006A47FD">
        <w:rPr>
          <w:rFonts w:eastAsia="Times New Roman"/>
          <w:b/>
          <w:sz w:val="24"/>
          <w:szCs w:val="24"/>
        </w:rPr>
        <w:t>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w:t>
      </w:r>
      <w:proofErr w:type="gramEnd"/>
      <w:r w:rsidRPr="006A47FD">
        <w:rPr>
          <w:rFonts w:eastAsia="Times New Roman"/>
          <w:b/>
          <w:sz w:val="24"/>
          <w:szCs w:val="24"/>
        </w:rPr>
        <w:t xml:space="preserve"> Auto. </w:t>
      </w:r>
      <w:proofErr w:type="gramStart"/>
      <w:r w:rsidRPr="006A47FD">
        <w:rPr>
          <w:rFonts w:eastAsia="Times New Roman"/>
          <w:b/>
          <w:sz w:val="24"/>
          <w:szCs w:val="24"/>
        </w:rPr>
        <w:t>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w:t>
      </w:r>
      <w:proofErr w:type="gramEnd"/>
      <w:r w:rsidRPr="006A47FD">
        <w:rPr>
          <w:rFonts w:eastAsia="Times New Roman"/>
          <w:b/>
          <w:sz w:val="24"/>
          <w:szCs w:val="24"/>
        </w:rPr>
        <w:t xml:space="preserve"> </w:t>
      </w:r>
      <w:proofErr w:type="gramStart"/>
      <w:r w:rsidRPr="006A47FD">
        <w:rPr>
          <w:rFonts w:eastAsia="Times New Roman"/>
          <w:b/>
          <w:sz w:val="24"/>
          <w:szCs w:val="24"/>
        </w:rPr>
        <w:t>Ins. Co.</w:t>
      </w:r>
      <w:r w:rsidRPr="006A47FD">
        <w:rPr>
          <w:rFonts w:eastAsia="Times New Roman"/>
          <w:sz w:val="24"/>
          <w:szCs w:val="24"/>
        </w:rPr>
        <w:t xml:space="preserve">, 15 P.3d 775 (Colo. App. 1999); </w:t>
      </w:r>
      <w:r w:rsidRPr="006A47FD">
        <w:rPr>
          <w:rFonts w:eastAsia="Times New Roman"/>
          <w:b/>
          <w:sz w:val="24"/>
          <w:szCs w:val="24"/>
        </w:rPr>
        <w:t>Munoz v. State Farm Mut.</w:t>
      </w:r>
      <w:proofErr w:type="gramEnd"/>
      <w:r w:rsidRPr="006A47FD">
        <w:rPr>
          <w:rFonts w:eastAsia="Times New Roman"/>
          <w:b/>
          <w:sz w:val="24"/>
          <w:szCs w:val="24"/>
        </w:rPr>
        <w:t xml:space="preserve"> Auto. </w:t>
      </w:r>
      <w:proofErr w:type="gramStart"/>
      <w:r w:rsidRPr="006A47FD">
        <w:rPr>
          <w:rFonts w:eastAsia="Times New Roman"/>
          <w:b/>
          <w:sz w:val="24"/>
          <w:szCs w:val="24"/>
        </w:rPr>
        <w:t>Ins. Co.</w:t>
      </w:r>
      <w:r w:rsidRPr="006A47FD">
        <w:rPr>
          <w:rFonts w:eastAsia="Times New Roman"/>
          <w:sz w:val="24"/>
          <w:szCs w:val="24"/>
        </w:rPr>
        <w:t xml:space="preserve">, 968 P.2d 126 (Colo. App. 1998); </w:t>
      </w:r>
      <w:r w:rsidRPr="006A47FD">
        <w:rPr>
          <w:rFonts w:eastAsia="Times New Roman"/>
          <w:b/>
          <w:sz w:val="24"/>
          <w:szCs w:val="24"/>
        </w:rPr>
        <w:t>Herod v. Colo. Farm Bureau Mut.</w:t>
      </w:r>
      <w:proofErr w:type="gramEnd"/>
      <w:r w:rsidRPr="006A47FD">
        <w:rPr>
          <w:rFonts w:eastAsia="Times New Roman"/>
          <w:b/>
          <w:sz w:val="24"/>
          <w:szCs w:val="24"/>
        </w:rPr>
        <w:t xml:space="preserve">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 xml:space="preserve">Martin v. Principal </w:t>
      </w:r>
      <w:proofErr w:type="gramStart"/>
      <w:r w:rsidRPr="006A47FD">
        <w:rPr>
          <w:rFonts w:eastAsia="Times New Roman"/>
          <w:b/>
          <w:sz w:val="24"/>
          <w:szCs w:val="24"/>
        </w:rPr>
        <w:t>Cas</w:t>
      </w:r>
      <w:proofErr w:type="gramEnd"/>
      <w:r w:rsidRPr="006A47FD">
        <w:rPr>
          <w:rFonts w:eastAsia="Times New Roman"/>
          <w:b/>
          <w:sz w:val="24"/>
          <w:szCs w:val="24"/>
        </w:rPr>
        <w:t>.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 xml:space="preserve">Bolz v. Sec. Mut. </w:t>
      </w:r>
      <w:proofErr w:type="gramStart"/>
      <w:r w:rsidRPr="006A47FD">
        <w:rPr>
          <w:rFonts w:eastAsia="Times New Roman"/>
          <w:b/>
          <w:sz w:val="24"/>
          <w:szCs w:val="24"/>
        </w:rPr>
        <w:t>Life Ins. Co.</w:t>
      </w:r>
      <w:r w:rsidRPr="006A47FD">
        <w:rPr>
          <w:rFonts w:eastAsia="Times New Roman"/>
          <w:sz w:val="24"/>
          <w:szCs w:val="24"/>
        </w:rPr>
        <w:t>, 721 P.2d 1216 (Colo. App. 1986).</w:t>
      </w:r>
      <w:proofErr w:type="gramEnd"/>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proofErr w:type="gramStart"/>
      <w:r w:rsidRPr="006A47FD">
        <w:rPr>
          <w:rFonts w:eastAsia="Times New Roman"/>
          <w:b/>
          <w:sz w:val="24"/>
          <w:szCs w:val="24"/>
        </w:rPr>
        <w:t>Peiffer v. State Farm Mut.</w:t>
      </w:r>
      <w:proofErr w:type="gramEnd"/>
      <w:r w:rsidRPr="006A47FD">
        <w:rPr>
          <w:rFonts w:eastAsia="Times New Roman"/>
          <w:b/>
          <w:sz w:val="24"/>
          <w:szCs w:val="24"/>
        </w:rPr>
        <w:t xml:space="preserve"> Auto. Ins. Co.</w:t>
      </w:r>
      <w:r w:rsidRPr="006A47FD">
        <w:rPr>
          <w:rFonts w:eastAsia="Times New Roman"/>
          <w:sz w:val="24"/>
          <w:szCs w:val="24"/>
        </w:rPr>
        <w:t xml:space="preserve">, 940 P.2d 967 (Colo. App. 1996), </w:t>
      </w:r>
      <w:r w:rsidRPr="006A47FD">
        <w:rPr>
          <w:rFonts w:eastAsia="Times New Roman"/>
          <w:i/>
          <w:sz w:val="24"/>
          <w:szCs w:val="24"/>
        </w:rPr>
        <w:t>aff’d on other grounds</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29DF310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2016 COA 167, ¶ 74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w:t>
      </w:r>
      <w:r w:rsidR="00764553" w:rsidRPr="00764553">
        <w:rPr>
          <w:sz w:val="24"/>
          <w:szCs w:val="24"/>
        </w:rPr>
        <w:lastRenderedPageBreak/>
        <w:t>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proofErr w:type="gramStart"/>
      <w:r w:rsidRPr="006A47FD">
        <w:rPr>
          <w:rFonts w:eastAsia="Times New Roman"/>
          <w:i/>
          <w:sz w:val="24"/>
          <w:szCs w:val="24"/>
        </w:rPr>
        <w:t>Id.</w:t>
      </w:r>
      <w:r w:rsidRPr="006A47FD">
        <w:rPr>
          <w:rFonts w:eastAsia="Times New Roman"/>
          <w:sz w:val="24"/>
          <w:szCs w:val="24"/>
        </w:rPr>
        <w:t xml:space="preserve"> at ¶ 77.</w:t>
      </w:r>
      <w:proofErr w:type="gramEnd"/>
      <w:r w:rsidRPr="006A47FD">
        <w:rPr>
          <w:rFonts w:eastAsia="Times New Roman"/>
          <w:sz w:val="24"/>
          <w:szCs w:val="24"/>
        </w:rPr>
        <w:t xml:space="preserve">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proofErr w:type="gramStart"/>
      <w:r w:rsidRPr="006A47FD">
        <w:rPr>
          <w:rFonts w:eastAsia="Times New Roman"/>
          <w:b/>
          <w:sz w:val="24"/>
          <w:szCs w:val="24"/>
        </w:rPr>
        <w:t>Scott Wetzel Servs., Inc. v. Johnson</w:t>
      </w:r>
      <w:r w:rsidRPr="006A47FD">
        <w:rPr>
          <w:rFonts w:eastAsia="Times New Roman"/>
          <w:sz w:val="24"/>
          <w:szCs w:val="24"/>
        </w:rPr>
        <w:t>, 821 P.2d 804 (Colo. 1991).</w:t>
      </w:r>
      <w:proofErr w:type="gramEnd"/>
      <w:r w:rsidRPr="006A47FD">
        <w:rPr>
          <w:rFonts w:eastAsia="Times New Roman"/>
          <w:sz w:val="24"/>
          <w:szCs w:val="24"/>
        </w:rPr>
        <w:t xml:space="preserve">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6B1B0AB3"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xml:space="preserve">, 2016 COA 167, ¶¶ 7-14.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57E70CC4"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proofErr w:type="gramStart"/>
      <w:r w:rsidR="006A47FD" w:rsidRPr="00B8438E">
        <w:rPr>
          <w:rFonts w:eastAsia="Times New Roman"/>
          <w:b/>
          <w:sz w:val="24"/>
          <w:szCs w:val="24"/>
        </w:rPr>
        <w:t>Munoz v. Am. Family Mut.</w:t>
      </w:r>
      <w:proofErr w:type="gramEnd"/>
      <w:r w:rsidR="006A47FD" w:rsidRPr="00B8438E">
        <w:rPr>
          <w:rFonts w:eastAsia="Times New Roman"/>
          <w:b/>
          <w:sz w:val="24"/>
          <w:szCs w:val="24"/>
        </w:rPr>
        <w:t xml:space="preserve">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xml:space="preserve">, </w:t>
      </w:r>
      <w:proofErr w:type="gramStart"/>
      <w:r w:rsidR="00D32A43" w:rsidRPr="00B8438E">
        <w:rPr>
          <w:rFonts w:eastAsia="Times New Roman"/>
          <w:sz w:val="24"/>
          <w:szCs w:val="24"/>
        </w:rPr>
        <w:t>425 P.3d 1128</w:t>
      </w:r>
      <w:proofErr w:type="gramEnd"/>
      <w:r w:rsidR="006A47FD" w:rsidRPr="00B8438E">
        <w:rPr>
          <w:rFonts w:eastAsia="Times New Roman"/>
          <w:sz w:val="24"/>
          <w:szCs w:val="24"/>
        </w:rPr>
        <w:t>.</w:t>
      </w:r>
      <w:r w:rsidR="006A47FD" w:rsidRPr="00B8438E" w:rsidDel="002F19C1">
        <w:rPr>
          <w:rFonts w:eastAsia="Times New Roman"/>
          <w:sz w:val="24"/>
          <w:szCs w:val="24"/>
        </w:rPr>
        <w:t xml:space="preserve"> </w:t>
      </w:r>
    </w:p>
    <w:p w14:paraId="20AFB366" w14:textId="0D39DB82" w:rsidR="006A47FD" w:rsidRPr="006A47FD" w:rsidRDefault="0007116C" w:rsidP="006A47FD">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Employer and co-employee immunity from suit by fellow employees under Colorado’s Workers’ Compensation Act is not a bar to an injured employee’s claim for UM/UIM insurance benefits in excess of benefits due under the Act for damages caused by an at-fault co-employee driver. </w:t>
      </w:r>
      <w:proofErr w:type="gramStart"/>
      <w:r w:rsidR="006A47FD" w:rsidRPr="006A47FD">
        <w:rPr>
          <w:rFonts w:eastAsia="Times New Roman"/>
          <w:b/>
          <w:sz w:val="24"/>
          <w:szCs w:val="24"/>
        </w:rPr>
        <w:t>Am. Family Mut.</w:t>
      </w:r>
      <w:proofErr w:type="gramEnd"/>
      <w:r w:rsidR="006A47FD" w:rsidRPr="006A47FD">
        <w:rPr>
          <w:rFonts w:eastAsia="Times New Roman"/>
          <w:b/>
          <w:sz w:val="24"/>
          <w:szCs w:val="24"/>
        </w:rPr>
        <w:t xml:space="preserve"> Auto. </w:t>
      </w:r>
      <w:proofErr w:type="gramStart"/>
      <w:r w:rsidR="006A47FD" w:rsidRPr="006A47FD">
        <w:rPr>
          <w:rFonts w:eastAsia="Times New Roman"/>
          <w:b/>
          <w:sz w:val="24"/>
          <w:szCs w:val="24"/>
        </w:rPr>
        <w:t>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roofErr w:type="gramEnd"/>
    </w:p>
    <w:p w14:paraId="0F82124B" w14:textId="0D76DA26" w:rsidR="006A47FD" w:rsidRPr="006A47FD" w:rsidRDefault="0007116C" w:rsidP="006A47FD">
      <w:pPr>
        <w:spacing w:after="240"/>
        <w:ind w:firstLine="720"/>
        <w:rPr>
          <w:rFonts w:eastAsia="Times New Roman"/>
          <w:sz w:val="24"/>
          <w:szCs w:val="24"/>
        </w:rPr>
      </w:pPr>
      <w:r>
        <w:rPr>
          <w:rFonts w:eastAsia="Times New Roman"/>
          <w:sz w:val="24"/>
          <w:szCs w:val="24"/>
        </w:rPr>
        <w:lastRenderedPageBreak/>
        <w:t>9</w:t>
      </w:r>
      <w:r w:rsidR="006A47FD" w:rsidRPr="006A47FD">
        <w:rPr>
          <w:rFonts w:eastAsia="Times New Roman"/>
          <w:sz w:val="24"/>
          <w:szCs w:val="24"/>
        </w:rPr>
        <w:t xml:space="preserve">. 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96693DA" w:rsidR="006A47FD" w:rsidRPr="00100D6D" w:rsidRDefault="0007116C" w:rsidP="006A47FD">
      <w:pPr>
        <w:spacing w:after="240"/>
        <w:ind w:firstLine="720"/>
        <w:rPr>
          <w:rFonts w:eastAsia="Times New Roman"/>
          <w:sz w:val="24"/>
          <w:szCs w:val="24"/>
        </w:rPr>
      </w:pPr>
      <w:r w:rsidRPr="00100D6D">
        <w:rPr>
          <w:rFonts w:eastAsia="Times New Roman"/>
          <w:sz w:val="24"/>
          <w:szCs w:val="24"/>
        </w:rPr>
        <w:t>10</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proofErr w:type="gramStart"/>
      <w:r w:rsidR="006A47FD" w:rsidRPr="00100D6D">
        <w:rPr>
          <w:rFonts w:eastAsia="Times New Roman"/>
          <w:b/>
          <w:sz w:val="24"/>
          <w:szCs w:val="24"/>
        </w:rPr>
        <w:t>State Farm Mut.</w:t>
      </w:r>
      <w:proofErr w:type="gramEnd"/>
      <w:r w:rsidR="006A47FD" w:rsidRPr="00100D6D">
        <w:rPr>
          <w:rFonts w:eastAsia="Times New Roman"/>
          <w:b/>
          <w:sz w:val="24"/>
          <w:szCs w:val="24"/>
        </w:rPr>
        <w:t xml:space="preserve"> Auto. </w:t>
      </w:r>
      <w:proofErr w:type="gramStart"/>
      <w:r w:rsidR="006A47FD" w:rsidRPr="00100D6D">
        <w:rPr>
          <w:rFonts w:eastAsia="Times New Roman"/>
          <w:b/>
          <w:sz w:val="24"/>
          <w:szCs w:val="24"/>
        </w:rPr>
        <w:t>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w:t>
      </w:r>
      <w:proofErr w:type="gramEnd"/>
      <w:r w:rsidR="006A47FD" w:rsidRPr="00100D6D">
        <w:rPr>
          <w:rFonts w:eastAsia="Times New Roman"/>
          <w:sz w:val="24"/>
          <w:szCs w:val="24"/>
        </w:rPr>
        <w:t xml:space="preserve">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xml:space="preserve">, </w:t>
      </w:r>
      <w:proofErr w:type="gramStart"/>
      <w:r w:rsidR="006A47FD" w:rsidRPr="00100D6D">
        <w:rPr>
          <w:rFonts w:eastAsia="Times New Roman"/>
          <w:sz w:val="24"/>
          <w:szCs w:val="24"/>
        </w:rPr>
        <w:t>105 P.3d at 188-89</w:t>
      </w:r>
      <w:proofErr w:type="gramEnd"/>
      <w:r w:rsidR="006A47FD" w:rsidRPr="00100D6D">
        <w:rPr>
          <w:rFonts w:eastAsia="Times New Roman"/>
          <w:sz w:val="24"/>
          <w:szCs w:val="24"/>
        </w:rPr>
        <w:t>.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 xml:space="preserve">Sanderson v. Am. Family Mut. </w:t>
      </w:r>
      <w:proofErr w:type="gramStart"/>
      <w:r w:rsidR="006A47FD" w:rsidRPr="00100D6D">
        <w:rPr>
          <w:rFonts w:eastAsia="Times New Roman"/>
          <w:b/>
          <w:sz w:val="24"/>
          <w:szCs w:val="24"/>
        </w:rPr>
        <w:t>Ins. Co.</w:t>
      </w:r>
      <w:r w:rsidR="006A47FD" w:rsidRPr="00100D6D">
        <w:rPr>
          <w:rFonts w:eastAsia="Times New Roman"/>
          <w:sz w:val="24"/>
          <w:szCs w:val="24"/>
        </w:rPr>
        <w:t>, 251 P.3d 1213 (Colo. App. 2010).</w:t>
      </w:r>
      <w:proofErr w:type="gramEnd"/>
    </w:p>
    <w:p w14:paraId="262C371E" w14:textId="7EF49787"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1</w:t>
      </w:r>
      <w:r w:rsidRPr="006A47FD">
        <w:rPr>
          <w:rFonts w:eastAsia="Times New Roman"/>
          <w:sz w:val="24"/>
          <w:szCs w:val="24"/>
        </w:rPr>
        <w:t xml:space="preserve">. </w:t>
      </w:r>
      <w:proofErr w:type="gramStart"/>
      <w:r w:rsidRPr="006A47FD">
        <w:rPr>
          <w:rFonts w:eastAsia="Times New Roman"/>
          <w:sz w:val="24"/>
          <w:szCs w:val="24"/>
        </w:rPr>
        <w:t>In</w:t>
      </w:r>
      <w:proofErr w:type="gramEnd"/>
      <w:r w:rsidRPr="006A47FD">
        <w:rPr>
          <w:rFonts w:eastAsia="Times New Roman"/>
          <w:sz w:val="24"/>
          <w:szCs w:val="24"/>
        </w:rPr>
        <w:t xml:space="preserve">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 xml:space="preserve">Lauric v. USAA Cas. </w:t>
      </w:r>
      <w:proofErr w:type="gramStart"/>
      <w:r w:rsidRPr="006A47FD">
        <w:rPr>
          <w:rFonts w:eastAsia="Times New Roman"/>
          <w:b/>
          <w:sz w:val="24"/>
          <w:szCs w:val="24"/>
        </w:rPr>
        <w:t>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roofErr w:type="gramEnd"/>
    </w:p>
    <w:p w14:paraId="094B4534" w14:textId="08660F6E"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2</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proofErr w:type="gramStart"/>
      <w:r w:rsidRPr="006A47FD">
        <w:rPr>
          <w:rFonts w:eastAsia="Times New Roman"/>
          <w:b/>
          <w:sz w:val="24"/>
          <w:szCs w:val="24"/>
        </w:rPr>
        <w:t>State Farm Mut.</w:t>
      </w:r>
      <w:proofErr w:type="gramEnd"/>
      <w:r w:rsidRPr="006A47FD">
        <w:rPr>
          <w:rFonts w:eastAsia="Times New Roman"/>
          <w:b/>
          <w:sz w:val="24"/>
          <w:szCs w:val="24"/>
        </w:rPr>
        <w:t xml:space="preserve"> Auto. Ins. Co. v. Johnson</w:t>
      </w:r>
      <w:r w:rsidRPr="006A47FD">
        <w:rPr>
          <w:rFonts w:eastAsia="Times New Roman"/>
          <w:sz w:val="24"/>
          <w:szCs w:val="24"/>
        </w:rPr>
        <w:t xml:space="preserve">, 2017 CO 68, ¶¶ 18, 24, </w:t>
      </w:r>
      <w:proofErr w:type="gramStart"/>
      <w:r w:rsidRPr="006A47FD">
        <w:rPr>
          <w:rFonts w:eastAsia="Times New Roman"/>
          <w:sz w:val="24"/>
          <w:szCs w:val="24"/>
        </w:rPr>
        <w:t>396 P.3d 651</w:t>
      </w:r>
      <w:proofErr w:type="gramEnd"/>
      <w:r w:rsidRPr="006A47FD">
        <w:rPr>
          <w:rFonts w:eastAsia="Times New Roman"/>
          <w:sz w:val="24"/>
          <w:szCs w:val="24"/>
        </w:rPr>
        <w:t>.</w:t>
      </w:r>
    </w:p>
    <w:p w14:paraId="27AAA46C" w14:textId="4E6AAC54"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3</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5872967B" w14:textId="6D61E349"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4</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proofErr w:type="gramStart"/>
      <w:r w:rsidRPr="006A47FD">
        <w:rPr>
          <w:rFonts w:eastAsia="Times New Roman"/>
          <w:b/>
          <w:sz w:val="24"/>
          <w:szCs w:val="24"/>
        </w:rPr>
        <w:t>Moran v. Standard Ins. Co.</w:t>
      </w:r>
      <w:r w:rsidRPr="006A47FD">
        <w:rPr>
          <w:rFonts w:eastAsia="Times New Roman"/>
          <w:sz w:val="24"/>
          <w:szCs w:val="24"/>
        </w:rPr>
        <w:t>, 187 P.3d 1162 (Colo. App. 2008).</w:t>
      </w:r>
      <w:proofErr w:type="gramEnd"/>
      <w:r w:rsidRPr="006A47FD">
        <w:rPr>
          <w:rFonts w:eastAsia="Times New Roman"/>
          <w:sz w:val="24"/>
          <w:szCs w:val="24"/>
        </w:rPr>
        <w:t xml:space="preserve"> A bad faith claim against a self-insured municipality is barred by governmental immunity, but an independent adjusting company acting on behalf of the municipality may be sued for bad faith. </w:t>
      </w:r>
      <w:proofErr w:type="gramStart"/>
      <w:r w:rsidRPr="006A47FD">
        <w:rPr>
          <w:rFonts w:eastAsia="Times New Roman"/>
          <w:b/>
          <w:sz w:val="24"/>
          <w:szCs w:val="24"/>
        </w:rPr>
        <w:t>Jordan v. City of Aurora</w:t>
      </w:r>
      <w:r w:rsidRPr="006A47FD">
        <w:rPr>
          <w:rFonts w:eastAsia="Times New Roman"/>
          <w:sz w:val="24"/>
          <w:szCs w:val="24"/>
        </w:rPr>
        <w:t>, 876 P.2d 38 (Colo. App. 1993).</w:t>
      </w:r>
      <w:proofErr w:type="gramEnd"/>
      <w:r w:rsidRPr="006A47FD">
        <w:rPr>
          <w:rFonts w:eastAsia="Times New Roman"/>
          <w:sz w:val="24"/>
          <w:szCs w:val="24"/>
        </w:rPr>
        <w:t xml:space="preserve"> A nonprofit intermediary formed by public entities to provide insurance services to an immune self-insurance pool, on the other hand, is immune from liability as an “instrumentality” of a public entity and as a separate entity created by intergovernmental cooperation. </w:t>
      </w:r>
      <w:proofErr w:type="gramStart"/>
      <w:r w:rsidRPr="006A47FD">
        <w:rPr>
          <w:rFonts w:eastAsia="Times New Roman"/>
          <w:b/>
          <w:sz w:val="24"/>
          <w:szCs w:val="24"/>
        </w:rPr>
        <w:t>Colo. Special Dists.</w:t>
      </w:r>
      <w:proofErr w:type="gramEnd"/>
      <w:r w:rsidRPr="006A47FD">
        <w:rPr>
          <w:rFonts w:eastAsia="Times New Roman"/>
          <w:b/>
          <w:sz w:val="24"/>
          <w:szCs w:val="24"/>
        </w:rPr>
        <w:t xml:space="preserve"> Prop. </w:t>
      </w:r>
      <w:proofErr w:type="gramStart"/>
      <w:r w:rsidRPr="006A47FD">
        <w:rPr>
          <w:rFonts w:eastAsia="Times New Roman"/>
          <w:b/>
          <w:sz w:val="24"/>
          <w:szCs w:val="24"/>
        </w:rPr>
        <w:t>&amp; Liab.</w:t>
      </w:r>
      <w:proofErr w:type="gramEnd"/>
      <w:r w:rsidRPr="006A47FD">
        <w:rPr>
          <w:rFonts w:eastAsia="Times New Roman"/>
          <w:b/>
          <w:sz w:val="24"/>
          <w:szCs w:val="24"/>
        </w:rPr>
        <w:t xml:space="preserve"> </w:t>
      </w:r>
      <w:proofErr w:type="gramStart"/>
      <w:r w:rsidRPr="006A47FD">
        <w:rPr>
          <w:rFonts w:eastAsia="Times New Roman"/>
          <w:b/>
          <w:sz w:val="24"/>
          <w:szCs w:val="24"/>
        </w:rPr>
        <w:t>Pool v. Lyons</w:t>
      </w:r>
      <w:r w:rsidRPr="006A47FD">
        <w:rPr>
          <w:rFonts w:eastAsia="Times New Roman"/>
          <w:sz w:val="24"/>
          <w:szCs w:val="24"/>
        </w:rPr>
        <w:t>, 2012 COA 18, ¶ 45, 277 P.3d 874 (third-party case).</w:t>
      </w:r>
      <w:proofErr w:type="gramEnd"/>
      <w:r w:rsidRPr="006A47FD">
        <w:rPr>
          <w:rFonts w:eastAsia="Times New Roman"/>
          <w:b/>
          <w:sz w:val="24"/>
          <w:szCs w:val="24"/>
        </w:rPr>
        <w:t xml:space="preserve"> </w:t>
      </w:r>
    </w:p>
    <w:p w14:paraId="3F03BEF5" w14:textId="5F596061"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1</w:t>
      </w:r>
      <w:r w:rsidR="0007116C">
        <w:rPr>
          <w:rFonts w:eastAsia="Times New Roman"/>
          <w:sz w:val="24"/>
          <w:szCs w:val="24"/>
        </w:rPr>
        <w:t>5</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02D342A2"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6</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7DAFE8B6"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7</w:t>
      </w:r>
      <w:r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are contained in the policy. </w:t>
      </w:r>
      <w:r w:rsidRPr="006A47FD">
        <w:rPr>
          <w:rFonts w:eastAsia="Times New Roman"/>
          <w:b/>
          <w:sz w:val="24"/>
          <w:szCs w:val="24"/>
        </w:rPr>
        <w:t>Dupre v. Allstate Ins. Co.</w:t>
      </w:r>
      <w:r w:rsidRPr="006A47FD">
        <w:rPr>
          <w:rFonts w:eastAsia="Times New Roman"/>
          <w:sz w:val="24"/>
          <w:szCs w:val="24"/>
        </w:rPr>
        <w:t xml:space="preserve">, 62 P.3d 1024 (Colo. App. 2002); </w:t>
      </w:r>
      <w:r w:rsidRPr="006A47FD">
        <w:rPr>
          <w:rFonts w:eastAsia="Times New Roman"/>
          <w:b/>
          <w:sz w:val="24"/>
          <w:szCs w:val="24"/>
        </w:rPr>
        <w:t>Daugherty</w:t>
      </w:r>
      <w:r w:rsidRPr="006A47FD">
        <w:rPr>
          <w:rFonts w:eastAsia="Times New Roman"/>
          <w:sz w:val="24"/>
          <w:szCs w:val="24"/>
        </w:rPr>
        <w:t xml:space="preserve">, 55 P.3d at 228; </w:t>
      </w:r>
      <w:r w:rsidRPr="006A47FD">
        <w:rPr>
          <w:rFonts w:eastAsia="Times New Roman"/>
          <w:b/>
          <w:sz w:val="24"/>
          <w:szCs w:val="24"/>
        </w:rPr>
        <w:t xml:space="preserve">Emenyonu v. State Farm Fire &amp; </w:t>
      </w:r>
      <w:proofErr w:type="gramStart"/>
      <w:r w:rsidRPr="006A47FD">
        <w:rPr>
          <w:rFonts w:eastAsia="Times New Roman"/>
          <w:b/>
          <w:sz w:val="24"/>
          <w:szCs w:val="24"/>
        </w:rPr>
        <w:t>Cas</w:t>
      </w:r>
      <w:proofErr w:type="gramEnd"/>
      <w:r w:rsidRPr="006A47FD">
        <w:rPr>
          <w:rFonts w:eastAsia="Times New Roman"/>
          <w:b/>
          <w:sz w:val="24"/>
          <w:szCs w:val="24"/>
        </w:rPr>
        <w:t>. Co.</w:t>
      </w:r>
      <w:r w:rsidRPr="006A47FD">
        <w:rPr>
          <w:rFonts w:eastAsia="Times New Roman"/>
          <w:sz w:val="24"/>
          <w:szCs w:val="24"/>
        </w:rPr>
        <w:t xml:space="preserve">, 885 P.2d 320 (Colo. App. 1994); </w:t>
      </w:r>
      <w:r w:rsidRPr="006A47FD">
        <w:rPr>
          <w:rFonts w:eastAsia="Times New Roman"/>
          <w:b/>
          <w:sz w:val="24"/>
          <w:szCs w:val="24"/>
        </w:rPr>
        <w:t>Flickinger v. Ninth Dist. Prod. Credit Ass’n</w:t>
      </w:r>
      <w:r w:rsidRPr="006A47FD">
        <w:rPr>
          <w:rFonts w:eastAsia="Times New Roman"/>
          <w:sz w:val="24"/>
          <w:szCs w:val="24"/>
        </w:rPr>
        <w:t xml:space="preserve">, 824 P.2d 19 (Colo. App. 1991); </w:t>
      </w:r>
      <w:r w:rsidRPr="006A47FD">
        <w:rPr>
          <w:rFonts w:eastAsia="Times New Roman"/>
          <w:b/>
          <w:sz w:val="24"/>
          <w:szCs w:val="24"/>
        </w:rPr>
        <w:t xml:space="preserve">Coleman v. United Fire &amp; </w:t>
      </w:r>
      <w:proofErr w:type="gramStart"/>
      <w:r w:rsidRPr="006A47FD">
        <w:rPr>
          <w:rFonts w:eastAsia="Times New Roman"/>
          <w:b/>
          <w:sz w:val="24"/>
          <w:szCs w:val="24"/>
        </w:rPr>
        <w:t>Cas</w:t>
      </w:r>
      <w:proofErr w:type="gramEnd"/>
      <w:r w:rsidRPr="006A47FD">
        <w:rPr>
          <w:rFonts w:eastAsia="Times New Roman"/>
          <w:b/>
          <w:sz w:val="24"/>
          <w:szCs w:val="24"/>
        </w:rPr>
        <w:t xml:space="preserve">. </w:t>
      </w:r>
      <w:proofErr w:type="gramStart"/>
      <w:r w:rsidRPr="006A47FD">
        <w:rPr>
          <w:rFonts w:eastAsia="Times New Roman"/>
          <w:b/>
          <w:sz w:val="24"/>
          <w:szCs w:val="24"/>
        </w:rPr>
        <w:t>Co.</w:t>
      </w:r>
      <w:r w:rsidRPr="006A47FD">
        <w:rPr>
          <w:rFonts w:eastAsia="Times New Roman"/>
          <w:sz w:val="24"/>
          <w:szCs w:val="24"/>
        </w:rPr>
        <w:t>, 767 P.2d 761 (Colo. App. 1988).</w:t>
      </w:r>
      <w:proofErr w:type="gramEnd"/>
    </w:p>
    <w:p w14:paraId="1FAF27BD" w14:textId="607F803C"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8</w:t>
      </w:r>
      <w:r w:rsidRPr="006A47FD">
        <w:rPr>
          <w:rFonts w:eastAsia="Times New Roman"/>
          <w:sz w:val="24"/>
          <w:szCs w:val="24"/>
        </w:rPr>
        <w:t xml:space="preserve">. 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Pr="006A47FD">
        <w:rPr>
          <w:rFonts w:eastAsia="Times New Roman"/>
          <w:b/>
          <w:sz w:val="24"/>
          <w:szCs w:val="24"/>
        </w:rPr>
        <w:t>Dale v. Guar. Nat’l Ins. Co.</w:t>
      </w:r>
      <w:r w:rsidRPr="006A47FD">
        <w:rPr>
          <w:rFonts w:eastAsia="Times New Roman"/>
          <w:sz w:val="24"/>
          <w:szCs w:val="24"/>
        </w:rPr>
        <w:t xml:space="preserve">, 948 P.2d 545 (Colo. 1997) (overruling </w:t>
      </w:r>
      <w:r w:rsidRPr="006A47FD">
        <w:rPr>
          <w:rFonts w:eastAsia="Times New Roman"/>
          <w:b/>
          <w:sz w:val="24"/>
          <w:szCs w:val="24"/>
        </w:rPr>
        <w:t>Leahy v. Guar. Nat’l Ins. Co.</w:t>
      </w:r>
      <w:r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faith if all collateral estoppel elements are proven. </w:t>
      </w:r>
      <w:proofErr w:type="gramStart"/>
      <w:r w:rsidRPr="006A47FD">
        <w:rPr>
          <w:rFonts w:eastAsia="Times New Roman"/>
          <w:b/>
          <w:sz w:val="24"/>
          <w:szCs w:val="24"/>
        </w:rPr>
        <w:t>Guar. Nat’l Ins. Co. v. Williams</w:t>
      </w:r>
      <w:r w:rsidRPr="006A47FD">
        <w:rPr>
          <w:rFonts w:eastAsia="Times New Roman"/>
          <w:sz w:val="24"/>
          <w:szCs w:val="24"/>
        </w:rPr>
        <w:t>, 982 P.2d 306 (Colo. 1999).</w:t>
      </w:r>
      <w:proofErr w:type="gramEnd"/>
    </w:p>
    <w:p w14:paraId="1D9453D5" w14:textId="166760C8" w:rsidR="006A47FD" w:rsidRPr="006A47FD" w:rsidRDefault="001A688B" w:rsidP="006A47FD">
      <w:pPr>
        <w:spacing w:after="240"/>
        <w:ind w:firstLine="720"/>
        <w:rPr>
          <w:rFonts w:eastAsia="Times New Roman"/>
          <w:sz w:val="24"/>
          <w:szCs w:val="24"/>
        </w:rPr>
      </w:pPr>
      <w:r>
        <w:rPr>
          <w:rFonts w:eastAsia="Times New Roman"/>
          <w:sz w:val="24"/>
          <w:szCs w:val="24"/>
        </w:rPr>
        <w:t>1</w:t>
      </w:r>
      <w:r w:rsidR="0007116C">
        <w:rPr>
          <w:rFonts w:eastAsia="Times New Roman"/>
          <w:sz w:val="24"/>
          <w:szCs w:val="24"/>
        </w:rPr>
        <w:t>9</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w:t>
      </w:r>
      <w:r w:rsidR="006A47FD" w:rsidRPr="006A47FD">
        <w:rPr>
          <w:rFonts w:eastAsia="Times New Roman"/>
          <w:sz w:val="24"/>
          <w:szCs w:val="24"/>
        </w:rPr>
        <w:lastRenderedPageBreak/>
        <w:t xml:space="preserve">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proofErr w:type="gramStart"/>
      <w:r w:rsidR="006A47FD" w:rsidRPr="006A47FD">
        <w:rPr>
          <w:rFonts w:eastAsia="Times New Roman"/>
          <w:b/>
          <w:sz w:val="24"/>
          <w:szCs w:val="24"/>
        </w:rPr>
        <w:t>Am. Guar. &amp; Liab.</w:t>
      </w:r>
      <w:proofErr w:type="gramEnd"/>
      <w:r w:rsidR="006A47FD" w:rsidRPr="006A47FD">
        <w:rPr>
          <w:rFonts w:eastAsia="Times New Roman"/>
          <w:b/>
          <w:sz w:val="24"/>
          <w:szCs w:val="24"/>
        </w:rPr>
        <w:t xml:space="preserve">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16F88A1D" w:rsidR="006A47FD" w:rsidRPr="006A47FD" w:rsidRDefault="0007116C" w:rsidP="006A47FD">
      <w:pPr>
        <w:spacing w:after="240"/>
        <w:ind w:firstLine="720"/>
        <w:rPr>
          <w:rFonts w:eastAsia="Times New Roman"/>
          <w:sz w:val="24"/>
          <w:szCs w:val="24"/>
        </w:rPr>
      </w:pPr>
      <w:r>
        <w:rPr>
          <w:rFonts w:eastAsia="Times New Roman"/>
          <w:sz w:val="24"/>
          <w:szCs w:val="24"/>
        </w:rPr>
        <w:t>20</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57D72984"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1</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74608285"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2</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proofErr w:type="gramStart"/>
      <w:r w:rsidRPr="006A47FD">
        <w:rPr>
          <w:rFonts w:eastAsia="Times New Roman"/>
          <w:b/>
          <w:sz w:val="24"/>
          <w:szCs w:val="24"/>
        </w:rPr>
        <w:t>Hansen v. State Farm Mut.</w:t>
      </w:r>
      <w:proofErr w:type="gramEnd"/>
      <w:r w:rsidRPr="006A47FD">
        <w:rPr>
          <w:rFonts w:eastAsia="Times New Roman"/>
          <w:b/>
          <w:sz w:val="24"/>
          <w:szCs w:val="24"/>
        </w:rPr>
        <w:t xml:space="preserve">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357C12CA"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3</w:t>
      </w:r>
      <w:r w:rsidRPr="006A47FD">
        <w:rPr>
          <w:rFonts w:eastAsia="Times New Roman"/>
          <w:sz w:val="24"/>
          <w:szCs w:val="24"/>
        </w:rPr>
        <w:t>. “[T]</w:t>
      </w:r>
      <w:proofErr w:type="gramStart"/>
      <w:r w:rsidRPr="006A47FD">
        <w:rPr>
          <w:rFonts w:eastAsia="Times New Roman"/>
          <w:sz w:val="24"/>
          <w:szCs w:val="24"/>
        </w:rPr>
        <w:t>he</w:t>
      </w:r>
      <w:proofErr w:type="gramEnd"/>
      <w:r w:rsidRPr="006A47FD">
        <w:rPr>
          <w:rFonts w:eastAsia="Times New Roman"/>
          <w:sz w:val="24"/>
          <w:szCs w:val="24"/>
        </w:rPr>
        <w:t xml:space="preserv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73E9AD91"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4</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proofErr w:type="gramStart"/>
      <w:r w:rsidRPr="006A47FD">
        <w:rPr>
          <w:rFonts w:eastAsia="Times New Roman"/>
          <w:b/>
          <w:sz w:val="24"/>
          <w:szCs w:val="24"/>
        </w:rPr>
        <w:t>Soicher v. State Farm Mut.</w:t>
      </w:r>
      <w:proofErr w:type="gramEnd"/>
      <w:r w:rsidRPr="006A47FD">
        <w:rPr>
          <w:rFonts w:eastAsia="Times New Roman"/>
          <w:b/>
          <w:sz w:val="24"/>
          <w:szCs w:val="24"/>
        </w:rPr>
        <w:t xml:space="preserve">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p>
    <w:p w14:paraId="7CEECC2C" w14:textId="66B479E0"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5</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34B47D4A"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2</w:t>
      </w:r>
      <w:r w:rsidR="0007116C">
        <w:rPr>
          <w:rFonts w:eastAsia="Times New Roman"/>
          <w:sz w:val="24"/>
          <w:szCs w:val="24"/>
        </w:rPr>
        <w:t>6</w:t>
      </w:r>
      <w:r w:rsidRPr="006A47FD">
        <w:rPr>
          <w:rFonts w:eastAsia="Times New Roman"/>
          <w:sz w:val="24"/>
          <w:szCs w:val="24"/>
        </w:rPr>
        <w:t xml:space="preserve">. </w:t>
      </w:r>
      <w:r w:rsidRPr="006A47FD">
        <w:rPr>
          <w:rFonts w:eastAsia="Times New Roman"/>
          <w:b/>
          <w:sz w:val="24"/>
          <w:szCs w:val="24"/>
        </w:rPr>
        <w:t>Parsons</w:t>
      </w:r>
      <w:r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The </w:t>
      </w:r>
      <w:r w:rsidRPr="006A47FD">
        <w:rPr>
          <w:rFonts w:eastAsia="Times New Roman"/>
          <w:b/>
          <w:sz w:val="24"/>
          <w:szCs w:val="24"/>
        </w:rPr>
        <w:t>Parsons</w:t>
      </w:r>
      <w:r w:rsidRPr="006A47FD">
        <w:rPr>
          <w:rFonts w:eastAsia="Times New Roman"/>
          <w:sz w:val="24"/>
          <w:szCs w:val="24"/>
        </w:rPr>
        <w:t xml:space="preserve"> Division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proofErr w:type="gramStart"/>
      <w:r w:rsidRPr="006A47FD">
        <w:rPr>
          <w:rFonts w:eastAsia="Times New Roman"/>
          <w:i/>
          <w:sz w:val="24"/>
          <w:szCs w:val="24"/>
        </w:rPr>
        <w:t xml:space="preserve">Id. </w:t>
      </w:r>
      <w:r w:rsidRPr="006A47FD">
        <w:rPr>
          <w:rFonts w:eastAsia="Times New Roman"/>
          <w:sz w:val="24"/>
          <w:szCs w:val="24"/>
        </w:rPr>
        <w:t>at 818.</w:t>
      </w:r>
      <w:proofErr w:type="gramEnd"/>
      <w:r w:rsidRPr="006A47FD">
        <w:rPr>
          <w:rFonts w:eastAsia="Times New Roman"/>
          <w:sz w:val="24"/>
          <w:szCs w:val="24"/>
        </w:rPr>
        <w:t xml:space="preserve"> Applying this test, the </w:t>
      </w:r>
      <w:r w:rsidRPr="006A47FD">
        <w:rPr>
          <w:rFonts w:eastAsia="Times New Roman"/>
          <w:b/>
          <w:sz w:val="24"/>
          <w:szCs w:val="24"/>
        </w:rPr>
        <w:t>Parsons</w:t>
      </w:r>
      <w:r w:rsidRPr="006A47FD">
        <w:rPr>
          <w:rFonts w:eastAsia="Times New Roman"/>
          <w:sz w:val="24"/>
          <w:szCs w:val="24"/>
        </w:rPr>
        <w:t xml:space="preserve"> Division affirmed the trial court’s exclusion of attorney post-filing conduct tendered as evidence of bad faith where the probative value was light and “the dangers of unfair prejudice, misleading the jury, and confusing the issues were significant.” </w:t>
      </w:r>
      <w:proofErr w:type="gramStart"/>
      <w:r w:rsidRPr="006A47FD">
        <w:rPr>
          <w:rFonts w:eastAsia="Times New Roman"/>
          <w:i/>
          <w:sz w:val="24"/>
          <w:szCs w:val="24"/>
        </w:rPr>
        <w:t>Id.</w:t>
      </w:r>
      <w:r w:rsidRPr="006A47FD">
        <w:rPr>
          <w:rFonts w:eastAsia="Times New Roman"/>
          <w:sz w:val="24"/>
          <w:szCs w:val="24"/>
        </w:rPr>
        <w:t xml:space="preserve"> at 819.</w:t>
      </w:r>
      <w:proofErr w:type="gramEnd"/>
    </w:p>
    <w:p w14:paraId="73E1CFE7" w14:textId="0B373D7A"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7</w:t>
      </w:r>
      <w:r w:rsidRPr="006A47FD">
        <w:rPr>
          <w:rFonts w:eastAsia="Times New Roman"/>
          <w:sz w:val="24"/>
          <w:szCs w:val="24"/>
        </w:rPr>
        <w:t xml:space="preserve">. An insured may maintain claims for both bad faith breach of insurance contract and outrageous conduct arising from the mishandling of a claim for insurance benefits. </w:t>
      </w:r>
      <w:proofErr w:type="gramStart"/>
      <w:r w:rsidRPr="006A47FD">
        <w:rPr>
          <w:rFonts w:eastAsia="Times New Roman"/>
          <w:b/>
          <w:sz w:val="24"/>
          <w:szCs w:val="24"/>
        </w:rPr>
        <w:t>McKelvy v. Liberty Mut.</w:t>
      </w:r>
      <w:proofErr w:type="gramEnd"/>
      <w:r w:rsidRPr="006A47FD">
        <w:rPr>
          <w:rFonts w:eastAsia="Times New Roman"/>
          <w:b/>
          <w:sz w:val="24"/>
          <w:szCs w:val="24"/>
        </w:rPr>
        <w:t xml:space="preserve"> </w:t>
      </w:r>
      <w:proofErr w:type="gramStart"/>
      <w:r w:rsidRPr="006A47FD">
        <w:rPr>
          <w:rFonts w:eastAsia="Times New Roman"/>
          <w:b/>
          <w:sz w:val="24"/>
          <w:szCs w:val="24"/>
        </w:rPr>
        <w:t>Ins. Co.</w:t>
      </w:r>
      <w:r w:rsidRPr="006A47FD">
        <w:rPr>
          <w:rFonts w:eastAsia="Times New Roman"/>
          <w:sz w:val="24"/>
          <w:szCs w:val="24"/>
        </w:rPr>
        <w:t>, 983 P.2d 42 (Colo. App. 1998).</w:t>
      </w:r>
      <w:proofErr w:type="gramEnd"/>
      <w:r w:rsidRPr="006A47FD">
        <w:rPr>
          <w:rFonts w:eastAsia="Times New Roman"/>
          <w:sz w:val="24"/>
          <w:szCs w:val="24"/>
        </w:rPr>
        <w:t xml:space="preserve"> In a first-party case, a finding of fact that an insurer’s conduct was outrageous necessarily implies that the conduct was willful and wanton within the meaning of section 10-4-708(1.8), C.R.S. (now repealed), and in bad faith as defined in this instruction. </w:t>
      </w:r>
      <w:proofErr w:type="gramStart"/>
      <w:r w:rsidRPr="006A47FD">
        <w:rPr>
          <w:rFonts w:eastAsia="Times New Roman"/>
          <w:b/>
          <w:sz w:val="24"/>
          <w:szCs w:val="24"/>
        </w:rPr>
        <w:t>Munoz v. State Farm Mut.</w:t>
      </w:r>
      <w:proofErr w:type="gramEnd"/>
      <w:r w:rsidRPr="006A47FD">
        <w:rPr>
          <w:rFonts w:eastAsia="Times New Roman"/>
          <w:b/>
          <w:sz w:val="24"/>
          <w:szCs w:val="24"/>
        </w:rPr>
        <w:t xml:space="preserve"> Auto. </w:t>
      </w:r>
      <w:proofErr w:type="gramStart"/>
      <w:r w:rsidRPr="006A47FD">
        <w:rPr>
          <w:rFonts w:eastAsia="Times New Roman"/>
          <w:b/>
          <w:sz w:val="24"/>
          <w:szCs w:val="24"/>
        </w:rPr>
        <w:t>Ins. Co.</w:t>
      </w:r>
      <w:r w:rsidRPr="006A47FD">
        <w:rPr>
          <w:rFonts w:eastAsia="Times New Roman"/>
          <w:sz w:val="24"/>
          <w:szCs w:val="24"/>
        </w:rPr>
        <w:t>, 968 P.2d 126 (Colo. App. 1998).</w:t>
      </w:r>
      <w:proofErr w:type="gramEnd"/>
    </w:p>
    <w:p w14:paraId="38F1CAD4" w14:textId="613E30A2"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8</w:t>
      </w:r>
      <w:r w:rsidRPr="006A47FD">
        <w:rPr>
          <w:rFonts w:eastAsia="Times New Roman"/>
          <w:sz w:val="24"/>
          <w:szCs w:val="24"/>
        </w:rPr>
        <w:t xml:space="preserve">. The Colorado Auto Accident Reparations Act (now repealed) does not preempt the common-law tort claim of bad faith breach of insurance contract. </w:t>
      </w:r>
      <w:proofErr w:type="gramStart"/>
      <w:r w:rsidRPr="006A47FD">
        <w:rPr>
          <w:rFonts w:eastAsia="Times New Roman"/>
          <w:b/>
          <w:sz w:val="24"/>
          <w:szCs w:val="24"/>
        </w:rPr>
        <w:t>Farmers Group, Inc. v. Williams</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805 P.2d 419 (Colo. 1991).</w:t>
      </w:r>
      <w:proofErr w:type="gramEnd"/>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29DCA35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07116C">
        <w:rPr>
          <w:rFonts w:eastAsia="Times New Roman"/>
          <w:sz w:val="24"/>
          <w:szCs w:val="24"/>
        </w:rPr>
        <w:t>9</w:t>
      </w:r>
      <w:r w:rsidRPr="006A47FD">
        <w:rPr>
          <w:rFonts w:eastAsia="Times New Roman"/>
          <w:sz w:val="24"/>
          <w:szCs w:val="24"/>
        </w:rPr>
        <w:t xml:space="preserve">. A claim for bad faith breach of insurance contract may be preempted in cases involving insurance provided by an employer. The Employee Retirement Income Security Act of 1974, 29 U.S.C. §§ 1001 to -03 (2012) (ERISA), preempts state-law claims that “relate to” an employee benefit plan except for those state laws that are considered to “regulate” insurance. </w:t>
      </w:r>
      <w:r w:rsidRPr="006A47FD">
        <w:rPr>
          <w:rFonts w:eastAsia="Times New Roman"/>
          <w:b/>
          <w:sz w:val="24"/>
          <w:szCs w:val="24"/>
        </w:rPr>
        <w:t>Aetna Health Inc. v. Davila</w:t>
      </w:r>
      <w:r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Pr="006A47FD">
        <w:rPr>
          <w:rFonts w:eastAsia="Times New Roman"/>
          <w:b/>
          <w:sz w:val="24"/>
          <w:szCs w:val="24"/>
        </w:rPr>
        <w:t>Rush Prudential HMO, Inc. v. Moran</w:t>
      </w:r>
      <w:r w:rsidRPr="006A47FD">
        <w:rPr>
          <w:rFonts w:eastAsia="Times New Roman"/>
          <w:sz w:val="24"/>
          <w:szCs w:val="24"/>
        </w:rPr>
        <w:t xml:space="preserve">, 536 U.S. 355 (2002) (state statute permitting independent medical review of HMO’s denial of health insurance benefits for lack of medical necessity regulated insurance and was not preempted where relief sought was available under ERISA); </w:t>
      </w:r>
      <w:r w:rsidRPr="006A47FD">
        <w:rPr>
          <w:rFonts w:eastAsia="Times New Roman"/>
          <w:b/>
          <w:sz w:val="24"/>
          <w:szCs w:val="24"/>
        </w:rPr>
        <w:t>UNUM Life Ins. Co. v. Ward</w:t>
      </w:r>
      <w:r w:rsidRPr="006A47FD">
        <w:rPr>
          <w:rFonts w:eastAsia="Times New Roman"/>
          <w:sz w:val="24"/>
          <w:szCs w:val="24"/>
        </w:rPr>
        <w:t xml:space="preserve">, 526 U.S. 358 (1999) (state notice-prejudice rule applicable only to insurance contracts did “regulate” insurance and, thus, was saved from preemption); </w:t>
      </w:r>
      <w:r w:rsidRPr="006A47FD">
        <w:rPr>
          <w:rFonts w:eastAsia="Times New Roman"/>
          <w:b/>
          <w:sz w:val="24"/>
          <w:szCs w:val="24"/>
        </w:rPr>
        <w:t>Pilot Life Ins. Co. v. Dedeaux</w:t>
      </w:r>
      <w:r w:rsidRPr="006A47FD">
        <w:rPr>
          <w:rFonts w:eastAsia="Times New Roman"/>
          <w:sz w:val="24"/>
          <w:szCs w:val="24"/>
        </w:rPr>
        <w:t xml:space="preserve">, 481 U.S. 41 (1987) (state bad faith law that applied to breach of any contract did not “regulate” insurance and was, therefore, preempted); </w:t>
      </w:r>
      <w:r w:rsidRPr="006A47FD">
        <w:rPr>
          <w:rFonts w:eastAsia="Times New Roman"/>
          <w:b/>
          <w:sz w:val="24"/>
          <w:szCs w:val="24"/>
        </w:rPr>
        <w:t>Pegram v. Herdrich</w:t>
      </w:r>
      <w:r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107367C6" w:rsidR="006A47FD" w:rsidRPr="006A47FD" w:rsidRDefault="0007116C"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(2012); 29 C.F.R. § 2510.3-1(j) (2017) (listing factors to be considered).</w:t>
      </w:r>
    </w:p>
    <w:p w14:paraId="5AC92736" w14:textId="3660D39F"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3</w:t>
      </w:r>
      <w:r w:rsidR="0007116C">
        <w:rPr>
          <w:rFonts w:eastAsia="Times New Roman"/>
          <w:sz w:val="24"/>
          <w:szCs w:val="24"/>
        </w:rPr>
        <w:t>1</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proofErr w:type="gramStart"/>
      <w:r w:rsidRPr="006A47FD">
        <w:rPr>
          <w:rFonts w:eastAsia="Times New Roman"/>
          <w:b/>
          <w:sz w:val="24"/>
          <w:szCs w:val="24"/>
        </w:rPr>
        <w:t>Estate of Damon</w:t>
      </w:r>
      <w:r w:rsidRPr="006A47FD">
        <w:rPr>
          <w:rFonts w:eastAsia="Times New Roman"/>
          <w:sz w:val="24"/>
          <w:szCs w:val="24"/>
        </w:rPr>
        <w:t>, 915 P.2d 1301 (Colo. 1996).</w:t>
      </w:r>
      <w:proofErr w:type="gramEnd"/>
      <w:r w:rsidRPr="006A47FD">
        <w:rPr>
          <w:rFonts w:eastAsia="Times New Roman"/>
          <w:sz w:val="24"/>
          <w:szCs w:val="24"/>
        </w:rPr>
        <w:t xml:space="preserve"> </w:t>
      </w:r>
    </w:p>
    <w:p w14:paraId="71F235EE" w14:textId="3BA3598C" w:rsidR="007C4B23" w:rsidRDefault="006A47FD" w:rsidP="00EC29A6">
      <w:pPr>
        <w:spacing w:after="240"/>
        <w:ind w:firstLine="720"/>
        <w:rPr>
          <w:rFonts w:eastAsia="Times New Roman"/>
          <w:sz w:val="24"/>
          <w:szCs w:val="24"/>
        </w:rPr>
      </w:pPr>
      <w:r w:rsidRPr="006A47FD">
        <w:rPr>
          <w:rFonts w:eastAsia="Times New Roman"/>
          <w:sz w:val="24"/>
          <w:szCs w:val="24"/>
        </w:rPr>
        <w:t>3</w:t>
      </w:r>
      <w:r w:rsidR="0007116C">
        <w:rPr>
          <w:rFonts w:eastAsia="Times New Roman"/>
          <w:sz w:val="24"/>
          <w:szCs w:val="24"/>
        </w:rPr>
        <w:t>2</w:t>
      </w:r>
      <w:r w:rsidRPr="006A47FD">
        <w:rPr>
          <w:rFonts w:eastAsia="Times New Roman"/>
          <w:sz w:val="24"/>
          <w:szCs w:val="24"/>
        </w:rPr>
        <w:t xml:space="preserve">. Even though a state law may “regulate insurance” within the meaning of ERISA’s Savings Clause, it will be barred by conflict preemption if the law provides for remedies 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p>
    <w:p w14:paraId="740BDA34" w14:textId="77777777" w:rsidR="00407AAB" w:rsidRDefault="00407AAB">
      <w:pPr>
        <w:rPr>
          <w:rFonts w:eastAsia="Times New Roman"/>
          <w:sz w:val="24"/>
          <w:szCs w:val="24"/>
        </w:rPr>
      </w:pPr>
      <w:r>
        <w:rPr>
          <w:rFonts w:eastAsia="Times New Roman"/>
          <w:sz w:val="24"/>
          <w:szCs w:val="24"/>
        </w:rPr>
        <w:br w:type="page"/>
      </w:r>
    </w:p>
    <w:p w14:paraId="05BEE8B7" w14:textId="77777777" w:rsidR="00407AAB" w:rsidRPr="009E3DA4" w:rsidRDefault="00407AAB" w:rsidP="00407AAB">
      <w:pPr>
        <w:spacing w:after="240"/>
        <w:ind w:left="720" w:hanging="720"/>
        <w:rPr>
          <w:rFonts w:eastAsia="Times New Roman"/>
          <w:b/>
          <w:sz w:val="24"/>
          <w:szCs w:val="24"/>
        </w:rPr>
      </w:pPr>
      <w:bookmarkStart w:id="3" w:name="a25_03"/>
      <w:bookmarkEnd w:id="3"/>
      <w:r w:rsidRPr="00407AAB">
        <w:rPr>
          <w:rFonts w:eastAsia="Times New Roman"/>
          <w:b/>
          <w:sz w:val="24"/>
          <w:szCs w:val="24"/>
        </w:rPr>
        <w:lastRenderedPageBreak/>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in conjunction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proofErr w:type="gramStart"/>
      <w:r w:rsidRPr="00407AAB">
        <w:rPr>
          <w:rFonts w:eastAsia="Times New Roman"/>
          <w:b/>
          <w:sz w:val="24"/>
          <w:szCs w:val="24"/>
        </w:rPr>
        <w:t>Am. Family Mut.</w:t>
      </w:r>
      <w:proofErr w:type="gramEnd"/>
      <w:r w:rsidRPr="00407AAB">
        <w:rPr>
          <w:rFonts w:eastAsia="Times New Roman"/>
          <w:b/>
          <w:sz w:val="24"/>
          <w:szCs w:val="24"/>
        </w:rPr>
        <w:t xml:space="preserve"> </w:t>
      </w:r>
      <w:proofErr w:type="gramStart"/>
      <w:r w:rsidRPr="00407AAB">
        <w:rPr>
          <w:rFonts w:eastAsia="Times New Roman"/>
          <w:b/>
          <w:sz w:val="24"/>
          <w:szCs w:val="24"/>
        </w:rPr>
        <w:t>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706 P.2d at 1275.</w:t>
      </w:r>
      <w:proofErr w:type="gramEnd"/>
      <w:r w:rsidRPr="00407AAB">
        <w:rPr>
          <w:rFonts w:eastAsia="Times New Roman"/>
          <w:sz w:val="24"/>
          <w:szCs w:val="24"/>
        </w:rPr>
        <w:t xml:space="preserve">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77777777" w:rsidR="00A5610D" w:rsidRDefault="00407AAB" w:rsidP="00407AAB">
      <w:pPr>
        <w:spacing w:after="240"/>
        <w:ind w:firstLine="720"/>
        <w:rPr>
          <w:rFonts w:eastAsia="Times New Roman"/>
          <w:sz w:val="24"/>
          <w:szCs w:val="24"/>
        </w:rPr>
      </w:pPr>
      <w:r w:rsidRPr="00407AAB">
        <w:rPr>
          <w:rFonts w:eastAsia="Times New Roman"/>
          <w:sz w:val="24"/>
          <w:szCs w:val="24"/>
        </w:rPr>
        <w:lastRenderedPageBreak/>
        <w:t xml:space="preserve">3. </w:t>
      </w:r>
      <w:r w:rsidR="00876A05" w:rsidRPr="00876A05">
        <w:rPr>
          <w:rFonts w:eastAsia="Times New Roman"/>
          <w:sz w:val="24"/>
          <w:szCs w:val="24"/>
        </w:rPr>
        <w:t xml:space="preserve">An insurer’s implied duty of good faith and fair dealing extends to the advertisement, marketing, and purchase of insurance </w:t>
      </w:r>
      <w:proofErr w:type="gramStart"/>
      <w:r w:rsidR="00876A05" w:rsidRPr="00876A05">
        <w:rPr>
          <w:rFonts w:eastAsia="Times New Roman"/>
          <w:sz w:val="24"/>
          <w:szCs w:val="24"/>
        </w:rPr>
        <w:t>policies,</w:t>
      </w:r>
      <w:proofErr w:type="gramEnd"/>
      <w:r w:rsidR="00876A05" w:rsidRPr="00876A05">
        <w:rPr>
          <w:rFonts w:eastAsia="Times New Roman"/>
          <w:sz w:val="24"/>
          <w:szCs w:val="24"/>
        </w:rPr>
        <w:t xml:space="preserve">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proofErr w:type="gramStart"/>
      <w:r w:rsidR="00407AAB" w:rsidRPr="00407AAB">
        <w:rPr>
          <w:rFonts w:eastAsia="Times New Roman"/>
          <w:b/>
          <w:sz w:val="24"/>
          <w:szCs w:val="24"/>
        </w:rPr>
        <w:t>Bankr.</w:t>
      </w:r>
      <w:proofErr w:type="gramEnd"/>
      <w:r w:rsidR="00407AAB" w:rsidRPr="00407AAB">
        <w:rPr>
          <w:rFonts w:eastAsia="Times New Roman"/>
          <w:b/>
          <w:sz w:val="24"/>
          <w:szCs w:val="24"/>
        </w:rPr>
        <w:t xml:space="preserve">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w:t>
      </w:r>
      <w:smartTag w:uri="urn:schemas-microsoft-com:office:smarttags" w:element="City">
        <w:smartTag w:uri="urn:schemas-microsoft-com:office:smarttags" w:element="place">
          <w:r w:rsidR="00407AAB" w:rsidRPr="00407AAB">
            <w:rPr>
              <w:rFonts w:eastAsia="Times New Roman"/>
              <w:b/>
              <w:sz w:val="24"/>
              <w:szCs w:val="24"/>
            </w:rPr>
            <w:t>Cork</w:t>
          </w:r>
        </w:smartTag>
      </w:smartTag>
      <w:r w:rsidR="00407AAB" w:rsidRPr="00407AAB">
        <w:rPr>
          <w:rFonts w:eastAsia="Times New Roman"/>
          <w:b/>
          <w:sz w:val="24"/>
          <w:szCs w:val="24"/>
        </w:rPr>
        <w:t xml:space="preserve">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7239D840"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2012 COA 86, ¶ 38.</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lastRenderedPageBreak/>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w:t>
      </w:r>
      <w:smartTag w:uri="urn:schemas-microsoft-com:office:smarttags" w:element="State">
        <w:smartTag w:uri="urn:schemas-microsoft-com:office:smarttags" w:element="place">
          <w:r w:rsidR="00407AAB" w:rsidRPr="00407AAB">
            <w:rPr>
              <w:rFonts w:eastAsia="Times New Roman"/>
              <w:i/>
              <w:sz w:val="24"/>
              <w:szCs w:val="24"/>
            </w:rPr>
            <w:t>Id.</w:t>
          </w:r>
        </w:smartTag>
      </w:smartTag>
      <w:r w:rsidR="00407AAB" w:rsidRPr="00407AAB">
        <w:rPr>
          <w:rFonts w:eastAsia="Times New Roman"/>
          <w:i/>
          <w:sz w:val="24"/>
          <w:szCs w:val="24"/>
        </w:rPr>
        <w:t xml:space="preserve">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smartTag w:uri="urn:schemas-microsoft-com:office:smarttags" w:element="State">
        <w:smartTag w:uri="urn:schemas-microsoft-com:office:smarttags" w:element="place">
          <w:r w:rsidR="00407AAB" w:rsidRPr="00407AAB">
            <w:rPr>
              <w:rFonts w:eastAsia="Times New Roman"/>
              <w:i/>
              <w:sz w:val="24"/>
              <w:szCs w:val="24"/>
            </w:rPr>
            <w:t>Id.</w:t>
          </w:r>
        </w:smartTag>
      </w:smartTag>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4" w:name="a25_04"/>
      <w:bookmarkEnd w:id="4"/>
      <w:r w:rsidRPr="00101A07">
        <w:rPr>
          <w:rFonts w:eastAsia="Times New Roman"/>
          <w:b/>
          <w:sz w:val="24"/>
          <w:szCs w:val="24"/>
        </w:rPr>
        <w:lastRenderedPageBreak/>
        <w:t xml:space="preserve">25:4 </w:t>
      </w:r>
      <w:r w:rsidRPr="00101A07">
        <w:rPr>
          <w:rFonts w:eastAsia="Times New Roman"/>
          <w:b/>
          <w:sz w:val="24"/>
          <w:szCs w:val="24"/>
        </w:rPr>
        <w:tab/>
        <w:t>ELEMENTS OF LIABILITY — FIRST-PARTY STATUTORY CLAIMS</w:t>
      </w:r>
    </w:p>
    <w:p w14:paraId="2E8A636D"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on (his) (her) (its)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w:t>
      </w:r>
      <w:r w:rsidRPr="007A56C2">
        <w:rPr>
          <w:rFonts w:eastAsia="Times New Roman"/>
          <w:sz w:val="24"/>
          <w:szCs w:val="24"/>
        </w:rPr>
        <w:lastRenderedPageBreak/>
        <w:t xml:space="preserve">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Hall v. American Standard Insurance Co.</w:t>
      </w:r>
      <w:r w:rsidRPr="001007E7">
        <w:rPr>
          <w:rFonts w:eastAsia="Times New Roman"/>
          <w:sz w:val="24"/>
          <w:szCs w:val="24"/>
        </w:rPr>
        <w:t xml:space="preserve">, 2012 COA 201, ¶ 17, 292 P.3d 1196; and </w:t>
      </w:r>
      <w:r w:rsidRPr="001007E7">
        <w:rPr>
          <w:rFonts w:eastAsia="Times New Roman"/>
          <w:b/>
          <w:sz w:val="24"/>
          <w:szCs w:val="24"/>
        </w:rPr>
        <w:t>Kisselman</w:t>
      </w:r>
      <w:r w:rsidRPr="001007E7">
        <w:rPr>
          <w:rFonts w:eastAsia="Times New Roman"/>
          <w:sz w:val="24"/>
          <w:szCs w:val="24"/>
        </w:rPr>
        <w:t>, 292 P.3d at 972-73.</w:t>
      </w:r>
    </w:p>
    <w:p w14:paraId="73673635" w14:textId="1A1AA4FB" w:rsidR="001007E7" w:rsidRPr="001007E7" w:rsidRDefault="001007E7" w:rsidP="001007E7">
      <w:pPr>
        <w:spacing w:after="240"/>
        <w:ind w:firstLine="720"/>
        <w:rPr>
          <w:rFonts w:eastAsia="Times New Roman"/>
          <w:sz w:val="24"/>
          <w:szCs w:val="24"/>
        </w:rPr>
      </w:pPr>
      <w:r w:rsidRPr="001007E7">
        <w:rPr>
          <w:rFonts w:eastAsia="Times New Roman"/>
          <w:sz w:val="24"/>
          <w:szCs w:val="24"/>
        </w:rPr>
        <w:t>2.</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 xml:space="preserve">Nibert v. GEICO Cas. </w:t>
      </w:r>
      <w:proofErr w:type="gramStart"/>
      <w:r w:rsidR="00157C2C" w:rsidRPr="00157C2C">
        <w:rPr>
          <w:rFonts w:eastAsia="Times New Roman"/>
          <w:b/>
          <w:sz w:val="24"/>
          <w:szCs w:val="24"/>
        </w:rPr>
        <w:t>Co.</w:t>
      </w:r>
      <w:r w:rsidR="00157C2C" w:rsidRPr="00157C2C">
        <w:rPr>
          <w:rFonts w:eastAsia="Times New Roman"/>
          <w:sz w:val="24"/>
          <w:szCs w:val="24"/>
        </w:rPr>
        <w:t>, 2017 COA 23, ¶ 15</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Pr="001007E7">
        <w:rPr>
          <w:rFonts w:eastAsia="Times New Roman"/>
          <w:sz w:val="24"/>
          <w:szCs w:val="24"/>
        </w:rPr>
        <w:t>.</w:t>
      </w:r>
      <w:proofErr w:type="gramEnd"/>
    </w:p>
    <w:p w14:paraId="5997772E" w14:textId="308AA098"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An insured’s lack of cooperation may be considered by the jury in determining whether an insurer’s delay in payment was reasonable. </w:t>
      </w:r>
      <w:r w:rsidRPr="001007E7">
        <w:rPr>
          <w:rFonts w:eastAsia="Times New Roman"/>
          <w:b/>
          <w:sz w:val="24"/>
          <w:szCs w:val="24"/>
        </w:rPr>
        <w:t>Fisher v. State Farm Mut. Auto. Ins. Co.</w:t>
      </w:r>
      <w:r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w:t>
      </w:r>
    </w:p>
    <w:p w14:paraId="22C3F72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An insurer’s unreasonable delay or denial of payment as to part of a UIM claim (medical expenses) may subject it to liability even though a reasonable dispute existed as to other components of the claim. </w:t>
      </w:r>
      <w:r w:rsidRPr="001007E7">
        <w:rPr>
          <w:rFonts w:eastAsia="Times New Roman"/>
          <w:b/>
          <w:sz w:val="24"/>
          <w:szCs w:val="24"/>
        </w:rPr>
        <w:t>Fisher</w:t>
      </w:r>
      <w:r w:rsidRPr="001007E7">
        <w:rPr>
          <w:rFonts w:eastAsia="Times New Roman"/>
          <w:sz w:val="24"/>
          <w:szCs w:val="24"/>
        </w:rPr>
        <w:t xml:space="preserve">, 2015 COA 47, ¶ 36 (insurance contract contained no requirement that insured establish </w:t>
      </w:r>
      <w:r w:rsidRPr="001007E7">
        <w:rPr>
          <w:rFonts w:eastAsia="Times New Roman"/>
          <w:sz w:val="24"/>
          <w:szCs w:val="24"/>
          <w:u w:val="single"/>
        </w:rPr>
        <w:t>all</w:t>
      </w:r>
      <w:r w:rsidRPr="001007E7">
        <w:rPr>
          <w:rFonts w:eastAsia="Times New Roman"/>
          <w:sz w:val="24"/>
          <w:szCs w:val="24"/>
        </w:rPr>
        <w:t xml:space="preserve"> damages as a prerequisite to the insurer’s obligation to pay </w:t>
      </w:r>
      <w:r w:rsidRPr="001007E7">
        <w:rPr>
          <w:rFonts w:eastAsia="Times New Roman"/>
          <w:sz w:val="24"/>
          <w:szCs w:val="24"/>
          <w:u w:val="single"/>
        </w:rPr>
        <w:t>any</w:t>
      </w:r>
      <w:r w:rsidRPr="001007E7">
        <w:rPr>
          <w:rFonts w:eastAsia="Times New Roman"/>
          <w:sz w:val="24"/>
          <w:szCs w:val="24"/>
        </w:rPr>
        <w:t xml:space="preserve"> damages, and any provision that did limit statutorily mandated UIM coverage would be unenforceable).</w:t>
      </w:r>
    </w:p>
    <w:p w14:paraId="52ED6C0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Pr="001007E7">
        <w:rPr>
          <w:rFonts w:eastAsia="Times New Roman"/>
          <w:b/>
          <w:sz w:val="24"/>
          <w:szCs w:val="24"/>
        </w:rPr>
        <w:t>Fisher</w:t>
      </w:r>
      <w:r w:rsidRPr="001007E7">
        <w:rPr>
          <w:rFonts w:eastAsia="Times New Roman"/>
          <w:sz w:val="24"/>
          <w:szCs w:val="24"/>
        </w:rPr>
        <w:t>, 2015 COA 47, ¶¶ 19 &amp; 20.</w:t>
      </w:r>
    </w:p>
    <w:p w14:paraId="7956591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Sections 10-3-1115 and -1116 apply prospectively to insurer conduct occurring after their August 5, 2008, effective date, even if the insured’s original claim was made before that date. </w:t>
      </w:r>
      <w:r w:rsidRPr="001007E7">
        <w:rPr>
          <w:rFonts w:eastAsia="Times New Roman"/>
          <w:b/>
          <w:sz w:val="24"/>
          <w:szCs w:val="24"/>
        </w:rPr>
        <w:t>Kisselman</w:t>
      </w:r>
      <w:r w:rsidRPr="001007E7">
        <w:rPr>
          <w:rFonts w:eastAsia="Times New Roman"/>
          <w:sz w:val="24"/>
          <w:szCs w:val="24"/>
        </w:rPr>
        <w:t xml:space="preserve">, 292 P.3d at 976 (distinguishing Colorado’s refusal to recognize continuing acts of bad faith as giving rise to new claims);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 948 P.2d 545 (Colo. 1997) (while ongoing bad faith is relevant to a common-law claim, it does not give rise to additional bad faith claims).</w:t>
      </w:r>
    </w:p>
    <w:p w14:paraId="00A43CDF" w14:textId="77777777" w:rsidR="001007E7" w:rsidRDefault="001007E7" w:rsidP="001007E7">
      <w:pPr>
        <w:spacing w:after="240"/>
        <w:ind w:firstLine="720"/>
        <w:rPr>
          <w:rFonts w:eastAsia="Times New Roman"/>
          <w:sz w:val="24"/>
          <w:szCs w:val="24"/>
        </w:rPr>
      </w:pPr>
      <w:r w:rsidRPr="001007E7">
        <w:rPr>
          <w:rFonts w:eastAsia="Times New Roman"/>
          <w:sz w:val="24"/>
          <w:szCs w:val="24"/>
        </w:rPr>
        <w:t xml:space="preserve">7. Conflict preemption precludes a claim under this statute brought in connection with a policy governed by ERISA because the double-benefit remedy provided by section 10-3-1116(1) supplements and therefore conflicts with remedies available under ERISA. </w:t>
      </w:r>
      <w:r w:rsidRPr="001007E7">
        <w:rPr>
          <w:rFonts w:eastAsia="Times New Roman"/>
          <w:b/>
          <w:sz w:val="24"/>
          <w:szCs w:val="24"/>
        </w:rPr>
        <w:t>Timm v. Prudential Ins. Co. of Am.</w:t>
      </w:r>
      <w:r w:rsidRPr="001007E7">
        <w:rPr>
          <w:rFonts w:eastAsia="Times New Roman"/>
          <w:sz w:val="24"/>
          <w:szCs w:val="24"/>
        </w:rPr>
        <w:t>, 259 P.3d 521 (Colo. App. 2011).</w:t>
      </w:r>
    </w:p>
    <w:p w14:paraId="50F3D8B7" w14:textId="3F7D9069" w:rsidR="00F945CF" w:rsidRDefault="00673F33" w:rsidP="009E7644">
      <w:pPr>
        <w:spacing w:after="240"/>
        <w:ind w:firstLine="720"/>
        <w:rPr>
          <w:rFonts w:eastAsia="Times New Roman"/>
          <w:i/>
          <w:sz w:val="24"/>
          <w:szCs w:val="24"/>
        </w:rPr>
      </w:pPr>
      <w:r>
        <w:rPr>
          <w:rFonts w:eastAsia="Times New Roman"/>
          <w:sz w:val="24"/>
          <w:szCs w:val="24"/>
        </w:rPr>
        <w:t xml:space="preserve">8. </w:t>
      </w:r>
      <w:r w:rsidRPr="00673F33">
        <w:rPr>
          <w:rFonts w:eastAsia="Times New Roman"/>
          <w:sz w:val="24"/>
          <w:szCs w:val="24"/>
        </w:rPr>
        <w:t xml:space="preserve">Insureds’ entitlement to de novo judicial </w:t>
      </w:r>
      <w:r>
        <w:rPr>
          <w:rFonts w:eastAsia="Times New Roman"/>
          <w:sz w:val="24"/>
          <w:szCs w:val="24"/>
        </w:rPr>
        <w:t>review and trial by jury under s</w:t>
      </w:r>
      <w:r w:rsidRPr="00673F33">
        <w:rPr>
          <w:rFonts w:eastAsia="Times New Roman"/>
          <w:sz w:val="24"/>
          <w:szCs w:val="24"/>
        </w:rPr>
        <w:t xml:space="preserve">ection 10-3-1116(3), </w:t>
      </w:r>
      <w:r>
        <w:rPr>
          <w:rFonts w:eastAsia="Times New Roman"/>
          <w:sz w:val="24"/>
          <w:szCs w:val="24"/>
        </w:rPr>
        <w:t xml:space="preserve">C.R.S., </w:t>
      </w:r>
      <w:r w:rsidRPr="00673F33">
        <w:rPr>
          <w:rFonts w:eastAsia="Times New Roman"/>
          <w:sz w:val="24"/>
          <w:szCs w:val="24"/>
        </w:rPr>
        <w:t>is not subject to arbitration under the F</w:t>
      </w:r>
      <w:r>
        <w:rPr>
          <w:rFonts w:eastAsia="Times New Roman"/>
          <w:sz w:val="24"/>
          <w:szCs w:val="24"/>
        </w:rPr>
        <w:t xml:space="preserve">ederal </w:t>
      </w:r>
      <w:r w:rsidRPr="00673F33">
        <w:rPr>
          <w:rFonts w:eastAsia="Times New Roman"/>
          <w:sz w:val="24"/>
          <w:szCs w:val="24"/>
        </w:rPr>
        <w:t>A</w:t>
      </w:r>
      <w:r>
        <w:rPr>
          <w:rFonts w:eastAsia="Times New Roman"/>
          <w:sz w:val="24"/>
          <w:szCs w:val="24"/>
        </w:rPr>
        <w:t xml:space="preserve">rbitration </w:t>
      </w:r>
      <w:r w:rsidRPr="00673F33">
        <w:rPr>
          <w:rFonts w:eastAsia="Times New Roman"/>
          <w:sz w:val="24"/>
          <w:szCs w:val="24"/>
        </w:rPr>
        <w:t>A</w:t>
      </w:r>
      <w:r>
        <w:rPr>
          <w:rFonts w:eastAsia="Times New Roman"/>
          <w:sz w:val="24"/>
          <w:szCs w:val="24"/>
        </w:rPr>
        <w:t xml:space="preserve">ct, 9 U.S.C. §§ 1-16 </w:t>
      </w:r>
      <w:r>
        <w:rPr>
          <w:rFonts w:eastAsia="Times New Roman"/>
          <w:sz w:val="24"/>
          <w:szCs w:val="24"/>
        </w:rPr>
        <w:lastRenderedPageBreak/>
        <w:t xml:space="preserve">(2012). </w:t>
      </w:r>
      <w:r w:rsidRPr="00673F33">
        <w:rPr>
          <w:rFonts w:eastAsia="Times New Roman"/>
          <w:b/>
          <w:sz w:val="24"/>
          <w:szCs w:val="24"/>
        </w:rPr>
        <w:t>Meardon v. Freedom Life Ins. Co.</w:t>
      </w:r>
      <w:r>
        <w:rPr>
          <w:rFonts w:eastAsia="Times New Roman"/>
          <w:sz w:val="24"/>
          <w:szCs w:val="24"/>
        </w:rPr>
        <w:t xml:space="preserve">, 2018 COA 32, ¶¶ 15-20, 417 P.3d 929. </w:t>
      </w:r>
      <w:r w:rsidRPr="00673F33">
        <w:rPr>
          <w:rFonts w:eastAsia="Times New Roman"/>
          <w:sz w:val="24"/>
          <w:szCs w:val="24"/>
        </w:rPr>
        <w:t xml:space="preserve">The provisions of </w:t>
      </w:r>
      <w:r>
        <w:rPr>
          <w:rFonts w:eastAsia="Times New Roman"/>
          <w:sz w:val="24"/>
          <w:szCs w:val="24"/>
        </w:rPr>
        <w:t>section 10-3-</w:t>
      </w:r>
      <w:r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lastRenderedPageBreak/>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11E52E5B"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a rejected initial offer to settle a UIM claim as proof of the amount of undisputed benefits owed. </w:t>
      </w:r>
      <w:r w:rsidRPr="001007E7">
        <w:rPr>
          <w:rFonts w:eastAsia="Times New Roman"/>
          <w:b/>
          <w:sz w:val="24"/>
          <w:szCs w:val="24"/>
        </w:rPr>
        <w:t>Fisher</w:t>
      </w:r>
      <w:r w:rsidRPr="001007E7">
        <w:rPr>
          <w:rFonts w:eastAsia="Times New Roman"/>
          <w:sz w:val="24"/>
          <w:szCs w:val="24"/>
        </w:rPr>
        <w:t>, ¶ 15.</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lastRenderedPageBreak/>
        <w:t xml:space="preserve">8. In </w:t>
      </w:r>
      <w:r w:rsidRPr="001007E7">
        <w:rPr>
          <w:rFonts w:eastAsia="Times New Roman"/>
          <w:b/>
          <w:sz w:val="24"/>
          <w:szCs w:val="24"/>
        </w:rPr>
        <w:t>Hansen</w:t>
      </w:r>
      <w:r w:rsidRPr="001007E7">
        <w:rPr>
          <w:rFonts w:eastAsia="Times New Roman"/>
          <w:sz w:val="24"/>
          <w:szCs w:val="24"/>
        </w:rPr>
        <w:t>, 2016 CO 46, ¶ 32, 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lastRenderedPageBreak/>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w:t>
      </w:r>
      <w:smartTag w:uri="urn:schemas-microsoft-com:office:smarttags" w:element="State">
        <w:smartTag w:uri="urn:schemas-microsoft-com:office:smarttags" w:element="place">
          <w:r w:rsidRPr="001007E7">
            <w:rPr>
              <w:rFonts w:eastAsia="Times New Roman"/>
              <w:b/>
              <w:sz w:val="24"/>
              <w:szCs w:val="24"/>
            </w:rPr>
            <w:t>Colorado</w:t>
          </w:r>
        </w:smartTag>
      </w:smartTag>
      <w:r w:rsidRPr="001007E7">
        <w:rPr>
          <w:rFonts w:eastAsia="Times New Roman"/>
          <w:b/>
          <w:sz w:val="24"/>
          <w:szCs w:val="24"/>
        </w:rPr>
        <w:t xml:space="preserve"> prohibit an insurance company from willfully: </w:t>
      </w:r>
      <w:r w:rsidRPr="001007E7">
        <w:rPr>
          <w:rFonts w:eastAsia="Times New Roman"/>
          <w:i/>
          <w:sz w:val="24"/>
          <w:szCs w:val="24"/>
        </w:rPr>
        <w:t xml:space="preserve">(Insert from § </w:t>
      </w:r>
      <w:smartTag w:uri="urn:schemas-microsoft-com:office:smarttags" w:element="date">
        <w:smartTagPr>
          <w:attr w:name="Month" w:val="10"/>
          <w:attr w:name="Day" w:val="3"/>
          <w:attr w:name="Year" w:val="1104"/>
        </w:smartTagPr>
        <w:r w:rsidRPr="001007E7">
          <w:rPr>
            <w:rFonts w:eastAsia="Times New Roman"/>
            <w:i/>
            <w:sz w:val="24"/>
            <w:szCs w:val="24"/>
          </w:rPr>
          <w:t>10-3-1104</w:t>
        </w:r>
      </w:smartTag>
      <w:r w:rsidRPr="001007E7">
        <w:rPr>
          <w:rFonts w:eastAsia="Times New Roman"/>
          <w:i/>
          <w:sz w:val="24"/>
          <w:szCs w:val="24"/>
        </w:rPr>
        <w:t xml:space="preserve">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875 P.2d 1354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lastRenderedPageBreak/>
        <w:t>Source and Authority</w:t>
      </w:r>
    </w:p>
    <w:p w14:paraId="055CE747"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940 P.2d 967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 on other grounds</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w:t>
      </w:r>
      <w:smartTag w:uri="urn:schemas-microsoft-com:office:smarttags" w:element="PersonName">
        <w:r w:rsidRPr="001007E7">
          <w:rPr>
            <w:rFonts w:eastAsia="Times New Roman"/>
            <w:sz w:val="24"/>
            <w:szCs w:val="24"/>
          </w:rPr>
          <w:t>e</w:t>
        </w:r>
      </w:smartTag>
      <w:r w:rsidRPr="001007E7">
        <w:rPr>
          <w:rFonts w:eastAsia="Times New Roman"/>
          <w:sz w:val="24"/>
          <w:szCs w:val="24"/>
        </w:rPr>
        <w:t>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plaintiff r</w:t>
      </w:r>
      <w:smartTag w:uri="urn:schemas-microsoft-com:office:smarttags" w:element="PersonName">
        <w:r w:rsidRPr="001007E7">
          <w:rPr>
            <w:rFonts w:eastAsia="Times New Roman"/>
            <w:sz w:val="24"/>
            <w:szCs w:val="24"/>
          </w:rPr>
          <w:t>e</w:t>
        </w:r>
      </w:smartTag>
      <w:r w:rsidRPr="001007E7">
        <w:rPr>
          <w:rFonts w:eastAsia="Times New Roman"/>
          <w:sz w:val="24"/>
          <w:szCs w:val="24"/>
        </w:rPr>
        <w:t>li</w:t>
      </w:r>
      <w:smartTag w:uri="urn:schemas-microsoft-com:office:smarttags" w:element="PersonName">
        <w:r w:rsidRPr="001007E7">
          <w:rPr>
            <w:rFonts w:eastAsia="Times New Roman"/>
            <w:sz w:val="24"/>
            <w:szCs w:val="24"/>
          </w:rPr>
          <w:t>e</w:t>
        </w:r>
      </w:smartTag>
      <w:r w:rsidRPr="001007E7">
        <w:rPr>
          <w:rFonts w:eastAsia="Times New Roman"/>
          <w:sz w:val="24"/>
          <w:szCs w:val="24"/>
        </w:rPr>
        <w:t>d on statutory violations and a failur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to inv</w:t>
      </w:r>
      <w:smartTag w:uri="urn:schemas-microsoft-com:office:smarttags" w:element="PersonName">
        <w:r w:rsidRPr="001007E7">
          <w:rPr>
            <w:rFonts w:eastAsia="Times New Roman"/>
            <w:sz w:val="24"/>
            <w:szCs w:val="24"/>
          </w:rPr>
          <w:t>e</w:t>
        </w:r>
      </w:smartTag>
      <w:r w:rsidRPr="001007E7">
        <w:rPr>
          <w:rFonts w:eastAsia="Times New Roman"/>
          <w:sz w:val="24"/>
          <w:szCs w:val="24"/>
        </w:rPr>
        <w:t>stigat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his claim, proof of industry standards through </w:t>
      </w:r>
      <w:smartTag w:uri="urn:schemas-microsoft-com:office:smarttags" w:element="PersonName">
        <w:r w:rsidRPr="001007E7">
          <w:rPr>
            <w:rFonts w:eastAsia="Times New Roman"/>
            <w:sz w:val="24"/>
            <w:szCs w:val="24"/>
          </w:rPr>
          <w:t>e</w:t>
        </w:r>
      </w:smartTag>
      <w:r w:rsidRPr="001007E7">
        <w:rPr>
          <w:rFonts w:eastAsia="Times New Roman"/>
          <w:sz w:val="24"/>
          <w:szCs w:val="24"/>
        </w:rPr>
        <w:t>xp</w:t>
      </w:r>
      <w:smartTag w:uri="urn:schemas-microsoft-com:office:smarttags" w:element="PersonName">
        <w:r w:rsidRPr="001007E7">
          <w:rPr>
            <w:rFonts w:eastAsia="Times New Roman"/>
            <w:sz w:val="24"/>
            <w:szCs w:val="24"/>
          </w:rPr>
          <w:t>e</w:t>
        </w:r>
      </w:smartTag>
      <w:r w:rsidRPr="001007E7">
        <w:rPr>
          <w:rFonts w:eastAsia="Times New Roman"/>
          <w:sz w:val="24"/>
          <w:szCs w:val="24"/>
        </w:rPr>
        <w:t>rt t</w:t>
      </w:r>
      <w:smartTag w:uri="urn:schemas-microsoft-com:office:smarttags" w:element="PersonName">
        <w:r w:rsidRPr="001007E7">
          <w:rPr>
            <w:rFonts w:eastAsia="Times New Roman"/>
            <w:sz w:val="24"/>
            <w:szCs w:val="24"/>
          </w:rPr>
          <w:t>e</w:t>
        </w:r>
      </w:smartTag>
      <w:r w:rsidRPr="001007E7">
        <w:rPr>
          <w:rFonts w:eastAsia="Times New Roman"/>
          <w:sz w:val="24"/>
          <w:szCs w:val="24"/>
        </w:rPr>
        <w:t>stimony was unn</w:t>
      </w:r>
      <w:smartTag w:uri="urn:schemas-microsoft-com:office:smarttags" w:element="PersonName">
        <w:r w:rsidRPr="001007E7">
          <w:rPr>
            <w:rFonts w:eastAsia="Times New Roman"/>
            <w:sz w:val="24"/>
            <w:szCs w:val="24"/>
          </w:rPr>
          <w:t>e</w:t>
        </w:r>
      </w:smartTag>
      <w:r w:rsidRPr="001007E7">
        <w:rPr>
          <w:rFonts w:eastAsia="Times New Roman"/>
          <w:sz w:val="24"/>
          <w:szCs w:val="24"/>
        </w:rPr>
        <w:t>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ssary to </w:t>
      </w:r>
      <w:smartTag w:uri="urn:schemas-microsoft-com:office:smarttags" w:element="PersonName">
        <w:r w:rsidRPr="001007E7">
          <w:rPr>
            <w:rFonts w:eastAsia="Times New Roman"/>
            <w:sz w:val="24"/>
            <w:szCs w:val="24"/>
          </w:rPr>
          <w:t>e</w:t>
        </w:r>
      </w:smartTag>
      <w:r w:rsidRPr="001007E7">
        <w:rPr>
          <w:rFonts w:eastAsia="Times New Roman"/>
          <w:sz w:val="24"/>
          <w:szCs w:val="24"/>
        </w:rPr>
        <w:t>stablish a bad faith br</w:t>
      </w:r>
      <w:smartTag w:uri="urn:schemas-microsoft-com:office:smarttags" w:element="PersonName">
        <w:r w:rsidRPr="001007E7">
          <w:rPr>
            <w:rFonts w:eastAsia="Times New Roman"/>
            <w:sz w:val="24"/>
            <w:szCs w:val="24"/>
          </w:rPr>
          <w:t>e</w:t>
        </w:r>
      </w:smartTag>
      <w:r w:rsidRPr="001007E7">
        <w:rPr>
          <w:rFonts w:eastAsia="Times New Roman"/>
          <w:sz w:val="24"/>
          <w:szCs w:val="24"/>
        </w:rPr>
        <w:t>ach of insuranc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w:t>
      </w:r>
      <w:smartTag w:uri="urn:schemas-microsoft-com:office:smarttags" w:element="PersonName">
        <w:r w:rsidRPr="001007E7">
          <w:rPr>
            <w:rFonts w:eastAsia="Times New Roman"/>
            <w:b/>
            <w:sz w:val="24"/>
            <w:szCs w:val="24"/>
          </w:rPr>
          <w:t>e</w:t>
        </w:r>
      </w:smartTag>
      <w:r w:rsidRPr="001007E7">
        <w:rPr>
          <w:rFonts w:eastAsia="Times New Roman"/>
          <w:b/>
          <w:sz w:val="24"/>
          <w:szCs w:val="24"/>
        </w:rPr>
        <w:t>rican Family Mutual Insuranc</w:t>
      </w:r>
      <w:smartTag w:uri="urn:schemas-microsoft-com:office:smarttags" w:element="PersonName">
        <w:r w:rsidRPr="001007E7">
          <w:rPr>
            <w:rFonts w:eastAsia="Times New Roman"/>
            <w:b/>
            <w:sz w:val="24"/>
            <w:szCs w:val="24"/>
          </w:rPr>
          <w:t>e</w:t>
        </w:r>
      </w:smartTag>
      <w:r w:rsidRPr="001007E7">
        <w:rPr>
          <w:rFonts w:eastAsia="Times New Roman"/>
          <w:b/>
          <w:sz w:val="24"/>
          <w:szCs w:val="24"/>
        </w:rPr>
        <w:t xml:space="preserve"> Co. v. All</w:t>
      </w:r>
      <w:smartTag w:uri="urn:schemas-microsoft-com:office:smarttags" w:element="PersonName">
        <w:r w:rsidRPr="001007E7">
          <w:rPr>
            <w:rFonts w:eastAsia="Times New Roman"/>
            <w:b/>
            <w:sz w:val="24"/>
            <w:szCs w:val="24"/>
          </w:rPr>
          <w:t>e</w:t>
        </w:r>
      </w:smartTag>
      <w:r w:rsidRPr="001007E7">
        <w:rPr>
          <w:rFonts w:eastAsia="Times New Roman"/>
          <w:b/>
          <w:sz w:val="24"/>
          <w:szCs w:val="24"/>
        </w:rPr>
        <w:t>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102 P.3d 333, 344 (Colo. 2004),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supr</w:t>
      </w:r>
      <w:smartTag w:uri="urn:schemas-microsoft-com:office:smarttags" w:element="PersonName">
        <w:r w:rsidRPr="001007E7">
          <w:rPr>
            <w:rFonts w:eastAsia="Times New Roman"/>
            <w:sz w:val="24"/>
            <w:szCs w:val="24"/>
          </w:rPr>
          <w:t>e</w:t>
        </w:r>
      </w:smartTag>
      <w:r w:rsidRPr="001007E7">
        <w:rPr>
          <w:rFonts w:eastAsia="Times New Roman"/>
          <w:sz w:val="24"/>
          <w:szCs w:val="24"/>
        </w:rPr>
        <w:t>m</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obs</w:t>
      </w:r>
      <w:smartTag w:uri="urn:schemas-microsoft-com:office:smarttags" w:element="PersonName">
        <w:r w:rsidRPr="001007E7">
          <w:rPr>
            <w:rFonts w:eastAsia="Times New Roman"/>
            <w:sz w:val="24"/>
            <w:szCs w:val="24"/>
          </w:rPr>
          <w:t>e</w:t>
        </w:r>
      </w:smartTag>
      <w:r w:rsidRPr="001007E7">
        <w:rPr>
          <w:rFonts w:eastAsia="Times New Roman"/>
          <w:sz w:val="24"/>
          <w:szCs w:val="24"/>
        </w:rPr>
        <w:t>rv</w:t>
      </w:r>
      <w:smartTag w:uri="urn:schemas-microsoft-com:office:smarttags" w:element="PersonName">
        <w:r w:rsidRPr="001007E7">
          <w:rPr>
            <w:rFonts w:eastAsia="Times New Roman"/>
            <w:sz w:val="24"/>
            <w:szCs w:val="24"/>
          </w:rPr>
          <w:t>e</w:t>
        </w:r>
      </w:smartTag>
      <w:r w:rsidRPr="001007E7">
        <w:rPr>
          <w:rFonts w:eastAsia="Times New Roman"/>
          <w:sz w:val="24"/>
          <w:szCs w:val="24"/>
        </w:rPr>
        <w:t>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UCSPA r</w:t>
      </w:r>
      <w:smartTag w:uri="urn:schemas-microsoft-com:office:smarttags" w:element="PersonName">
        <w:r w:rsidRPr="001007E7">
          <w:rPr>
            <w:rFonts w:eastAsia="Times New Roman"/>
            <w:sz w:val="24"/>
            <w:szCs w:val="24"/>
          </w:rPr>
          <w:t>e</w:t>
        </w:r>
      </w:smartTag>
      <w:r w:rsidRPr="001007E7">
        <w:rPr>
          <w:rFonts w:eastAsia="Times New Roman"/>
          <w:sz w:val="24"/>
          <w:szCs w:val="24"/>
        </w:rPr>
        <w:t>gulat</w:t>
      </w:r>
      <w:smartTag w:uri="urn:schemas-microsoft-com:office:smarttags" w:element="PersonName">
        <w:r w:rsidRPr="001007E7">
          <w:rPr>
            <w:rFonts w:eastAsia="Times New Roman"/>
            <w:sz w:val="24"/>
            <w:szCs w:val="24"/>
          </w:rPr>
          <w:t>e</w:t>
        </w:r>
      </w:smartTag>
      <w:r w:rsidRPr="001007E7">
        <w:rPr>
          <w:rFonts w:eastAsia="Times New Roman"/>
          <w:sz w:val="24"/>
          <w:szCs w:val="24"/>
        </w:rPr>
        <w:t>s insur</w:t>
      </w:r>
      <w:smartTag w:uri="urn:schemas-microsoft-com:office:smarttags" w:element="PersonName">
        <w:r w:rsidRPr="001007E7">
          <w:rPr>
            <w:rFonts w:eastAsia="Times New Roman"/>
            <w:sz w:val="24"/>
            <w:szCs w:val="24"/>
          </w:rPr>
          <w:t>e</w:t>
        </w:r>
      </w:smartTag>
      <w:r w:rsidRPr="001007E7">
        <w:rPr>
          <w:rFonts w:eastAsia="Times New Roman"/>
          <w:sz w:val="24"/>
          <w:szCs w:val="24"/>
        </w:rPr>
        <w:t>rs’ conduct, but do</w:t>
      </w:r>
      <w:smartTag w:uri="urn:schemas-microsoft-com:office:smarttags" w:element="PersonName">
        <w:r w:rsidRPr="001007E7">
          <w:rPr>
            <w:rFonts w:eastAsia="Times New Roman"/>
            <w:sz w:val="24"/>
            <w:szCs w:val="24"/>
          </w:rPr>
          <w:t>e</w:t>
        </w:r>
      </w:smartTag>
      <w:r w:rsidRPr="001007E7">
        <w:rPr>
          <w:rFonts w:eastAsia="Times New Roman"/>
          <w:sz w:val="24"/>
          <w:szCs w:val="24"/>
        </w:rPr>
        <w:t>s not cr</w:t>
      </w:r>
      <w:smartTag w:uri="urn:schemas-microsoft-com:office:smarttags" w:element="PersonName">
        <w:r w:rsidRPr="001007E7">
          <w:rPr>
            <w:rFonts w:eastAsia="Times New Roman"/>
            <w:sz w:val="24"/>
            <w:szCs w:val="24"/>
          </w:rPr>
          <w:t>e</w:t>
        </w:r>
      </w:smartTag>
      <w:r w:rsidRPr="001007E7">
        <w:rPr>
          <w:rFonts w:eastAsia="Times New Roman"/>
          <w:sz w:val="24"/>
          <w:szCs w:val="24"/>
        </w:rPr>
        <w:t>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 privat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right of action; non</w:t>
      </w:r>
      <w:smartTag w:uri="urn:schemas-microsoft-com:office:smarttags" w:element="PersonName">
        <w:r w:rsidRPr="001007E7">
          <w:rPr>
            <w:rFonts w:eastAsia="Times New Roman"/>
            <w:sz w:val="24"/>
            <w:szCs w:val="24"/>
          </w:rPr>
          <w:t>e</w:t>
        </w:r>
      </w:smartTag>
      <w:r w:rsidRPr="001007E7">
        <w:rPr>
          <w:rFonts w:eastAsia="Times New Roman"/>
          <w:sz w:val="24"/>
          <w:szCs w:val="24"/>
        </w:rPr>
        <w:t>th</w:t>
      </w:r>
      <w:smartTag w:uri="urn:schemas-microsoft-com:office:smarttags" w:element="PersonName">
        <w:r w:rsidRPr="001007E7">
          <w:rPr>
            <w:rFonts w:eastAsia="Times New Roman"/>
            <w:sz w:val="24"/>
            <w:szCs w:val="24"/>
          </w:rPr>
          <w:t>e</w:t>
        </w:r>
      </w:smartTag>
      <w:r w:rsidRPr="001007E7">
        <w:rPr>
          <w:rFonts w:eastAsia="Times New Roman"/>
          <w:sz w:val="24"/>
          <w:szCs w:val="24"/>
        </w:rPr>
        <w:t>l</w:t>
      </w:r>
      <w:smartTag w:uri="urn:schemas-microsoft-com:office:smarttags" w:element="PersonName">
        <w:r w:rsidRPr="001007E7">
          <w:rPr>
            <w:rFonts w:eastAsia="Times New Roman"/>
            <w:sz w:val="24"/>
            <w:szCs w:val="24"/>
          </w:rPr>
          <w:t>e</w:t>
        </w:r>
      </w:smartTag>
      <w:r w:rsidRPr="001007E7">
        <w:rPr>
          <w:rFonts w:eastAsia="Times New Roman"/>
          <w:sz w:val="24"/>
          <w:szCs w:val="24"/>
        </w:rPr>
        <w:t>ss,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h</w:t>
      </w:r>
      <w:smartTag w:uri="urn:schemas-microsoft-com:office:smarttags" w:element="PersonName">
        <w:r w:rsidRPr="001007E7">
          <w:rPr>
            <w:rFonts w:eastAsia="Times New Roman"/>
            <w:sz w:val="24"/>
            <w:szCs w:val="24"/>
          </w:rPr>
          <w:t>e</w:t>
        </w:r>
      </w:smartTag>
      <w:r w:rsidRPr="001007E7">
        <w:rPr>
          <w:rFonts w:eastAsia="Times New Roman"/>
          <w:sz w:val="24"/>
          <w:szCs w:val="24"/>
        </w:rPr>
        <w:t>ld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Act’s standards “may b</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us</w:t>
      </w:r>
      <w:smartTag w:uri="urn:schemas-microsoft-com:office:smarttags" w:element="PersonName">
        <w:r w:rsidRPr="001007E7">
          <w:rPr>
            <w:rFonts w:eastAsia="Times New Roman"/>
            <w:sz w:val="24"/>
            <w:szCs w:val="24"/>
          </w:rPr>
          <w:t>e</w:t>
        </w:r>
      </w:smartTag>
      <w:r w:rsidRPr="001007E7">
        <w:rPr>
          <w:rFonts w:eastAsia="Times New Roman"/>
          <w:sz w:val="24"/>
          <w:szCs w:val="24"/>
        </w:rPr>
        <w:t>d as valid, but not conclusiv</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w:t>
      </w:r>
      <w:smartTag w:uri="urn:schemas-microsoft-com:office:smarttags" w:element="PersonName">
        <w:r w:rsidRPr="001007E7">
          <w:rPr>
            <w:rFonts w:eastAsia="Times New Roman"/>
            <w:sz w:val="24"/>
            <w:szCs w:val="24"/>
          </w:rPr>
          <w:t>e</w:t>
        </w:r>
      </w:smartTag>
      <w:r w:rsidRPr="001007E7">
        <w:rPr>
          <w:rFonts w:eastAsia="Times New Roman"/>
          <w:sz w:val="24"/>
          <w:szCs w:val="24"/>
        </w:rPr>
        <w:t>vid</w:t>
      </w:r>
      <w:smartTag w:uri="urn:schemas-microsoft-com:office:smarttags" w:element="PersonName">
        <w:r w:rsidRPr="001007E7">
          <w:rPr>
            <w:rFonts w:eastAsia="Times New Roman"/>
            <w:sz w:val="24"/>
            <w:szCs w:val="24"/>
          </w:rPr>
          <w:t>e</w:t>
        </w:r>
      </w:smartTag>
      <w:r w:rsidRPr="001007E7">
        <w:rPr>
          <w:rFonts w:eastAsia="Times New Roman"/>
          <w:sz w:val="24"/>
          <w:szCs w:val="24"/>
        </w:rPr>
        <w:t>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Reversing summary judgment in favor of an insurer that proved its compliance with a Department of Insurance regulation that declares non-compliance a presumptive violation of section 10-3-1104(1)(h)(</w:t>
      </w:r>
      <w:smartTag w:uri="urn:schemas-microsoft-com:office:smarttags" w:element="stockticker">
        <w:r w:rsidRPr="001007E7">
          <w:rPr>
            <w:rFonts w:eastAsia="Times New Roman"/>
            <w:sz w:val="24"/>
            <w:szCs w:val="24"/>
          </w:rPr>
          <w:t>III</w:t>
        </w:r>
      </w:smartTag>
      <w:r w:rsidRPr="001007E7">
        <w:rPr>
          <w:rFonts w:eastAsia="Times New Roman"/>
          <w:sz w:val="24"/>
          <w:szCs w:val="24"/>
        </w:rPr>
        <w:t xml:space="preserve">)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lastRenderedPageBreak/>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w:t>
      </w:r>
      <w:smartTag w:uri="schemas-westgroup-com/westlawcitation" w:element="typecases">
        <w:smartTag w:uri="urn:schemas-microsoft-com:office:smarttags" w:element="State">
          <w:r w:rsidRPr="001134B3">
            <w:rPr>
              <w:rFonts w:eastAsia="Times New Roman"/>
              <w:sz w:val="24"/>
              <w:szCs w:val="24"/>
            </w:rPr>
            <w:t>Colo.</w:t>
          </w:r>
        </w:smartTag>
      </w:smartTag>
      <w:r w:rsidRPr="001134B3">
        <w:rPr>
          <w:rFonts w:eastAsia="Times New Roman"/>
          <w:sz w:val="24"/>
          <w:szCs w:val="24"/>
        </w:rPr>
        <w:t xml:space="preserve">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lastRenderedPageBreak/>
        <w:t xml:space="preserve">25:8 </w:t>
      </w:r>
      <w:r w:rsidRPr="001134B3">
        <w:rPr>
          <w:rFonts w:eastAsia="Times New Roman"/>
          <w:b/>
          <w:sz w:val="24"/>
          <w:szCs w:val="24"/>
        </w:rPr>
        <w:tab/>
        <w:t xml:space="preserve">DUTY OF GOOD FAITH </w:t>
      </w:r>
      <w:smartTag w:uri="urn:schemas-microsoft-com:office:smarttags" w:element="stockticker">
        <w:r w:rsidRPr="001134B3">
          <w:rPr>
            <w:rFonts w:eastAsia="Times New Roman"/>
            <w:b/>
            <w:sz w:val="24"/>
            <w:szCs w:val="24"/>
          </w:rPr>
          <w:t>AND</w:t>
        </w:r>
      </w:smartTag>
      <w:r w:rsidRPr="001134B3">
        <w:rPr>
          <w:rFonts w:eastAsia="Times New Roman"/>
          <w:b/>
          <w:sz w:val="24"/>
          <w:szCs w:val="24"/>
        </w:rPr>
        <w:t xml:space="preserve">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in conjunction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uninsured motorist context, insurer still owes contractual and quasi-fiduciary duties to insured). Neither </w:t>
      </w:r>
      <w:r w:rsidRPr="001134B3">
        <w:rPr>
          <w:rFonts w:eastAsia="Times New Roman"/>
          <w:b/>
          <w:sz w:val="24"/>
          <w:szCs w:val="24"/>
        </w:rPr>
        <w:t>Brekke</w:t>
      </w:r>
      <w:r w:rsidRPr="001134B3">
        <w:rPr>
          <w:rFonts w:eastAsia="Times New Roman"/>
          <w:sz w:val="24"/>
          <w:szCs w:val="24"/>
        </w:rPr>
        <w:t xml:space="preserve"> nor </w:t>
      </w:r>
      <w:r w:rsidRPr="001134B3">
        <w:rPr>
          <w:rFonts w:eastAsia="Times New Roman"/>
          <w:b/>
          <w:sz w:val="24"/>
          <w:szCs w:val="24"/>
        </w:rPr>
        <w:t>Peterman</w:t>
      </w:r>
      <w:r w:rsidRPr="001134B3">
        <w:rPr>
          <w:rFonts w:eastAsia="Times New Roman"/>
          <w:sz w:val="24"/>
          <w:szCs w:val="24"/>
        </w:rPr>
        <w:t xml:space="preserve"> has been expressly overruled.</w:t>
      </w:r>
    </w:p>
    <w:p w14:paraId="04D060C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6. The insurer’s duty to act in good faith is not limited to the failure to provide policy benefits, but permeates the entire relationship between the insurer and insured. </w:t>
      </w:r>
      <w:r w:rsidRPr="001134B3">
        <w:rPr>
          <w:rFonts w:eastAsia="Times New Roman"/>
          <w:b/>
          <w:sz w:val="24"/>
          <w:szCs w:val="24"/>
        </w:rPr>
        <w:t>Ballow v. PHICO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875 P.2d 1354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232 P.3d 168 (Colo. App. 2009) (apparently assuming insurer’s failure to inform insured of certain characteristics of 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lastRenderedPageBreak/>
        <w:t xml:space="preserve">25:9 </w:t>
      </w:r>
      <w:r w:rsidRPr="00D72662">
        <w:rPr>
          <w:rFonts w:eastAsia="Times New Roman"/>
          <w:b/>
          <w:sz w:val="24"/>
          <w:szCs w:val="24"/>
        </w:rPr>
        <w:tab/>
        <w:t>ACTUAL DAMAGES — COMMON-LAW CLAIMS</w:t>
      </w:r>
    </w:p>
    <w:p w14:paraId="067BB71F"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76A99A88"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383 P.3d 676, </w:t>
      </w:r>
      <w:r w:rsidR="005F145C">
        <w:rPr>
          <w:sz w:val="24"/>
          <w:szCs w:val="24"/>
        </w:rPr>
        <w:t xml:space="preserve">¶ 17, </w:t>
      </w:r>
      <w:r w:rsidRPr="0000771A">
        <w:rPr>
          <w:i/>
          <w:sz w:val="24"/>
          <w:szCs w:val="24"/>
        </w:rPr>
        <w:t>rev</w:t>
      </w:r>
      <w:r w:rsidR="005F145C">
        <w:rPr>
          <w:i/>
          <w:sz w:val="24"/>
          <w:szCs w:val="24"/>
        </w:rPr>
        <w:t>’</w:t>
      </w:r>
      <w:r w:rsidRPr="0000771A">
        <w:rPr>
          <w:i/>
          <w:sz w:val="24"/>
          <w:szCs w:val="24"/>
        </w:rPr>
        <w:t>g</w:t>
      </w:r>
      <w:r w:rsidRPr="0000771A">
        <w:rPr>
          <w:sz w:val="24"/>
          <w:szCs w:val="24"/>
        </w:rPr>
        <w:t xml:space="preserve"> 2014 COA 70</w:t>
      </w:r>
      <w:r w:rsidR="005F145C">
        <w:rPr>
          <w:sz w:val="24"/>
          <w:szCs w:val="24"/>
        </w:rPr>
        <w:t>, 409 P.3d 393</w:t>
      </w:r>
      <w:r w:rsidRPr="0000771A">
        <w:rPr>
          <w:sz w:val="24"/>
          <w:szCs w:val="24"/>
        </w:rPr>
        <w:t>.</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w:t>
      </w:r>
      <w:r w:rsidRPr="00D72662">
        <w:rPr>
          <w:rFonts w:eastAsia="Times New Roman"/>
          <w:sz w:val="24"/>
          <w:szCs w:val="24"/>
        </w:rPr>
        <w:lastRenderedPageBreak/>
        <w:t xml:space="preserve">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xml:space="preserve">, 2012 COA 86, ¶ 102;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8. Where an insurer’s conduct is proven to constitute a deceptive practice in violation of the Colorado Consumer Protection Act (CCPA), attorney fees may be recovered, § 6-1-</w:t>
      </w:r>
      <w:r w:rsidRPr="00D72662">
        <w:rPr>
          <w:rFonts w:eastAsia="Times New Roman"/>
          <w:sz w:val="24"/>
          <w:szCs w:val="24"/>
        </w:rPr>
        <w:lastRenderedPageBreak/>
        <w:t xml:space="preserve">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lastRenderedPageBreak/>
        <w:t>25:10</w:t>
      </w:r>
      <w:r w:rsidRPr="00A038A6">
        <w:rPr>
          <w:rFonts w:eastAsia="Times New Roman"/>
          <w:b/>
          <w:sz w:val="24"/>
          <w:szCs w:val="24"/>
        </w:rPr>
        <w:tab/>
        <w:t>BENEFIT AMOUNT — FIRST-PARTY STATUTORY CLAIMS</w:t>
      </w:r>
    </w:p>
    <w:p w14:paraId="176804AE" w14:textId="77777777"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(his) (her) (its) benefits that were improperly (delayed) (denied). If you find in favor of the plaintiff on (his) (her) (its)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79DA8B5D"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710F87D8"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7939E7B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lastRenderedPageBreak/>
        <w:t xml:space="preserve">2. Until fees and costs awarded as statutory damages pursuant to section 10-3-1116(1) are reflected in a written order, judgment is not final for purposes of appeal. </w:t>
      </w:r>
      <w:r w:rsidRPr="00A038A6">
        <w:rPr>
          <w:rFonts w:eastAsia="Times New Roman"/>
          <w:b/>
          <w:sz w:val="24"/>
          <w:szCs w:val="24"/>
        </w:rPr>
        <w:t>Hall</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201, ¶ 21. </w:t>
      </w:r>
    </w:p>
    <w:p w14:paraId="3D7BC3A8"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Award of reasonable attorney fees under section 10-3-1116(1) is not limited by a contingent agreement between counsel and the insured, which is but one factor in trial court’s determination of reasonable fees. </w:t>
      </w:r>
      <w:r w:rsidRPr="00A038A6">
        <w:rPr>
          <w:rFonts w:eastAsia="Times New Roman"/>
          <w:b/>
          <w:sz w:val="24"/>
          <w:szCs w:val="24"/>
        </w:rPr>
        <w:t>Melssen v. Auto-Owners Ins. Co.</w:t>
      </w:r>
      <w:r w:rsidRPr="00A038A6">
        <w:rPr>
          <w:rFonts w:eastAsia="Times New Roman"/>
          <w:sz w:val="24"/>
          <w:szCs w:val="24"/>
        </w:rPr>
        <w:t>, 2012 COA 102, ¶ 70, 285 P.3d 328.</w:t>
      </w:r>
    </w:p>
    <w:p w14:paraId="500DCBE3"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4.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Pr="00A038A6">
        <w:rPr>
          <w:rFonts w:eastAsia="Times New Roman"/>
          <w:b/>
          <w:sz w:val="24"/>
          <w:szCs w:val="24"/>
        </w:rPr>
        <w:t>Nibert v. Geico Cas. Co.</w:t>
      </w:r>
      <w:r w:rsidRPr="00A038A6">
        <w:rPr>
          <w:rFonts w:eastAsia="Times New Roman"/>
          <w:sz w:val="24"/>
          <w:szCs w:val="24"/>
        </w:rPr>
        <w:t xml:space="preserve">, 2017 COA 23, ¶ 25. The statutory remedy creates an exception to the American Rule and authorizes “fees on fees” recovery because attorney fees are part of the damage calculation. </w:t>
      </w:r>
      <w:r w:rsidRPr="00A038A6">
        <w:rPr>
          <w:rFonts w:eastAsia="Times New Roman"/>
          <w:i/>
          <w:sz w:val="24"/>
          <w:szCs w:val="24"/>
        </w:rPr>
        <w:t>Id.</w:t>
      </w:r>
      <w:r w:rsidRPr="00A038A6">
        <w:rPr>
          <w:rFonts w:eastAsia="Times New Roman"/>
          <w:sz w:val="24"/>
          <w:szCs w:val="24"/>
        </w:rPr>
        <w:t xml:space="preserve"> at ¶ 32</w:t>
      </w:r>
      <w:r w:rsidR="00414C93">
        <w:rPr>
          <w:rFonts w:eastAsia="Times New Roman"/>
          <w:sz w:val="24"/>
          <w:szCs w:val="24"/>
        </w:rPr>
        <w:t>;</w:t>
      </w:r>
      <w:r w:rsidRPr="00A038A6">
        <w:rPr>
          <w:rFonts w:eastAsia="Times New Roman"/>
          <w:sz w:val="24"/>
          <w:szCs w:val="24"/>
        </w:rPr>
        <w:t xml:space="preserve"> </w:t>
      </w:r>
      <w:r w:rsidRPr="00A038A6">
        <w:rPr>
          <w:rFonts w:eastAsia="Times New Roman"/>
          <w:b/>
          <w:sz w:val="24"/>
          <w:szCs w:val="24"/>
        </w:rPr>
        <w:t>Stresscon Corp. v. Travelers Prop. Cas. Co. of Am.</w:t>
      </w:r>
      <w:r w:rsidRPr="00A038A6">
        <w:rPr>
          <w:rFonts w:eastAsia="Times New Roman"/>
          <w:sz w:val="24"/>
          <w:szCs w:val="24"/>
        </w:rPr>
        <w:t xml:space="preserve">, 2013 COA 131, ¶ 120, 373 P.3d 615, </w:t>
      </w:r>
      <w:r w:rsidRPr="00A038A6">
        <w:rPr>
          <w:rFonts w:eastAsia="Times New Roman"/>
          <w:i/>
          <w:sz w:val="24"/>
          <w:szCs w:val="24"/>
        </w:rPr>
        <w:t>rev’d on other grounds</w:t>
      </w:r>
      <w:r w:rsidRPr="00A038A6">
        <w:rPr>
          <w:rFonts w:eastAsia="Times New Roman"/>
          <w:sz w:val="24"/>
          <w:szCs w:val="24"/>
        </w:rPr>
        <w:t>, 2016 CO 22M, 370 P.3d 140.</w:t>
      </w:r>
    </w:p>
    <w:p w14:paraId="3C53A4B9" w14:textId="0D76053B" w:rsidR="00A038A6" w:rsidRPr="00CC4F1D" w:rsidRDefault="00A038A6" w:rsidP="00A038A6">
      <w:pPr>
        <w:spacing w:after="240"/>
        <w:ind w:firstLine="720"/>
        <w:rPr>
          <w:rFonts w:eastAsia="Times New Roman"/>
          <w:sz w:val="24"/>
          <w:szCs w:val="24"/>
        </w:rPr>
      </w:pPr>
      <w:r w:rsidRPr="00CC4F1D">
        <w:rPr>
          <w:rFonts w:eastAsia="Times New Roman"/>
          <w:sz w:val="24"/>
          <w:szCs w:val="24"/>
        </w:rPr>
        <w:t xml:space="preserve">5.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xml:space="preserve">, 2018 CO 43, ¶¶ 1, 25, </w:t>
      </w:r>
      <w:proofErr w:type="gramStart"/>
      <w:r w:rsidR="00D32A43" w:rsidRPr="00CC4F1D">
        <w:rPr>
          <w:sz w:val="24"/>
          <w:szCs w:val="24"/>
        </w:rPr>
        <w:t>418 P.3d 1163</w:t>
      </w:r>
      <w:proofErr w:type="gramEnd"/>
      <w:r w:rsidR="00D32A43" w:rsidRPr="00CC4F1D">
        <w:rPr>
          <w:sz w:val="24"/>
          <w:szCs w:val="24"/>
        </w:rPr>
        <w:t>.</w:t>
      </w:r>
      <w:r w:rsidRPr="00CC4F1D">
        <w:rPr>
          <w:rFonts w:eastAsia="Times New Roman"/>
          <w:sz w:val="24"/>
          <w:szCs w:val="24"/>
        </w:rPr>
        <w:t xml:space="preserve">  </w:t>
      </w:r>
    </w:p>
    <w:p w14:paraId="6FE31E34" w14:textId="2D492A1B" w:rsidR="00A038A6" w:rsidRPr="00A038A6" w:rsidRDefault="00A038A6" w:rsidP="00A038A6">
      <w:pPr>
        <w:spacing w:after="240"/>
        <w:ind w:firstLine="720"/>
        <w:rPr>
          <w:rFonts w:eastAsia="Times New Roman"/>
          <w:sz w:val="24"/>
          <w:szCs w:val="24"/>
        </w:rPr>
      </w:pPr>
      <w:r w:rsidRPr="00A038A6">
        <w:rPr>
          <w:rFonts w:eastAsia="Times New Roman"/>
          <w:sz w:val="24"/>
          <w:szCs w:val="24"/>
        </w:rPr>
        <w:t>6. Due to their shared elements,</w:t>
      </w:r>
      <w:r w:rsidRPr="00A038A6" w:rsidDel="004051A7">
        <w:rPr>
          <w:rFonts w:eastAsia="Times New Roman"/>
          <w:sz w:val="24"/>
          <w:szCs w:val="24"/>
        </w:rPr>
        <w:t xml:space="preserve"> </w:t>
      </w:r>
      <w:r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Pr="00A038A6">
        <w:rPr>
          <w:rFonts w:eastAsia="Times New Roman"/>
          <w:sz w:val="24"/>
          <w:szCs w:val="24"/>
        </w:rPr>
        <w:t xml:space="preserve">reasonable attorney fees without limiting them to work performed on the statutory claim. </w:t>
      </w:r>
      <w:r w:rsidRPr="00A038A6">
        <w:rPr>
          <w:rFonts w:eastAsia="Times New Roman"/>
          <w:i/>
          <w:sz w:val="24"/>
          <w:szCs w:val="24"/>
        </w:rPr>
        <w:t>Id.</w:t>
      </w:r>
      <w:r w:rsidRPr="00A038A6">
        <w:rPr>
          <w:rFonts w:eastAsia="Times New Roman"/>
          <w:sz w:val="24"/>
          <w:szCs w:val="24"/>
        </w:rPr>
        <w:t xml:space="preserve"> at ¶¶ 33, 37 (citing </w:t>
      </w:r>
      <w:r w:rsidRPr="00A038A6">
        <w:rPr>
          <w:rFonts w:eastAsia="Times New Roman"/>
          <w:b/>
          <w:sz w:val="24"/>
          <w:szCs w:val="24"/>
        </w:rPr>
        <w:t>Fisher v. State Farm Mut. Auto. Ins. Co.</w:t>
      </w:r>
      <w:r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Pr="00BA77D6">
        <w:rPr>
          <w:rFonts w:eastAsia="Times New Roman"/>
          <w:i/>
          <w:sz w:val="24"/>
          <w:szCs w:val="24"/>
        </w:rPr>
        <w:t>ee also</w:t>
      </w:r>
      <w:r w:rsidRPr="00BA77D6">
        <w:rPr>
          <w:rFonts w:eastAsia="Times New Roman"/>
          <w:sz w:val="24"/>
          <w:szCs w:val="24"/>
        </w:rPr>
        <w:t xml:space="preserve"> </w:t>
      </w:r>
      <w:r w:rsidR="00CB13C1" w:rsidRPr="00CB13C1">
        <w:rPr>
          <w:rFonts w:eastAsia="Times New Roman"/>
          <w:b/>
          <w:sz w:val="24"/>
          <w:szCs w:val="24"/>
        </w:rPr>
        <w:t xml:space="preserve">Estate of </w:t>
      </w:r>
      <w:r w:rsidRPr="00BA77D6">
        <w:rPr>
          <w:rFonts w:eastAsia="Times New Roman"/>
          <w:b/>
          <w:sz w:val="24"/>
          <w:szCs w:val="24"/>
        </w:rPr>
        <w:t>Casper v. Guar. Tr. Life Ins. Co.</w:t>
      </w:r>
      <w:r w:rsidRPr="00BA77D6">
        <w:rPr>
          <w:rFonts w:eastAsia="Times New Roman"/>
          <w:sz w:val="24"/>
          <w:szCs w:val="24"/>
        </w:rPr>
        <w:t>, 2016 COA 167, ¶ 81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Pr="00BA77D6">
        <w:rPr>
          <w:rFonts w:eastAsia="Times New Roman"/>
          <w:sz w:val="24"/>
          <w:szCs w:val="24"/>
        </w:rPr>
        <w:t>.</w:t>
      </w:r>
    </w:p>
    <w:p w14:paraId="770A984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7. Attorney fees and costs incurred in successfully defending appeal of the statutory award are also recoverable. </w:t>
      </w:r>
      <w:r w:rsidRPr="00A038A6">
        <w:rPr>
          <w:rFonts w:eastAsia="Times New Roman"/>
          <w:b/>
          <w:sz w:val="24"/>
          <w:szCs w:val="24"/>
        </w:rPr>
        <w:t>Nibert</w:t>
      </w:r>
      <w:r w:rsidRPr="00A038A6">
        <w:rPr>
          <w:rFonts w:eastAsia="Times New Roman"/>
          <w:sz w:val="24"/>
          <w:szCs w:val="24"/>
        </w:rPr>
        <w:t>, 2017 COA 23, ¶</w:t>
      </w:r>
      <w:r w:rsidR="00157C2C">
        <w:rPr>
          <w:rFonts w:eastAsia="Times New Roman"/>
          <w:sz w:val="24"/>
          <w:szCs w:val="24"/>
        </w:rPr>
        <w:t xml:space="preserve"> </w:t>
      </w:r>
      <w:r w:rsidRPr="00A038A6">
        <w:rPr>
          <w:rFonts w:eastAsia="Times New Roman"/>
          <w:sz w:val="24"/>
          <w:szCs w:val="24"/>
        </w:rPr>
        <w:t xml:space="preserve">38; </w:t>
      </w:r>
      <w:r w:rsidRPr="00A038A6">
        <w:rPr>
          <w:rFonts w:eastAsia="Times New Roman"/>
          <w:b/>
          <w:sz w:val="24"/>
          <w:szCs w:val="24"/>
        </w:rPr>
        <w:t>Stresscon Corp.</w:t>
      </w:r>
      <w:r w:rsidRPr="00A038A6">
        <w:rPr>
          <w:rFonts w:eastAsia="Times New Roman"/>
          <w:sz w:val="24"/>
          <w:szCs w:val="24"/>
        </w:rPr>
        <w:t xml:space="preserve">, 2013 COA 131, ¶ 136 (allowing recovery of fees and costs incurred on appeal when party was awarded fees and costs in a prior stage of the proceedings) (citing </w:t>
      </w:r>
      <w:r w:rsidRPr="00A038A6">
        <w:rPr>
          <w:rFonts w:eastAsia="Times New Roman"/>
          <w:b/>
          <w:sz w:val="24"/>
          <w:szCs w:val="24"/>
        </w:rPr>
        <w:t>Melssen</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102, ¶ 75; </w:t>
      </w:r>
      <w:r w:rsidRPr="00A038A6">
        <w:rPr>
          <w:rFonts w:eastAsia="Times New Roman"/>
          <w:b/>
          <w:sz w:val="24"/>
          <w:szCs w:val="24"/>
        </w:rPr>
        <w:t>Kennedy v. King Soopers Inc.</w:t>
      </w:r>
      <w:r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lastRenderedPageBreak/>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2. Abs</w:t>
      </w:r>
      <w:smartTag w:uri="urn:schemas-microsoft-com:office:smarttags" w:element="PersonName">
        <w:r w:rsidRPr="00370240">
          <w:rPr>
            <w:rFonts w:eastAsia="Times New Roman"/>
            <w:sz w:val="24"/>
            <w:szCs w:val="24"/>
          </w:rPr>
          <w:t>e</w:t>
        </w:r>
      </w:smartTag>
      <w:r w:rsidRPr="00370240">
        <w:rPr>
          <w:rFonts w:eastAsia="Times New Roman"/>
          <w:sz w:val="24"/>
          <w:szCs w:val="24"/>
        </w:rPr>
        <w:t>nt proof of actual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flowing from an insur</w:t>
      </w:r>
      <w:smartTag w:uri="urn:schemas-microsoft-com:office:smarttags" w:element="PersonName">
        <w:r w:rsidRPr="00370240">
          <w:rPr>
            <w:rFonts w:eastAsia="Times New Roman"/>
            <w:sz w:val="24"/>
            <w:szCs w:val="24"/>
          </w:rPr>
          <w:t>e</w:t>
        </w:r>
      </w:smartTag>
      <w:r w:rsidRPr="00370240">
        <w:rPr>
          <w:rFonts w:eastAsia="Times New Roman"/>
          <w:sz w:val="24"/>
          <w:szCs w:val="24"/>
        </w:rPr>
        <w:t>r’s bad faith br</w:t>
      </w:r>
      <w:smartTag w:uri="urn:schemas-microsoft-com:office:smarttags" w:element="PersonName">
        <w:r w:rsidRPr="00370240">
          <w:rPr>
            <w:rFonts w:eastAsia="Times New Roman"/>
            <w:sz w:val="24"/>
            <w:szCs w:val="24"/>
          </w:rPr>
          <w:t>e</w:t>
        </w:r>
      </w:smartTag>
      <w:r w:rsidRPr="00370240">
        <w:rPr>
          <w:rFonts w:eastAsia="Times New Roman"/>
          <w:sz w:val="24"/>
          <w:szCs w:val="24"/>
        </w:rPr>
        <w:t>ach of insuranc</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contract, th</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plaintiff is not </w:t>
      </w:r>
      <w:smartTag w:uri="urn:schemas-microsoft-com:office:smarttags" w:element="PersonName">
        <w:r w:rsidRPr="00370240">
          <w:rPr>
            <w:rFonts w:eastAsia="Times New Roman"/>
            <w:sz w:val="24"/>
            <w:szCs w:val="24"/>
          </w:rPr>
          <w:t>e</w:t>
        </w:r>
      </w:smartTag>
      <w:r w:rsidRPr="00370240">
        <w:rPr>
          <w:rFonts w:eastAsia="Times New Roman"/>
          <w:sz w:val="24"/>
          <w:szCs w:val="24"/>
        </w:rPr>
        <w:t>ntitled to punitiv</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as a matt</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r of law. </w:t>
      </w:r>
      <w:r w:rsidRPr="00370240">
        <w:rPr>
          <w:rFonts w:eastAsia="Times New Roman"/>
          <w:b/>
          <w:sz w:val="24"/>
          <w:szCs w:val="24"/>
        </w:rPr>
        <w:t xml:space="preserve">City of </w:t>
      </w:r>
      <w:smartTag w:uri="urn:schemas-microsoft-com:office:smarttags" w:element="City">
        <w:r w:rsidRPr="00370240">
          <w:rPr>
            <w:rFonts w:eastAsia="Times New Roman"/>
            <w:b/>
            <w:sz w:val="24"/>
            <w:szCs w:val="24"/>
          </w:rPr>
          <w:t>W</w:t>
        </w:r>
        <w:smartTag w:uri="urn:schemas-microsoft-com:office:smarttags" w:element="PersonName">
          <w:r w:rsidRPr="00370240">
            <w:rPr>
              <w:rFonts w:eastAsia="Times New Roman"/>
              <w:b/>
              <w:sz w:val="24"/>
              <w:szCs w:val="24"/>
            </w:rPr>
            <w:t>e</w:t>
          </w:r>
        </w:smartTag>
        <w:r w:rsidRPr="00370240">
          <w:rPr>
            <w:rFonts w:eastAsia="Times New Roman"/>
            <w:b/>
            <w:sz w:val="24"/>
            <w:szCs w:val="24"/>
          </w:rPr>
          <w:t>stminst</w:t>
        </w:r>
        <w:smartTag w:uri="urn:schemas-microsoft-com:office:smarttags" w:element="PersonName">
          <w:r w:rsidRPr="00370240">
            <w:rPr>
              <w:rFonts w:eastAsia="Times New Roman"/>
              <w:b/>
              <w:sz w:val="24"/>
              <w:szCs w:val="24"/>
            </w:rPr>
            <w:t>e</w:t>
          </w:r>
        </w:smartTag>
        <w:r w:rsidRPr="00370240">
          <w:rPr>
            <w:rFonts w:eastAsia="Times New Roman"/>
            <w:b/>
            <w:sz w:val="24"/>
            <w:szCs w:val="24"/>
          </w:rPr>
          <w:t>r</w:t>
        </w:r>
      </w:smartTag>
      <w:r w:rsidRPr="00370240">
        <w:rPr>
          <w:rFonts w:eastAsia="Times New Roman"/>
          <w:b/>
          <w:sz w:val="24"/>
          <w:szCs w:val="24"/>
        </w:rPr>
        <w:t xml:space="preserve"> v. C</w:t>
      </w:r>
      <w:smartTag w:uri="urn:schemas-microsoft-com:office:smarttags" w:element="PersonName">
        <w:r w:rsidRPr="00370240">
          <w:rPr>
            <w:rFonts w:eastAsia="Times New Roman"/>
            <w:b/>
            <w:sz w:val="24"/>
            <w:szCs w:val="24"/>
          </w:rPr>
          <w:t>e</w:t>
        </w:r>
      </w:smartTag>
      <w:r w:rsidRPr="00370240">
        <w:rPr>
          <w:rFonts w:eastAsia="Times New Roman"/>
          <w:b/>
          <w:sz w:val="24"/>
          <w:szCs w:val="24"/>
        </w:rPr>
        <w:t>ntric-Jon</w:t>
      </w:r>
      <w:smartTag w:uri="urn:schemas-microsoft-com:office:smarttags" w:element="PersonName">
        <w:r w:rsidRPr="00370240">
          <w:rPr>
            <w:rFonts w:eastAsia="Times New Roman"/>
            <w:b/>
            <w:sz w:val="24"/>
            <w:szCs w:val="24"/>
          </w:rPr>
          <w:t>e</w:t>
        </w:r>
      </w:smartTag>
      <w:r w:rsidRPr="00370240">
        <w:rPr>
          <w:rFonts w:eastAsia="Times New Roman"/>
          <w:b/>
          <w:sz w:val="24"/>
          <w:szCs w:val="24"/>
        </w:rPr>
        <w:t>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4. The statutory language regarding enhancement of punitive damages, § 13-21-102(3), is permissive rather than mandatory and the trial court is entrusted with sound discretion in </w:t>
      </w:r>
      <w:r w:rsidRPr="00370240">
        <w:rPr>
          <w:rFonts w:eastAsia="Times New Roman"/>
          <w:sz w:val="24"/>
          <w:szCs w:val="24"/>
        </w:rPr>
        <w:lastRenderedPageBreak/>
        <w:t>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E1A0BB" w15:done="0"/>
  <w15:commentEx w15:paraId="03CCE0F7" w15:done="0"/>
  <w15:commentEx w15:paraId="0B37E4E3" w15:done="0"/>
  <w15:commentEx w15:paraId="03B36D72" w15:done="0"/>
  <w15:commentEx w15:paraId="6AE114EA" w15:done="0"/>
  <w15:commentEx w15:paraId="7B7415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E1A0BB" w16cid:durableId="1F9FACC5"/>
  <w16cid:commentId w16cid:paraId="03CCE0F7" w16cid:durableId="1F9FAE23"/>
  <w16cid:commentId w16cid:paraId="0B37E4E3" w16cid:durableId="1F9FAE6F"/>
  <w16cid:commentId w16cid:paraId="03B36D72" w16cid:durableId="1F9FB181"/>
  <w16cid:commentId w16cid:paraId="6AE114EA" w16cid:durableId="1F9FB21F"/>
  <w16cid:commentId w16cid:paraId="7B74151A" w16cid:durableId="1F9FB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EBA0E" w14:textId="77777777" w:rsidR="009F1548" w:rsidRDefault="009F1548" w:rsidP="0054263B">
      <w:r>
        <w:separator/>
      </w:r>
    </w:p>
    <w:p w14:paraId="41949ABB" w14:textId="77777777" w:rsidR="009F1548" w:rsidRDefault="009F1548"/>
  </w:endnote>
  <w:endnote w:type="continuationSeparator" w:id="0">
    <w:p w14:paraId="21714224" w14:textId="77777777" w:rsidR="009F1548" w:rsidRDefault="009F1548" w:rsidP="0054263B">
      <w:r>
        <w:continuationSeparator/>
      </w:r>
    </w:p>
    <w:p w14:paraId="1103273D" w14:textId="77777777" w:rsidR="009F1548" w:rsidRDefault="009F1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7194C38" w14:textId="77777777" w:rsidR="0007116C" w:rsidRDefault="0007116C">
        <w:pPr>
          <w:pStyle w:val="Footer"/>
          <w:jc w:val="center"/>
        </w:pPr>
        <w:r>
          <w:fldChar w:fldCharType="begin"/>
        </w:r>
        <w:r>
          <w:instrText xml:space="preserve"> PAGE   \* MERGEFORMAT </w:instrText>
        </w:r>
        <w:r>
          <w:fldChar w:fldCharType="separate"/>
        </w:r>
        <w:r w:rsidR="0012548C">
          <w:rPr>
            <w:noProof/>
          </w:rPr>
          <w:t>34</w:t>
        </w:r>
        <w:r>
          <w:rPr>
            <w:noProof/>
          </w:rPr>
          <w:fldChar w:fldCharType="end"/>
        </w:r>
      </w:p>
    </w:sdtContent>
  </w:sdt>
  <w:p w14:paraId="508DF575" w14:textId="77777777" w:rsidR="0007116C" w:rsidRDefault="0007116C">
    <w:pPr>
      <w:pStyle w:val="Footer"/>
    </w:pPr>
  </w:p>
  <w:p w14:paraId="710E5FAB" w14:textId="77777777" w:rsidR="0007116C" w:rsidRDefault="000711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51D91" w14:textId="77777777" w:rsidR="009F1548" w:rsidRDefault="009F1548" w:rsidP="0054263B">
      <w:r>
        <w:separator/>
      </w:r>
    </w:p>
    <w:p w14:paraId="5C8C084F" w14:textId="77777777" w:rsidR="009F1548" w:rsidRDefault="009F1548"/>
  </w:footnote>
  <w:footnote w:type="continuationSeparator" w:id="0">
    <w:p w14:paraId="23471E75" w14:textId="77777777" w:rsidR="009F1548" w:rsidRDefault="009F1548" w:rsidP="0054263B">
      <w:r>
        <w:continuationSeparator/>
      </w:r>
    </w:p>
    <w:p w14:paraId="7A6845CB" w14:textId="77777777" w:rsidR="009F1548" w:rsidRDefault="009F15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0771A"/>
    <w:rsid w:val="00010330"/>
    <w:rsid w:val="00016353"/>
    <w:rsid w:val="00020CF1"/>
    <w:rsid w:val="00037111"/>
    <w:rsid w:val="00041768"/>
    <w:rsid w:val="0006367C"/>
    <w:rsid w:val="0007116C"/>
    <w:rsid w:val="00074558"/>
    <w:rsid w:val="000823BC"/>
    <w:rsid w:val="000824C8"/>
    <w:rsid w:val="00085495"/>
    <w:rsid w:val="000921F1"/>
    <w:rsid w:val="0009462F"/>
    <w:rsid w:val="000962C8"/>
    <w:rsid w:val="000A040F"/>
    <w:rsid w:val="000B1B7A"/>
    <w:rsid w:val="000C204E"/>
    <w:rsid w:val="000C503A"/>
    <w:rsid w:val="000C6F97"/>
    <w:rsid w:val="000D4856"/>
    <w:rsid w:val="000F205C"/>
    <w:rsid w:val="001007E7"/>
    <w:rsid w:val="00100D6D"/>
    <w:rsid w:val="00101A07"/>
    <w:rsid w:val="00107079"/>
    <w:rsid w:val="001117D9"/>
    <w:rsid w:val="00112C8E"/>
    <w:rsid w:val="00112FF9"/>
    <w:rsid w:val="001134B3"/>
    <w:rsid w:val="00116A3D"/>
    <w:rsid w:val="00125209"/>
    <w:rsid w:val="0012548C"/>
    <w:rsid w:val="00126B7A"/>
    <w:rsid w:val="001300D4"/>
    <w:rsid w:val="001303C5"/>
    <w:rsid w:val="00143A15"/>
    <w:rsid w:val="00144917"/>
    <w:rsid w:val="00157C2C"/>
    <w:rsid w:val="001608FF"/>
    <w:rsid w:val="001671A9"/>
    <w:rsid w:val="00171705"/>
    <w:rsid w:val="00172674"/>
    <w:rsid w:val="00174BB5"/>
    <w:rsid w:val="0018388B"/>
    <w:rsid w:val="00184D62"/>
    <w:rsid w:val="001903CB"/>
    <w:rsid w:val="001913B1"/>
    <w:rsid w:val="00191498"/>
    <w:rsid w:val="00191C86"/>
    <w:rsid w:val="00195972"/>
    <w:rsid w:val="001A2648"/>
    <w:rsid w:val="001A311C"/>
    <w:rsid w:val="001A688B"/>
    <w:rsid w:val="001D31A6"/>
    <w:rsid w:val="001D703D"/>
    <w:rsid w:val="001E0F3B"/>
    <w:rsid w:val="001E1DB5"/>
    <w:rsid w:val="001F0193"/>
    <w:rsid w:val="00200BA5"/>
    <w:rsid w:val="00202B81"/>
    <w:rsid w:val="002065D8"/>
    <w:rsid w:val="0021015B"/>
    <w:rsid w:val="0021368F"/>
    <w:rsid w:val="0021730E"/>
    <w:rsid w:val="00217435"/>
    <w:rsid w:val="0022134E"/>
    <w:rsid w:val="00223286"/>
    <w:rsid w:val="00227D3A"/>
    <w:rsid w:val="00231BC4"/>
    <w:rsid w:val="00232C53"/>
    <w:rsid w:val="0024003A"/>
    <w:rsid w:val="0024062B"/>
    <w:rsid w:val="0024568D"/>
    <w:rsid w:val="0024597C"/>
    <w:rsid w:val="00245F75"/>
    <w:rsid w:val="00254258"/>
    <w:rsid w:val="002547C3"/>
    <w:rsid w:val="00256367"/>
    <w:rsid w:val="00260EDB"/>
    <w:rsid w:val="002654B4"/>
    <w:rsid w:val="00267805"/>
    <w:rsid w:val="00273777"/>
    <w:rsid w:val="0027486C"/>
    <w:rsid w:val="00290935"/>
    <w:rsid w:val="00293941"/>
    <w:rsid w:val="00293F7E"/>
    <w:rsid w:val="002A23B0"/>
    <w:rsid w:val="002A6EC7"/>
    <w:rsid w:val="002B5FCF"/>
    <w:rsid w:val="002D0987"/>
    <w:rsid w:val="002D163D"/>
    <w:rsid w:val="002D239C"/>
    <w:rsid w:val="002E0970"/>
    <w:rsid w:val="002E562A"/>
    <w:rsid w:val="002E5708"/>
    <w:rsid w:val="002F0E75"/>
    <w:rsid w:val="002F48D6"/>
    <w:rsid w:val="00304398"/>
    <w:rsid w:val="00305CB3"/>
    <w:rsid w:val="00305D0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07E0"/>
    <w:rsid w:val="003D1B54"/>
    <w:rsid w:val="003D1CAB"/>
    <w:rsid w:val="003D370E"/>
    <w:rsid w:val="003E472A"/>
    <w:rsid w:val="003E5B38"/>
    <w:rsid w:val="003E604A"/>
    <w:rsid w:val="003F108C"/>
    <w:rsid w:val="003F6E89"/>
    <w:rsid w:val="004001BC"/>
    <w:rsid w:val="00407AAB"/>
    <w:rsid w:val="00414C93"/>
    <w:rsid w:val="00434371"/>
    <w:rsid w:val="004425AA"/>
    <w:rsid w:val="00456038"/>
    <w:rsid w:val="00456B2B"/>
    <w:rsid w:val="00467B80"/>
    <w:rsid w:val="0047120C"/>
    <w:rsid w:val="00471618"/>
    <w:rsid w:val="0047374D"/>
    <w:rsid w:val="00473B65"/>
    <w:rsid w:val="00474B1B"/>
    <w:rsid w:val="0048541F"/>
    <w:rsid w:val="0049313F"/>
    <w:rsid w:val="00496096"/>
    <w:rsid w:val="004A1210"/>
    <w:rsid w:val="004A32E6"/>
    <w:rsid w:val="004B14B9"/>
    <w:rsid w:val="004B753E"/>
    <w:rsid w:val="004C1A04"/>
    <w:rsid w:val="004C62F9"/>
    <w:rsid w:val="004C723A"/>
    <w:rsid w:val="004D2C99"/>
    <w:rsid w:val="004E0408"/>
    <w:rsid w:val="004E48BD"/>
    <w:rsid w:val="004E7EF1"/>
    <w:rsid w:val="004F003D"/>
    <w:rsid w:val="00502D97"/>
    <w:rsid w:val="005065E6"/>
    <w:rsid w:val="0051385E"/>
    <w:rsid w:val="00516447"/>
    <w:rsid w:val="0052537F"/>
    <w:rsid w:val="00527A18"/>
    <w:rsid w:val="00531F87"/>
    <w:rsid w:val="0053544D"/>
    <w:rsid w:val="0054263B"/>
    <w:rsid w:val="00544A0C"/>
    <w:rsid w:val="00547D97"/>
    <w:rsid w:val="00550AFD"/>
    <w:rsid w:val="00557FCC"/>
    <w:rsid w:val="005648EF"/>
    <w:rsid w:val="0057771F"/>
    <w:rsid w:val="005A22A6"/>
    <w:rsid w:val="005B27FE"/>
    <w:rsid w:val="005B3A78"/>
    <w:rsid w:val="005C0F3A"/>
    <w:rsid w:val="005C56C9"/>
    <w:rsid w:val="005C5CCB"/>
    <w:rsid w:val="005D1AD3"/>
    <w:rsid w:val="005D3156"/>
    <w:rsid w:val="005E5B14"/>
    <w:rsid w:val="005E712D"/>
    <w:rsid w:val="005F1017"/>
    <w:rsid w:val="005F145C"/>
    <w:rsid w:val="005F19FD"/>
    <w:rsid w:val="005F5A94"/>
    <w:rsid w:val="00604F03"/>
    <w:rsid w:val="006053F6"/>
    <w:rsid w:val="006229FE"/>
    <w:rsid w:val="006272FE"/>
    <w:rsid w:val="00631BFF"/>
    <w:rsid w:val="00635F37"/>
    <w:rsid w:val="00642649"/>
    <w:rsid w:val="00647CC5"/>
    <w:rsid w:val="00651A64"/>
    <w:rsid w:val="006601C5"/>
    <w:rsid w:val="0066100E"/>
    <w:rsid w:val="00661D05"/>
    <w:rsid w:val="00673F33"/>
    <w:rsid w:val="00675252"/>
    <w:rsid w:val="00682B93"/>
    <w:rsid w:val="0068336D"/>
    <w:rsid w:val="00683FA1"/>
    <w:rsid w:val="00685E76"/>
    <w:rsid w:val="00687304"/>
    <w:rsid w:val="00697DF2"/>
    <w:rsid w:val="006A47FD"/>
    <w:rsid w:val="006A74B6"/>
    <w:rsid w:val="006A7F32"/>
    <w:rsid w:val="006B2457"/>
    <w:rsid w:val="006B26D7"/>
    <w:rsid w:val="006D00EC"/>
    <w:rsid w:val="006D531A"/>
    <w:rsid w:val="006E0D06"/>
    <w:rsid w:val="006E3575"/>
    <w:rsid w:val="006E62F0"/>
    <w:rsid w:val="006F0772"/>
    <w:rsid w:val="006F7581"/>
    <w:rsid w:val="006F7DC0"/>
    <w:rsid w:val="00702B5A"/>
    <w:rsid w:val="0070752A"/>
    <w:rsid w:val="007119D8"/>
    <w:rsid w:val="0071225B"/>
    <w:rsid w:val="00712E33"/>
    <w:rsid w:val="00713866"/>
    <w:rsid w:val="007216DA"/>
    <w:rsid w:val="00724230"/>
    <w:rsid w:val="00726E21"/>
    <w:rsid w:val="0073147A"/>
    <w:rsid w:val="007340B5"/>
    <w:rsid w:val="007532AB"/>
    <w:rsid w:val="00764553"/>
    <w:rsid w:val="0076649E"/>
    <w:rsid w:val="00766F81"/>
    <w:rsid w:val="00770FFC"/>
    <w:rsid w:val="00787065"/>
    <w:rsid w:val="00792028"/>
    <w:rsid w:val="007A3A0E"/>
    <w:rsid w:val="007A56C2"/>
    <w:rsid w:val="007A612E"/>
    <w:rsid w:val="007B1633"/>
    <w:rsid w:val="007B35B5"/>
    <w:rsid w:val="007C42D5"/>
    <w:rsid w:val="007C4B23"/>
    <w:rsid w:val="007D168F"/>
    <w:rsid w:val="007D198E"/>
    <w:rsid w:val="007D2BCE"/>
    <w:rsid w:val="007D39CC"/>
    <w:rsid w:val="007E1675"/>
    <w:rsid w:val="007E515A"/>
    <w:rsid w:val="007F40A8"/>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76A05"/>
    <w:rsid w:val="008812A8"/>
    <w:rsid w:val="00881431"/>
    <w:rsid w:val="008859AF"/>
    <w:rsid w:val="00895065"/>
    <w:rsid w:val="008A1099"/>
    <w:rsid w:val="008A2986"/>
    <w:rsid w:val="008A475A"/>
    <w:rsid w:val="008A6339"/>
    <w:rsid w:val="008A637B"/>
    <w:rsid w:val="008B0311"/>
    <w:rsid w:val="008B1617"/>
    <w:rsid w:val="008B5E97"/>
    <w:rsid w:val="008B7480"/>
    <w:rsid w:val="008C1739"/>
    <w:rsid w:val="008C2E7B"/>
    <w:rsid w:val="008C5423"/>
    <w:rsid w:val="008D2D56"/>
    <w:rsid w:val="008D4A28"/>
    <w:rsid w:val="008D609F"/>
    <w:rsid w:val="008D7ECC"/>
    <w:rsid w:val="008E41F1"/>
    <w:rsid w:val="008E51AF"/>
    <w:rsid w:val="008F19CE"/>
    <w:rsid w:val="008F4C42"/>
    <w:rsid w:val="008F746C"/>
    <w:rsid w:val="009007E8"/>
    <w:rsid w:val="009022AA"/>
    <w:rsid w:val="0090292A"/>
    <w:rsid w:val="00902A25"/>
    <w:rsid w:val="00904756"/>
    <w:rsid w:val="00914128"/>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E7644"/>
    <w:rsid w:val="009F1548"/>
    <w:rsid w:val="009F581C"/>
    <w:rsid w:val="00A005E6"/>
    <w:rsid w:val="00A038A6"/>
    <w:rsid w:val="00A05528"/>
    <w:rsid w:val="00A06ED6"/>
    <w:rsid w:val="00A10F3D"/>
    <w:rsid w:val="00A110C7"/>
    <w:rsid w:val="00A36457"/>
    <w:rsid w:val="00A50F20"/>
    <w:rsid w:val="00A54915"/>
    <w:rsid w:val="00A5610D"/>
    <w:rsid w:val="00A632A0"/>
    <w:rsid w:val="00A677E8"/>
    <w:rsid w:val="00A73AE6"/>
    <w:rsid w:val="00A76341"/>
    <w:rsid w:val="00A80C10"/>
    <w:rsid w:val="00A82D0A"/>
    <w:rsid w:val="00A85AAA"/>
    <w:rsid w:val="00A9205E"/>
    <w:rsid w:val="00A92C18"/>
    <w:rsid w:val="00AB1D6F"/>
    <w:rsid w:val="00AB2019"/>
    <w:rsid w:val="00AB6B20"/>
    <w:rsid w:val="00AB71A7"/>
    <w:rsid w:val="00AC78F7"/>
    <w:rsid w:val="00AD4B56"/>
    <w:rsid w:val="00AD61CD"/>
    <w:rsid w:val="00AF40E1"/>
    <w:rsid w:val="00AF607B"/>
    <w:rsid w:val="00AF7D47"/>
    <w:rsid w:val="00B0264D"/>
    <w:rsid w:val="00B17183"/>
    <w:rsid w:val="00B338E2"/>
    <w:rsid w:val="00B35185"/>
    <w:rsid w:val="00B37722"/>
    <w:rsid w:val="00B567C1"/>
    <w:rsid w:val="00B579DF"/>
    <w:rsid w:val="00B57DEA"/>
    <w:rsid w:val="00B6275E"/>
    <w:rsid w:val="00B649E0"/>
    <w:rsid w:val="00B70D68"/>
    <w:rsid w:val="00B719C2"/>
    <w:rsid w:val="00B72D6B"/>
    <w:rsid w:val="00B80FD1"/>
    <w:rsid w:val="00B8438E"/>
    <w:rsid w:val="00B937E4"/>
    <w:rsid w:val="00B97801"/>
    <w:rsid w:val="00BA2389"/>
    <w:rsid w:val="00BA27A8"/>
    <w:rsid w:val="00BA510E"/>
    <w:rsid w:val="00BA77D6"/>
    <w:rsid w:val="00BB344E"/>
    <w:rsid w:val="00BB436B"/>
    <w:rsid w:val="00BB585D"/>
    <w:rsid w:val="00BC49BF"/>
    <w:rsid w:val="00BC60AE"/>
    <w:rsid w:val="00BC65EF"/>
    <w:rsid w:val="00BC789A"/>
    <w:rsid w:val="00BE2B09"/>
    <w:rsid w:val="00BE654D"/>
    <w:rsid w:val="00BE6634"/>
    <w:rsid w:val="00BF5DF3"/>
    <w:rsid w:val="00C161A1"/>
    <w:rsid w:val="00C21D93"/>
    <w:rsid w:val="00C225C9"/>
    <w:rsid w:val="00C26751"/>
    <w:rsid w:val="00C40968"/>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5C67"/>
    <w:rsid w:val="00CB62DC"/>
    <w:rsid w:val="00CC0502"/>
    <w:rsid w:val="00CC1AC8"/>
    <w:rsid w:val="00CC4F1D"/>
    <w:rsid w:val="00CC6A95"/>
    <w:rsid w:val="00CC7E17"/>
    <w:rsid w:val="00CD23A0"/>
    <w:rsid w:val="00CD4A7D"/>
    <w:rsid w:val="00CE593D"/>
    <w:rsid w:val="00CF07F1"/>
    <w:rsid w:val="00CF28BF"/>
    <w:rsid w:val="00D00330"/>
    <w:rsid w:val="00D0050C"/>
    <w:rsid w:val="00D014AE"/>
    <w:rsid w:val="00D05926"/>
    <w:rsid w:val="00D06D8D"/>
    <w:rsid w:val="00D16901"/>
    <w:rsid w:val="00D23BD0"/>
    <w:rsid w:val="00D259DC"/>
    <w:rsid w:val="00D32A43"/>
    <w:rsid w:val="00D333AA"/>
    <w:rsid w:val="00D347CA"/>
    <w:rsid w:val="00D51E80"/>
    <w:rsid w:val="00D53848"/>
    <w:rsid w:val="00D53AC5"/>
    <w:rsid w:val="00D54276"/>
    <w:rsid w:val="00D5484F"/>
    <w:rsid w:val="00D66858"/>
    <w:rsid w:val="00D72662"/>
    <w:rsid w:val="00D767EB"/>
    <w:rsid w:val="00D8125F"/>
    <w:rsid w:val="00D90E67"/>
    <w:rsid w:val="00DA0555"/>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3FDA"/>
    <w:rsid w:val="00E24E10"/>
    <w:rsid w:val="00E2724A"/>
    <w:rsid w:val="00E30D4B"/>
    <w:rsid w:val="00E31F1C"/>
    <w:rsid w:val="00E372EA"/>
    <w:rsid w:val="00E50187"/>
    <w:rsid w:val="00E55147"/>
    <w:rsid w:val="00E551EB"/>
    <w:rsid w:val="00E65F9E"/>
    <w:rsid w:val="00E67638"/>
    <w:rsid w:val="00E70C9B"/>
    <w:rsid w:val="00E72FF1"/>
    <w:rsid w:val="00E7526A"/>
    <w:rsid w:val="00E87248"/>
    <w:rsid w:val="00E87C31"/>
    <w:rsid w:val="00E87FFB"/>
    <w:rsid w:val="00E93068"/>
    <w:rsid w:val="00E970B9"/>
    <w:rsid w:val="00EA097A"/>
    <w:rsid w:val="00EB113C"/>
    <w:rsid w:val="00EB5133"/>
    <w:rsid w:val="00EB6247"/>
    <w:rsid w:val="00EB74DC"/>
    <w:rsid w:val="00EC16F4"/>
    <w:rsid w:val="00EC17E3"/>
    <w:rsid w:val="00EC29A6"/>
    <w:rsid w:val="00EC3919"/>
    <w:rsid w:val="00EC7C98"/>
    <w:rsid w:val="00ED32E8"/>
    <w:rsid w:val="00ED5E52"/>
    <w:rsid w:val="00ED7176"/>
    <w:rsid w:val="00ED75EA"/>
    <w:rsid w:val="00EE26F9"/>
    <w:rsid w:val="00EF4043"/>
    <w:rsid w:val="00F022D4"/>
    <w:rsid w:val="00F062A4"/>
    <w:rsid w:val="00F32AA4"/>
    <w:rsid w:val="00F53569"/>
    <w:rsid w:val="00F573CF"/>
    <w:rsid w:val="00F57A2B"/>
    <w:rsid w:val="00F60050"/>
    <w:rsid w:val="00F658E5"/>
    <w:rsid w:val="00F764F4"/>
    <w:rsid w:val="00F82676"/>
    <w:rsid w:val="00F86F49"/>
    <w:rsid w:val="00F945CF"/>
    <w:rsid w:val="00F94DD6"/>
    <w:rsid w:val="00FA333E"/>
    <w:rsid w:val="00FA7B76"/>
    <w:rsid w:val="00FC544C"/>
    <w:rsid w:val="00FD2DF4"/>
    <w:rsid w:val="00FD5FD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estgroup-com/westlawcitation" w:name="typecases"/>
  <w:smartTagType w:namespaceuri="urn:schemas-microsoft-com:office:smarttags" w:name="stockticker"/>
  <w:smartTagType w:namespaceuri="urn:schemas-microsoft-com:office:smarttags" w:name="PersonName"/>
  <w:smartTagType w:namespaceuri="urn:schemas-microsoft-com:office:smarttags" w:name="dat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789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CCED-D57B-470B-A76D-F03018010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13844</Words>
  <Characters>78914</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2018-12-15T20:39:00Z</dcterms:created>
  <dcterms:modified xsi:type="dcterms:W3CDTF">2018-12-15T20:39:00Z</dcterms:modified>
</cp:coreProperties>
</file>