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DD8CA" w14:textId="77777777" w:rsidR="00CA41CC" w:rsidRPr="00914128" w:rsidRDefault="0068336D" w:rsidP="00914128">
      <w:pPr>
        <w:pStyle w:val="Heading1"/>
      </w:pPr>
      <w:bookmarkStart w:id="0" w:name="_GoBack"/>
      <w:bookmarkEnd w:id="0"/>
      <w:r>
        <w:t xml:space="preserve">CHAPTER </w:t>
      </w:r>
      <w:r w:rsidR="00BA510E">
        <w:t>7</w:t>
      </w:r>
    </w:p>
    <w:p w14:paraId="01C2B08D" w14:textId="77777777" w:rsidR="00EC7C98" w:rsidRPr="00914128" w:rsidRDefault="00BA510E" w:rsidP="00914128">
      <w:pPr>
        <w:pStyle w:val="Heading1"/>
      </w:pPr>
      <w:r>
        <w:t>LEGAL RELATIONSHIPS</w:t>
      </w:r>
    </w:p>
    <w:p w14:paraId="24FBCBAB" w14:textId="77777777" w:rsidR="0022134E" w:rsidRPr="009B6746" w:rsidRDefault="0022134E" w:rsidP="0022134E">
      <w:pPr>
        <w:pStyle w:val="Heading1"/>
        <w:jc w:val="left"/>
        <w:rPr>
          <w:b w:val="0"/>
        </w:rPr>
      </w:pPr>
      <w:r w:rsidRPr="009B6746">
        <w:rPr>
          <w:b w:val="0"/>
        </w:rPr>
        <w:t xml:space="preserve">A. </w:t>
      </w:r>
      <w:r w:rsidR="00BA510E">
        <w:rPr>
          <w:b w:val="0"/>
        </w:rPr>
        <w:t>minors</w:t>
      </w:r>
    </w:p>
    <w:p w14:paraId="6AC12CAC" w14:textId="77777777" w:rsidR="00EC7C98" w:rsidRDefault="00FC3783" w:rsidP="00914128">
      <w:pPr>
        <w:pStyle w:val="ToC"/>
      </w:pPr>
      <w:hyperlink w:anchor="a7_1" w:history="1">
        <w:r w:rsidR="00107D25" w:rsidRPr="00144917">
          <w:rPr>
            <w:rStyle w:val="Hyperlink"/>
          </w:rPr>
          <w:t>7:1</w:t>
        </w:r>
      </w:hyperlink>
      <w:r w:rsidR="00107D25" w:rsidRPr="00144917">
        <w:t xml:space="preserve"> </w:t>
      </w:r>
      <w:r w:rsidR="00107D25" w:rsidRPr="00144917">
        <w:tab/>
        <w:t xml:space="preserve">Minor Child — Defined — Right </w:t>
      </w:r>
      <w:r w:rsidR="00107D25">
        <w:t>t</w:t>
      </w:r>
      <w:r w:rsidR="00107D25" w:rsidRPr="00144917">
        <w:t xml:space="preserve">o Sue </w:t>
      </w:r>
      <w:r w:rsidR="00107D25">
        <w:t>o</w:t>
      </w:r>
      <w:r w:rsidR="00107D25" w:rsidRPr="00144917">
        <w:t>r Defend</w:t>
      </w:r>
    </w:p>
    <w:p w14:paraId="0FDBB341" w14:textId="77777777" w:rsidR="00144917" w:rsidRDefault="00FC3783" w:rsidP="00914128">
      <w:pPr>
        <w:pStyle w:val="ToC"/>
      </w:pPr>
      <w:hyperlink w:anchor="a7_2" w:history="1">
        <w:proofErr w:type="gramStart"/>
        <w:r w:rsidR="00107D25" w:rsidRPr="00144917">
          <w:rPr>
            <w:rStyle w:val="Hyperlink"/>
          </w:rPr>
          <w:t>7:2</w:t>
        </w:r>
      </w:hyperlink>
      <w:r w:rsidR="00107D25" w:rsidRPr="00144917">
        <w:t xml:space="preserve"> </w:t>
      </w:r>
      <w:r w:rsidR="00107D25" w:rsidRPr="00144917">
        <w:tab/>
        <w:t>Emancipation —</w:t>
      </w:r>
      <w:proofErr w:type="gramEnd"/>
      <w:r w:rsidR="00107D25" w:rsidRPr="00144917">
        <w:t xml:space="preserve"> Defined</w:t>
      </w:r>
    </w:p>
    <w:p w14:paraId="7A78863F" w14:textId="77777777" w:rsidR="0068336D" w:rsidRPr="00EC7C98" w:rsidRDefault="0068336D" w:rsidP="0068336D">
      <w:pPr>
        <w:pStyle w:val="ToC"/>
      </w:pPr>
    </w:p>
    <w:p w14:paraId="7CC32395" w14:textId="77777777" w:rsidR="0068336D" w:rsidRPr="009B6746" w:rsidRDefault="00973884" w:rsidP="0068336D">
      <w:pPr>
        <w:pStyle w:val="Heading1"/>
        <w:jc w:val="left"/>
        <w:rPr>
          <w:b w:val="0"/>
        </w:rPr>
      </w:pPr>
      <w:r w:rsidRPr="00973884">
        <w:rPr>
          <w:b w:val="0"/>
        </w:rPr>
        <w:t xml:space="preserve">B. </w:t>
      </w:r>
      <w:r w:rsidR="00BA510E">
        <w:rPr>
          <w:b w:val="0"/>
        </w:rPr>
        <w:t>partnerships and joint ventures</w:t>
      </w:r>
    </w:p>
    <w:p w14:paraId="6538FF57" w14:textId="77777777" w:rsidR="0068336D" w:rsidRDefault="00FC3783" w:rsidP="0068336D">
      <w:pPr>
        <w:pStyle w:val="ToC"/>
      </w:pPr>
      <w:hyperlink w:anchor="a7_3" w:history="1">
        <w:r w:rsidR="00107D25" w:rsidRPr="00144917">
          <w:rPr>
            <w:rStyle w:val="Hyperlink"/>
          </w:rPr>
          <w:t>7:3</w:t>
        </w:r>
      </w:hyperlink>
      <w:r w:rsidR="00107D25" w:rsidRPr="00144917">
        <w:t xml:space="preserve"> </w:t>
      </w:r>
      <w:r w:rsidR="00107D25" w:rsidRPr="00144917">
        <w:tab/>
        <w:t xml:space="preserve">General </w:t>
      </w:r>
      <w:proofErr w:type="gramStart"/>
      <w:r w:rsidR="00107D25" w:rsidRPr="00144917">
        <w:t>Partnership</w:t>
      </w:r>
      <w:proofErr w:type="gramEnd"/>
      <w:r w:rsidR="00107D25" w:rsidRPr="00144917">
        <w:t xml:space="preserve"> — Defined</w:t>
      </w:r>
    </w:p>
    <w:p w14:paraId="56A8A251" w14:textId="77777777" w:rsidR="00144917" w:rsidRDefault="00FC3783" w:rsidP="0068336D">
      <w:pPr>
        <w:pStyle w:val="ToC"/>
      </w:pPr>
      <w:hyperlink w:anchor="a7_4" w:history="1">
        <w:r w:rsidR="00107D25" w:rsidRPr="00144917">
          <w:rPr>
            <w:rStyle w:val="Hyperlink"/>
          </w:rPr>
          <w:t>7:4</w:t>
        </w:r>
      </w:hyperlink>
      <w:r w:rsidR="00107D25" w:rsidRPr="00144917">
        <w:t xml:space="preserve"> </w:t>
      </w:r>
      <w:r w:rsidR="00107D25" w:rsidRPr="00144917">
        <w:tab/>
        <w:t xml:space="preserve">Joint </w:t>
      </w:r>
      <w:proofErr w:type="gramStart"/>
      <w:r w:rsidR="00107D25" w:rsidRPr="00144917">
        <w:t>Venture</w:t>
      </w:r>
      <w:proofErr w:type="gramEnd"/>
      <w:r w:rsidR="00107D25" w:rsidRPr="00144917">
        <w:t xml:space="preserve"> — Defined</w:t>
      </w:r>
    </w:p>
    <w:p w14:paraId="1E67E4FB" w14:textId="77777777" w:rsidR="00144917" w:rsidRDefault="00FC3783" w:rsidP="0068336D">
      <w:pPr>
        <w:pStyle w:val="ToC"/>
      </w:pPr>
      <w:hyperlink w:anchor="a7_5" w:history="1">
        <w:r w:rsidR="00107D25" w:rsidRPr="00144917">
          <w:rPr>
            <w:rStyle w:val="Hyperlink"/>
          </w:rPr>
          <w:t>7:5</w:t>
        </w:r>
      </w:hyperlink>
      <w:r w:rsidR="00107D25" w:rsidRPr="00144917">
        <w:t xml:space="preserve"> </w:t>
      </w:r>
      <w:r w:rsidR="00107D25" w:rsidRPr="00144917">
        <w:tab/>
        <w:t xml:space="preserve">Joint </w:t>
      </w:r>
      <w:proofErr w:type="gramStart"/>
      <w:r w:rsidR="00107D25" w:rsidRPr="00144917">
        <w:t>Venture</w:t>
      </w:r>
      <w:proofErr w:type="gramEnd"/>
      <w:r w:rsidR="00107D25" w:rsidRPr="00144917">
        <w:t xml:space="preserve"> </w:t>
      </w:r>
      <w:r w:rsidR="00107D25">
        <w:t>i</w:t>
      </w:r>
      <w:r w:rsidR="00107D25" w:rsidRPr="00144917">
        <w:t xml:space="preserve">n Operation </w:t>
      </w:r>
      <w:r w:rsidR="00107D25">
        <w:t>o</w:t>
      </w:r>
      <w:r w:rsidR="00107D25" w:rsidRPr="00144917">
        <w:t xml:space="preserve">f Vehicle </w:t>
      </w:r>
      <w:r w:rsidR="00107D25">
        <w:t>o</w:t>
      </w:r>
      <w:r w:rsidR="00107D25" w:rsidRPr="00144917">
        <w:t>r Other Instrumentality — Defined</w:t>
      </w:r>
    </w:p>
    <w:p w14:paraId="12C825B6" w14:textId="77777777" w:rsidR="00144917" w:rsidRDefault="00FC3783" w:rsidP="0068336D">
      <w:pPr>
        <w:pStyle w:val="ToC"/>
      </w:pPr>
      <w:hyperlink w:anchor="a7_6" w:history="1">
        <w:r w:rsidR="00107D25" w:rsidRPr="00144917">
          <w:rPr>
            <w:rStyle w:val="Hyperlink"/>
          </w:rPr>
          <w:t>7:6</w:t>
        </w:r>
      </w:hyperlink>
      <w:r w:rsidR="00107D25" w:rsidRPr="00144917">
        <w:t xml:space="preserve"> </w:t>
      </w:r>
      <w:r w:rsidR="00107D25" w:rsidRPr="00144917">
        <w:tab/>
        <w:t xml:space="preserve">Joint Venture — Imputing Negligence </w:t>
      </w:r>
      <w:proofErr w:type="gramStart"/>
      <w:r w:rsidR="00107D25" w:rsidRPr="00144917">
        <w:t>Among</w:t>
      </w:r>
      <w:proofErr w:type="gramEnd"/>
      <w:r w:rsidR="00107D25" w:rsidRPr="00144917">
        <w:t xml:space="preserve"> Joint Venturers</w:t>
      </w:r>
    </w:p>
    <w:p w14:paraId="235B7742" w14:textId="77777777" w:rsidR="00352111" w:rsidRPr="00352111" w:rsidRDefault="00352111">
      <w:pPr>
        <w:rPr>
          <w:rFonts w:eastAsia="Times New Roman"/>
          <w:sz w:val="24"/>
          <w:szCs w:val="24"/>
        </w:rPr>
      </w:pPr>
      <w:r w:rsidRPr="00352111">
        <w:rPr>
          <w:rFonts w:eastAsia="Times New Roman"/>
          <w:sz w:val="24"/>
          <w:szCs w:val="24"/>
        </w:rPr>
        <w:br w:type="page"/>
      </w:r>
    </w:p>
    <w:p w14:paraId="06FAE50A" w14:textId="77777777" w:rsidR="009E3DA4" w:rsidRDefault="009E3DA4" w:rsidP="009E3DA4">
      <w:pPr>
        <w:spacing w:after="240"/>
        <w:jc w:val="center"/>
        <w:rPr>
          <w:rFonts w:eastAsia="Times New Roman"/>
          <w:b/>
          <w:sz w:val="24"/>
          <w:szCs w:val="24"/>
        </w:rPr>
      </w:pPr>
      <w:r w:rsidRPr="009E3DA4">
        <w:rPr>
          <w:rFonts w:eastAsia="Times New Roman"/>
          <w:b/>
          <w:sz w:val="24"/>
          <w:szCs w:val="24"/>
        </w:rPr>
        <w:lastRenderedPageBreak/>
        <w:t xml:space="preserve">A. </w:t>
      </w:r>
      <w:r w:rsidR="00BA510E">
        <w:rPr>
          <w:rFonts w:eastAsia="Times New Roman"/>
          <w:b/>
          <w:sz w:val="24"/>
          <w:szCs w:val="24"/>
        </w:rPr>
        <w:t>MINORS</w:t>
      </w:r>
    </w:p>
    <w:p w14:paraId="62315DBD" w14:textId="77777777" w:rsidR="009E3DA4" w:rsidRPr="009E3DA4" w:rsidRDefault="00BA510E" w:rsidP="00CC0502">
      <w:pPr>
        <w:spacing w:after="240"/>
        <w:ind w:left="720" w:hanging="720"/>
        <w:rPr>
          <w:rFonts w:eastAsia="Times New Roman"/>
          <w:b/>
          <w:sz w:val="24"/>
          <w:szCs w:val="24"/>
        </w:rPr>
      </w:pPr>
      <w:bookmarkStart w:id="1" w:name="a7_1"/>
      <w:bookmarkEnd w:id="1"/>
      <w:r w:rsidRPr="00BA510E">
        <w:rPr>
          <w:rFonts w:eastAsia="Times New Roman"/>
          <w:b/>
          <w:sz w:val="24"/>
          <w:szCs w:val="24"/>
        </w:rPr>
        <w:t xml:space="preserve">7:1 </w:t>
      </w:r>
      <w:r w:rsidRPr="00BA510E">
        <w:rPr>
          <w:rFonts w:eastAsia="Times New Roman"/>
          <w:b/>
          <w:sz w:val="24"/>
          <w:szCs w:val="24"/>
        </w:rPr>
        <w:tab/>
        <w:t>MINOR CHILD — DEFINED — RIGHT TO SUE OR DEFEND</w:t>
      </w:r>
    </w:p>
    <w:p w14:paraId="1AE602D7" w14:textId="77777777" w:rsidR="00BA510E" w:rsidRPr="00BA510E" w:rsidRDefault="00BA510E" w:rsidP="00BA510E">
      <w:pPr>
        <w:spacing w:after="240"/>
        <w:ind w:firstLine="720"/>
        <w:rPr>
          <w:rFonts w:eastAsia="Times New Roman"/>
          <w:b/>
          <w:sz w:val="24"/>
          <w:szCs w:val="24"/>
        </w:rPr>
      </w:pPr>
      <w:r w:rsidRPr="00BA510E">
        <w:rPr>
          <w:rFonts w:eastAsia="Times New Roman"/>
          <w:b/>
          <w:sz w:val="24"/>
          <w:szCs w:val="24"/>
        </w:rPr>
        <w:t xml:space="preserve">A person who is younger than 18 years old is a minor child. An adult must (sue) (defend) as </w:t>
      </w:r>
      <w:r w:rsidRPr="00BA510E">
        <w:rPr>
          <w:rFonts w:eastAsia="Times New Roman"/>
          <w:i/>
          <w:sz w:val="24"/>
          <w:szCs w:val="24"/>
        </w:rPr>
        <w:t>(insert appropriate description, e.g., “guardian,” “next friend,” “conservator,” etc.)</w:t>
      </w:r>
      <w:r w:rsidRPr="00BA510E">
        <w:rPr>
          <w:rFonts w:eastAsia="Times New Roman"/>
          <w:b/>
          <w:sz w:val="24"/>
          <w:szCs w:val="24"/>
        </w:rPr>
        <w:t xml:space="preserve"> in place of the minor.</w:t>
      </w:r>
    </w:p>
    <w:p w14:paraId="0507AA28" w14:textId="77777777" w:rsidR="00832DB4" w:rsidRDefault="00832DB4" w:rsidP="0054263B">
      <w:pPr>
        <w:jc w:val="center"/>
        <w:rPr>
          <w:rFonts w:eastAsia="Times New Roman"/>
          <w:sz w:val="24"/>
          <w:szCs w:val="24"/>
        </w:rPr>
      </w:pPr>
    </w:p>
    <w:p w14:paraId="12176EEA"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2806CB32" w14:textId="77777777" w:rsidR="000C503A" w:rsidRPr="000C503A" w:rsidRDefault="000C503A" w:rsidP="000C503A">
      <w:pPr>
        <w:spacing w:after="240"/>
        <w:ind w:firstLine="720"/>
        <w:rPr>
          <w:rFonts w:eastAsia="Times New Roman"/>
          <w:sz w:val="24"/>
          <w:szCs w:val="24"/>
        </w:rPr>
      </w:pPr>
      <w:r w:rsidRPr="000C503A">
        <w:rPr>
          <w:rFonts w:eastAsia="Times New Roman"/>
          <w:sz w:val="24"/>
          <w:szCs w:val="24"/>
        </w:rPr>
        <w:t>1. Use whichever word, “sue” or “defend,” is appropriate.</w:t>
      </w:r>
    </w:p>
    <w:p w14:paraId="27ADFBE1" w14:textId="77777777" w:rsidR="000C503A" w:rsidRPr="000C503A" w:rsidRDefault="000C503A" w:rsidP="000C503A">
      <w:pPr>
        <w:spacing w:after="240"/>
        <w:ind w:firstLine="720"/>
        <w:rPr>
          <w:rFonts w:eastAsia="Times New Roman"/>
          <w:sz w:val="24"/>
          <w:szCs w:val="24"/>
        </w:rPr>
      </w:pPr>
      <w:r w:rsidRPr="000C503A">
        <w:rPr>
          <w:rFonts w:eastAsia="Times New Roman"/>
          <w:sz w:val="24"/>
          <w:szCs w:val="24"/>
        </w:rPr>
        <w:t>2. This instruction should be used in conjunction with Instructions 6:2, 6:3, and 6:4, as applicable.</w:t>
      </w:r>
    </w:p>
    <w:p w14:paraId="58A4C1DA"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43AD9D3D" w14:textId="77777777" w:rsidR="000C503A" w:rsidRPr="000C503A" w:rsidRDefault="000C503A" w:rsidP="000C503A">
      <w:pPr>
        <w:spacing w:after="240"/>
        <w:ind w:firstLine="720"/>
        <w:rPr>
          <w:rFonts w:eastAsia="Times New Roman"/>
          <w:sz w:val="24"/>
          <w:szCs w:val="24"/>
        </w:rPr>
      </w:pPr>
      <w:r w:rsidRPr="000C503A">
        <w:rPr>
          <w:rFonts w:eastAsia="Times New Roman"/>
          <w:sz w:val="24"/>
          <w:szCs w:val="24"/>
        </w:rPr>
        <w:t>1. This instruction is supported by C.R.C.P. 17(c) and 317(c), and section 13-22-101(1</w:t>
      </w:r>
      <w:proofErr w:type="gramStart"/>
      <w:r w:rsidRPr="000C503A">
        <w:rPr>
          <w:rFonts w:eastAsia="Times New Roman"/>
          <w:sz w:val="24"/>
          <w:szCs w:val="24"/>
        </w:rPr>
        <w:t>)(</w:t>
      </w:r>
      <w:proofErr w:type="gramEnd"/>
      <w:r w:rsidRPr="000C503A">
        <w:rPr>
          <w:rFonts w:eastAsia="Times New Roman"/>
          <w:sz w:val="24"/>
          <w:szCs w:val="24"/>
        </w:rPr>
        <w:t xml:space="preserve">c), C.R.S. </w:t>
      </w:r>
      <w:r w:rsidRPr="000C503A">
        <w:rPr>
          <w:rFonts w:eastAsia="Times New Roman"/>
          <w:i/>
          <w:sz w:val="24"/>
          <w:szCs w:val="24"/>
        </w:rPr>
        <w:t>See also</w:t>
      </w:r>
      <w:r w:rsidRPr="000C503A">
        <w:rPr>
          <w:rFonts w:eastAsia="Times New Roman"/>
          <w:sz w:val="24"/>
          <w:szCs w:val="24"/>
        </w:rPr>
        <w:t xml:space="preserve"> § 2-4-401(6), C.R.S. (absent express statutory language to the contrary, general statutory definition of a “minor” is one who has not attained age of </w:t>
      </w:r>
      <w:r w:rsidR="00611AC9">
        <w:rPr>
          <w:rFonts w:eastAsia="Times New Roman"/>
          <w:sz w:val="24"/>
          <w:szCs w:val="24"/>
        </w:rPr>
        <w:t>twenty-one</w:t>
      </w:r>
      <w:r w:rsidR="00611AC9" w:rsidRPr="000C503A">
        <w:rPr>
          <w:rFonts w:eastAsia="Times New Roman"/>
          <w:sz w:val="24"/>
          <w:szCs w:val="24"/>
        </w:rPr>
        <w:t xml:space="preserve"> </w:t>
      </w:r>
      <w:r w:rsidRPr="000C503A">
        <w:rPr>
          <w:rFonts w:eastAsia="Times New Roman"/>
          <w:sz w:val="24"/>
          <w:szCs w:val="24"/>
        </w:rPr>
        <w:t>years).</w:t>
      </w:r>
      <w:r w:rsidR="002A2A74">
        <w:rPr>
          <w:rFonts w:eastAsia="Times New Roman"/>
          <w:sz w:val="24"/>
          <w:szCs w:val="24"/>
        </w:rPr>
        <w:t xml:space="preserve"> </w:t>
      </w:r>
      <w:r w:rsidR="002A2A74" w:rsidRPr="002A2A74">
        <w:rPr>
          <w:rFonts w:eastAsia="Times New Roman"/>
          <w:sz w:val="24"/>
          <w:szCs w:val="24"/>
        </w:rPr>
        <w:t xml:space="preserve">For a discussion of </w:t>
      </w:r>
      <w:r w:rsidR="00611AC9">
        <w:rPr>
          <w:rFonts w:eastAsia="Times New Roman"/>
          <w:sz w:val="24"/>
          <w:szCs w:val="24"/>
        </w:rPr>
        <w:t xml:space="preserve">the rights of </w:t>
      </w:r>
      <w:r w:rsidR="002A2A74" w:rsidRPr="002A2A74">
        <w:rPr>
          <w:rFonts w:eastAsia="Times New Roman"/>
          <w:sz w:val="24"/>
          <w:szCs w:val="24"/>
        </w:rPr>
        <w:t>a person over eighteen but not yet twenty-one as specified in the age of competence statute</w:t>
      </w:r>
      <w:r w:rsidR="002A2A74">
        <w:rPr>
          <w:rFonts w:eastAsia="Times New Roman"/>
          <w:sz w:val="24"/>
          <w:szCs w:val="24"/>
        </w:rPr>
        <w:t>,</w:t>
      </w:r>
      <w:r w:rsidR="002A2A74" w:rsidRPr="002A2A74">
        <w:rPr>
          <w:rFonts w:eastAsia="Times New Roman"/>
          <w:sz w:val="24"/>
          <w:szCs w:val="24"/>
        </w:rPr>
        <w:t xml:space="preserve"> §13-22-101(1)(d)</w:t>
      </w:r>
      <w:r w:rsidR="002A2A74">
        <w:rPr>
          <w:rFonts w:eastAsia="Times New Roman"/>
          <w:sz w:val="24"/>
          <w:szCs w:val="24"/>
        </w:rPr>
        <w:t>, C.R.S.</w:t>
      </w:r>
      <w:r w:rsidR="002A2A74" w:rsidRPr="002A2A74">
        <w:rPr>
          <w:rFonts w:eastAsia="Times New Roman"/>
          <w:sz w:val="24"/>
          <w:szCs w:val="24"/>
        </w:rPr>
        <w:t xml:space="preserve">, including the right to make his or her own decisions regarding domestic matters, see </w:t>
      </w:r>
      <w:r w:rsidR="002A2A74">
        <w:rPr>
          <w:rFonts w:eastAsia="Times New Roman"/>
          <w:b/>
          <w:sz w:val="24"/>
          <w:szCs w:val="24"/>
        </w:rPr>
        <w:t>In r</w:t>
      </w:r>
      <w:r w:rsidR="002A2A74" w:rsidRPr="002A2A74">
        <w:rPr>
          <w:rFonts w:eastAsia="Times New Roman"/>
          <w:b/>
          <w:sz w:val="24"/>
          <w:szCs w:val="24"/>
        </w:rPr>
        <w:t>e Marriage of Tibbetts</w:t>
      </w:r>
      <w:r w:rsidR="002A2A74" w:rsidRPr="002A2A74">
        <w:rPr>
          <w:rFonts w:eastAsia="Times New Roman"/>
          <w:sz w:val="24"/>
          <w:szCs w:val="24"/>
        </w:rPr>
        <w:t>,</w:t>
      </w:r>
      <w:r w:rsidR="002A2A74" w:rsidRPr="002A2A74">
        <w:rPr>
          <w:rFonts w:eastAsia="Times New Roman"/>
          <w:b/>
          <w:sz w:val="24"/>
          <w:szCs w:val="24"/>
        </w:rPr>
        <w:t xml:space="preserve"> </w:t>
      </w:r>
      <w:r w:rsidR="002A2A74" w:rsidRPr="002A2A74">
        <w:rPr>
          <w:rFonts w:eastAsia="Times New Roman"/>
          <w:sz w:val="24"/>
          <w:szCs w:val="24"/>
        </w:rPr>
        <w:t>2018 COA 117, ¶ 19.</w:t>
      </w:r>
    </w:p>
    <w:p w14:paraId="76760D37" w14:textId="77777777" w:rsidR="000C503A" w:rsidRPr="000C503A" w:rsidRDefault="000C503A" w:rsidP="000C503A">
      <w:pPr>
        <w:spacing w:after="240"/>
        <w:ind w:firstLine="720"/>
        <w:rPr>
          <w:rFonts w:eastAsia="Times New Roman"/>
          <w:sz w:val="24"/>
          <w:szCs w:val="24"/>
        </w:rPr>
      </w:pPr>
      <w:r w:rsidRPr="000C503A">
        <w:rPr>
          <w:rFonts w:eastAsia="Times New Roman"/>
          <w:sz w:val="24"/>
          <w:szCs w:val="24"/>
        </w:rPr>
        <w:t xml:space="preserve">2. A minor is not competent to sue without a guardian ad litem or someone acting on his or her behalf before eighteen years of age. </w:t>
      </w:r>
      <w:proofErr w:type="gramStart"/>
      <w:r w:rsidRPr="000C503A">
        <w:rPr>
          <w:rFonts w:eastAsia="Times New Roman"/>
          <w:b/>
          <w:sz w:val="24"/>
          <w:szCs w:val="24"/>
        </w:rPr>
        <w:t>Elgin v. Bartlett</w:t>
      </w:r>
      <w:r w:rsidRPr="000C503A">
        <w:rPr>
          <w:rFonts w:eastAsia="Times New Roman"/>
          <w:sz w:val="24"/>
          <w:szCs w:val="24"/>
        </w:rPr>
        <w:t>, 994 P.2d 411 (Colo. 1999).</w:t>
      </w:r>
      <w:proofErr w:type="gramEnd"/>
      <w:r w:rsidRPr="000C503A">
        <w:rPr>
          <w:rFonts w:eastAsia="Times New Roman"/>
          <w:sz w:val="24"/>
          <w:szCs w:val="24"/>
        </w:rPr>
        <w:t xml:space="preserve"> However, a parent does not have a duty to litigate a minor’s personal injury claim. </w:t>
      </w:r>
      <w:r w:rsidRPr="000C503A">
        <w:rPr>
          <w:rFonts w:eastAsia="Times New Roman"/>
          <w:i/>
          <w:sz w:val="24"/>
          <w:szCs w:val="24"/>
        </w:rPr>
        <w:t>Id</w:t>
      </w:r>
      <w:r w:rsidRPr="000C503A">
        <w:rPr>
          <w:rFonts w:eastAsia="Times New Roman"/>
          <w:sz w:val="24"/>
          <w:szCs w:val="24"/>
        </w:rPr>
        <w:t xml:space="preserve">.; </w:t>
      </w:r>
      <w:r w:rsidRPr="000C503A">
        <w:rPr>
          <w:rFonts w:eastAsia="Times New Roman"/>
          <w:i/>
          <w:sz w:val="24"/>
          <w:szCs w:val="24"/>
        </w:rPr>
        <w:t xml:space="preserve">see also </w:t>
      </w:r>
      <w:r w:rsidRPr="000C503A">
        <w:rPr>
          <w:rFonts w:eastAsia="Times New Roman"/>
          <w:b/>
          <w:sz w:val="24"/>
          <w:szCs w:val="24"/>
        </w:rPr>
        <w:t>Cintron v. City of Colo. Springs</w:t>
      </w:r>
      <w:r w:rsidRPr="000C503A">
        <w:rPr>
          <w:rFonts w:eastAsia="Times New Roman"/>
          <w:sz w:val="24"/>
          <w:szCs w:val="24"/>
        </w:rPr>
        <w:t>, 886 P.2d 291 (Colo. App. 1994). For a discussion of whether a minor or the parents are entitled to sue for pre-majority expenses and damages, see</w:t>
      </w:r>
      <w:r w:rsidRPr="000C503A">
        <w:rPr>
          <w:rFonts w:eastAsia="Times New Roman"/>
          <w:i/>
          <w:sz w:val="24"/>
          <w:szCs w:val="24"/>
        </w:rPr>
        <w:t xml:space="preserve"> </w:t>
      </w:r>
      <w:r w:rsidRPr="000C503A">
        <w:rPr>
          <w:rFonts w:eastAsia="Times New Roman"/>
          <w:b/>
          <w:sz w:val="24"/>
          <w:szCs w:val="24"/>
        </w:rPr>
        <w:t>Pressey v. Children’s Hospital Colorado</w:t>
      </w:r>
      <w:r w:rsidRPr="000C503A">
        <w:rPr>
          <w:rFonts w:eastAsia="Times New Roman"/>
          <w:sz w:val="24"/>
          <w:szCs w:val="24"/>
        </w:rPr>
        <w:t xml:space="preserve">, 2017 COA 28, ¶¶ 26-31.  </w:t>
      </w:r>
    </w:p>
    <w:p w14:paraId="29E5F1F1" w14:textId="77777777" w:rsidR="003D370E" w:rsidRDefault="003D370E">
      <w:pPr>
        <w:rPr>
          <w:rFonts w:eastAsia="Times New Roman"/>
          <w:sz w:val="24"/>
          <w:szCs w:val="24"/>
        </w:rPr>
      </w:pPr>
      <w:r>
        <w:rPr>
          <w:rFonts w:eastAsia="Times New Roman"/>
          <w:sz w:val="24"/>
          <w:szCs w:val="24"/>
        </w:rPr>
        <w:br w:type="page"/>
      </w:r>
    </w:p>
    <w:p w14:paraId="757F60DF" w14:textId="77777777" w:rsidR="003D370E" w:rsidRPr="009E3DA4" w:rsidRDefault="003D370E" w:rsidP="003D370E">
      <w:pPr>
        <w:spacing w:after="240"/>
        <w:ind w:left="720" w:hanging="720"/>
        <w:rPr>
          <w:rFonts w:eastAsia="Times New Roman"/>
          <w:b/>
          <w:sz w:val="24"/>
          <w:szCs w:val="24"/>
        </w:rPr>
      </w:pPr>
      <w:bookmarkStart w:id="2" w:name="a7_2"/>
      <w:bookmarkEnd w:id="2"/>
      <w:proofErr w:type="gramStart"/>
      <w:r w:rsidRPr="003D370E">
        <w:rPr>
          <w:rFonts w:eastAsia="Times New Roman"/>
          <w:b/>
          <w:sz w:val="24"/>
          <w:szCs w:val="24"/>
        </w:rPr>
        <w:lastRenderedPageBreak/>
        <w:t xml:space="preserve">7:2 </w:t>
      </w:r>
      <w:r w:rsidRPr="003D370E">
        <w:rPr>
          <w:rFonts w:eastAsia="Times New Roman"/>
          <w:b/>
          <w:sz w:val="24"/>
          <w:szCs w:val="24"/>
        </w:rPr>
        <w:tab/>
        <w:t>EMANCIPATION —</w:t>
      </w:r>
      <w:proofErr w:type="gramEnd"/>
      <w:r w:rsidRPr="003D370E">
        <w:rPr>
          <w:rFonts w:eastAsia="Times New Roman"/>
          <w:b/>
          <w:sz w:val="24"/>
          <w:szCs w:val="24"/>
        </w:rPr>
        <w:t xml:space="preserve"> DEFINED</w:t>
      </w:r>
    </w:p>
    <w:p w14:paraId="32B43F4D" w14:textId="77777777" w:rsidR="003D370E" w:rsidRPr="003D370E" w:rsidRDefault="003D370E" w:rsidP="003D370E">
      <w:pPr>
        <w:spacing w:after="240"/>
        <w:ind w:firstLine="720"/>
        <w:rPr>
          <w:rFonts w:eastAsia="Times New Roman"/>
          <w:b/>
          <w:sz w:val="24"/>
          <w:szCs w:val="24"/>
        </w:rPr>
      </w:pPr>
      <w:r w:rsidRPr="003D370E">
        <w:rPr>
          <w:rFonts w:eastAsia="Times New Roman"/>
          <w:b/>
          <w:sz w:val="24"/>
          <w:szCs w:val="24"/>
        </w:rPr>
        <w:t>A minor child is emancipated when the child has been freed from parental care, custody, and control.</w:t>
      </w:r>
    </w:p>
    <w:p w14:paraId="47ED4337" w14:textId="77777777" w:rsidR="003D370E" w:rsidRDefault="003D370E" w:rsidP="003D370E">
      <w:pPr>
        <w:jc w:val="center"/>
        <w:rPr>
          <w:rFonts w:eastAsia="Times New Roman"/>
          <w:sz w:val="24"/>
          <w:szCs w:val="24"/>
        </w:rPr>
      </w:pPr>
    </w:p>
    <w:p w14:paraId="74387170" w14:textId="77777777" w:rsidR="003D370E" w:rsidRPr="0054263B" w:rsidRDefault="003D370E" w:rsidP="003D370E">
      <w:pPr>
        <w:keepNext/>
        <w:spacing w:after="240"/>
        <w:jc w:val="center"/>
        <w:rPr>
          <w:rFonts w:eastAsia="Times New Roman"/>
          <w:b/>
          <w:sz w:val="24"/>
          <w:szCs w:val="24"/>
        </w:rPr>
      </w:pPr>
      <w:r w:rsidRPr="0054263B">
        <w:rPr>
          <w:rFonts w:eastAsia="Times New Roman"/>
          <w:b/>
          <w:sz w:val="24"/>
          <w:szCs w:val="24"/>
        </w:rPr>
        <w:t>Notes on Use</w:t>
      </w:r>
    </w:p>
    <w:p w14:paraId="3464DB6F" w14:textId="77777777" w:rsidR="003D370E" w:rsidRPr="003D370E" w:rsidRDefault="003D370E" w:rsidP="003D370E">
      <w:pPr>
        <w:spacing w:after="240"/>
        <w:ind w:firstLine="720"/>
        <w:rPr>
          <w:rFonts w:eastAsia="Times New Roman"/>
          <w:sz w:val="24"/>
          <w:szCs w:val="24"/>
        </w:rPr>
      </w:pPr>
      <w:r w:rsidRPr="003D370E">
        <w:rPr>
          <w:rFonts w:eastAsia="Times New Roman"/>
          <w:sz w:val="24"/>
          <w:szCs w:val="24"/>
        </w:rPr>
        <w:t>This instruction should be used in conjunction with Instructions 6:2, 6:3, and 6:4, as applicable.</w:t>
      </w:r>
    </w:p>
    <w:p w14:paraId="1C431402" w14:textId="77777777" w:rsidR="003D370E" w:rsidRPr="0054263B" w:rsidRDefault="003D370E" w:rsidP="003D370E">
      <w:pPr>
        <w:keepNext/>
        <w:spacing w:after="240"/>
        <w:jc w:val="center"/>
        <w:rPr>
          <w:rFonts w:eastAsia="Times New Roman"/>
          <w:b/>
          <w:sz w:val="24"/>
          <w:szCs w:val="24"/>
        </w:rPr>
      </w:pPr>
      <w:r>
        <w:rPr>
          <w:rFonts w:eastAsia="Times New Roman"/>
          <w:b/>
          <w:sz w:val="24"/>
          <w:szCs w:val="24"/>
        </w:rPr>
        <w:t>Source and Authority</w:t>
      </w:r>
    </w:p>
    <w:p w14:paraId="54634CAB" w14:textId="77777777" w:rsidR="003D370E" w:rsidRPr="003D370E" w:rsidRDefault="003D370E" w:rsidP="003D370E">
      <w:pPr>
        <w:spacing w:after="240"/>
        <w:ind w:firstLine="720"/>
        <w:rPr>
          <w:rFonts w:eastAsia="Times New Roman"/>
          <w:sz w:val="24"/>
          <w:szCs w:val="24"/>
        </w:rPr>
      </w:pPr>
      <w:r w:rsidRPr="003D370E">
        <w:rPr>
          <w:rFonts w:eastAsia="Times New Roman"/>
          <w:sz w:val="24"/>
          <w:szCs w:val="24"/>
        </w:rPr>
        <w:t xml:space="preserve">1. This instruction is supported by </w:t>
      </w:r>
      <w:r w:rsidRPr="003D370E">
        <w:rPr>
          <w:rFonts w:eastAsia="Times New Roman"/>
          <w:b/>
          <w:sz w:val="24"/>
          <w:szCs w:val="24"/>
        </w:rPr>
        <w:t>Union Pacific Ry. v. Jones</w:t>
      </w:r>
      <w:r w:rsidRPr="003D370E">
        <w:rPr>
          <w:rFonts w:eastAsia="Times New Roman"/>
          <w:sz w:val="24"/>
          <w:szCs w:val="24"/>
        </w:rPr>
        <w:t xml:space="preserve">, 21 Colo. 340, 40 P. 891 (1895). </w:t>
      </w:r>
      <w:r w:rsidRPr="003D370E">
        <w:rPr>
          <w:rFonts w:eastAsia="Times New Roman"/>
          <w:i/>
          <w:sz w:val="24"/>
          <w:szCs w:val="24"/>
        </w:rPr>
        <w:t xml:space="preserve">See </w:t>
      </w:r>
      <w:r w:rsidRPr="003D370E">
        <w:rPr>
          <w:rFonts w:eastAsia="Times New Roman"/>
          <w:b/>
          <w:sz w:val="24"/>
          <w:szCs w:val="24"/>
        </w:rPr>
        <w:t>Pawnee Farmers’ Elevator &amp; Supply Co. v. Powell</w:t>
      </w:r>
      <w:r w:rsidRPr="003D370E">
        <w:rPr>
          <w:rFonts w:eastAsia="Times New Roman"/>
          <w:sz w:val="24"/>
          <w:szCs w:val="24"/>
        </w:rPr>
        <w:t xml:space="preserve">, 76 Colo. 1, 227 P. 836 (1924); </w:t>
      </w:r>
      <w:r w:rsidRPr="003D370E">
        <w:rPr>
          <w:rFonts w:eastAsia="Times New Roman"/>
          <w:b/>
          <w:sz w:val="24"/>
          <w:szCs w:val="24"/>
        </w:rPr>
        <w:t>In re Application of Connolly</w:t>
      </w:r>
      <w:r w:rsidRPr="003D370E">
        <w:rPr>
          <w:rFonts w:eastAsia="Times New Roman"/>
          <w:sz w:val="24"/>
          <w:szCs w:val="24"/>
        </w:rPr>
        <w:t xml:space="preserve">, 761 P.2d 224 (Colo. App. 1988), </w:t>
      </w:r>
      <w:r w:rsidRPr="003D370E">
        <w:rPr>
          <w:rFonts w:eastAsia="Times New Roman"/>
          <w:i/>
          <w:sz w:val="24"/>
          <w:szCs w:val="24"/>
        </w:rPr>
        <w:t>rev’d on other grounds</w:t>
      </w:r>
      <w:r w:rsidRPr="003D370E">
        <w:rPr>
          <w:rFonts w:eastAsia="Times New Roman"/>
          <w:sz w:val="24"/>
          <w:szCs w:val="24"/>
        </w:rPr>
        <w:t xml:space="preserve"> </w:t>
      </w:r>
      <w:r w:rsidRPr="003D370E">
        <w:rPr>
          <w:rFonts w:eastAsia="Times New Roman"/>
          <w:i/>
          <w:sz w:val="24"/>
          <w:szCs w:val="24"/>
        </w:rPr>
        <w:t>sub nom.</w:t>
      </w:r>
      <w:r w:rsidRPr="003D370E">
        <w:rPr>
          <w:rFonts w:eastAsia="Times New Roman"/>
          <w:sz w:val="24"/>
          <w:szCs w:val="24"/>
        </w:rPr>
        <w:t xml:space="preserve"> </w:t>
      </w:r>
      <w:r w:rsidRPr="003D370E">
        <w:rPr>
          <w:rFonts w:eastAsia="Times New Roman"/>
          <w:b/>
          <w:sz w:val="24"/>
          <w:szCs w:val="24"/>
        </w:rPr>
        <w:t>Abrams v. Connolly</w:t>
      </w:r>
      <w:r w:rsidRPr="003D370E">
        <w:rPr>
          <w:rFonts w:eastAsia="Times New Roman"/>
          <w:sz w:val="24"/>
          <w:szCs w:val="24"/>
        </w:rPr>
        <w:t xml:space="preserve">, 781 P.2d 651 (Colo. 1989); </w:t>
      </w:r>
      <w:r w:rsidRPr="003D370E">
        <w:rPr>
          <w:rFonts w:eastAsia="Times New Roman"/>
          <w:b/>
          <w:sz w:val="24"/>
          <w:szCs w:val="24"/>
        </w:rPr>
        <w:t>Napolitano v. Napolitano</w:t>
      </w:r>
      <w:r w:rsidRPr="003D370E">
        <w:rPr>
          <w:rFonts w:eastAsia="Times New Roman"/>
          <w:sz w:val="24"/>
          <w:szCs w:val="24"/>
        </w:rPr>
        <w:t xml:space="preserve">, 732 P.2d 245 (Colo. App. 1986) (significant factors in determining emancipation include child’s financial independence and whether child has established a residence away from family domicile); </w:t>
      </w:r>
      <w:r w:rsidRPr="003D370E">
        <w:rPr>
          <w:rFonts w:eastAsia="Times New Roman"/>
          <w:b/>
          <w:sz w:val="24"/>
          <w:szCs w:val="24"/>
        </w:rPr>
        <w:t>In re Marriage of Clay</w:t>
      </w:r>
      <w:r w:rsidRPr="003D370E">
        <w:rPr>
          <w:rFonts w:eastAsia="Times New Roman"/>
          <w:sz w:val="24"/>
          <w:szCs w:val="24"/>
        </w:rPr>
        <w:t xml:space="preserve">, 670 P.2d 31 (Colo. App. 1983) (minor not emancipated where evidence undisputed that child was still dependent on parents for support and shelter); </w:t>
      </w:r>
      <w:r w:rsidRPr="003D370E">
        <w:rPr>
          <w:rFonts w:eastAsia="Times New Roman"/>
          <w:b/>
          <w:sz w:val="24"/>
          <w:szCs w:val="24"/>
        </w:rPr>
        <w:t>In re Marriage of Robinson</w:t>
      </w:r>
      <w:r w:rsidRPr="003D370E">
        <w:rPr>
          <w:rFonts w:eastAsia="Times New Roman"/>
          <w:sz w:val="24"/>
          <w:szCs w:val="24"/>
        </w:rPr>
        <w:t xml:space="preserve">, 43 Colo. App. 171, 601 P.2d 358 (1979) (for parental support purposes, a 19-year-old child is not emancipated while employed full-time and living away from home on a temporary basis with intention of returning to school and parental support), </w:t>
      </w:r>
      <w:r w:rsidRPr="003D370E">
        <w:rPr>
          <w:rFonts w:eastAsia="Times New Roman"/>
          <w:i/>
          <w:sz w:val="24"/>
          <w:szCs w:val="24"/>
        </w:rPr>
        <w:t>aff’d</w:t>
      </w:r>
      <w:r w:rsidRPr="003D370E">
        <w:rPr>
          <w:rFonts w:eastAsia="Times New Roman"/>
          <w:sz w:val="24"/>
          <w:szCs w:val="24"/>
        </w:rPr>
        <w:t xml:space="preserve">, 629 P.2d 1069 (Colo. 1981); </w:t>
      </w:r>
      <w:r w:rsidRPr="003D370E">
        <w:rPr>
          <w:rFonts w:eastAsia="Times New Roman"/>
          <w:b/>
          <w:sz w:val="24"/>
          <w:szCs w:val="24"/>
        </w:rPr>
        <w:t>In re Marriage of Weisbart</w:t>
      </w:r>
      <w:r w:rsidRPr="003D370E">
        <w:rPr>
          <w:rFonts w:eastAsia="Times New Roman"/>
          <w:sz w:val="24"/>
          <w:szCs w:val="24"/>
        </w:rPr>
        <w:t xml:space="preserve">, 39 Colo. App. 115, 564 P.2d 961 (1977); </w:t>
      </w:r>
      <w:r w:rsidRPr="003D370E">
        <w:rPr>
          <w:rFonts w:eastAsia="Times New Roman"/>
          <w:b/>
          <w:sz w:val="24"/>
          <w:szCs w:val="24"/>
        </w:rPr>
        <w:t>Van Orman v. Van Orman</w:t>
      </w:r>
      <w:r w:rsidRPr="003D370E">
        <w:rPr>
          <w:rFonts w:eastAsia="Times New Roman"/>
          <w:sz w:val="24"/>
          <w:szCs w:val="24"/>
        </w:rPr>
        <w:t xml:space="preserve">, 30 Colo. App. 177, 492 P.2d 81; </w:t>
      </w:r>
      <w:r w:rsidRPr="003D370E">
        <w:rPr>
          <w:rFonts w:eastAsia="Times New Roman"/>
          <w:i/>
          <w:sz w:val="24"/>
          <w:szCs w:val="24"/>
        </w:rPr>
        <w:t>see also</w:t>
      </w:r>
      <w:r w:rsidRPr="003D370E">
        <w:rPr>
          <w:rFonts w:eastAsia="Times New Roman"/>
          <w:sz w:val="24"/>
          <w:szCs w:val="24"/>
        </w:rPr>
        <w:t xml:space="preserve"> § 2-4-401(6), C.R.S. (absent express statutory language to the contrary, general statutory definition of a “minor” is one who has not attained age of 21 years).</w:t>
      </w:r>
    </w:p>
    <w:p w14:paraId="008121F4" w14:textId="77777777" w:rsidR="003D370E" w:rsidRPr="003D370E" w:rsidRDefault="003D370E" w:rsidP="003D370E">
      <w:pPr>
        <w:spacing w:after="240"/>
        <w:ind w:firstLine="720"/>
        <w:rPr>
          <w:rFonts w:eastAsia="Times New Roman"/>
          <w:sz w:val="24"/>
          <w:szCs w:val="24"/>
        </w:rPr>
      </w:pPr>
      <w:r w:rsidRPr="003D370E">
        <w:rPr>
          <w:rFonts w:eastAsia="Times New Roman"/>
          <w:sz w:val="24"/>
          <w:szCs w:val="24"/>
        </w:rPr>
        <w:t xml:space="preserve">2. For purposes of determining child support, a child is considered emancipated when the child becomes nineteen, marries, enters active military service, or the court finds the child is emancipated based on other facts. § 14-10-115(13), C.R.S. </w:t>
      </w:r>
    </w:p>
    <w:p w14:paraId="75003B58" w14:textId="77777777" w:rsidR="003D370E" w:rsidRPr="003D370E" w:rsidRDefault="003D370E" w:rsidP="003D370E">
      <w:pPr>
        <w:spacing w:after="240"/>
        <w:ind w:firstLine="720"/>
        <w:rPr>
          <w:rFonts w:eastAsia="Times New Roman"/>
          <w:sz w:val="24"/>
          <w:szCs w:val="24"/>
        </w:rPr>
      </w:pPr>
      <w:r w:rsidRPr="003D370E">
        <w:rPr>
          <w:rFonts w:eastAsia="Times New Roman"/>
          <w:sz w:val="24"/>
          <w:szCs w:val="24"/>
        </w:rPr>
        <w:t xml:space="preserve">3. An emancipated minor has the right to sue for all pre-majority damages and expenses. </w:t>
      </w:r>
      <w:proofErr w:type="gramStart"/>
      <w:r w:rsidRPr="003D370E">
        <w:rPr>
          <w:rFonts w:eastAsia="Times New Roman"/>
          <w:b/>
          <w:sz w:val="24"/>
          <w:szCs w:val="24"/>
        </w:rPr>
        <w:t>Pressey v. Children’s Hosp. Colo.</w:t>
      </w:r>
      <w:r w:rsidRPr="003D370E">
        <w:rPr>
          <w:rFonts w:eastAsia="Times New Roman"/>
          <w:sz w:val="24"/>
          <w:szCs w:val="24"/>
        </w:rPr>
        <w:t>, 2017 COA 28, ¶¶ 25-31.</w:t>
      </w:r>
      <w:proofErr w:type="gramEnd"/>
    </w:p>
    <w:p w14:paraId="24F19788" w14:textId="77777777" w:rsidR="003E5B38" w:rsidRDefault="003E5B38">
      <w:pPr>
        <w:rPr>
          <w:rFonts w:eastAsia="Times New Roman"/>
          <w:sz w:val="24"/>
          <w:szCs w:val="24"/>
        </w:rPr>
      </w:pPr>
      <w:r>
        <w:rPr>
          <w:rFonts w:eastAsia="Times New Roman"/>
          <w:sz w:val="24"/>
          <w:szCs w:val="24"/>
        </w:rPr>
        <w:br w:type="page"/>
      </w:r>
    </w:p>
    <w:p w14:paraId="634F0576" w14:textId="77777777" w:rsidR="003E5B38" w:rsidRDefault="003E5B38" w:rsidP="003E5B38">
      <w:pPr>
        <w:spacing w:after="240"/>
        <w:jc w:val="center"/>
        <w:rPr>
          <w:rFonts w:eastAsia="Times New Roman"/>
          <w:b/>
          <w:sz w:val="24"/>
          <w:szCs w:val="24"/>
        </w:rPr>
      </w:pPr>
      <w:r w:rsidRPr="003E5B38">
        <w:rPr>
          <w:rFonts w:eastAsia="Times New Roman"/>
          <w:b/>
          <w:sz w:val="24"/>
          <w:szCs w:val="24"/>
        </w:rPr>
        <w:lastRenderedPageBreak/>
        <w:t>B. PARTNERSHIPS AND JOINT VENTURES</w:t>
      </w:r>
    </w:p>
    <w:p w14:paraId="69915D86" w14:textId="77777777" w:rsidR="003E5B38" w:rsidRPr="009E3DA4" w:rsidRDefault="003E5B38" w:rsidP="003E5B38">
      <w:pPr>
        <w:spacing w:after="240"/>
        <w:ind w:left="720" w:hanging="720"/>
        <w:rPr>
          <w:rFonts w:eastAsia="Times New Roman"/>
          <w:b/>
          <w:sz w:val="24"/>
          <w:szCs w:val="24"/>
        </w:rPr>
      </w:pPr>
      <w:bookmarkStart w:id="3" w:name="a7_3"/>
      <w:bookmarkEnd w:id="3"/>
      <w:r w:rsidRPr="003E5B38">
        <w:rPr>
          <w:rFonts w:eastAsia="Times New Roman"/>
          <w:b/>
          <w:sz w:val="24"/>
          <w:szCs w:val="24"/>
        </w:rPr>
        <w:t xml:space="preserve">7:3 </w:t>
      </w:r>
      <w:r w:rsidRPr="003E5B38">
        <w:rPr>
          <w:rFonts w:eastAsia="Times New Roman"/>
          <w:b/>
          <w:sz w:val="24"/>
          <w:szCs w:val="24"/>
        </w:rPr>
        <w:tab/>
        <w:t xml:space="preserve">GENERAL </w:t>
      </w:r>
      <w:proofErr w:type="gramStart"/>
      <w:r w:rsidRPr="003E5B38">
        <w:rPr>
          <w:rFonts w:eastAsia="Times New Roman"/>
          <w:b/>
          <w:sz w:val="24"/>
          <w:szCs w:val="24"/>
        </w:rPr>
        <w:t>PARTNERSHIP</w:t>
      </w:r>
      <w:proofErr w:type="gramEnd"/>
      <w:r w:rsidRPr="003E5B38">
        <w:rPr>
          <w:rFonts w:eastAsia="Times New Roman"/>
          <w:b/>
          <w:sz w:val="24"/>
          <w:szCs w:val="24"/>
        </w:rPr>
        <w:t xml:space="preserve"> — DEFINED</w:t>
      </w:r>
    </w:p>
    <w:p w14:paraId="08BDDFD5" w14:textId="77777777" w:rsidR="003E5B38" w:rsidRPr="003E5B38" w:rsidRDefault="003E5B38" w:rsidP="003E5B38">
      <w:pPr>
        <w:spacing w:after="240"/>
        <w:ind w:firstLine="720"/>
        <w:rPr>
          <w:rFonts w:eastAsia="Times New Roman"/>
          <w:b/>
          <w:sz w:val="24"/>
          <w:szCs w:val="24"/>
        </w:rPr>
      </w:pPr>
      <w:r w:rsidRPr="003E5B38">
        <w:rPr>
          <w:rFonts w:eastAsia="Times New Roman"/>
          <w:b/>
          <w:sz w:val="24"/>
          <w:szCs w:val="24"/>
        </w:rPr>
        <w:t>A partnership is an association of two or more persons to carry on as co-owners a business for profit.</w:t>
      </w:r>
    </w:p>
    <w:p w14:paraId="7740B568" w14:textId="77777777" w:rsidR="003E5B38" w:rsidRDefault="003E5B38" w:rsidP="003E5B38">
      <w:pPr>
        <w:jc w:val="center"/>
        <w:rPr>
          <w:rFonts w:eastAsia="Times New Roman"/>
          <w:sz w:val="24"/>
          <w:szCs w:val="24"/>
        </w:rPr>
      </w:pPr>
    </w:p>
    <w:p w14:paraId="087C5E7B" w14:textId="77777777" w:rsidR="003E5B38" w:rsidRPr="0054263B" w:rsidRDefault="003E5B38" w:rsidP="003E5B38">
      <w:pPr>
        <w:keepNext/>
        <w:spacing w:after="240"/>
        <w:jc w:val="center"/>
        <w:rPr>
          <w:rFonts w:eastAsia="Times New Roman"/>
          <w:b/>
          <w:sz w:val="24"/>
          <w:szCs w:val="24"/>
        </w:rPr>
      </w:pPr>
      <w:r w:rsidRPr="0054263B">
        <w:rPr>
          <w:rFonts w:eastAsia="Times New Roman"/>
          <w:b/>
          <w:sz w:val="24"/>
          <w:szCs w:val="24"/>
        </w:rPr>
        <w:t>Notes on Use</w:t>
      </w:r>
    </w:p>
    <w:p w14:paraId="2641465D"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1. This instruction may require appropriate modifications where a limited partnership is involved. For the definition of limited partnerships, see Colorado Uniform Limited Partnership Act of 1981, §§ 7-62-101</w:t>
      </w:r>
      <w:r w:rsidR="00A95395">
        <w:rPr>
          <w:rFonts w:eastAsia="Times New Roman"/>
          <w:sz w:val="24"/>
          <w:szCs w:val="24"/>
        </w:rPr>
        <w:t xml:space="preserve"> to -110</w:t>
      </w:r>
      <w:r w:rsidRPr="001E0F3B">
        <w:rPr>
          <w:rFonts w:eastAsia="Times New Roman"/>
          <w:sz w:val="24"/>
          <w:szCs w:val="24"/>
        </w:rPr>
        <w:t>, C.R.S., and Uniform Limited Partnership Law of 1931, §§ 7-61-101</w:t>
      </w:r>
      <w:r w:rsidR="00A95395">
        <w:rPr>
          <w:rFonts w:eastAsia="Times New Roman"/>
          <w:sz w:val="24"/>
          <w:szCs w:val="24"/>
        </w:rPr>
        <w:t xml:space="preserve"> to -130</w:t>
      </w:r>
      <w:r w:rsidRPr="001E0F3B">
        <w:rPr>
          <w:rFonts w:eastAsia="Times New Roman"/>
          <w:sz w:val="24"/>
          <w:szCs w:val="24"/>
        </w:rPr>
        <w:t xml:space="preserve">, C.R.S. However, the liability of the general partner of a limited partnership is the same as for partners of a partnership without limited partners. </w:t>
      </w:r>
      <w:proofErr w:type="gramStart"/>
      <w:r w:rsidRPr="001E0F3B">
        <w:rPr>
          <w:rFonts w:eastAsia="Times New Roman"/>
          <w:b/>
          <w:sz w:val="24"/>
          <w:szCs w:val="24"/>
        </w:rPr>
        <w:t>Black v.</w:t>
      </w:r>
      <w:proofErr w:type="gramEnd"/>
      <w:r w:rsidRPr="001E0F3B">
        <w:rPr>
          <w:rFonts w:eastAsia="Times New Roman"/>
          <w:b/>
          <w:sz w:val="24"/>
          <w:szCs w:val="24"/>
        </w:rPr>
        <w:t xml:space="preserve"> First Fed. </w:t>
      </w:r>
      <w:proofErr w:type="gramStart"/>
      <w:r w:rsidRPr="001E0F3B">
        <w:rPr>
          <w:rFonts w:eastAsia="Times New Roman"/>
          <w:b/>
          <w:sz w:val="24"/>
          <w:szCs w:val="24"/>
        </w:rPr>
        <w:t>Sav.</w:t>
      </w:r>
      <w:proofErr w:type="gramEnd"/>
      <w:r w:rsidRPr="001E0F3B">
        <w:rPr>
          <w:rFonts w:eastAsia="Times New Roman"/>
          <w:b/>
          <w:sz w:val="24"/>
          <w:szCs w:val="24"/>
        </w:rPr>
        <w:t xml:space="preserve"> &amp; Loan Ass’n</w:t>
      </w:r>
      <w:r w:rsidRPr="001E0F3B">
        <w:rPr>
          <w:rFonts w:eastAsia="Times New Roman"/>
          <w:sz w:val="24"/>
          <w:szCs w:val="24"/>
        </w:rPr>
        <w:t>,</w:t>
      </w:r>
      <w:r w:rsidRPr="001E0F3B">
        <w:rPr>
          <w:rFonts w:eastAsia="Times New Roman"/>
          <w:b/>
          <w:sz w:val="24"/>
          <w:szCs w:val="24"/>
        </w:rPr>
        <w:t xml:space="preserve"> </w:t>
      </w:r>
      <w:r w:rsidRPr="001E0F3B">
        <w:rPr>
          <w:rFonts w:eastAsia="Times New Roman"/>
          <w:sz w:val="24"/>
          <w:szCs w:val="24"/>
        </w:rPr>
        <w:t>830 P.2d 1103 (Colo.</w:t>
      </w:r>
      <w:r w:rsidR="00117F7D">
        <w:rPr>
          <w:rFonts w:eastAsia="Times New Roman"/>
          <w:sz w:val="24"/>
          <w:szCs w:val="24"/>
        </w:rPr>
        <w:t xml:space="preserve"> </w:t>
      </w:r>
      <w:r w:rsidRPr="001E0F3B">
        <w:rPr>
          <w:rFonts w:eastAsia="Times New Roman"/>
          <w:sz w:val="24"/>
          <w:szCs w:val="24"/>
        </w:rPr>
        <w:t xml:space="preserve">App. 1992), </w:t>
      </w:r>
      <w:r w:rsidRPr="001E0F3B">
        <w:rPr>
          <w:rFonts w:eastAsia="Times New Roman"/>
          <w:i/>
          <w:sz w:val="24"/>
          <w:szCs w:val="24"/>
        </w:rPr>
        <w:t>aff’d</w:t>
      </w:r>
      <w:r w:rsidR="00A95395">
        <w:rPr>
          <w:rFonts w:eastAsia="Times New Roman"/>
          <w:i/>
          <w:sz w:val="24"/>
          <w:szCs w:val="24"/>
        </w:rPr>
        <w:t xml:space="preserve"> sub nom</w:t>
      </w:r>
      <w:r w:rsidR="00A95395" w:rsidRPr="00A95395">
        <w:rPr>
          <w:rFonts w:eastAsia="Times New Roman"/>
          <w:sz w:val="24"/>
          <w:szCs w:val="24"/>
        </w:rPr>
        <w:t>.</w:t>
      </w:r>
      <w:r w:rsidR="00A95395">
        <w:rPr>
          <w:rFonts w:eastAsia="Times New Roman"/>
          <w:i/>
          <w:sz w:val="24"/>
          <w:szCs w:val="24"/>
        </w:rPr>
        <w:t xml:space="preserve"> </w:t>
      </w:r>
      <w:r w:rsidR="00A95395" w:rsidRPr="00C168CF">
        <w:rPr>
          <w:rFonts w:eastAsia="Times New Roman"/>
          <w:b/>
          <w:sz w:val="24"/>
          <w:szCs w:val="24"/>
        </w:rPr>
        <w:t>La Plata Med. Ctr. Assocs. v. United Bank</w:t>
      </w:r>
      <w:r w:rsidRPr="001E0F3B">
        <w:rPr>
          <w:rFonts w:eastAsia="Times New Roman"/>
          <w:sz w:val="24"/>
          <w:szCs w:val="24"/>
        </w:rPr>
        <w:t>, 857 P.2d 410 (Colo. 1993)</w:t>
      </w:r>
      <w:r w:rsidR="00A95395">
        <w:rPr>
          <w:rFonts w:eastAsia="Times New Roman"/>
          <w:sz w:val="24"/>
          <w:szCs w:val="24"/>
        </w:rPr>
        <w:t>;</w:t>
      </w:r>
      <w:r w:rsidRPr="001E0F3B">
        <w:rPr>
          <w:rFonts w:eastAsia="Times New Roman"/>
          <w:sz w:val="24"/>
          <w:szCs w:val="24"/>
        </w:rPr>
        <w:t xml:space="preserve"> </w:t>
      </w:r>
      <w:r w:rsidR="00A95395">
        <w:rPr>
          <w:rFonts w:eastAsia="Times New Roman"/>
          <w:i/>
          <w:sz w:val="24"/>
          <w:szCs w:val="24"/>
        </w:rPr>
        <w:t>s</w:t>
      </w:r>
      <w:r w:rsidRPr="001E0F3B">
        <w:rPr>
          <w:rFonts w:eastAsia="Times New Roman"/>
          <w:i/>
          <w:sz w:val="24"/>
          <w:szCs w:val="24"/>
        </w:rPr>
        <w:t>ee also</w:t>
      </w:r>
      <w:r w:rsidRPr="001E0F3B">
        <w:rPr>
          <w:rFonts w:eastAsia="Times New Roman"/>
          <w:sz w:val="24"/>
          <w:szCs w:val="24"/>
        </w:rPr>
        <w:t xml:space="preserve"> Colorado Limited Partnership Association Act, §§ 7-63-101</w:t>
      </w:r>
      <w:r w:rsidR="00A95395">
        <w:rPr>
          <w:rFonts w:eastAsia="Times New Roman"/>
          <w:sz w:val="24"/>
          <w:szCs w:val="24"/>
        </w:rPr>
        <w:t xml:space="preserve"> to -116</w:t>
      </w:r>
      <w:r w:rsidRPr="001E0F3B">
        <w:rPr>
          <w:rFonts w:eastAsia="Times New Roman"/>
          <w:sz w:val="24"/>
          <w:szCs w:val="24"/>
        </w:rPr>
        <w:t>, C.R.S.</w:t>
      </w:r>
    </w:p>
    <w:p w14:paraId="313521AC"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2. This instruction may require appropriate modifications where there is a question as to whether the parties intended to form a partnership. The Colorado Uniform Partnership Act of 1997, § 7-64-101(18), C.R.S., defines a “partner” as “a person who is admitted to a partnership as a partner of the partnership.” Under </w:t>
      </w:r>
      <w:r w:rsidR="00A95395">
        <w:rPr>
          <w:rFonts w:eastAsia="Times New Roman"/>
          <w:sz w:val="24"/>
          <w:szCs w:val="24"/>
        </w:rPr>
        <w:t>section</w:t>
      </w:r>
      <w:r w:rsidRPr="001E0F3B">
        <w:rPr>
          <w:rFonts w:eastAsia="Times New Roman"/>
          <w:sz w:val="24"/>
          <w:szCs w:val="24"/>
        </w:rPr>
        <w:t xml:space="preserve"> 7-64-202(1), C.R.S., “the association of two or more persons to carry on as co-owners a business for profit forms a partnership, whether or not the persons intend to form a partnership.” </w:t>
      </w:r>
      <w:r w:rsidR="00052963" w:rsidRPr="00052963">
        <w:rPr>
          <w:rFonts w:eastAsia="Times New Roman"/>
          <w:sz w:val="24"/>
          <w:szCs w:val="24"/>
        </w:rPr>
        <w:t>F</w:t>
      </w:r>
      <w:r w:rsidRPr="001E0F3B">
        <w:rPr>
          <w:rFonts w:eastAsia="Times New Roman"/>
          <w:sz w:val="24"/>
          <w:szCs w:val="24"/>
        </w:rPr>
        <w:t>or rules determining whether a partnership has been formed under specified circumstances</w:t>
      </w:r>
      <w:r w:rsidR="00052963">
        <w:rPr>
          <w:rFonts w:eastAsia="Times New Roman"/>
          <w:sz w:val="24"/>
          <w:szCs w:val="24"/>
        </w:rPr>
        <w:t>, see section 7-64-202(3)</w:t>
      </w:r>
      <w:r w:rsidRPr="001E0F3B">
        <w:rPr>
          <w:rFonts w:eastAsia="Times New Roman"/>
          <w:sz w:val="24"/>
          <w:szCs w:val="24"/>
        </w:rPr>
        <w:t xml:space="preserve">. For additional statutory rules that may be relevant in determining the existence or non-existence of a partnership, refer to </w:t>
      </w:r>
      <w:r w:rsidR="00052963">
        <w:rPr>
          <w:rFonts w:eastAsia="Times New Roman"/>
          <w:sz w:val="24"/>
          <w:szCs w:val="24"/>
        </w:rPr>
        <w:t>section</w:t>
      </w:r>
      <w:r w:rsidRPr="001E0F3B">
        <w:rPr>
          <w:rFonts w:eastAsia="Times New Roman"/>
          <w:sz w:val="24"/>
          <w:szCs w:val="24"/>
        </w:rPr>
        <w:t xml:space="preserve"> 7-60-107, C.R.S. (setting forth rules that apply to determining existence of partnership)</w:t>
      </w:r>
      <w:r w:rsidR="00052963">
        <w:rPr>
          <w:rFonts w:eastAsia="Times New Roman"/>
          <w:sz w:val="24"/>
          <w:szCs w:val="24"/>
        </w:rPr>
        <w:t>;</w:t>
      </w:r>
      <w:r w:rsidRPr="001E0F3B">
        <w:rPr>
          <w:rFonts w:eastAsia="Times New Roman"/>
          <w:sz w:val="24"/>
          <w:szCs w:val="24"/>
        </w:rPr>
        <w:t xml:space="preserve"> </w:t>
      </w:r>
      <w:r w:rsidR="00052963">
        <w:rPr>
          <w:rFonts w:eastAsia="Times New Roman"/>
          <w:i/>
          <w:sz w:val="24"/>
          <w:szCs w:val="24"/>
        </w:rPr>
        <w:t>s</w:t>
      </w:r>
      <w:r w:rsidRPr="001E0F3B">
        <w:rPr>
          <w:rFonts w:eastAsia="Times New Roman"/>
          <w:i/>
          <w:sz w:val="24"/>
          <w:szCs w:val="24"/>
        </w:rPr>
        <w:t>ee also</w:t>
      </w:r>
      <w:r w:rsidRPr="001E0F3B">
        <w:rPr>
          <w:rFonts w:eastAsia="Times New Roman"/>
          <w:sz w:val="24"/>
          <w:szCs w:val="24"/>
        </w:rPr>
        <w:t xml:space="preserve"> </w:t>
      </w:r>
      <w:r w:rsidRPr="001E0F3B">
        <w:rPr>
          <w:rFonts w:eastAsia="Times New Roman"/>
          <w:b/>
          <w:sz w:val="24"/>
          <w:szCs w:val="24"/>
        </w:rPr>
        <w:t>Yoder v. Hooper</w:t>
      </w:r>
      <w:r w:rsidRPr="001E0F3B">
        <w:rPr>
          <w:rFonts w:eastAsia="Times New Roman"/>
          <w:sz w:val="24"/>
          <w:szCs w:val="24"/>
        </w:rPr>
        <w:t>, 695 P.2d 1182, 1187 (Colo.</w:t>
      </w:r>
      <w:r w:rsidR="00117F7D">
        <w:rPr>
          <w:rFonts w:eastAsia="Times New Roman"/>
          <w:sz w:val="24"/>
          <w:szCs w:val="24"/>
        </w:rPr>
        <w:t xml:space="preserve"> </w:t>
      </w:r>
      <w:r w:rsidRPr="001E0F3B">
        <w:rPr>
          <w:rFonts w:eastAsia="Times New Roman"/>
          <w:sz w:val="24"/>
          <w:szCs w:val="24"/>
        </w:rPr>
        <w:t xml:space="preserve">App. 1984), </w:t>
      </w:r>
      <w:r w:rsidRPr="001E0F3B">
        <w:rPr>
          <w:rFonts w:eastAsia="Times New Roman"/>
          <w:i/>
          <w:sz w:val="24"/>
          <w:szCs w:val="24"/>
        </w:rPr>
        <w:t>aff’d</w:t>
      </w:r>
      <w:r w:rsidRPr="001E0F3B">
        <w:rPr>
          <w:rFonts w:eastAsia="Times New Roman"/>
          <w:sz w:val="24"/>
          <w:szCs w:val="24"/>
        </w:rPr>
        <w:t xml:space="preserve">, 737 P.2d 852 (Colo. 1987) (a contract to create a partnership may be express or implied and “no express agreement is necessary; rather, a partnership may be formed by the conduct of the parties”). As to what associating “for profit” means, see </w:t>
      </w:r>
      <w:r w:rsidRPr="001E0F3B">
        <w:rPr>
          <w:rFonts w:eastAsia="Times New Roman"/>
          <w:b/>
          <w:sz w:val="24"/>
          <w:szCs w:val="24"/>
        </w:rPr>
        <w:t>Colorado Performance Corp. v. Mariposa Assocs.</w:t>
      </w:r>
      <w:r w:rsidRPr="001E0F3B">
        <w:rPr>
          <w:rFonts w:eastAsia="Times New Roman"/>
          <w:sz w:val="24"/>
          <w:szCs w:val="24"/>
        </w:rPr>
        <w:t>,</w:t>
      </w:r>
      <w:r w:rsidRPr="001E0F3B">
        <w:rPr>
          <w:rFonts w:eastAsia="Times New Roman"/>
          <w:b/>
          <w:sz w:val="24"/>
          <w:szCs w:val="24"/>
        </w:rPr>
        <w:t xml:space="preserve"> </w:t>
      </w:r>
      <w:r w:rsidRPr="001E0F3B">
        <w:rPr>
          <w:rFonts w:eastAsia="Times New Roman"/>
          <w:sz w:val="24"/>
          <w:szCs w:val="24"/>
        </w:rPr>
        <w:t>754 P.2d 401 (Colo.</w:t>
      </w:r>
      <w:r w:rsidR="00117F7D">
        <w:rPr>
          <w:rFonts w:eastAsia="Times New Roman"/>
          <w:sz w:val="24"/>
          <w:szCs w:val="24"/>
        </w:rPr>
        <w:t xml:space="preserve"> </w:t>
      </w:r>
      <w:r w:rsidRPr="001E0F3B">
        <w:rPr>
          <w:rFonts w:eastAsia="Times New Roman"/>
          <w:sz w:val="24"/>
          <w:szCs w:val="24"/>
        </w:rPr>
        <w:t>App. 1987).</w:t>
      </w:r>
    </w:p>
    <w:p w14:paraId="5E598CB0" w14:textId="77777777" w:rsidR="003E5B38" w:rsidRPr="0054263B" w:rsidRDefault="003E5B38" w:rsidP="003E5B38">
      <w:pPr>
        <w:keepNext/>
        <w:spacing w:after="240"/>
        <w:jc w:val="center"/>
        <w:rPr>
          <w:rFonts w:eastAsia="Times New Roman"/>
          <w:b/>
          <w:sz w:val="24"/>
          <w:szCs w:val="24"/>
        </w:rPr>
      </w:pPr>
      <w:r>
        <w:rPr>
          <w:rFonts w:eastAsia="Times New Roman"/>
          <w:b/>
          <w:sz w:val="24"/>
          <w:szCs w:val="24"/>
        </w:rPr>
        <w:t>Source and Authority</w:t>
      </w:r>
    </w:p>
    <w:p w14:paraId="2C772789"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1. This instruction is supported by </w:t>
      </w:r>
      <w:r w:rsidR="00052963">
        <w:rPr>
          <w:rFonts w:eastAsia="Times New Roman"/>
          <w:sz w:val="24"/>
          <w:szCs w:val="24"/>
        </w:rPr>
        <w:t>section</w:t>
      </w:r>
      <w:r w:rsidRPr="001E0F3B">
        <w:rPr>
          <w:rFonts w:eastAsia="Times New Roman"/>
          <w:sz w:val="24"/>
          <w:szCs w:val="24"/>
        </w:rPr>
        <w:t xml:space="preserve"> 7-60-106(1), C.R.S. That section provides: “A partnership is an association of two or more persons to carry on, as co-owners, a business for profit and includes, without limitation, a limited liability partnership.” </w:t>
      </w:r>
    </w:p>
    <w:p w14:paraId="72348650"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2. The parties’ intent is not controlling. There may be a partnership in fact even though the parties never intended that a partnership exist. </w:t>
      </w:r>
      <w:proofErr w:type="gramStart"/>
      <w:r w:rsidRPr="001E0F3B">
        <w:rPr>
          <w:rFonts w:eastAsia="Times New Roman"/>
          <w:b/>
          <w:sz w:val="24"/>
          <w:szCs w:val="24"/>
        </w:rPr>
        <w:t>Bond-Connell Sheep &amp; Wool Co. v. Snyder</w:t>
      </w:r>
      <w:r w:rsidRPr="001E0F3B">
        <w:rPr>
          <w:rFonts w:eastAsia="Times New Roman"/>
          <w:sz w:val="24"/>
          <w:szCs w:val="24"/>
        </w:rPr>
        <w:t>, 68 Colo. 238, 188 P. 740 (1920).</w:t>
      </w:r>
      <w:proofErr w:type="gramEnd"/>
    </w:p>
    <w:p w14:paraId="64119935" w14:textId="77777777" w:rsidR="001E0F3B" w:rsidRDefault="001E0F3B" w:rsidP="00052963">
      <w:pPr>
        <w:spacing w:after="240"/>
        <w:ind w:firstLine="720"/>
        <w:rPr>
          <w:rFonts w:eastAsia="Times New Roman"/>
          <w:sz w:val="24"/>
          <w:szCs w:val="24"/>
        </w:rPr>
      </w:pPr>
      <w:r w:rsidRPr="001E0F3B">
        <w:rPr>
          <w:rFonts w:eastAsia="Times New Roman"/>
          <w:sz w:val="24"/>
          <w:szCs w:val="24"/>
        </w:rPr>
        <w:t xml:space="preserve">3. A partnership may exist for a single transaction. </w:t>
      </w:r>
      <w:proofErr w:type="gramStart"/>
      <w:r w:rsidRPr="001E0F3B">
        <w:rPr>
          <w:rFonts w:eastAsia="Times New Roman"/>
          <w:b/>
          <w:sz w:val="24"/>
          <w:szCs w:val="24"/>
        </w:rPr>
        <w:t>Kayser v. Mongham</w:t>
      </w:r>
      <w:r w:rsidRPr="001E0F3B">
        <w:rPr>
          <w:rFonts w:eastAsia="Times New Roman"/>
          <w:sz w:val="24"/>
          <w:szCs w:val="24"/>
        </w:rPr>
        <w:t>, 8 Colo. 232, 6 P. 803 (1885).</w:t>
      </w:r>
      <w:proofErr w:type="gramEnd"/>
      <w:r>
        <w:rPr>
          <w:rFonts w:eastAsia="Times New Roman"/>
          <w:sz w:val="24"/>
          <w:szCs w:val="24"/>
        </w:rPr>
        <w:br w:type="page"/>
      </w:r>
    </w:p>
    <w:p w14:paraId="122F60B2" w14:textId="77777777" w:rsidR="001E0F3B" w:rsidRPr="009E3DA4" w:rsidRDefault="001E0F3B" w:rsidP="001E0F3B">
      <w:pPr>
        <w:spacing w:after="240"/>
        <w:ind w:left="720" w:hanging="720"/>
        <w:rPr>
          <w:rFonts w:eastAsia="Times New Roman"/>
          <w:b/>
          <w:sz w:val="24"/>
          <w:szCs w:val="24"/>
        </w:rPr>
      </w:pPr>
      <w:bookmarkStart w:id="4" w:name="a7_4"/>
      <w:bookmarkEnd w:id="4"/>
      <w:r w:rsidRPr="001E0F3B">
        <w:rPr>
          <w:rFonts w:eastAsia="Times New Roman"/>
          <w:b/>
          <w:sz w:val="24"/>
          <w:szCs w:val="24"/>
        </w:rPr>
        <w:lastRenderedPageBreak/>
        <w:t xml:space="preserve">7:4 </w:t>
      </w:r>
      <w:r w:rsidRPr="001E0F3B">
        <w:rPr>
          <w:rFonts w:eastAsia="Times New Roman"/>
          <w:b/>
          <w:sz w:val="24"/>
          <w:szCs w:val="24"/>
        </w:rPr>
        <w:tab/>
        <w:t xml:space="preserve">JOINT </w:t>
      </w:r>
      <w:proofErr w:type="gramStart"/>
      <w:r w:rsidRPr="001E0F3B">
        <w:rPr>
          <w:rFonts w:eastAsia="Times New Roman"/>
          <w:b/>
          <w:sz w:val="24"/>
          <w:szCs w:val="24"/>
        </w:rPr>
        <w:t>VENTURE</w:t>
      </w:r>
      <w:proofErr w:type="gramEnd"/>
      <w:r w:rsidRPr="001E0F3B">
        <w:rPr>
          <w:rFonts w:eastAsia="Times New Roman"/>
          <w:b/>
          <w:sz w:val="24"/>
          <w:szCs w:val="24"/>
        </w:rPr>
        <w:t xml:space="preserve"> — DEFINED</w:t>
      </w:r>
    </w:p>
    <w:p w14:paraId="3E9D495B" w14:textId="77777777" w:rsidR="001E0F3B" w:rsidRPr="001E0F3B" w:rsidRDefault="001E0F3B" w:rsidP="001E0F3B">
      <w:pPr>
        <w:spacing w:after="240"/>
        <w:ind w:firstLine="720"/>
        <w:rPr>
          <w:rFonts w:eastAsia="Times New Roman"/>
          <w:b/>
          <w:sz w:val="24"/>
          <w:szCs w:val="24"/>
        </w:rPr>
      </w:pPr>
      <w:r w:rsidRPr="001E0F3B">
        <w:rPr>
          <w:rFonts w:eastAsia="Times New Roman"/>
          <w:b/>
          <w:sz w:val="24"/>
          <w:szCs w:val="24"/>
        </w:rPr>
        <w:t xml:space="preserve">There is a joint venture if you find all three of the following: </w:t>
      </w:r>
    </w:p>
    <w:p w14:paraId="331406D8" w14:textId="77777777" w:rsidR="001E0F3B" w:rsidRPr="001E0F3B" w:rsidRDefault="001E0F3B" w:rsidP="001E0F3B">
      <w:pPr>
        <w:spacing w:after="240"/>
        <w:ind w:firstLine="720"/>
        <w:rPr>
          <w:rFonts w:eastAsia="Times New Roman"/>
          <w:b/>
          <w:sz w:val="24"/>
          <w:szCs w:val="24"/>
        </w:rPr>
      </w:pPr>
      <w:r w:rsidRPr="001E0F3B">
        <w:rPr>
          <w:rFonts w:eastAsia="Times New Roman"/>
          <w:b/>
          <w:sz w:val="24"/>
          <w:szCs w:val="24"/>
        </w:rPr>
        <w:t>1. A joint interes</w:t>
      </w:r>
      <w:r>
        <w:rPr>
          <w:rFonts w:eastAsia="Times New Roman"/>
          <w:b/>
          <w:sz w:val="24"/>
          <w:szCs w:val="24"/>
        </w:rPr>
        <w:t>t in the (property) (project);</w:t>
      </w:r>
    </w:p>
    <w:p w14:paraId="22575DB1" w14:textId="77777777" w:rsidR="001E0F3B" w:rsidRPr="001E0F3B" w:rsidRDefault="001E0F3B" w:rsidP="001E0F3B">
      <w:pPr>
        <w:spacing w:after="240"/>
        <w:ind w:firstLine="720"/>
        <w:rPr>
          <w:rFonts w:eastAsia="Times New Roman"/>
          <w:b/>
          <w:sz w:val="24"/>
          <w:szCs w:val="24"/>
        </w:rPr>
      </w:pPr>
      <w:r w:rsidRPr="001E0F3B">
        <w:rPr>
          <w:rFonts w:eastAsia="Times New Roman"/>
          <w:b/>
          <w:sz w:val="24"/>
          <w:szCs w:val="24"/>
        </w:rPr>
        <w:t>2. An express or implied agreement between two or more persons to share jointly in the profits or losses of that (property) (project); and</w:t>
      </w:r>
    </w:p>
    <w:p w14:paraId="0CB2253F" w14:textId="77777777" w:rsidR="001E0F3B" w:rsidRPr="001E0F3B" w:rsidRDefault="001E0F3B" w:rsidP="001E0F3B">
      <w:pPr>
        <w:spacing w:after="240"/>
        <w:ind w:firstLine="720"/>
        <w:rPr>
          <w:rFonts w:eastAsia="Times New Roman"/>
          <w:b/>
          <w:sz w:val="24"/>
          <w:szCs w:val="24"/>
        </w:rPr>
      </w:pPr>
      <w:r w:rsidRPr="001E0F3B">
        <w:rPr>
          <w:rFonts w:eastAsia="Times New Roman"/>
          <w:b/>
          <w:sz w:val="24"/>
          <w:szCs w:val="24"/>
        </w:rPr>
        <w:t xml:space="preserve">3. Conduct showing joint cooperation in the (property) (project). </w:t>
      </w:r>
    </w:p>
    <w:p w14:paraId="294BA27A" w14:textId="77777777" w:rsidR="001E0F3B" w:rsidRDefault="001E0F3B" w:rsidP="001E0F3B">
      <w:pPr>
        <w:jc w:val="center"/>
        <w:rPr>
          <w:rFonts w:eastAsia="Times New Roman"/>
          <w:sz w:val="24"/>
          <w:szCs w:val="24"/>
        </w:rPr>
      </w:pPr>
    </w:p>
    <w:p w14:paraId="55A4EBD3" w14:textId="77777777" w:rsidR="001E0F3B" w:rsidRPr="0054263B" w:rsidRDefault="001E0F3B" w:rsidP="001E0F3B">
      <w:pPr>
        <w:keepNext/>
        <w:spacing w:after="240"/>
        <w:jc w:val="center"/>
        <w:rPr>
          <w:rFonts w:eastAsia="Times New Roman"/>
          <w:b/>
          <w:sz w:val="24"/>
          <w:szCs w:val="24"/>
        </w:rPr>
      </w:pPr>
      <w:r w:rsidRPr="0054263B">
        <w:rPr>
          <w:rFonts w:eastAsia="Times New Roman"/>
          <w:b/>
          <w:sz w:val="24"/>
          <w:szCs w:val="24"/>
        </w:rPr>
        <w:t>Notes on Use</w:t>
      </w:r>
    </w:p>
    <w:p w14:paraId="32F7DEC3"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1. Instruction 7:5 should be used when a joint venture in the operation of a motor vehicle or other instrumentality is alleged. </w:t>
      </w:r>
    </w:p>
    <w:p w14:paraId="6A29A1E6"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2. This instruction should be appropriately modified to reflect whether the joint venture is in a property or project. </w:t>
      </w:r>
    </w:p>
    <w:p w14:paraId="5A34E432" w14:textId="77777777" w:rsidR="001E0F3B" w:rsidRPr="0054263B" w:rsidRDefault="001E0F3B" w:rsidP="001E0F3B">
      <w:pPr>
        <w:keepNext/>
        <w:spacing w:after="240"/>
        <w:jc w:val="center"/>
        <w:rPr>
          <w:rFonts w:eastAsia="Times New Roman"/>
          <w:b/>
          <w:sz w:val="24"/>
          <w:szCs w:val="24"/>
        </w:rPr>
      </w:pPr>
      <w:r>
        <w:rPr>
          <w:rFonts w:eastAsia="Times New Roman"/>
          <w:b/>
          <w:sz w:val="24"/>
          <w:szCs w:val="24"/>
        </w:rPr>
        <w:t>Source and Authority</w:t>
      </w:r>
    </w:p>
    <w:p w14:paraId="3A2344BB"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1. This instruction is supported by </w:t>
      </w:r>
      <w:r w:rsidRPr="001E0F3B">
        <w:rPr>
          <w:rFonts w:eastAsia="Times New Roman"/>
          <w:b/>
          <w:sz w:val="24"/>
          <w:szCs w:val="24"/>
        </w:rPr>
        <w:t>Sleeping Indian Ranch v. West Ridge Group</w:t>
      </w:r>
      <w:r w:rsidRPr="001E0F3B">
        <w:rPr>
          <w:rFonts w:eastAsia="Times New Roman"/>
          <w:sz w:val="24"/>
          <w:szCs w:val="24"/>
        </w:rPr>
        <w:t xml:space="preserve">, 119 P.3d 1062 (Colo. 2005); </w:t>
      </w:r>
      <w:r w:rsidRPr="001E0F3B">
        <w:rPr>
          <w:rFonts w:eastAsia="Times New Roman"/>
          <w:b/>
          <w:sz w:val="24"/>
          <w:szCs w:val="24"/>
        </w:rPr>
        <w:t>Compass Insurance Co. v. City of Littleton</w:t>
      </w:r>
      <w:r w:rsidRPr="001E0F3B">
        <w:rPr>
          <w:rFonts w:eastAsia="Times New Roman"/>
          <w:sz w:val="24"/>
          <w:szCs w:val="24"/>
        </w:rPr>
        <w:t xml:space="preserve">, 984 P.2d 606 (Colo. 1999); </w:t>
      </w:r>
      <w:r w:rsidRPr="001E0F3B">
        <w:rPr>
          <w:rFonts w:eastAsia="Times New Roman"/>
          <w:b/>
          <w:sz w:val="24"/>
          <w:szCs w:val="24"/>
        </w:rPr>
        <w:t>People v. McCain</w:t>
      </w:r>
      <w:r w:rsidRPr="001E0F3B">
        <w:rPr>
          <w:rFonts w:eastAsia="Times New Roman"/>
          <w:sz w:val="24"/>
          <w:szCs w:val="24"/>
        </w:rPr>
        <w:t xml:space="preserve">, 191 Colo. 229, 552 P.2d 20 (1976); </w:t>
      </w:r>
      <w:r w:rsidRPr="001E0F3B">
        <w:rPr>
          <w:rFonts w:eastAsia="Times New Roman"/>
          <w:b/>
          <w:sz w:val="24"/>
          <w:szCs w:val="24"/>
        </w:rPr>
        <w:t>Edwards v. Price</w:t>
      </w:r>
      <w:r w:rsidRPr="001E0F3B">
        <w:rPr>
          <w:rFonts w:eastAsia="Times New Roman"/>
          <w:sz w:val="24"/>
          <w:szCs w:val="24"/>
        </w:rPr>
        <w:t xml:space="preserve">, 191 Colo. 46, 550 P.2d 856 (1976); </w:t>
      </w:r>
      <w:r w:rsidRPr="001E0F3B">
        <w:rPr>
          <w:rFonts w:eastAsia="Times New Roman"/>
          <w:b/>
          <w:sz w:val="24"/>
          <w:szCs w:val="24"/>
        </w:rPr>
        <w:t>Breckenridge Co. v. Swales Management Corp.</w:t>
      </w:r>
      <w:r w:rsidRPr="001E0F3B">
        <w:rPr>
          <w:rFonts w:eastAsia="Times New Roman"/>
          <w:sz w:val="24"/>
          <w:szCs w:val="24"/>
        </w:rPr>
        <w:t>,</w:t>
      </w:r>
      <w:r w:rsidRPr="001E0F3B">
        <w:rPr>
          <w:rFonts w:eastAsia="Times New Roman"/>
          <w:b/>
          <w:sz w:val="24"/>
          <w:szCs w:val="24"/>
        </w:rPr>
        <w:t xml:space="preserve"> </w:t>
      </w:r>
      <w:r w:rsidRPr="001E0F3B">
        <w:rPr>
          <w:rFonts w:eastAsia="Times New Roman"/>
          <w:sz w:val="24"/>
          <w:szCs w:val="24"/>
        </w:rPr>
        <w:t xml:space="preserve">185 Colo. 160, 522 P.2d 737 (1974); </w:t>
      </w:r>
      <w:r w:rsidRPr="001E0F3B">
        <w:rPr>
          <w:rFonts w:eastAsia="Times New Roman"/>
          <w:b/>
          <w:sz w:val="24"/>
          <w:szCs w:val="24"/>
        </w:rPr>
        <w:t>Transit Equipment Co. v. Dyonisio</w:t>
      </w:r>
      <w:r w:rsidRPr="001E0F3B">
        <w:rPr>
          <w:rFonts w:eastAsia="Times New Roman"/>
          <w:sz w:val="24"/>
          <w:szCs w:val="24"/>
        </w:rPr>
        <w:t xml:space="preserve">, 154 Colo. 379, 391 P.2d 478 (1964); </w:t>
      </w:r>
      <w:r w:rsidRPr="001E0F3B">
        <w:rPr>
          <w:rFonts w:eastAsia="Times New Roman"/>
          <w:b/>
          <w:sz w:val="24"/>
          <w:szCs w:val="24"/>
        </w:rPr>
        <w:t>Realty Development Co. v. Felt</w:t>
      </w:r>
      <w:r w:rsidRPr="001E0F3B">
        <w:rPr>
          <w:rFonts w:eastAsia="Times New Roman"/>
          <w:sz w:val="24"/>
          <w:szCs w:val="24"/>
        </w:rPr>
        <w:t xml:space="preserve">, 154 Colo. 44, 387 P.2d 898 (1963); </w:t>
      </w:r>
      <w:r w:rsidRPr="001E0F3B">
        <w:rPr>
          <w:rFonts w:eastAsia="Times New Roman"/>
          <w:b/>
          <w:sz w:val="24"/>
          <w:szCs w:val="24"/>
        </w:rPr>
        <w:t>Scott R.</w:t>
      </w:r>
      <w:r w:rsidRPr="001E0F3B">
        <w:rPr>
          <w:rFonts w:eastAsia="Times New Roman"/>
          <w:sz w:val="24"/>
          <w:szCs w:val="24"/>
        </w:rPr>
        <w:t xml:space="preserve"> </w:t>
      </w:r>
      <w:r w:rsidRPr="001E0F3B">
        <w:rPr>
          <w:rFonts w:eastAsia="Times New Roman"/>
          <w:b/>
          <w:sz w:val="24"/>
          <w:szCs w:val="24"/>
        </w:rPr>
        <w:t>Larson, P.C. v. Grinnan</w:t>
      </w:r>
      <w:r w:rsidRPr="001E0F3B">
        <w:rPr>
          <w:rFonts w:eastAsia="Times New Roman"/>
          <w:sz w:val="24"/>
          <w:szCs w:val="24"/>
        </w:rPr>
        <w:t xml:space="preserve">, 2017 COA 85, ¶ 45; </w:t>
      </w:r>
      <w:r w:rsidRPr="001E0F3B">
        <w:rPr>
          <w:rFonts w:eastAsia="Times New Roman"/>
          <w:b/>
          <w:sz w:val="24"/>
          <w:szCs w:val="24"/>
        </w:rPr>
        <w:t>Freyer v. Albin</w:t>
      </w:r>
      <w:r w:rsidRPr="001E0F3B">
        <w:rPr>
          <w:rFonts w:eastAsia="Times New Roman"/>
          <w:sz w:val="24"/>
          <w:szCs w:val="24"/>
        </w:rPr>
        <w:t xml:space="preserve">, 5 P.3d 329 (Colo. App. 1999); </w:t>
      </w:r>
      <w:r w:rsidRPr="001E0F3B">
        <w:rPr>
          <w:rFonts w:eastAsia="Times New Roman"/>
          <w:b/>
          <w:sz w:val="24"/>
          <w:szCs w:val="24"/>
        </w:rPr>
        <w:t>A.B. Hirschfeld Press, Inc. v. Weston Group, Inc.</w:t>
      </w:r>
      <w:r w:rsidRPr="001E0F3B">
        <w:rPr>
          <w:rFonts w:eastAsia="Times New Roman"/>
          <w:sz w:val="24"/>
          <w:szCs w:val="24"/>
        </w:rPr>
        <w:t xml:space="preserve">, 824 P.2d 44 (Colo. App. 1991), </w:t>
      </w:r>
      <w:r w:rsidRPr="001E0F3B">
        <w:rPr>
          <w:rFonts w:eastAsia="Times New Roman"/>
          <w:i/>
          <w:sz w:val="24"/>
          <w:szCs w:val="24"/>
        </w:rPr>
        <w:t>aff’d</w:t>
      </w:r>
      <w:r w:rsidRPr="001E0F3B">
        <w:rPr>
          <w:rFonts w:eastAsia="Times New Roman"/>
          <w:sz w:val="24"/>
          <w:szCs w:val="24"/>
        </w:rPr>
        <w:t xml:space="preserve">, 845 P.2d 1162 (Colo. 1993); </w:t>
      </w:r>
      <w:r w:rsidRPr="001E0F3B">
        <w:rPr>
          <w:rFonts w:eastAsia="Times New Roman"/>
          <w:b/>
          <w:sz w:val="24"/>
          <w:szCs w:val="24"/>
        </w:rPr>
        <w:t>Agland, Inc. v. Koch Truck Line, Inc.</w:t>
      </w:r>
      <w:r w:rsidRPr="001E0F3B">
        <w:rPr>
          <w:rFonts w:eastAsia="Times New Roman"/>
          <w:sz w:val="24"/>
          <w:szCs w:val="24"/>
        </w:rPr>
        <w:t xml:space="preserve">, 757 P.2d 1138 (Colo. App. 1988); </w:t>
      </w:r>
      <w:r w:rsidRPr="001E0F3B">
        <w:rPr>
          <w:rFonts w:eastAsia="Times New Roman"/>
          <w:b/>
          <w:sz w:val="24"/>
          <w:szCs w:val="24"/>
        </w:rPr>
        <w:t>Colorado Performance Corp. v. Mariposa Assocs.</w:t>
      </w:r>
      <w:r w:rsidRPr="001E0F3B">
        <w:rPr>
          <w:rFonts w:eastAsia="Times New Roman"/>
          <w:sz w:val="24"/>
          <w:szCs w:val="24"/>
        </w:rPr>
        <w:t xml:space="preserve">, 754 P.2d 401 (Colo. App. 1987); </w:t>
      </w:r>
      <w:r w:rsidRPr="001E0F3B">
        <w:rPr>
          <w:rFonts w:eastAsia="Times New Roman"/>
          <w:b/>
          <w:sz w:val="24"/>
          <w:szCs w:val="24"/>
        </w:rPr>
        <w:t>Werkmeister v. Robinson Dairy, Inc.</w:t>
      </w:r>
      <w:r w:rsidRPr="001E0F3B">
        <w:rPr>
          <w:rFonts w:eastAsia="Times New Roman"/>
          <w:sz w:val="24"/>
          <w:szCs w:val="24"/>
        </w:rPr>
        <w:t xml:space="preserve">, 669 P.2d 1042 (Colo. App. 1983) (joint venture requires parties to combine their property, money, or effects in furtherance of venture; “community of interest” alone is not sufficient); </w:t>
      </w:r>
      <w:r w:rsidRPr="001E0F3B">
        <w:rPr>
          <w:rFonts w:eastAsia="Times New Roman"/>
          <w:b/>
          <w:sz w:val="24"/>
          <w:szCs w:val="24"/>
        </w:rPr>
        <w:t>McNeill v. Allen</w:t>
      </w:r>
      <w:r w:rsidRPr="001E0F3B">
        <w:rPr>
          <w:rFonts w:eastAsia="Times New Roman"/>
          <w:sz w:val="24"/>
          <w:szCs w:val="24"/>
        </w:rPr>
        <w:t xml:space="preserve">, 35 Colo. App. 317, 534 P.2d 813 (1975); and </w:t>
      </w:r>
      <w:r w:rsidRPr="001E0F3B">
        <w:rPr>
          <w:rFonts w:eastAsia="Times New Roman"/>
          <w:b/>
          <w:sz w:val="24"/>
          <w:szCs w:val="24"/>
        </w:rPr>
        <w:t>Bainbrich v. Wells</w:t>
      </w:r>
      <w:r w:rsidRPr="001E0F3B">
        <w:rPr>
          <w:rFonts w:eastAsia="Times New Roman"/>
          <w:sz w:val="24"/>
          <w:szCs w:val="24"/>
        </w:rPr>
        <w:t xml:space="preserve">, 28 Colo. App. 432, 476 P.2d 53 (1970), </w:t>
      </w:r>
      <w:r w:rsidRPr="001E0F3B">
        <w:rPr>
          <w:rFonts w:eastAsia="Times New Roman"/>
          <w:i/>
          <w:sz w:val="24"/>
          <w:szCs w:val="24"/>
        </w:rPr>
        <w:t>aff’d</w:t>
      </w:r>
      <w:r w:rsidRPr="001E0F3B">
        <w:rPr>
          <w:rFonts w:eastAsia="Times New Roman"/>
          <w:sz w:val="24"/>
          <w:szCs w:val="24"/>
        </w:rPr>
        <w:t>, 176 Colo. 503, 491 P.2d 976 (1971).</w:t>
      </w:r>
    </w:p>
    <w:p w14:paraId="7610895B"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2. Parties are not joint venturers if one of the parties receives a fixed sum irrespective of the venture’s profits or losses, or if one of the parties could have enjoyed an individual profit while the other might have sustained an individual loss. </w:t>
      </w:r>
      <w:r w:rsidRPr="001E0F3B">
        <w:rPr>
          <w:rFonts w:eastAsia="Times New Roman"/>
          <w:i/>
          <w:sz w:val="24"/>
          <w:szCs w:val="24"/>
        </w:rPr>
        <w:t xml:space="preserve">See </w:t>
      </w:r>
      <w:r w:rsidRPr="001E0F3B">
        <w:rPr>
          <w:rFonts w:eastAsia="Times New Roman"/>
          <w:b/>
          <w:sz w:val="24"/>
          <w:szCs w:val="24"/>
        </w:rPr>
        <w:t>Batterman v. Wells Fargo Ag Credit Corp.</w:t>
      </w:r>
      <w:r w:rsidRPr="001E0F3B">
        <w:rPr>
          <w:rFonts w:eastAsia="Times New Roman"/>
          <w:sz w:val="24"/>
          <w:szCs w:val="24"/>
        </w:rPr>
        <w:t>,</w:t>
      </w:r>
      <w:r w:rsidRPr="001E0F3B">
        <w:rPr>
          <w:rFonts w:eastAsia="Times New Roman"/>
          <w:b/>
          <w:sz w:val="24"/>
          <w:szCs w:val="24"/>
        </w:rPr>
        <w:t xml:space="preserve"> </w:t>
      </w:r>
      <w:proofErr w:type="gramStart"/>
      <w:r w:rsidRPr="001E0F3B">
        <w:rPr>
          <w:rFonts w:eastAsia="Times New Roman"/>
          <w:sz w:val="24"/>
          <w:szCs w:val="24"/>
        </w:rPr>
        <w:t>802 P.2d 1112</w:t>
      </w:r>
      <w:proofErr w:type="gramEnd"/>
      <w:r w:rsidRPr="001E0F3B">
        <w:rPr>
          <w:rFonts w:eastAsia="Times New Roman"/>
          <w:sz w:val="24"/>
          <w:szCs w:val="24"/>
        </w:rPr>
        <w:t xml:space="preserve"> (Colo. App. 1990). A joint venture existed between lawyers for purpose of representing plaintiffs and sharing in contingent fee where lawyers were “associated,” agreed to share in the contingent fee, and cooperated in bringing plaintiffs’ case. </w:t>
      </w:r>
      <w:r w:rsidRPr="001E0F3B">
        <w:rPr>
          <w:rFonts w:eastAsia="Times New Roman"/>
          <w:b/>
          <w:sz w:val="24"/>
          <w:szCs w:val="24"/>
        </w:rPr>
        <w:t>Scott R. Larson</w:t>
      </w:r>
      <w:r w:rsidRPr="001E0F3B">
        <w:rPr>
          <w:rFonts w:eastAsia="Times New Roman"/>
          <w:sz w:val="24"/>
          <w:szCs w:val="24"/>
        </w:rPr>
        <w:t xml:space="preserve">, 2017 COA 85, ¶¶ 45-47.   </w:t>
      </w:r>
    </w:p>
    <w:p w14:paraId="73725693"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3. The substantive law of partnerships applies to joint ventures, and the rights of a party to a joint venture are subject to the joint venture agreement. </w:t>
      </w:r>
      <w:proofErr w:type="gramStart"/>
      <w:r w:rsidRPr="001E0F3B">
        <w:rPr>
          <w:rFonts w:eastAsia="Times New Roman"/>
          <w:b/>
          <w:sz w:val="24"/>
          <w:szCs w:val="24"/>
        </w:rPr>
        <w:t>Turkey Creek, LLC v. Rosania</w:t>
      </w:r>
      <w:r w:rsidRPr="001E0F3B">
        <w:rPr>
          <w:rFonts w:eastAsia="Times New Roman"/>
          <w:sz w:val="24"/>
          <w:szCs w:val="24"/>
        </w:rPr>
        <w:t xml:space="preserve">, </w:t>
      </w:r>
      <w:r w:rsidRPr="001E0F3B">
        <w:rPr>
          <w:rFonts w:eastAsia="Times New Roman"/>
          <w:sz w:val="24"/>
          <w:szCs w:val="24"/>
        </w:rPr>
        <w:lastRenderedPageBreak/>
        <w:t xml:space="preserve">953 P.2d 1306 (Colo. App. 1998); </w:t>
      </w:r>
      <w:r w:rsidRPr="001E0F3B">
        <w:rPr>
          <w:rFonts w:eastAsia="Times New Roman"/>
          <w:b/>
          <w:sz w:val="24"/>
          <w:szCs w:val="24"/>
        </w:rPr>
        <w:t>Fey Concert Co. v. City &amp; Cty.</w:t>
      </w:r>
      <w:proofErr w:type="gramEnd"/>
      <w:r w:rsidRPr="001E0F3B">
        <w:rPr>
          <w:rFonts w:eastAsia="Times New Roman"/>
          <w:b/>
          <w:sz w:val="24"/>
          <w:szCs w:val="24"/>
        </w:rPr>
        <w:t xml:space="preserve"> </w:t>
      </w:r>
      <w:proofErr w:type="gramStart"/>
      <w:r w:rsidRPr="001E0F3B">
        <w:rPr>
          <w:rFonts w:eastAsia="Times New Roman"/>
          <w:b/>
          <w:sz w:val="24"/>
          <w:szCs w:val="24"/>
        </w:rPr>
        <w:t>of</w:t>
      </w:r>
      <w:proofErr w:type="gramEnd"/>
      <w:r w:rsidRPr="001E0F3B">
        <w:rPr>
          <w:rFonts w:eastAsia="Times New Roman"/>
          <w:b/>
          <w:sz w:val="24"/>
          <w:szCs w:val="24"/>
        </w:rPr>
        <w:t xml:space="preserve"> Denver</w:t>
      </w:r>
      <w:r w:rsidRPr="001E0F3B">
        <w:rPr>
          <w:rFonts w:eastAsia="Times New Roman"/>
          <w:sz w:val="24"/>
          <w:szCs w:val="24"/>
        </w:rPr>
        <w:t xml:space="preserve">, 940 P.2d 972 (Colo. App. 1996) (holding joint venture subject to general law of partnerships), </w:t>
      </w:r>
      <w:r w:rsidRPr="001E0F3B">
        <w:rPr>
          <w:rFonts w:eastAsia="Times New Roman"/>
          <w:i/>
          <w:sz w:val="24"/>
          <w:szCs w:val="24"/>
        </w:rPr>
        <w:t>rev’d on other grounds</w:t>
      </w:r>
      <w:r w:rsidRPr="001E0F3B">
        <w:rPr>
          <w:rFonts w:eastAsia="Times New Roman"/>
          <w:sz w:val="24"/>
          <w:szCs w:val="24"/>
        </w:rPr>
        <w:t xml:space="preserve">, 960 P.2d 657 (Colo. 1998); </w:t>
      </w:r>
      <w:r w:rsidRPr="001E0F3B">
        <w:rPr>
          <w:rFonts w:eastAsia="Times New Roman"/>
          <w:i/>
          <w:sz w:val="24"/>
          <w:szCs w:val="24"/>
        </w:rPr>
        <w:t xml:space="preserve">see also </w:t>
      </w:r>
      <w:r w:rsidRPr="001E0F3B">
        <w:rPr>
          <w:rFonts w:eastAsia="Times New Roman"/>
          <w:b/>
          <w:sz w:val="24"/>
          <w:szCs w:val="24"/>
        </w:rPr>
        <w:t>Scott R. Larson</w:t>
      </w:r>
      <w:r w:rsidRPr="001E0F3B">
        <w:rPr>
          <w:rFonts w:eastAsia="Times New Roman"/>
          <w:sz w:val="24"/>
          <w:szCs w:val="24"/>
        </w:rPr>
        <w:t>, 2017 COA 85, ¶ 45 (holding “substantive law of partnership must be applied in determining whether a joint venture exists”).</w:t>
      </w:r>
    </w:p>
    <w:p w14:paraId="0470429D" w14:textId="77777777" w:rsidR="003F6E89" w:rsidRDefault="003F6E89">
      <w:pPr>
        <w:rPr>
          <w:rFonts w:eastAsia="Times New Roman"/>
          <w:sz w:val="24"/>
          <w:szCs w:val="24"/>
        </w:rPr>
      </w:pPr>
      <w:r>
        <w:rPr>
          <w:rFonts w:eastAsia="Times New Roman"/>
          <w:sz w:val="24"/>
          <w:szCs w:val="24"/>
        </w:rPr>
        <w:br w:type="page"/>
      </w:r>
    </w:p>
    <w:p w14:paraId="61B8223A" w14:textId="77777777" w:rsidR="003F6E89" w:rsidRPr="009E3DA4" w:rsidRDefault="003F6E89" w:rsidP="003F6E89">
      <w:pPr>
        <w:spacing w:after="240"/>
        <w:ind w:left="720" w:hanging="720"/>
        <w:rPr>
          <w:rFonts w:eastAsia="Times New Roman"/>
          <w:b/>
          <w:sz w:val="24"/>
          <w:szCs w:val="24"/>
        </w:rPr>
      </w:pPr>
      <w:bookmarkStart w:id="5" w:name="a7_5"/>
      <w:bookmarkEnd w:id="5"/>
      <w:r w:rsidRPr="003F6E89">
        <w:rPr>
          <w:rFonts w:eastAsia="Times New Roman"/>
          <w:b/>
          <w:sz w:val="24"/>
          <w:szCs w:val="24"/>
        </w:rPr>
        <w:lastRenderedPageBreak/>
        <w:t xml:space="preserve">7:5 </w:t>
      </w:r>
      <w:r w:rsidRPr="003F6E89">
        <w:rPr>
          <w:rFonts w:eastAsia="Times New Roman"/>
          <w:b/>
          <w:sz w:val="24"/>
          <w:szCs w:val="24"/>
        </w:rPr>
        <w:tab/>
        <w:t xml:space="preserve">JOINT </w:t>
      </w:r>
      <w:proofErr w:type="gramStart"/>
      <w:r w:rsidRPr="003F6E89">
        <w:rPr>
          <w:rFonts w:eastAsia="Times New Roman"/>
          <w:b/>
          <w:sz w:val="24"/>
          <w:szCs w:val="24"/>
        </w:rPr>
        <w:t>VENTURE</w:t>
      </w:r>
      <w:proofErr w:type="gramEnd"/>
      <w:r w:rsidRPr="003F6E89">
        <w:rPr>
          <w:rFonts w:eastAsia="Times New Roman"/>
          <w:b/>
          <w:sz w:val="24"/>
          <w:szCs w:val="24"/>
        </w:rPr>
        <w:t xml:space="preserve"> IN OPERATION OF VEHICLE OR OTHER INSTRUMENTALITY — DEFINED</w:t>
      </w:r>
    </w:p>
    <w:p w14:paraId="7005F6D1" w14:textId="77777777" w:rsidR="00144917" w:rsidRPr="00144917" w:rsidRDefault="00144917" w:rsidP="00144917">
      <w:pPr>
        <w:spacing w:after="240"/>
        <w:ind w:firstLine="720"/>
        <w:rPr>
          <w:rFonts w:eastAsia="Times New Roman"/>
          <w:b/>
          <w:sz w:val="24"/>
          <w:szCs w:val="24"/>
        </w:rPr>
      </w:pPr>
      <w:r w:rsidRPr="00144917">
        <w:rPr>
          <w:rFonts w:eastAsia="Times New Roman"/>
          <w:b/>
          <w:sz w:val="24"/>
          <w:szCs w:val="24"/>
        </w:rPr>
        <w:t xml:space="preserve">For a joint venture or a joint enterprise to exist regarding operation of a (vehicle) </w:t>
      </w:r>
      <w:r w:rsidRPr="00144917">
        <w:rPr>
          <w:rFonts w:eastAsia="Times New Roman"/>
          <w:sz w:val="24"/>
          <w:szCs w:val="24"/>
        </w:rPr>
        <w:t>(</w:t>
      </w:r>
      <w:r w:rsidRPr="00144917">
        <w:rPr>
          <w:rFonts w:eastAsia="Times New Roman"/>
          <w:i/>
          <w:sz w:val="24"/>
          <w:szCs w:val="24"/>
        </w:rPr>
        <w:t>description of other instrumentality involved</w:t>
      </w:r>
      <w:r w:rsidRPr="00144917">
        <w:rPr>
          <w:rFonts w:eastAsia="Times New Roman"/>
          <w:sz w:val="24"/>
          <w:szCs w:val="24"/>
        </w:rPr>
        <w:t>)</w:t>
      </w:r>
      <w:r w:rsidRPr="00144917">
        <w:rPr>
          <w:rFonts w:eastAsia="Times New Roman"/>
          <w:b/>
          <w:sz w:val="24"/>
          <w:szCs w:val="24"/>
        </w:rPr>
        <w:t>, you must find that:</w:t>
      </w:r>
    </w:p>
    <w:p w14:paraId="2FDA9169" w14:textId="77777777" w:rsidR="00144917" w:rsidRPr="00144917" w:rsidRDefault="004C27E8" w:rsidP="00144917">
      <w:pPr>
        <w:spacing w:after="240"/>
        <w:ind w:firstLine="720"/>
        <w:rPr>
          <w:rFonts w:eastAsia="Times New Roman"/>
          <w:b/>
          <w:sz w:val="24"/>
          <w:szCs w:val="24"/>
        </w:rPr>
      </w:pPr>
      <w:r>
        <w:rPr>
          <w:rFonts w:eastAsia="Times New Roman"/>
          <w:b/>
          <w:sz w:val="24"/>
          <w:szCs w:val="24"/>
        </w:rPr>
        <w:t>1.</w:t>
      </w:r>
      <w:r w:rsidR="00144917" w:rsidRPr="00144917">
        <w:rPr>
          <w:rFonts w:eastAsia="Times New Roman"/>
          <w:b/>
          <w:sz w:val="24"/>
          <w:szCs w:val="24"/>
        </w:rPr>
        <w:t xml:space="preserve"> </w:t>
      </w:r>
      <w:r w:rsidR="00A65CC9">
        <w:rPr>
          <w:rFonts w:eastAsia="Times New Roman"/>
          <w:b/>
          <w:sz w:val="24"/>
          <w:szCs w:val="24"/>
        </w:rPr>
        <w:t>T</w:t>
      </w:r>
      <w:r w:rsidR="00144917" w:rsidRPr="00144917">
        <w:rPr>
          <w:rFonts w:eastAsia="Times New Roman"/>
          <w:b/>
          <w:sz w:val="24"/>
          <w:szCs w:val="24"/>
        </w:rPr>
        <w:t xml:space="preserve">wo or more persons united in pursuit of a common purpose; and </w:t>
      </w:r>
    </w:p>
    <w:p w14:paraId="6F0928C2" w14:textId="77777777" w:rsidR="00144917" w:rsidRPr="00144917" w:rsidRDefault="004C27E8" w:rsidP="00144917">
      <w:pPr>
        <w:spacing w:after="240"/>
        <w:ind w:firstLine="720"/>
        <w:rPr>
          <w:rFonts w:eastAsia="Times New Roman"/>
          <w:b/>
          <w:sz w:val="24"/>
          <w:szCs w:val="24"/>
        </w:rPr>
      </w:pPr>
      <w:r>
        <w:rPr>
          <w:rFonts w:eastAsia="Times New Roman"/>
          <w:b/>
          <w:sz w:val="24"/>
          <w:szCs w:val="24"/>
        </w:rPr>
        <w:t>2.</w:t>
      </w:r>
      <w:r w:rsidR="00144917" w:rsidRPr="00144917">
        <w:rPr>
          <w:rFonts w:eastAsia="Times New Roman"/>
          <w:b/>
          <w:sz w:val="24"/>
          <w:szCs w:val="24"/>
        </w:rPr>
        <w:t xml:space="preserve"> </w:t>
      </w:r>
      <w:r w:rsidR="00A65CC9">
        <w:rPr>
          <w:rFonts w:eastAsia="Times New Roman"/>
          <w:b/>
          <w:sz w:val="24"/>
          <w:szCs w:val="24"/>
        </w:rPr>
        <w:t>E</w:t>
      </w:r>
      <w:r w:rsidR="00144917" w:rsidRPr="00144917">
        <w:rPr>
          <w:rFonts w:eastAsia="Times New Roman"/>
          <w:b/>
          <w:sz w:val="24"/>
          <w:szCs w:val="24"/>
        </w:rPr>
        <w:t xml:space="preserve">ach person must have a right to control the operation of the (vehicle) </w:t>
      </w:r>
      <w:r w:rsidR="00144917" w:rsidRPr="00144917">
        <w:rPr>
          <w:rFonts w:eastAsia="Times New Roman"/>
          <w:i/>
          <w:sz w:val="24"/>
          <w:szCs w:val="24"/>
        </w:rPr>
        <w:t>(description of any other instrumentality involved)</w:t>
      </w:r>
      <w:r w:rsidR="00144917" w:rsidRPr="00144917">
        <w:rPr>
          <w:rFonts w:eastAsia="Times New Roman"/>
          <w:b/>
          <w:sz w:val="24"/>
          <w:szCs w:val="24"/>
        </w:rPr>
        <w:t xml:space="preserve"> used by the parties in pursuit of the common purpose. </w:t>
      </w:r>
    </w:p>
    <w:p w14:paraId="4D6D7C7B" w14:textId="77777777" w:rsidR="00144917" w:rsidRPr="00144917" w:rsidRDefault="00144917" w:rsidP="00144917">
      <w:pPr>
        <w:spacing w:after="240"/>
        <w:ind w:firstLine="720"/>
        <w:rPr>
          <w:rFonts w:eastAsia="Times New Roman"/>
          <w:b/>
          <w:sz w:val="24"/>
          <w:szCs w:val="24"/>
        </w:rPr>
      </w:pPr>
      <w:r w:rsidRPr="00144917">
        <w:rPr>
          <w:rFonts w:eastAsia="Times New Roman"/>
          <w:b/>
          <w:sz w:val="24"/>
          <w:szCs w:val="24"/>
        </w:rPr>
        <w:t>The common purpose may be for the parties’ profit, pleasure, or convenience.</w:t>
      </w:r>
    </w:p>
    <w:p w14:paraId="7C4D6AFF" w14:textId="77777777" w:rsidR="003F6E89" w:rsidRDefault="003F6E89" w:rsidP="003F6E89">
      <w:pPr>
        <w:jc w:val="center"/>
        <w:rPr>
          <w:rFonts w:eastAsia="Times New Roman"/>
          <w:sz w:val="24"/>
          <w:szCs w:val="24"/>
        </w:rPr>
      </w:pPr>
    </w:p>
    <w:p w14:paraId="410EC38E" w14:textId="77777777" w:rsidR="003F6E89" w:rsidRPr="0054263B" w:rsidRDefault="003F6E89" w:rsidP="003F6E89">
      <w:pPr>
        <w:keepNext/>
        <w:spacing w:after="240"/>
        <w:jc w:val="center"/>
        <w:rPr>
          <w:rFonts w:eastAsia="Times New Roman"/>
          <w:b/>
          <w:sz w:val="24"/>
          <w:szCs w:val="24"/>
        </w:rPr>
      </w:pPr>
      <w:r w:rsidRPr="0054263B">
        <w:rPr>
          <w:rFonts w:eastAsia="Times New Roman"/>
          <w:b/>
          <w:sz w:val="24"/>
          <w:szCs w:val="24"/>
        </w:rPr>
        <w:t>Notes on Use</w:t>
      </w:r>
    </w:p>
    <w:p w14:paraId="6E70EF6E"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 xml:space="preserve">1. This instruction should be used only when a joint venture in the operation of automobiles is alleged. </w:t>
      </w:r>
    </w:p>
    <w:p w14:paraId="7D9E4EC9"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 xml:space="preserve">2. When two or more joint owners occupy a </w:t>
      </w:r>
      <w:proofErr w:type="gramStart"/>
      <w:r w:rsidRPr="00144917">
        <w:rPr>
          <w:rFonts w:eastAsia="Times New Roman"/>
          <w:sz w:val="24"/>
          <w:szCs w:val="24"/>
        </w:rPr>
        <w:t>vehicle,</w:t>
      </w:r>
      <w:proofErr w:type="gramEnd"/>
      <w:r w:rsidRPr="00144917">
        <w:rPr>
          <w:rFonts w:eastAsia="Times New Roman"/>
          <w:sz w:val="24"/>
          <w:szCs w:val="24"/>
        </w:rPr>
        <w:t xml:space="preserve"> or another person drives the vehicle with an owner as a passenger, Instruction 11:18 may also apply.</w:t>
      </w:r>
    </w:p>
    <w:p w14:paraId="3D4170BA" w14:textId="77777777" w:rsidR="003F6E89" w:rsidRPr="0054263B" w:rsidRDefault="003F6E89" w:rsidP="003F6E89">
      <w:pPr>
        <w:keepNext/>
        <w:spacing w:after="240"/>
        <w:jc w:val="center"/>
        <w:rPr>
          <w:rFonts w:eastAsia="Times New Roman"/>
          <w:b/>
          <w:sz w:val="24"/>
          <w:szCs w:val="24"/>
        </w:rPr>
      </w:pPr>
      <w:r>
        <w:rPr>
          <w:rFonts w:eastAsia="Times New Roman"/>
          <w:b/>
          <w:sz w:val="24"/>
          <w:szCs w:val="24"/>
        </w:rPr>
        <w:t>Source and Authority</w:t>
      </w:r>
    </w:p>
    <w:p w14:paraId="128E6537"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 xml:space="preserve">1. This instruction is supported by </w:t>
      </w:r>
      <w:r w:rsidRPr="00144917">
        <w:rPr>
          <w:rFonts w:eastAsia="Times New Roman"/>
          <w:b/>
          <w:sz w:val="24"/>
          <w:szCs w:val="24"/>
        </w:rPr>
        <w:t>Watson v. Reg</w:t>
      </w:r>
      <w:r w:rsidR="004C27E8">
        <w:rPr>
          <w:rFonts w:eastAsia="Times New Roman"/>
          <w:b/>
          <w:sz w:val="24"/>
          <w:szCs w:val="24"/>
        </w:rPr>
        <w:t>iona</w:t>
      </w:r>
      <w:r w:rsidRPr="00144917">
        <w:rPr>
          <w:rFonts w:eastAsia="Times New Roman"/>
          <w:b/>
          <w:sz w:val="24"/>
          <w:szCs w:val="24"/>
        </w:rPr>
        <w:t>l Transp</w:t>
      </w:r>
      <w:r w:rsidR="004C27E8">
        <w:rPr>
          <w:rFonts w:eastAsia="Times New Roman"/>
          <w:b/>
          <w:sz w:val="24"/>
          <w:szCs w:val="24"/>
        </w:rPr>
        <w:t>orta</w:t>
      </w:r>
      <w:r w:rsidR="00A70CDA">
        <w:rPr>
          <w:rFonts w:eastAsia="Times New Roman"/>
          <w:b/>
          <w:sz w:val="24"/>
          <w:szCs w:val="24"/>
        </w:rPr>
        <w:t>t</w:t>
      </w:r>
      <w:r w:rsidR="004C27E8">
        <w:rPr>
          <w:rFonts w:eastAsia="Times New Roman"/>
          <w:b/>
          <w:sz w:val="24"/>
          <w:szCs w:val="24"/>
        </w:rPr>
        <w:t>ion</w:t>
      </w:r>
      <w:r w:rsidRPr="00144917">
        <w:rPr>
          <w:rFonts w:eastAsia="Times New Roman"/>
          <w:b/>
          <w:sz w:val="24"/>
          <w:szCs w:val="24"/>
        </w:rPr>
        <w:t xml:space="preserve"> Dist</w:t>
      </w:r>
      <w:r w:rsidR="004C27E8">
        <w:rPr>
          <w:rFonts w:eastAsia="Times New Roman"/>
          <w:b/>
          <w:sz w:val="24"/>
          <w:szCs w:val="24"/>
        </w:rPr>
        <w:t>rict</w:t>
      </w:r>
      <w:r w:rsidRPr="00144917">
        <w:rPr>
          <w:rFonts w:eastAsia="Times New Roman"/>
          <w:b/>
          <w:i/>
          <w:sz w:val="24"/>
          <w:szCs w:val="24"/>
        </w:rPr>
        <w:t xml:space="preserve">, </w:t>
      </w:r>
      <w:r w:rsidRPr="00144917">
        <w:rPr>
          <w:rFonts w:eastAsia="Times New Roman"/>
          <w:sz w:val="24"/>
          <w:szCs w:val="24"/>
        </w:rPr>
        <w:t xml:space="preserve">762 P.2d 133 (Colo. 1988); </w:t>
      </w:r>
      <w:r w:rsidRPr="00144917">
        <w:rPr>
          <w:rFonts w:eastAsia="Times New Roman"/>
          <w:b/>
          <w:sz w:val="24"/>
          <w:szCs w:val="24"/>
        </w:rPr>
        <w:t>Mayer v. Sampson</w:t>
      </w:r>
      <w:r w:rsidRPr="00144917">
        <w:rPr>
          <w:rFonts w:eastAsia="Times New Roman"/>
          <w:sz w:val="24"/>
          <w:szCs w:val="24"/>
        </w:rPr>
        <w:t xml:space="preserve">, 157 Colo. 278, 402 P.2d 185 (1965); </w:t>
      </w:r>
      <w:r w:rsidRPr="00144917">
        <w:rPr>
          <w:rFonts w:eastAsia="Times New Roman"/>
          <w:b/>
          <w:sz w:val="24"/>
          <w:szCs w:val="24"/>
        </w:rPr>
        <w:t>Parker v. Ullom</w:t>
      </w:r>
      <w:r w:rsidRPr="00144917">
        <w:rPr>
          <w:rFonts w:eastAsia="Times New Roman"/>
          <w:sz w:val="24"/>
          <w:szCs w:val="24"/>
        </w:rPr>
        <w:t xml:space="preserve">, 84 Colo. 433, 271 P. 187 (1928); </w:t>
      </w:r>
      <w:r w:rsidRPr="00144917">
        <w:rPr>
          <w:rFonts w:eastAsia="Times New Roman"/>
          <w:b/>
          <w:sz w:val="24"/>
          <w:szCs w:val="24"/>
        </w:rPr>
        <w:t>Boyd v. Close</w:t>
      </w:r>
      <w:r w:rsidRPr="00144917">
        <w:rPr>
          <w:rFonts w:eastAsia="Times New Roman"/>
          <w:sz w:val="24"/>
          <w:szCs w:val="24"/>
        </w:rPr>
        <w:t>,</w:t>
      </w:r>
      <w:r w:rsidRPr="00144917">
        <w:rPr>
          <w:rFonts w:eastAsia="Times New Roman"/>
          <w:b/>
          <w:sz w:val="24"/>
          <w:szCs w:val="24"/>
        </w:rPr>
        <w:t xml:space="preserve"> </w:t>
      </w:r>
      <w:r w:rsidRPr="00144917">
        <w:rPr>
          <w:rFonts w:eastAsia="Times New Roman"/>
          <w:sz w:val="24"/>
          <w:szCs w:val="24"/>
        </w:rPr>
        <w:t xml:space="preserve">82 Colo. 150, 257 P. 1079 (1927); </w:t>
      </w:r>
      <w:r w:rsidRPr="00144917">
        <w:rPr>
          <w:rFonts w:eastAsia="Times New Roman"/>
          <w:b/>
          <w:sz w:val="24"/>
          <w:szCs w:val="24"/>
        </w:rPr>
        <w:t>Am</w:t>
      </w:r>
      <w:r w:rsidR="004C27E8">
        <w:rPr>
          <w:rFonts w:eastAsia="Times New Roman"/>
          <w:b/>
          <w:sz w:val="24"/>
          <w:szCs w:val="24"/>
        </w:rPr>
        <w:t>erican</w:t>
      </w:r>
      <w:r w:rsidRPr="00144917">
        <w:rPr>
          <w:rFonts w:eastAsia="Times New Roman"/>
          <w:b/>
          <w:sz w:val="24"/>
          <w:szCs w:val="24"/>
        </w:rPr>
        <w:t xml:space="preserve"> Fam</w:t>
      </w:r>
      <w:r w:rsidR="004C27E8">
        <w:rPr>
          <w:rFonts w:eastAsia="Times New Roman"/>
          <w:b/>
          <w:sz w:val="24"/>
          <w:szCs w:val="24"/>
        </w:rPr>
        <w:t>ily</w:t>
      </w:r>
      <w:r w:rsidRPr="00144917">
        <w:rPr>
          <w:rFonts w:eastAsia="Times New Roman"/>
          <w:b/>
          <w:sz w:val="24"/>
          <w:szCs w:val="24"/>
        </w:rPr>
        <w:t xml:space="preserve"> Mut</w:t>
      </w:r>
      <w:r w:rsidR="004C27E8">
        <w:rPr>
          <w:rFonts w:eastAsia="Times New Roman"/>
          <w:b/>
          <w:sz w:val="24"/>
          <w:szCs w:val="24"/>
        </w:rPr>
        <w:t>ual</w:t>
      </w:r>
      <w:r w:rsidRPr="00144917">
        <w:rPr>
          <w:rFonts w:eastAsia="Times New Roman"/>
          <w:b/>
          <w:sz w:val="24"/>
          <w:szCs w:val="24"/>
        </w:rPr>
        <w:t xml:space="preserve"> Ins</w:t>
      </w:r>
      <w:r w:rsidR="004C27E8">
        <w:rPr>
          <w:rFonts w:eastAsia="Times New Roman"/>
          <w:b/>
          <w:sz w:val="24"/>
          <w:szCs w:val="24"/>
        </w:rPr>
        <w:t>urance</w:t>
      </w:r>
      <w:r w:rsidRPr="00144917">
        <w:rPr>
          <w:rFonts w:eastAsia="Times New Roman"/>
          <w:b/>
          <w:sz w:val="24"/>
          <w:szCs w:val="24"/>
        </w:rPr>
        <w:t xml:space="preserve"> Co. v. AN/CF Acquisition Corp.</w:t>
      </w:r>
      <w:r w:rsidRPr="00144917">
        <w:rPr>
          <w:rFonts w:eastAsia="Times New Roman"/>
          <w:sz w:val="24"/>
          <w:szCs w:val="24"/>
        </w:rPr>
        <w:t>, 2015 COA 129, ¶ </w:t>
      </w:r>
      <w:r w:rsidR="004C27E8">
        <w:rPr>
          <w:rFonts w:eastAsia="Times New Roman"/>
          <w:sz w:val="24"/>
          <w:szCs w:val="24"/>
        </w:rPr>
        <w:t>12, 361 P.3d 1098</w:t>
      </w:r>
      <w:r w:rsidRPr="00144917">
        <w:rPr>
          <w:rFonts w:eastAsia="Times New Roman"/>
          <w:sz w:val="24"/>
          <w:szCs w:val="24"/>
        </w:rPr>
        <w:t>;</w:t>
      </w:r>
      <w:r w:rsidR="00A70CDA">
        <w:rPr>
          <w:rFonts w:eastAsia="Times New Roman"/>
          <w:sz w:val="24"/>
          <w:szCs w:val="24"/>
        </w:rPr>
        <w:t xml:space="preserve"> </w:t>
      </w:r>
      <w:r w:rsidR="004C27E8">
        <w:rPr>
          <w:rFonts w:eastAsia="Times New Roman"/>
          <w:sz w:val="24"/>
          <w:szCs w:val="24"/>
        </w:rPr>
        <w:t xml:space="preserve">and </w:t>
      </w:r>
      <w:r w:rsidR="004C27E8" w:rsidRPr="00144917">
        <w:rPr>
          <w:rFonts w:eastAsia="Times New Roman"/>
          <w:b/>
          <w:sz w:val="24"/>
          <w:szCs w:val="24"/>
        </w:rPr>
        <w:t>Bainbrich v. Wells</w:t>
      </w:r>
      <w:r w:rsidR="004C27E8" w:rsidRPr="00144917">
        <w:rPr>
          <w:rFonts w:eastAsia="Times New Roman"/>
          <w:sz w:val="24"/>
          <w:szCs w:val="24"/>
        </w:rPr>
        <w:t>, 28 Colo.</w:t>
      </w:r>
      <w:r w:rsidR="004C27E8">
        <w:rPr>
          <w:rFonts w:eastAsia="Times New Roman"/>
          <w:sz w:val="24"/>
          <w:szCs w:val="24"/>
        </w:rPr>
        <w:t xml:space="preserve"> </w:t>
      </w:r>
      <w:r w:rsidR="004C27E8" w:rsidRPr="00144917">
        <w:rPr>
          <w:rFonts w:eastAsia="Times New Roman"/>
          <w:sz w:val="24"/>
          <w:szCs w:val="24"/>
        </w:rPr>
        <w:t xml:space="preserve">App. 432, 476 P.2d 53 (1970), </w:t>
      </w:r>
      <w:r w:rsidR="004C27E8" w:rsidRPr="00144917">
        <w:rPr>
          <w:rFonts w:eastAsia="Times New Roman"/>
          <w:i/>
          <w:sz w:val="24"/>
          <w:szCs w:val="24"/>
        </w:rPr>
        <w:t>aff’d</w:t>
      </w:r>
      <w:r w:rsidR="004C27E8" w:rsidRPr="00144917">
        <w:rPr>
          <w:rFonts w:eastAsia="Times New Roman"/>
          <w:sz w:val="24"/>
          <w:szCs w:val="24"/>
        </w:rPr>
        <w:t>, 176 Colo. 503, 491 P.2d 976 (1971)</w:t>
      </w:r>
      <w:r w:rsidRPr="00144917">
        <w:rPr>
          <w:rFonts w:eastAsia="Times New Roman"/>
          <w:sz w:val="24"/>
          <w:szCs w:val="24"/>
        </w:rPr>
        <w:t>.</w:t>
      </w:r>
    </w:p>
    <w:p w14:paraId="7BCDBA0E"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 xml:space="preserve">2. </w:t>
      </w:r>
      <w:r w:rsidR="001715BD">
        <w:rPr>
          <w:rFonts w:eastAsia="Times New Roman"/>
          <w:sz w:val="24"/>
          <w:szCs w:val="24"/>
        </w:rPr>
        <w:t>A</w:t>
      </w:r>
      <w:r w:rsidRPr="00144917">
        <w:rPr>
          <w:rFonts w:eastAsia="Times New Roman"/>
          <w:sz w:val="24"/>
          <w:szCs w:val="24"/>
        </w:rPr>
        <w:t xml:space="preserve"> joint venture does not exist</w:t>
      </w:r>
      <w:r w:rsidR="001715BD">
        <w:rPr>
          <w:rFonts w:eastAsia="Times New Roman"/>
          <w:sz w:val="24"/>
          <w:szCs w:val="24"/>
        </w:rPr>
        <w:t xml:space="preserve"> when evidence of the right to control is lacking</w:t>
      </w:r>
      <w:r w:rsidRPr="00144917">
        <w:rPr>
          <w:rFonts w:eastAsia="Times New Roman"/>
          <w:sz w:val="24"/>
          <w:szCs w:val="24"/>
        </w:rPr>
        <w:t xml:space="preserve">. </w:t>
      </w:r>
      <w:r w:rsidR="004B1873" w:rsidRPr="004B1873">
        <w:rPr>
          <w:rFonts w:eastAsia="Times New Roman"/>
          <w:i/>
          <w:sz w:val="24"/>
          <w:szCs w:val="24"/>
        </w:rPr>
        <w:t>See</w:t>
      </w:r>
      <w:r w:rsidR="004B1873">
        <w:rPr>
          <w:rFonts w:eastAsia="Times New Roman"/>
          <w:sz w:val="24"/>
          <w:szCs w:val="24"/>
        </w:rPr>
        <w:t xml:space="preserve"> </w:t>
      </w:r>
      <w:r w:rsidR="001715BD" w:rsidRPr="001715BD">
        <w:rPr>
          <w:rFonts w:eastAsia="Times New Roman"/>
          <w:b/>
          <w:sz w:val="24"/>
          <w:szCs w:val="24"/>
        </w:rPr>
        <w:t>Pyles-Knutzen v. Bd. of County Comm’rs</w:t>
      </w:r>
      <w:r w:rsidR="001715BD">
        <w:rPr>
          <w:rFonts w:eastAsia="Times New Roman"/>
          <w:sz w:val="24"/>
          <w:szCs w:val="24"/>
        </w:rPr>
        <w:t xml:space="preserve">, 781 P.2d 164 (Colo. App. 1989); </w:t>
      </w:r>
      <w:r w:rsidR="007C00FE" w:rsidRPr="00144917">
        <w:rPr>
          <w:rFonts w:eastAsia="Times New Roman"/>
          <w:b/>
          <w:sz w:val="24"/>
          <w:szCs w:val="24"/>
        </w:rPr>
        <w:t>Bainbrich</w:t>
      </w:r>
      <w:r w:rsidR="007C00FE" w:rsidRPr="00144917">
        <w:rPr>
          <w:rFonts w:eastAsia="Times New Roman"/>
          <w:sz w:val="24"/>
          <w:szCs w:val="24"/>
        </w:rPr>
        <w:t>, 28 Colo.</w:t>
      </w:r>
      <w:r w:rsidR="007C00FE">
        <w:rPr>
          <w:rFonts w:eastAsia="Times New Roman"/>
          <w:sz w:val="24"/>
          <w:szCs w:val="24"/>
        </w:rPr>
        <w:t xml:space="preserve"> </w:t>
      </w:r>
      <w:r w:rsidR="007C00FE" w:rsidRPr="00144917">
        <w:rPr>
          <w:rFonts w:eastAsia="Times New Roman"/>
          <w:sz w:val="24"/>
          <w:szCs w:val="24"/>
        </w:rPr>
        <w:t xml:space="preserve">App. </w:t>
      </w:r>
      <w:r w:rsidR="007C00FE">
        <w:rPr>
          <w:rFonts w:eastAsia="Times New Roman"/>
          <w:sz w:val="24"/>
          <w:szCs w:val="24"/>
        </w:rPr>
        <w:t xml:space="preserve">at </w:t>
      </w:r>
      <w:r w:rsidR="007C00FE" w:rsidRPr="00144917">
        <w:rPr>
          <w:rFonts w:eastAsia="Times New Roman"/>
          <w:sz w:val="24"/>
          <w:szCs w:val="24"/>
        </w:rPr>
        <w:t>43</w:t>
      </w:r>
      <w:r w:rsidR="007C00FE">
        <w:rPr>
          <w:rFonts w:eastAsia="Times New Roman"/>
          <w:sz w:val="24"/>
          <w:szCs w:val="24"/>
        </w:rPr>
        <w:t>4</w:t>
      </w:r>
      <w:r w:rsidR="007C00FE" w:rsidRPr="00144917">
        <w:rPr>
          <w:rFonts w:eastAsia="Times New Roman"/>
          <w:sz w:val="24"/>
          <w:szCs w:val="24"/>
        </w:rPr>
        <w:t xml:space="preserve">, 476 P.2d </w:t>
      </w:r>
      <w:r w:rsidR="007C00FE">
        <w:rPr>
          <w:rFonts w:eastAsia="Times New Roman"/>
          <w:sz w:val="24"/>
          <w:szCs w:val="24"/>
        </w:rPr>
        <w:t xml:space="preserve">at </w:t>
      </w:r>
      <w:r w:rsidR="007C00FE" w:rsidRPr="00144917">
        <w:rPr>
          <w:rFonts w:eastAsia="Times New Roman"/>
          <w:sz w:val="24"/>
          <w:szCs w:val="24"/>
        </w:rPr>
        <w:t>5</w:t>
      </w:r>
      <w:r w:rsidR="007C00FE">
        <w:rPr>
          <w:rFonts w:eastAsia="Times New Roman"/>
          <w:sz w:val="24"/>
          <w:szCs w:val="24"/>
        </w:rPr>
        <w:t xml:space="preserve">4; </w:t>
      </w:r>
      <w:r w:rsidR="001715BD" w:rsidRPr="001715BD">
        <w:rPr>
          <w:rFonts w:eastAsia="Times New Roman"/>
          <w:i/>
          <w:sz w:val="24"/>
          <w:szCs w:val="24"/>
        </w:rPr>
        <w:t>see also</w:t>
      </w:r>
      <w:r w:rsidR="001715BD">
        <w:rPr>
          <w:rFonts w:eastAsia="Times New Roman"/>
          <w:sz w:val="24"/>
          <w:szCs w:val="24"/>
        </w:rPr>
        <w:t xml:space="preserve"> </w:t>
      </w:r>
      <w:r w:rsidRPr="00144917">
        <w:rPr>
          <w:rFonts w:eastAsia="Times New Roman"/>
          <w:b/>
          <w:sz w:val="24"/>
          <w:szCs w:val="24"/>
        </w:rPr>
        <w:t>Seal v. Lemmel</w:t>
      </w:r>
      <w:r w:rsidRPr="00144917">
        <w:rPr>
          <w:rFonts w:eastAsia="Times New Roman"/>
          <w:sz w:val="24"/>
          <w:szCs w:val="24"/>
        </w:rPr>
        <w:t xml:space="preserve">, 140 Colo. 387, 344 P.2d 694 (1959); </w:t>
      </w:r>
      <w:r w:rsidRPr="00144917">
        <w:rPr>
          <w:rFonts w:eastAsia="Times New Roman"/>
          <w:b/>
          <w:sz w:val="24"/>
          <w:szCs w:val="24"/>
        </w:rPr>
        <w:t>Denver Tramway Co. v. Orbach</w:t>
      </w:r>
      <w:r w:rsidRPr="00144917">
        <w:rPr>
          <w:rFonts w:eastAsia="Times New Roman"/>
          <w:sz w:val="24"/>
          <w:szCs w:val="24"/>
        </w:rPr>
        <w:t xml:space="preserve">, 64 Colo. 511, 172 P. 1063 (1918); </w:t>
      </w:r>
      <w:r w:rsidR="007C00FE">
        <w:rPr>
          <w:rFonts w:eastAsia="Times New Roman"/>
          <w:i/>
          <w:sz w:val="24"/>
          <w:szCs w:val="24"/>
        </w:rPr>
        <w:t>c</w:t>
      </w:r>
      <w:r w:rsidRPr="00144917">
        <w:rPr>
          <w:rFonts w:eastAsia="Times New Roman"/>
          <w:i/>
          <w:sz w:val="24"/>
          <w:szCs w:val="24"/>
        </w:rPr>
        <w:t>f</w:t>
      </w:r>
      <w:r w:rsidRPr="00144917">
        <w:rPr>
          <w:rFonts w:eastAsia="Times New Roman"/>
          <w:sz w:val="24"/>
          <w:szCs w:val="24"/>
        </w:rPr>
        <w:t>. Instruction 9:24</w:t>
      </w:r>
      <w:r w:rsidR="004B1873">
        <w:rPr>
          <w:rFonts w:eastAsia="Times New Roman"/>
          <w:sz w:val="24"/>
          <w:szCs w:val="24"/>
        </w:rPr>
        <w:t xml:space="preserve"> (negligence or fault of designated nonparty)</w:t>
      </w:r>
      <w:r w:rsidRPr="00144917">
        <w:rPr>
          <w:rFonts w:eastAsia="Times New Roman"/>
          <w:sz w:val="24"/>
          <w:szCs w:val="24"/>
        </w:rPr>
        <w:t>.</w:t>
      </w:r>
    </w:p>
    <w:p w14:paraId="1E67AB71"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 xml:space="preserve">3. </w:t>
      </w:r>
      <w:r w:rsidR="00FE67EE">
        <w:rPr>
          <w:rFonts w:eastAsia="Times New Roman"/>
          <w:sz w:val="24"/>
          <w:szCs w:val="24"/>
        </w:rPr>
        <w:t>“</w:t>
      </w:r>
      <w:r w:rsidR="00FE67EE" w:rsidRPr="00FE67EE">
        <w:rPr>
          <w:rFonts w:eastAsia="Times New Roman"/>
          <w:sz w:val="24"/>
          <w:szCs w:val="24"/>
        </w:rPr>
        <w:t>Rights to control existing between a member of the joint venture and a third party are not relevant to a determination of the existence of the joint venture or as to rights of control as between participants in the joint venture</w:t>
      </w:r>
      <w:r w:rsidR="00FE67EE">
        <w:rPr>
          <w:rFonts w:eastAsia="Times New Roman"/>
          <w:sz w:val="24"/>
          <w:szCs w:val="24"/>
        </w:rPr>
        <w:t xml:space="preserve">.” </w:t>
      </w:r>
      <w:r w:rsidRPr="00144917">
        <w:rPr>
          <w:rFonts w:eastAsia="Times New Roman"/>
          <w:sz w:val="24"/>
          <w:szCs w:val="24"/>
        </w:rPr>
        <w:t xml:space="preserve"> </w:t>
      </w:r>
      <w:r w:rsidRPr="00144917">
        <w:rPr>
          <w:rFonts w:eastAsia="Times New Roman"/>
          <w:b/>
          <w:sz w:val="24"/>
          <w:szCs w:val="24"/>
        </w:rPr>
        <w:t>Bilsten v. Porter</w:t>
      </w:r>
      <w:r w:rsidRPr="00144917">
        <w:rPr>
          <w:rFonts w:eastAsia="Times New Roman"/>
          <w:sz w:val="24"/>
          <w:szCs w:val="24"/>
        </w:rPr>
        <w:t>, 33 Colo.</w:t>
      </w:r>
      <w:r w:rsidR="00117F7D">
        <w:rPr>
          <w:rFonts w:eastAsia="Times New Roman"/>
          <w:sz w:val="24"/>
          <w:szCs w:val="24"/>
        </w:rPr>
        <w:t xml:space="preserve"> </w:t>
      </w:r>
      <w:r w:rsidRPr="00144917">
        <w:rPr>
          <w:rFonts w:eastAsia="Times New Roman"/>
          <w:sz w:val="24"/>
          <w:szCs w:val="24"/>
        </w:rPr>
        <w:t xml:space="preserve">App. 208, </w:t>
      </w:r>
      <w:r w:rsidR="00FE67EE">
        <w:rPr>
          <w:rFonts w:eastAsia="Times New Roman"/>
          <w:sz w:val="24"/>
          <w:szCs w:val="24"/>
        </w:rPr>
        <w:t xml:space="preserve">211-12, </w:t>
      </w:r>
      <w:r w:rsidRPr="00144917">
        <w:rPr>
          <w:rFonts w:eastAsia="Times New Roman"/>
          <w:sz w:val="24"/>
          <w:szCs w:val="24"/>
        </w:rPr>
        <w:t>516 P.2d 656</w:t>
      </w:r>
      <w:r w:rsidR="00FE67EE">
        <w:rPr>
          <w:rFonts w:eastAsia="Times New Roman"/>
          <w:sz w:val="24"/>
          <w:szCs w:val="24"/>
        </w:rPr>
        <w:t>,</w:t>
      </w:r>
      <w:r w:rsidRPr="00144917">
        <w:rPr>
          <w:rFonts w:eastAsia="Times New Roman"/>
          <w:sz w:val="24"/>
          <w:szCs w:val="24"/>
        </w:rPr>
        <w:t xml:space="preserve"> </w:t>
      </w:r>
      <w:r w:rsidR="00FE67EE">
        <w:rPr>
          <w:rFonts w:eastAsia="Times New Roman"/>
          <w:sz w:val="24"/>
          <w:szCs w:val="24"/>
        </w:rPr>
        <w:t xml:space="preserve">658 </w:t>
      </w:r>
      <w:r w:rsidRPr="00144917">
        <w:rPr>
          <w:rFonts w:eastAsia="Times New Roman"/>
          <w:sz w:val="24"/>
          <w:szCs w:val="24"/>
        </w:rPr>
        <w:t>(1973)</w:t>
      </w:r>
      <w:r w:rsidR="00FE67EE">
        <w:rPr>
          <w:rFonts w:eastAsia="Times New Roman"/>
          <w:sz w:val="24"/>
          <w:szCs w:val="24"/>
        </w:rPr>
        <w:t xml:space="preserve"> (sufficient evidence for jury to conclude that son possessed some measure of control over the operation of a vehicle even if he drove the vehicle without his father’s permission)</w:t>
      </w:r>
      <w:r w:rsidRPr="00144917">
        <w:rPr>
          <w:rFonts w:eastAsia="Times New Roman"/>
          <w:sz w:val="24"/>
          <w:szCs w:val="24"/>
        </w:rPr>
        <w:t>.</w:t>
      </w:r>
    </w:p>
    <w:p w14:paraId="0A28C760"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 xml:space="preserve">4. As between themselves, the negligence of one joint venturer is not imputed to the other to bar or reduce the latter’s claim against the former. </w:t>
      </w:r>
      <w:r w:rsidRPr="00144917">
        <w:rPr>
          <w:rFonts w:eastAsia="Times New Roman"/>
          <w:b/>
          <w:sz w:val="24"/>
          <w:szCs w:val="24"/>
        </w:rPr>
        <w:t>Price v. Sommermeyer</w:t>
      </w:r>
      <w:r w:rsidRPr="00144917">
        <w:rPr>
          <w:rFonts w:eastAsia="Times New Roman"/>
          <w:sz w:val="24"/>
          <w:szCs w:val="24"/>
        </w:rPr>
        <w:t>, 41 Colo.</w:t>
      </w:r>
      <w:r w:rsidR="00117F7D">
        <w:rPr>
          <w:rFonts w:eastAsia="Times New Roman"/>
          <w:sz w:val="24"/>
          <w:szCs w:val="24"/>
        </w:rPr>
        <w:t xml:space="preserve"> </w:t>
      </w:r>
      <w:r w:rsidRPr="00144917">
        <w:rPr>
          <w:rFonts w:eastAsia="Times New Roman"/>
          <w:sz w:val="24"/>
          <w:szCs w:val="24"/>
        </w:rPr>
        <w:t xml:space="preserve">App. 147, 584 P.2d 1220 (1978), </w:t>
      </w:r>
      <w:r w:rsidRPr="00144917">
        <w:rPr>
          <w:rFonts w:eastAsia="Times New Roman"/>
          <w:i/>
          <w:sz w:val="24"/>
          <w:szCs w:val="24"/>
        </w:rPr>
        <w:t>aff’d</w:t>
      </w:r>
      <w:r w:rsidRPr="00144917">
        <w:rPr>
          <w:rFonts w:eastAsia="Times New Roman"/>
          <w:sz w:val="24"/>
          <w:szCs w:val="24"/>
        </w:rPr>
        <w:t>, 198 Colo. 548, 603 P.2d 135 (1979).</w:t>
      </w:r>
    </w:p>
    <w:p w14:paraId="59755FA0"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lastRenderedPageBreak/>
        <w:t xml:space="preserve">5. A driver’s negligence may be imputed to a defendant-owner-passenger on the theory of joint venture in order to hold the owner-passenger liable to a plaintiff third party. </w:t>
      </w:r>
      <w:r w:rsidRPr="00144917">
        <w:rPr>
          <w:rFonts w:eastAsia="Times New Roman"/>
          <w:i/>
          <w:sz w:val="24"/>
          <w:szCs w:val="24"/>
        </w:rPr>
        <w:t xml:space="preserve">See </w:t>
      </w:r>
      <w:r w:rsidRPr="00144917">
        <w:rPr>
          <w:rFonts w:eastAsia="Times New Roman"/>
          <w:b/>
          <w:sz w:val="24"/>
          <w:szCs w:val="24"/>
        </w:rPr>
        <w:t>AN/CF Acquisition Corp.</w:t>
      </w:r>
      <w:r w:rsidRPr="00144917">
        <w:rPr>
          <w:rFonts w:eastAsia="Times New Roman"/>
          <w:sz w:val="24"/>
          <w:szCs w:val="24"/>
        </w:rPr>
        <w:t xml:space="preserve">, 2015 COA 129, ¶ 13 (“Colorado courts have applied the joint venture doctrine to hold defendant passengers vicariously liable for drivers’ negligence in a line of cases dating back nearly a century.”). However, a driver’s negligence is not imputable to an owner-passenger in a claim brought by the owner-passenger against a defendant third party. </w:t>
      </w:r>
      <w:r w:rsidRPr="00144917">
        <w:rPr>
          <w:rFonts w:eastAsia="Times New Roman"/>
          <w:i/>
          <w:sz w:val="24"/>
          <w:szCs w:val="24"/>
        </w:rPr>
        <w:t>See</w:t>
      </w:r>
      <w:r w:rsidRPr="00144917">
        <w:rPr>
          <w:rFonts w:eastAsia="Times New Roman"/>
          <w:sz w:val="24"/>
          <w:szCs w:val="24"/>
        </w:rPr>
        <w:t xml:space="preserve"> </w:t>
      </w:r>
      <w:r w:rsidRPr="00144917">
        <w:rPr>
          <w:rFonts w:eastAsia="Times New Roman"/>
          <w:b/>
          <w:sz w:val="24"/>
          <w:szCs w:val="24"/>
        </w:rPr>
        <w:t>Watson</w:t>
      </w:r>
      <w:r w:rsidRPr="00144917">
        <w:rPr>
          <w:rFonts w:eastAsia="Times New Roman"/>
          <w:sz w:val="24"/>
          <w:szCs w:val="24"/>
        </w:rPr>
        <w:t xml:space="preserve">, 762 P.2d </w:t>
      </w:r>
      <w:r w:rsidR="002E3AB8">
        <w:rPr>
          <w:rFonts w:eastAsia="Times New Roman"/>
          <w:sz w:val="24"/>
          <w:szCs w:val="24"/>
        </w:rPr>
        <w:t>at 141</w:t>
      </w:r>
      <w:r w:rsidRPr="00144917">
        <w:rPr>
          <w:rFonts w:eastAsia="Times New Roman"/>
          <w:sz w:val="24"/>
          <w:szCs w:val="24"/>
        </w:rPr>
        <w:t xml:space="preserve"> </w:t>
      </w:r>
      <w:r w:rsidR="002E3AB8">
        <w:rPr>
          <w:rFonts w:eastAsia="Times New Roman"/>
          <w:sz w:val="24"/>
          <w:szCs w:val="24"/>
        </w:rPr>
        <w:t>(</w:t>
      </w:r>
      <w:r w:rsidRPr="00144917">
        <w:rPr>
          <w:rFonts w:eastAsia="Times New Roman"/>
          <w:sz w:val="24"/>
          <w:szCs w:val="24"/>
        </w:rPr>
        <w:t xml:space="preserve">overruling several cases </w:t>
      </w:r>
      <w:r w:rsidR="002E3AB8">
        <w:rPr>
          <w:rFonts w:eastAsia="Times New Roman"/>
          <w:sz w:val="24"/>
          <w:szCs w:val="24"/>
        </w:rPr>
        <w:t xml:space="preserve">that </w:t>
      </w:r>
      <w:r w:rsidRPr="00144917">
        <w:rPr>
          <w:rFonts w:eastAsia="Times New Roman"/>
          <w:sz w:val="24"/>
          <w:szCs w:val="24"/>
        </w:rPr>
        <w:t>applied the imputed contributory negligence rule to a plaintiff-owner-passenger</w:t>
      </w:r>
      <w:r w:rsidR="002E3AB8">
        <w:rPr>
          <w:rFonts w:eastAsia="Times New Roman"/>
          <w:sz w:val="24"/>
          <w:szCs w:val="24"/>
        </w:rPr>
        <w:t>)</w:t>
      </w:r>
      <w:r w:rsidRPr="00144917">
        <w:rPr>
          <w:rFonts w:eastAsia="Times New Roman"/>
          <w:sz w:val="24"/>
          <w:szCs w:val="24"/>
        </w:rPr>
        <w:t xml:space="preserve">. A driver-customer and passenger-dealership salesperson were engaged in a joint venture where (a) they shared a common purpose in conducting the test drive and (b) the salesperson owned the vehicle, accompanied the customer on the test drive, and selected the route. </w:t>
      </w:r>
      <w:proofErr w:type="gramStart"/>
      <w:r w:rsidRPr="00144917">
        <w:rPr>
          <w:rFonts w:eastAsia="Times New Roman"/>
          <w:b/>
          <w:sz w:val="24"/>
          <w:szCs w:val="24"/>
        </w:rPr>
        <w:t>AN/</w:t>
      </w:r>
      <w:proofErr w:type="gramEnd"/>
      <w:r w:rsidRPr="00144917">
        <w:rPr>
          <w:rFonts w:eastAsia="Times New Roman"/>
          <w:b/>
          <w:sz w:val="24"/>
          <w:szCs w:val="24"/>
        </w:rPr>
        <w:t>CF Acquisition Corp.</w:t>
      </w:r>
      <w:r w:rsidRPr="00144917">
        <w:rPr>
          <w:rFonts w:eastAsia="Times New Roman"/>
          <w:sz w:val="24"/>
          <w:szCs w:val="24"/>
        </w:rPr>
        <w:t>, ¶¶ 31-41.</w:t>
      </w:r>
    </w:p>
    <w:p w14:paraId="06E26E58" w14:textId="77777777" w:rsidR="00144917" w:rsidRDefault="00144917">
      <w:pPr>
        <w:rPr>
          <w:rFonts w:eastAsia="Times New Roman"/>
          <w:sz w:val="24"/>
          <w:szCs w:val="24"/>
        </w:rPr>
      </w:pPr>
      <w:r>
        <w:rPr>
          <w:rFonts w:eastAsia="Times New Roman"/>
          <w:sz w:val="24"/>
          <w:szCs w:val="24"/>
        </w:rPr>
        <w:br w:type="page"/>
      </w:r>
    </w:p>
    <w:p w14:paraId="37AFEB0E" w14:textId="77777777" w:rsidR="00144917" w:rsidRPr="009E3DA4" w:rsidRDefault="00144917" w:rsidP="00144917">
      <w:pPr>
        <w:spacing w:after="240"/>
        <w:ind w:left="720" w:hanging="720"/>
        <w:rPr>
          <w:rFonts w:eastAsia="Times New Roman"/>
          <w:b/>
          <w:sz w:val="24"/>
          <w:szCs w:val="24"/>
        </w:rPr>
      </w:pPr>
      <w:bookmarkStart w:id="6" w:name="a7_6"/>
      <w:bookmarkEnd w:id="6"/>
      <w:r w:rsidRPr="00144917">
        <w:rPr>
          <w:rFonts w:eastAsia="Times New Roman"/>
          <w:b/>
          <w:sz w:val="24"/>
          <w:szCs w:val="24"/>
        </w:rPr>
        <w:lastRenderedPageBreak/>
        <w:t xml:space="preserve">7:6 </w:t>
      </w:r>
      <w:r w:rsidRPr="00144917">
        <w:rPr>
          <w:rFonts w:eastAsia="Times New Roman"/>
          <w:b/>
          <w:sz w:val="24"/>
          <w:szCs w:val="24"/>
        </w:rPr>
        <w:tab/>
        <w:t>JOINT VENTURE — IMPUTING NEGLIGENCE AMONG JOINT VENTURERS</w:t>
      </w:r>
    </w:p>
    <w:p w14:paraId="72D93DB1" w14:textId="77777777" w:rsidR="00144917" w:rsidRPr="00144917" w:rsidRDefault="00144917" w:rsidP="00144917">
      <w:pPr>
        <w:spacing w:after="240"/>
        <w:ind w:firstLine="720"/>
        <w:rPr>
          <w:rFonts w:eastAsia="Times New Roman"/>
          <w:b/>
          <w:sz w:val="24"/>
          <w:szCs w:val="24"/>
        </w:rPr>
      </w:pPr>
      <w:r w:rsidRPr="00144917">
        <w:rPr>
          <w:rFonts w:eastAsia="Times New Roman"/>
          <w:b/>
          <w:sz w:val="24"/>
          <w:szCs w:val="24"/>
        </w:rPr>
        <w:t>If a joint venture is proved, and you find by a preponderance of the evidence that one joint venturer was negligent, then all joint venturers are considered to be negligent.</w:t>
      </w:r>
    </w:p>
    <w:p w14:paraId="1320A5B1" w14:textId="77777777" w:rsidR="00144917" w:rsidRDefault="00144917" w:rsidP="00144917">
      <w:pPr>
        <w:jc w:val="center"/>
        <w:rPr>
          <w:rFonts w:eastAsia="Times New Roman"/>
          <w:sz w:val="24"/>
          <w:szCs w:val="24"/>
        </w:rPr>
      </w:pPr>
    </w:p>
    <w:p w14:paraId="66812A7A" w14:textId="77777777" w:rsidR="00144917" w:rsidRPr="0054263B" w:rsidRDefault="00144917" w:rsidP="00144917">
      <w:pPr>
        <w:keepNext/>
        <w:spacing w:after="240"/>
        <w:jc w:val="center"/>
        <w:rPr>
          <w:rFonts w:eastAsia="Times New Roman"/>
          <w:b/>
          <w:sz w:val="24"/>
          <w:szCs w:val="24"/>
        </w:rPr>
      </w:pPr>
      <w:r w:rsidRPr="0054263B">
        <w:rPr>
          <w:rFonts w:eastAsia="Times New Roman"/>
          <w:b/>
          <w:sz w:val="24"/>
          <w:szCs w:val="24"/>
        </w:rPr>
        <w:t>Notes on Use</w:t>
      </w:r>
    </w:p>
    <w:p w14:paraId="0447667C"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1. This instruction applies only when a third party sues a joint venturer or a joint venturer sues a third party. It does not apply when the suit is between the joint venturers themselves.</w:t>
      </w:r>
    </w:p>
    <w:p w14:paraId="4233668F"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2. For the general definition of “joint venture,” see Instruction 7:4. For the definition of “joint venture in the operation of a vehicle or other instrumentality,” see Instruction 7:5.</w:t>
      </w:r>
    </w:p>
    <w:p w14:paraId="48F248AD"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3. The Notes on Use to Instruction 7:5 are also applicable to this instruction.</w:t>
      </w:r>
    </w:p>
    <w:p w14:paraId="11DAEEB1" w14:textId="77777777" w:rsidR="00144917" w:rsidRPr="0054263B" w:rsidRDefault="00144917" w:rsidP="00144917">
      <w:pPr>
        <w:keepNext/>
        <w:spacing w:after="240"/>
        <w:jc w:val="center"/>
        <w:rPr>
          <w:rFonts w:eastAsia="Times New Roman"/>
          <w:b/>
          <w:sz w:val="24"/>
          <w:szCs w:val="24"/>
        </w:rPr>
      </w:pPr>
      <w:r>
        <w:rPr>
          <w:rFonts w:eastAsia="Times New Roman"/>
          <w:b/>
          <w:sz w:val="24"/>
          <w:szCs w:val="24"/>
        </w:rPr>
        <w:t>Source and Authority</w:t>
      </w:r>
    </w:p>
    <w:p w14:paraId="1703A79D" w14:textId="77777777" w:rsidR="001E0F3B" w:rsidRDefault="00144917" w:rsidP="002D380B">
      <w:pPr>
        <w:spacing w:after="240"/>
        <w:ind w:firstLine="720"/>
        <w:rPr>
          <w:rFonts w:eastAsia="Times New Roman"/>
          <w:sz w:val="24"/>
          <w:szCs w:val="24"/>
        </w:rPr>
      </w:pPr>
      <w:r w:rsidRPr="00144917">
        <w:rPr>
          <w:rFonts w:eastAsia="Times New Roman"/>
          <w:sz w:val="24"/>
          <w:szCs w:val="24"/>
        </w:rPr>
        <w:t xml:space="preserve">This instruction is supported by </w:t>
      </w:r>
      <w:r w:rsidRPr="00144917">
        <w:rPr>
          <w:rFonts w:eastAsia="Times New Roman"/>
          <w:b/>
          <w:sz w:val="24"/>
          <w:szCs w:val="24"/>
        </w:rPr>
        <w:t>Bebo Constr</w:t>
      </w:r>
      <w:r w:rsidR="00C541A9">
        <w:rPr>
          <w:rFonts w:eastAsia="Times New Roman"/>
          <w:b/>
          <w:sz w:val="24"/>
          <w:szCs w:val="24"/>
        </w:rPr>
        <w:t>uction</w:t>
      </w:r>
      <w:r w:rsidRPr="00144917">
        <w:rPr>
          <w:rFonts w:eastAsia="Times New Roman"/>
          <w:b/>
          <w:sz w:val="24"/>
          <w:szCs w:val="24"/>
        </w:rPr>
        <w:t xml:space="preserve"> Co. v. Mattox &amp; O’Brien, P.C.</w:t>
      </w:r>
      <w:r w:rsidRPr="00144917">
        <w:rPr>
          <w:rFonts w:eastAsia="Times New Roman"/>
          <w:sz w:val="24"/>
          <w:szCs w:val="24"/>
        </w:rPr>
        <w:t>, 998 P.2d 475 (Colo.</w:t>
      </w:r>
      <w:r w:rsidR="00117F7D">
        <w:rPr>
          <w:rFonts w:eastAsia="Times New Roman"/>
          <w:sz w:val="24"/>
          <w:szCs w:val="24"/>
        </w:rPr>
        <w:t xml:space="preserve"> </w:t>
      </w:r>
      <w:r w:rsidRPr="00144917">
        <w:rPr>
          <w:rFonts w:eastAsia="Times New Roman"/>
          <w:sz w:val="24"/>
          <w:szCs w:val="24"/>
        </w:rPr>
        <w:t xml:space="preserve">App. 2000). </w:t>
      </w:r>
      <w:r w:rsidRPr="00144917">
        <w:rPr>
          <w:rFonts w:eastAsia="Times New Roman"/>
          <w:i/>
          <w:sz w:val="24"/>
          <w:szCs w:val="24"/>
        </w:rPr>
        <w:t>See also</w:t>
      </w:r>
      <w:r w:rsidRPr="00144917">
        <w:rPr>
          <w:rFonts w:eastAsia="Times New Roman"/>
          <w:sz w:val="24"/>
          <w:szCs w:val="24"/>
        </w:rPr>
        <w:t xml:space="preserve"> Source and Authority to Instructions 7:4 and 7:5.</w:t>
      </w:r>
    </w:p>
    <w:sectPr w:rsidR="001E0F3B" w:rsidSect="0054263B">
      <w:footerReference w:type="defaul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05CF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05CFCF" w16cid:durableId="1F72FE8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676B4" w14:textId="77777777" w:rsidR="00FC3783" w:rsidRDefault="00FC3783" w:rsidP="0054263B">
      <w:r>
        <w:separator/>
      </w:r>
    </w:p>
    <w:p w14:paraId="30E4DA71" w14:textId="77777777" w:rsidR="00FC3783" w:rsidRDefault="00FC3783"/>
  </w:endnote>
  <w:endnote w:type="continuationSeparator" w:id="0">
    <w:p w14:paraId="5D8BA2EF" w14:textId="77777777" w:rsidR="00FC3783" w:rsidRDefault="00FC3783" w:rsidP="0054263B">
      <w:r>
        <w:continuationSeparator/>
      </w:r>
    </w:p>
    <w:p w14:paraId="50F6832A" w14:textId="77777777" w:rsidR="00FC3783" w:rsidRDefault="00FC37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6E8B34B1" w14:textId="77777777" w:rsidR="001715BD" w:rsidRDefault="001715BD">
        <w:pPr>
          <w:pStyle w:val="Footer"/>
          <w:jc w:val="center"/>
        </w:pPr>
        <w:r>
          <w:fldChar w:fldCharType="begin"/>
        </w:r>
        <w:r>
          <w:instrText xml:space="preserve"> PAGE   \* MERGEFORMAT </w:instrText>
        </w:r>
        <w:r>
          <w:fldChar w:fldCharType="separate"/>
        </w:r>
        <w:r w:rsidR="00CC4332">
          <w:rPr>
            <w:noProof/>
          </w:rPr>
          <w:t>8</w:t>
        </w:r>
        <w:r>
          <w:rPr>
            <w:noProof/>
          </w:rPr>
          <w:fldChar w:fldCharType="end"/>
        </w:r>
      </w:p>
    </w:sdtContent>
  </w:sdt>
  <w:p w14:paraId="6D7165A1" w14:textId="77777777" w:rsidR="001715BD" w:rsidRDefault="001715BD">
    <w:pPr>
      <w:pStyle w:val="Footer"/>
    </w:pPr>
  </w:p>
  <w:p w14:paraId="3254D118" w14:textId="77777777" w:rsidR="001715BD" w:rsidRDefault="001715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C20BC" w14:textId="77777777" w:rsidR="00FC3783" w:rsidRDefault="00FC3783" w:rsidP="0054263B">
      <w:r>
        <w:separator/>
      </w:r>
    </w:p>
    <w:p w14:paraId="0DF0B9EC" w14:textId="77777777" w:rsidR="00FC3783" w:rsidRDefault="00FC3783"/>
  </w:footnote>
  <w:footnote w:type="continuationSeparator" w:id="0">
    <w:p w14:paraId="4E29087D" w14:textId="77777777" w:rsidR="00FC3783" w:rsidRDefault="00FC3783" w:rsidP="0054263B">
      <w:r>
        <w:continuationSeparator/>
      </w:r>
    </w:p>
    <w:p w14:paraId="173787D1" w14:textId="77777777" w:rsidR="00FC3783" w:rsidRDefault="00FC378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ck, jeremy">
    <w15:presenceInfo w15:providerId="AD" w15:userId="S-1-5-21-1614839616-668366631-2118856591-47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253F8"/>
    <w:rsid w:val="00037111"/>
    <w:rsid w:val="00052963"/>
    <w:rsid w:val="00085495"/>
    <w:rsid w:val="000921F1"/>
    <w:rsid w:val="000962C8"/>
    <w:rsid w:val="000C503A"/>
    <w:rsid w:val="000C6F97"/>
    <w:rsid w:val="00107D25"/>
    <w:rsid w:val="001117D9"/>
    <w:rsid w:val="00117F7D"/>
    <w:rsid w:val="00144917"/>
    <w:rsid w:val="001715BD"/>
    <w:rsid w:val="00172674"/>
    <w:rsid w:val="00180924"/>
    <w:rsid w:val="001903CB"/>
    <w:rsid w:val="001913B1"/>
    <w:rsid w:val="00191498"/>
    <w:rsid w:val="001A2648"/>
    <w:rsid w:val="001B485E"/>
    <w:rsid w:val="001E092B"/>
    <w:rsid w:val="001E0F3B"/>
    <w:rsid w:val="00200BA5"/>
    <w:rsid w:val="002065D8"/>
    <w:rsid w:val="0021368F"/>
    <w:rsid w:val="0022134E"/>
    <w:rsid w:val="00223286"/>
    <w:rsid w:val="002A23B0"/>
    <w:rsid w:val="002A2A74"/>
    <w:rsid w:val="002D380B"/>
    <w:rsid w:val="002E0970"/>
    <w:rsid w:val="002E3AB8"/>
    <w:rsid w:val="002F48D6"/>
    <w:rsid w:val="00320613"/>
    <w:rsid w:val="003247EA"/>
    <w:rsid w:val="00336CE4"/>
    <w:rsid w:val="00352111"/>
    <w:rsid w:val="003613FE"/>
    <w:rsid w:val="003937B8"/>
    <w:rsid w:val="003D370E"/>
    <w:rsid w:val="003E5B38"/>
    <w:rsid w:val="003F108C"/>
    <w:rsid w:val="003F6E89"/>
    <w:rsid w:val="00434371"/>
    <w:rsid w:val="004425AA"/>
    <w:rsid w:val="00456038"/>
    <w:rsid w:val="00467B80"/>
    <w:rsid w:val="00471618"/>
    <w:rsid w:val="004B1873"/>
    <w:rsid w:val="004C27E8"/>
    <w:rsid w:val="004C62F9"/>
    <w:rsid w:val="004C723A"/>
    <w:rsid w:val="004E7EF1"/>
    <w:rsid w:val="00531F87"/>
    <w:rsid w:val="0054263B"/>
    <w:rsid w:val="00557FCC"/>
    <w:rsid w:val="005B3A78"/>
    <w:rsid w:val="005D3156"/>
    <w:rsid w:val="005E712D"/>
    <w:rsid w:val="00611AC9"/>
    <w:rsid w:val="006272FE"/>
    <w:rsid w:val="00661D05"/>
    <w:rsid w:val="00675252"/>
    <w:rsid w:val="00682B93"/>
    <w:rsid w:val="0068336D"/>
    <w:rsid w:val="00683FA1"/>
    <w:rsid w:val="006A74B6"/>
    <w:rsid w:val="006E0D06"/>
    <w:rsid w:val="006E3575"/>
    <w:rsid w:val="006E62F0"/>
    <w:rsid w:val="00702B5A"/>
    <w:rsid w:val="00704DEC"/>
    <w:rsid w:val="0070752A"/>
    <w:rsid w:val="007119D8"/>
    <w:rsid w:val="007532AB"/>
    <w:rsid w:val="007722A9"/>
    <w:rsid w:val="00776151"/>
    <w:rsid w:val="00791698"/>
    <w:rsid w:val="007A3A0E"/>
    <w:rsid w:val="007A612E"/>
    <w:rsid w:val="007C00FE"/>
    <w:rsid w:val="007D2BCE"/>
    <w:rsid w:val="007E1675"/>
    <w:rsid w:val="007F7129"/>
    <w:rsid w:val="00801691"/>
    <w:rsid w:val="0082168C"/>
    <w:rsid w:val="0083264A"/>
    <w:rsid w:val="00832DB4"/>
    <w:rsid w:val="0083763B"/>
    <w:rsid w:val="00837F81"/>
    <w:rsid w:val="00845F81"/>
    <w:rsid w:val="00850A48"/>
    <w:rsid w:val="00853ECF"/>
    <w:rsid w:val="008557E1"/>
    <w:rsid w:val="00875064"/>
    <w:rsid w:val="008A6339"/>
    <w:rsid w:val="008A637B"/>
    <w:rsid w:val="008B1617"/>
    <w:rsid w:val="008E41F1"/>
    <w:rsid w:val="008F4C42"/>
    <w:rsid w:val="00902A25"/>
    <w:rsid w:val="00914128"/>
    <w:rsid w:val="00935DA8"/>
    <w:rsid w:val="0095709A"/>
    <w:rsid w:val="00973884"/>
    <w:rsid w:val="009902F2"/>
    <w:rsid w:val="00993AFC"/>
    <w:rsid w:val="009B6746"/>
    <w:rsid w:val="009C2EAC"/>
    <w:rsid w:val="009E20C7"/>
    <w:rsid w:val="009E3DA4"/>
    <w:rsid w:val="00A36457"/>
    <w:rsid w:val="00A65CC9"/>
    <w:rsid w:val="00A70CDA"/>
    <w:rsid w:val="00A73AE6"/>
    <w:rsid w:val="00A80C10"/>
    <w:rsid w:val="00A82002"/>
    <w:rsid w:val="00A85AAA"/>
    <w:rsid w:val="00A95395"/>
    <w:rsid w:val="00AA3D45"/>
    <w:rsid w:val="00AC78F7"/>
    <w:rsid w:val="00AF7D47"/>
    <w:rsid w:val="00B0264D"/>
    <w:rsid w:val="00B37722"/>
    <w:rsid w:val="00B567C1"/>
    <w:rsid w:val="00B579DF"/>
    <w:rsid w:val="00B6275E"/>
    <w:rsid w:val="00B70D68"/>
    <w:rsid w:val="00B72D6B"/>
    <w:rsid w:val="00B937E4"/>
    <w:rsid w:val="00BA510E"/>
    <w:rsid w:val="00BC49BF"/>
    <w:rsid w:val="00BE2B09"/>
    <w:rsid w:val="00BE654D"/>
    <w:rsid w:val="00C168CF"/>
    <w:rsid w:val="00C40968"/>
    <w:rsid w:val="00C473A2"/>
    <w:rsid w:val="00C541A9"/>
    <w:rsid w:val="00C60E95"/>
    <w:rsid w:val="00C84E71"/>
    <w:rsid w:val="00C8797B"/>
    <w:rsid w:val="00CA41CC"/>
    <w:rsid w:val="00CC0502"/>
    <w:rsid w:val="00CC1AC8"/>
    <w:rsid w:val="00CC4332"/>
    <w:rsid w:val="00CC6A95"/>
    <w:rsid w:val="00CC7E17"/>
    <w:rsid w:val="00CD4A7D"/>
    <w:rsid w:val="00CE593D"/>
    <w:rsid w:val="00D05926"/>
    <w:rsid w:val="00D06D8D"/>
    <w:rsid w:val="00D333AA"/>
    <w:rsid w:val="00DB2C90"/>
    <w:rsid w:val="00DC63A9"/>
    <w:rsid w:val="00DC66A6"/>
    <w:rsid w:val="00DE2930"/>
    <w:rsid w:val="00DF2CB7"/>
    <w:rsid w:val="00DF3BF1"/>
    <w:rsid w:val="00E058BA"/>
    <w:rsid w:val="00E0776A"/>
    <w:rsid w:val="00E172C8"/>
    <w:rsid w:val="00E551EB"/>
    <w:rsid w:val="00E87C31"/>
    <w:rsid w:val="00E970B9"/>
    <w:rsid w:val="00EC17E3"/>
    <w:rsid w:val="00EC3919"/>
    <w:rsid w:val="00EC7C98"/>
    <w:rsid w:val="00ED5E52"/>
    <w:rsid w:val="00ED7176"/>
    <w:rsid w:val="00EF4043"/>
    <w:rsid w:val="00F32AA4"/>
    <w:rsid w:val="00F67C60"/>
    <w:rsid w:val="00F764F4"/>
    <w:rsid w:val="00FA676A"/>
    <w:rsid w:val="00FA7B76"/>
    <w:rsid w:val="00FC2CE3"/>
    <w:rsid w:val="00FC3783"/>
    <w:rsid w:val="00FE00D7"/>
    <w:rsid w:val="00FE67EE"/>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0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2110</Words>
  <Characters>12030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3</cp:revision>
  <dcterms:created xsi:type="dcterms:W3CDTF">2018-12-15T20:13:00Z</dcterms:created>
  <dcterms:modified xsi:type="dcterms:W3CDTF">2018-12-15T20:13:00Z</dcterms:modified>
</cp:coreProperties>
</file>