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B41AE" w14:textId="77777777" w:rsidR="00CA41CC" w:rsidRPr="00914128" w:rsidRDefault="0068336D" w:rsidP="00914128">
      <w:pPr>
        <w:pStyle w:val="Heading1"/>
      </w:pPr>
      <w:bookmarkStart w:id="0" w:name="_GoBack"/>
      <w:bookmarkEnd w:id="0"/>
      <w:r>
        <w:t>CHAPTER 6</w:t>
      </w:r>
    </w:p>
    <w:p w14:paraId="30A37EAA" w14:textId="77777777" w:rsidR="00EC7C98" w:rsidRPr="00914128" w:rsidRDefault="0068336D" w:rsidP="00914128">
      <w:pPr>
        <w:pStyle w:val="Heading1"/>
      </w:pPr>
      <w:r>
        <w:t>damages for injuries to persons or property</w:t>
      </w:r>
    </w:p>
    <w:p w14:paraId="0B3EFA0E" w14:textId="77777777" w:rsidR="0068336D" w:rsidRPr="0068336D" w:rsidRDefault="007563B8" w:rsidP="0068336D">
      <w:pPr>
        <w:pStyle w:val="Heading1"/>
        <w:jc w:val="left"/>
        <w:rPr>
          <w:b w:val="0"/>
          <w:caps w:val="0"/>
        </w:rPr>
      </w:pPr>
      <w:hyperlink w:anchor="Intro" w:history="1">
        <w:r w:rsidR="0068336D" w:rsidRPr="00682B93">
          <w:rPr>
            <w:rStyle w:val="Hyperlink"/>
            <w:b w:val="0"/>
            <w:caps w:val="0"/>
          </w:rPr>
          <w:t>Introductory Note</w:t>
        </w:r>
      </w:hyperlink>
    </w:p>
    <w:p w14:paraId="0A0BAAB4" w14:textId="77777777" w:rsidR="0022134E" w:rsidRPr="009B6746" w:rsidRDefault="0022134E" w:rsidP="0022134E">
      <w:pPr>
        <w:pStyle w:val="Heading1"/>
        <w:jc w:val="left"/>
        <w:rPr>
          <w:b w:val="0"/>
        </w:rPr>
      </w:pPr>
      <w:r w:rsidRPr="009B6746">
        <w:rPr>
          <w:b w:val="0"/>
        </w:rPr>
        <w:t xml:space="preserve">A. </w:t>
      </w:r>
      <w:r w:rsidR="0083763B">
        <w:rPr>
          <w:b w:val="0"/>
        </w:rPr>
        <w:t>PERSONAL INJURIES</w:t>
      </w:r>
    </w:p>
    <w:p w14:paraId="7CA07708" w14:textId="77777777" w:rsidR="00EC7C98" w:rsidRDefault="007563B8" w:rsidP="00914128">
      <w:pPr>
        <w:pStyle w:val="ToC"/>
      </w:pPr>
      <w:hyperlink w:anchor="a6_1" w:history="1">
        <w:r w:rsidR="00320613" w:rsidRPr="0083763B">
          <w:rPr>
            <w:rStyle w:val="Hyperlink"/>
          </w:rPr>
          <w:t>6:1</w:t>
        </w:r>
      </w:hyperlink>
      <w:r w:rsidR="00320613" w:rsidRPr="0083763B">
        <w:t xml:space="preserve"> </w:t>
      </w:r>
      <w:r w:rsidR="00320613" w:rsidRPr="0083763B">
        <w:tab/>
        <w:t>Personal Injuries — Adults</w:t>
      </w:r>
    </w:p>
    <w:p w14:paraId="33035E3A" w14:textId="77777777" w:rsidR="0083763B" w:rsidRDefault="007563B8" w:rsidP="00914128">
      <w:pPr>
        <w:pStyle w:val="ToC"/>
      </w:pPr>
      <w:hyperlink w:anchor="a6_1A" w:history="1">
        <w:r w:rsidR="00320613" w:rsidRPr="0083763B">
          <w:rPr>
            <w:rStyle w:val="Hyperlink"/>
          </w:rPr>
          <w:t>6:1</w:t>
        </w:r>
        <w:r w:rsidR="00320613">
          <w:rPr>
            <w:rStyle w:val="Hyperlink"/>
            <w:caps/>
          </w:rPr>
          <w:t>A</w:t>
        </w:r>
      </w:hyperlink>
      <w:r w:rsidR="00320613" w:rsidRPr="0083763B">
        <w:t xml:space="preserve"> </w:t>
      </w:r>
      <w:r w:rsidR="00320613" w:rsidRPr="0083763B">
        <w:tab/>
        <w:t xml:space="preserve">Special Interrogatories </w:t>
      </w:r>
      <w:r w:rsidR="00320613">
        <w:t>t</w:t>
      </w:r>
      <w:r w:rsidR="00320613" w:rsidRPr="0083763B">
        <w:t xml:space="preserve">o </w:t>
      </w:r>
      <w:r w:rsidR="00320613">
        <w:t>t</w:t>
      </w:r>
      <w:r w:rsidR="00320613" w:rsidRPr="0083763B">
        <w:t xml:space="preserve">he Jury </w:t>
      </w:r>
      <w:r w:rsidR="00320613">
        <w:t>t</w:t>
      </w:r>
      <w:r w:rsidR="00320613" w:rsidRPr="0083763B">
        <w:t xml:space="preserve">o Determine </w:t>
      </w:r>
      <w:r w:rsidR="00320613">
        <w:t>t</w:t>
      </w:r>
      <w:r w:rsidR="00320613" w:rsidRPr="0083763B">
        <w:t xml:space="preserve">he Amount </w:t>
      </w:r>
      <w:r w:rsidR="00320613">
        <w:t>o</w:t>
      </w:r>
      <w:r w:rsidR="00320613" w:rsidRPr="0083763B">
        <w:t xml:space="preserve">f Damages Awarded </w:t>
      </w:r>
      <w:r w:rsidR="00320613">
        <w:t>f</w:t>
      </w:r>
      <w:r w:rsidR="00320613" w:rsidRPr="0083763B">
        <w:t xml:space="preserve">or Economic </w:t>
      </w:r>
      <w:r w:rsidR="00320613">
        <w:t>a</w:t>
      </w:r>
      <w:r w:rsidR="00320613" w:rsidRPr="0083763B">
        <w:t xml:space="preserve">nd Noneconomic Losses </w:t>
      </w:r>
      <w:r w:rsidR="00320613">
        <w:t>o</w:t>
      </w:r>
      <w:r w:rsidR="00320613" w:rsidRPr="0083763B">
        <w:t xml:space="preserve">r Injuries </w:t>
      </w:r>
      <w:r w:rsidR="00320613">
        <w:t>a</w:t>
      </w:r>
      <w:r w:rsidR="00320613" w:rsidRPr="0083763B">
        <w:t xml:space="preserve">nd </w:t>
      </w:r>
      <w:r w:rsidR="00320613">
        <w:t>f</w:t>
      </w:r>
      <w:r w:rsidR="00320613" w:rsidRPr="0083763B">
        <w:t xml:space="preserve">or Physical Impairment </w:t>
      </w:r>
      <w:r w:rsidR="00320613">
        <w:t>o</w:t>
      </w:r>
      <w:r w:rsidR="00320613" w:rsidRPr="0083763B">
        <w:t xml:space="preserve">r Disfigurement ― Mechanics </w:t>
      </w:r>
      <w:r w:rsidR="00320613">
        <w:t>f</w:t>
      </w:r>
      <w:r w:rsidR="00320613" w:rsidRPr="0083763B">
        <w:t>or Submitting</w:t>
      </w:r>
    </w:p>
    <w:p w14:paraId="23429556" w14:textId="77777777" w:rsidR="0083763B" w:rsidRDefault="007563B8" w:rsidP="00914128">
      <w:pPr>
        <w:pStyle w:val="ToC"/>
      </w:pPr>
      <w:hyperlink w:anchor="a6_1B" w:history="1">
        <w:r w:rsidR="00320613" w:rsidRPr="0083763B">
          <w:rPr>
            <w:rStyle w:val="Hyperlink"/>
          </w:rPr>
          <w:t>6:1</w:t>
        </w:r>
        <w:r w:rsidR="00320613">
          <w:rPr>
            <w:rStyle w:val="Hyperlink"/>
          </w:rPr>
          <w:t>B</w:t>
        </w:r>
      </w:hyperlink>
      <w:r w:rsidR="00320613" w:rsidRPr="0083763B">
        <w:t xml:space="preserve"> </w:t>
      </w:r>
      <w:r w:rsidR="00320613" w:rsidRPr="0083763B">
        <w:tab/>
        <w:t xml:space="preserve">Answers </w:t>
      </w:r>
      <w:r w:rsidR="000962C8">
        <w:t>t</w:t>
      </w:r>
      <w:r w:rsidR="00320613" w:rsidRPr="0083763B">
        <w:t xml:space="preserve">o Special Interrogatories </w:t>
      </w:r>
      <w:r w:rsidR="000962C8">
        <w:t>t</w:t>
      </w:r>
      <w:r w:rsidR="00320613" w:rsidRPr="0083763B">
        <w:t xml:space="preserve">o </w:t>
      </w:r>
      <w:r w:rsidR="000962C8">
        <w:t>t</w:t>
      </w:r>
      <w:r w:rsidR="00320613" w:rsidRPr="0083763B">
        <w:t xml:space="preserve">he Jury Set Forth </w:t>
      </w:r>
      <w:r w:rsidR="000962C8">
        <w:t>in Instruction 6:1A</w:t>
      </w:r>
    </w:p>
    <w:p w14:paraId="4C67DBE8" w14:textId="77777777" w:rsidR="0083763B" w:rsidRDefault="007563B8" w:rsidP="00914128">
      <w:pPr>
        <w:pStyle w:val="ToC"/>
      </w:pPr>
      <w:hyperlink w:anchor="a6_2" w:history="1">
        <w:r w:rsidR="00320613" w:rsidRPr="0083763B">
          <w:rPr>
            <w:rStyle w:val="Hyperlink"/>
          </w:rPr>
          <w:t>6:2</w:t>
        </w:r>
      </w:hyperlink>
      <w:r w:rsidR="00320613" w:rsidRPr="0083763B">
        <w:t xml:space="preserve"> </w:t>
      </w:r>
      <w:r w:rsidR="00320613" w:rsidRPr="0083763B">
        <w:tab/>
        <w:t>Personal Injuries — Minor Child</w:t>
      </w:r>
    </w:p>
    <w:p w14:paraId="476C410D" w14:textId="77777777" w:rsidR="0083763B" w:rsidRDefault="007563B8" w:rsidP="00914128">
      <w:pPr>
        <w:pStyle w:val="ToC"/>
      </w:pPr>
      <w:hyperlink w:anchor="a6_3" w:history="1">
        <w:r w:rsidR="00320613" w:rsidRPr="0083763B">
          <w:rPr>
            <w:rStyle w:val="Hyperlink"/>
          </w:rPr>
          <w:t>6:3</w:t>
        </w:r>
      </w:hyperlink>
      <w:r w:rsidR="00320613" w:rsidRPr="0083763B">
        <w:t xml:space="preserve"> </w:t>
      </w:r>
      <w:r w:rsidR="00320613" w:rsidRPr="0083763B">
        <w:tab/>
        <w:t xml:space="preserve">Personal Injuries — Minor Child — Measure </w:t>
      </w:r>
      <w:r w:rsidR="000962C8">
        <w:t>o</w:t>
      </w:r>
      <w:r w:rsidR="00320613" w:rsidRPr="0083763B">
        <w:t>f Parents’ Damages</w:t>
      </w:r>
    </w:p>
    <w:p w14:paraId="1F086D89" w14:textId="77777777" w:rsidR="0083763B" w:rsidRDefault="007563B8" w:rsidP="00914128">
      <w:pPr>
        <w:pStyle w:val="ToC"/>
      </w:pPr>
      <w:hyperlink w:anchor="a6_4" w:history="1">
        <w:r w:rsidR="00320613" w:rsidRPr="0083763B">
          <w:rPr>
            <w:rStyle w:val="Hyperlink"/>
          </w:rPr>
          <w:t>6:4</w:t>
        </w:r>
      </w:hyperlink>
      <w:r w:rsidR="00320613" w:rsidRPr="0083763B">
        <w:t xml:space="preserve"> </w:t>
      </w:r>
      <w:r w:rsidR="00320613" w:rsidRPr="0083763B">
        <w:tab/>
        <w:t xml:space="preserve">Personal Injuries — Minor Child — Loss </w:t>
      </w:r>
      <w:r w:rsidR="000962C8">
        <w:t>o</w:t>
      </w:r>
      <w:r w:rsidR="00320613" w:rsidRPr="0083763B">
        <w:t xml:space="preserve">f Earnings — Distinction Between Parents’ </w:t>
      </w:r>
      <w:r w:rsidR="000962C8">
        <w:t>a</w:t>
      </w:r>
      <w:r w:rsidR="00320613" w:rsidRPr="0083763B">
        <w:t>nd Child’s Claims</w:t>
      </w:r>
    </w:p>
    <w:p w14:paraId="215EE422" w14:textId="77777777" w:rsidR="0083763B" w:rsidRDefault="007563B8" w:rsidP="00914128">
      <w:pPr>
        <w:pStyle w:val="ToC"/>
      </w:pPr>
      <w:hyperlink w:anchor="a6_5" w:history="1">
        <w:r w:rsidR="00320613" w:rsidRPr="0083763B">
          <w:rPr>
            <w:rStyle w:val="Hyperlink"/>
          </w:rPr>
          <w:t>6:5</w:t>
        </w:r>
      </w:hyperlink>
      <w:r w:rsidR="00320613" w:rsidRPr="0083763B">
        <w:t xml:space="preserve"> </w:t>
      </w:r>
      <w:r w:rsidR="00320613" w:rsidRPr="0083763B">
        <w:tab/>
        <w:t xml:space="preserve">Loss </w:t>
      </w:r>
      <w:r w:rsidR="000962C8">
        <w:t>o</w:t>
      </w:r>
      <w:r w:rsidR="00320613" w:rsidRPr="0083763B">
        <w:t xml:space="preserve">f Consortium — Elements </w:t>
      </w:r>
      <w:r w:rsidR="000962C8">
        <w:t>o</w:t>
      </w:r>
      <w:r w:rsidR="00320613" w:rsidRPr="0083763B">
        <w:t>f Liability</w:t>
      </w:r>
    </w:p>
    <w:p w14:paraId="5062AB24" w14:textId="77777777" w:rsidR="00973884" w:rsidRDefault="007563B8" w:rsidP="00914128">
      <w:pPr>
        <w:pStyle w:val="ToC"/>
      </w:pPr>
      <w:hyperlink w:anchor="a6_6" w:history="1">
        <w:r w:rsidR="00320613" w:rsidRPr="00973884">
          <w:rPr>
            <w:rStyle w:val="Hyperlink"/>
          </w:rPr>
          <w:t>6:6</w:t>
        </w:r>
      </w:hyperlink>
      <w:r w:rsidR="00320613" w:rsidRPr="00973884">
        <w:t xml:space="preserve"> </w:t>
      </w:r>
      <w:r w:rsidR="00320613" w:rsidRPr="00973884">
        <w:tab/>
        <w:t xml:space="preserve">Loss </w:t>
      </w:r>
      <w:r w:rsidR="000962C8">
        <w:t>o</w:t>
      </w:r>
      <w:r w:rsidR="00320613" w:rsidRPr="00973884">
        <w:t>f Consortium — Defined — Damages</w:t>
      </w:r>
    </w:p>
    <w:p w14:paraId="744C6628" w14:textId="77777777" w:rsidR="00973884" w:rsidRDefault="007563B8" w:rsidP="00914128">
      <w:pPr>
        <w:pStyle w:val="ToC"/>
      </w:pPr>
      <w:hyperlink w:anchor="a6_7" w:history="1">
        <w:r w:rsidR="00320613" w:rsidRPr="00973884">
          <w:rPr>
            <w:rStyle w:val="Hyperlink"/>
          </w:rPr>
          <w:t>6:7</w:t>
        </w:r>
      </w:hyperlink>
      <w:r w:rsidR="00320613" w:rsidRPr="00973884">
        <w:t xml:space="preserve"> </w:t>
      </w:r>
      <w:r w:rsidR="00320613" w:rsidRPr="00973884">
        <w:tab/>
        <w:t xml:space="preserve">Personal Injuries — Non-Reduction </w:t>
      </w:r>
      <w:r w:rsidR="000962C8">
        <w:t>o</w:t>
      </w:r>
      <w:r w:rsidR="00320613" w:rsidRPr="00973884">
        <w:t>f Damages — “Thin Skull” Doctrine</w:t>
      </w:r>
    </w:p>
    <w:p w14:paraId="31F803D1" w14:textId="77777777" w:rsidR="00973884" w:rsidRDefault="007563B8" w:rsidP="00914128">
      <w:pPr>
        <w:pStyle w:val="ToC"/>
      </w:pPr>
      <w:hyperlink w:anchor="a6_8" w:history="1">
        <w:r w:rsidR="00320613" w:rsidRPr="00973884">
          <w:rPr>
            <w:rStyle w:val="Hyperlink"/>
          </w:rPr>
          <w:t>6:8</w:t>
        </w:r>
      </w:hyperlink>
      <w:r w:rsidR="00320613" w:rsidRPr="00973884">
        <w:t xml:space="preserve"> </w:t>
      </w:r>
      <w:r w:rsidR="00320613" w:rsidRPr="00973884">
        <w:tab/>
        <w:t xml:space="preserve">Aggravation </w:t>
      </w:r>
      <w:r w:rsidR="000962C8">
        <w:t>o</w:t>
      </w:r>
      <w:r w:rsidR="00320613" w:rsidRPr="00973884">
        <w:t>f Preexisting Condition</w:t>
      </w:r>
    </w:p>
    <w:p w14:paraId="12B7495D" w14:textId="77777777" w:rsidR="00973884" w:rsidRDefault="007563B8" w:rsidP="00914128">
      <w:pPr>
        <w:pStyle w:val="ToC"/>
      </w:pPr>
      <w:hyperlink w:anchor="a6_9" w:history="1">
        <w:r w:rsidR="00320613" w:rsidRPr="00973884">
          <w:rPr>
            <w:rStyle w:val="Hyperlink"/>
          </w:rPr>
          <w:t>6:9</w:t>
        </w:r>
      </w:hyperlink>
      <w:r w:rsidR="000962C8">
        <w:t xml:space="preserve"> </w:t>
      </w:r>
      <w:r w:rsidR="000962C8">
        <w:tab/>
        <w:t>Damages Caused b</w:t>
      </w:r>
      <w:r w:rsidR="00320613" w:rsidRPr="00973884">
        <w:t>y Unrelated Second Event</w:t>
      </w:r>
    </w:p>
    <w:p w14:paraId="1C861F7F" w14:textId="77777777" w:rsidR="00973884" w:rsidRDefault="007563B8" w:rsidP="00914128">
      <w:pPr>
        <w:pStyle w:val="ToC"/>
      </w:pPr>
      <w:hyperlink w:anchor="a6_10" w:history="1">
        <w:r w:rsidR="00320613" w:rsidRPr="00973884">
          <w:rPr>
            <w:rStyle w:val="Hyperlink"/>
          </w:rPr>
          <w:t>6:10</w:t>
        </w:r>
      </w:hyperlink>
      <w:r w:rsidR="00320613" w:rsidRPr="00973884">
        <w:t xml:space="preserve"> </w:t>
      </w:r>
      <w:r w:rsidR="00320613" w:rsidRPr="00973884">
        <w:tab/>
        <w:t xml:space="preserve">Effect Of Income Tax </w:t>
      </w:r>
      <w:r w:rsidR="000962C8">
        <w:t>a</w:t>
      </w:r>
      <w:r w:rsidR="00320613" w:rsidRPr="00973884">
        <w:t xml:space="preserve">nd Other Economic Factors </w:t>
      </w:r>
      <w:r w:rsidR="000962C8">
        <w:t>o</w:t>
      </w:r>
      <w:r w:rsidR="00320613" w:rsidRPr="00973884">
        <w:t xml:space="preserve">n Award </w:t>
      </w:r>
      <w:r w:rsidR="000962C8">
        <w:t>o</w:t>
      </w:r>
      <w:r w:rsidR="00320613" w:rsidRPr="00973884">
        <w:t>f Damages</w:t>
      </w:r>
    </w:p>
    <w:p w14:paraId="60731324" w14:textId="77777777" w:rsidR="0068336D" w:rsidRPr="00EC7C98" w:rsidRDefault="0068336D" w:rsidP="0068336D">
      <w:pPr>
        <w:pStyle w:val="ToC"/>
      </w:pPr>
    </w:p>
    <w:p w14:paraId="39B23B46" w14:textId="77777777" w:rsidR="0068336D" w:rsidRPr="009B6746" w:rsidRDefault="00973884" w:rsidP="0068336D">
      <w:pPr>
        <w:pStyle w:val="Heading1"/>
        <w:jc w:val="left"/>
        <w:rPr>
          <w:b w:val="0"/>
        </w:rPr>
      </w:pPr>
      <w:r w:rsidRPr="00973884">
        <w:rPr>
          <w:b w:val="0"/>
        </w:rPr>
        <w:t>B. DAMAGES FOR LOSS OR DESTRUCTION OF PERSONAL PROPERTY</w:t>
      </w:r>
    </w:p>
    <w:p w14:paraId="0598B530" w14:textId="77777777" w:rsidR="0068336D" w:rsidRDefault="007563B8" w:rsidP="0068336D">
      <w:pPr>
        <w:pStyle w:val="ToC"/>
      </w:pPr>
      <w:hyperlink w:anchor="a6_11" w:history="1">
        <w:r w:rsidR="00320613" w:rsidRPr="00973884">
          <w:rPr>
            <w:rStyle w:val="Hyperlink"/>
          </w:rPr>
          <w:t>6:11</w:t>
        </w:r>
      </w:hyperlink>
      <w:r w:rsidR="00320613" w:rsidRPr="00973884">
        <w:t xml:space="preserve"> </w:t>
      </w:r>
      <w:r w:rsidR="00320613" w:rsidRPr="00973884">
        <w:tab/>
        <w:t xml:space="preserve">Personal Property — Difference </w:t>
      </w:r>
      <w:r w:rsidR="000962C8">
        <w:t>i</w:t>
      </w:r>
      <w:r w:rsidR="00320613" w:rsidRPr="00973884">
        <w:t>n Market Value</w:t>
      </w:r>
    </w:p>
    <w:p w14:paraId="4E6BB439" w14:textId="77777777" w:rsidR="00973884" w:rsidRDefault="007563B8" w:rsidP="0068336D">
      <w:pPr>
        <w:pStyle w:val="ToC"/>
      </w:pPr>
      <w:hyperlink w:anchor="a6_12" w:history="1">
        <w:r w:rsidR="00320613" w:rsidRPr="00973884">
          <w:rPr>
            <w:rStyle w:val="Hyperlink"/>
          </w:rPr>
          <w:t>6:12</w:t>
        </w:r>
      </w:hyperlink>
      <w:r w:rsidR="00320613" w:rsidRPr="00973884">
        <w:t xml:space="preserve"> </w:t>
      </w:r>
      <w:r w:rsidR="00320613" w:rsidRPr="00973884">
        <w:tab/>
        <w:t xml:space="preserve">Personal Property — Cost </w:t>
      </w:r>
      <w:r w:rsidR="000962C8">
        <w:t>o</w:t>
      </w:r>
      <w:r w:rsidR="00320613" w:rsidRPr="00973884">
        <w:t>f Repairs</w:t>
      </w:r>
    </w:p>
    <w:p w14:paraId="14EDDAFB" w14:textId="77777777" w:rsidR="00973884" w:rsidRDefault="007563B8" w:rsidP="0068336D">
      <w:pPr>
        <w:pStyle w:val="ToC"/>
      </w:pPr>
      <w:hyperlink w:anchor="a6_13" w:history="1">
        <w:r w:rsidR="00320613" w:rsidRPr="00973884">
          <w:rPr>
            <w:rStyle w:val="Hyperlink"/>
          </w:rPr>
          <w:t>6:13</w:t>
        </w:r>
      </w:hyperlink>
      <w:r w:rsidR="00320613" w:rsidRPr="00973884">
        <w:t xml:space="preserve"> </w:t>
      </w:r>
      <w:r w:rsidR="00320613" w:rsidRPr="00973884">
        <w:tab/>
        <w:t xml:space="preserve">Personal Property — Loss </w:t>
      </w:r>
      <w:r w:rsidR="000962C8">
        <w:t>o</w:t>
      </w:r>
      <w:r w:rsidR="00320613" w:rsidRPr="00973884">
        <w:t>f Use</w:t>
      </w:r>
    </w:p>
    <w:p w14:paraId="03F694B9" w14:textId="77777777" w:rsidR="009B6746" w:rsidRPr="00EC7C98" w:rsidRDefault="009B6746" w:rsidP="00ED7176">
      <w:pPr>
        <w:pStyle w:val="ToC"/>
      </w:pPr>
    </w:p>
    <w:p w14:paraId="25B41FE7" w14:textId="77777777" w:rsidR="009B6746" w:rsidRPr="009B6746" w:rsidRDefault="00973884" w:rsidP="009B6746">
      <w:pPr>
        <w:pStyle w:val="Heading1"/>
        <w:jc w:val="left"/>
        <w:rPr>
          <w:b w:val="0"/>
        </w:rPr>
      </w:pPr>
      <w:r w:rsidRPr="00973884">
        <w:rPr>
          <w:b w:val="0"/>
        </w:rPr>
        <w:t>C. MULTIPLE RECOVERY</w:t>
      </w:r>
    </w:p>
    <w:p w14:paraId="0A389838" w14:textId="77777777" w:rsidR="00ED7176" w:rsidRDefault="007563B8" w:rsidP="00ED7176">
      <w:pPr>
        <w:pStyle w:val="ToC"/>
      </w:pPr>
      <w:hyperlink w:anchor="a6_14" w:history="1">
        <w:r w:rsidR="00320613" w:rsidRPr="00973884">
          <w:rPr>
            <w:rStyle w:val="Hyperlink"/>
          </w:rPr>
          <w:t>6:14</w:t>
        </w:r>
      </w:hyperlink>
      <w:r w:rsidR="00320613" w:rsidRPr="00973884">
        <w:t xml:space="preserve"> </w:t>
      </w:r>
      <w:r w:rsidR="00320613" w:rsidRPr="00973884">
        <w:tab/>
        <w:t>Multiple Recovery Pr</w:t>
      </w:r>
      <w:r w:rsidR="000962C8">
        <w:t>ohibited (When Plaintiff Suing o</w:t>
      </w:r>
      <w:r w:rsidR="00320613" w:rsidRPr="00973884">
        <w:t xml:space="preserve">n Alternative But Duplicative Claims </w:t>
      </w:r>
      <w:r w:rsidR="000962C8">
        <w:t>f</w:t>
      </w:r>
      <w:r w:rsidR="00320613" w:rsidRPr="00973884">
        <w:t>or Relief)</w:t>
      </w:r>
    </w:p>
    <w:p w14:paraId="383451C5" w14:textId="77777777" w:rsidR="00352111" w:rsidRPr="00352111" w:rsidRDefault="00352111">
      <w:pPr>
        <w:rPr>
          <w:rFonts w:eastAsia="Times New Roman"/>
          <w:sz w:val="24"/>
          <w:szCs w:val="24"/>
        </w:rPr>
      </w:pPr>
      <w:r w:rsidRPr="00352111">
        <w:rPr>
          <w:rFonts w:eastAsia="Times New Roman"/>
          <w:sz w:val="24"/>
          <w:szCs w:val="24"/>
        </w:rPr>
        <w:br w:type="page"/>
      </w:r>
    </w:p>
    <w:p w14:paraId="4A31B999" w14:textId="77777777" w:rsidR="0068336D" w:rsidRDefault="0068336D" w:rsidP="0068336D">
      <w:pPr>
        <w:spacing w:after="240"/>
        <w:jc w:val="center"/>
        <w:rPr>
          <w:rFonts w:eastAsia="Times New Roman"/>
          <w:b/>
          <w:sz w:val="24"/>
          <w:szCs w:val="24"/>
        </w:rPr>
      </w:pPr>
      <w:bookmarkStart w:id="1" w:name="Intro"/>
      <w:bookmarkEnd w:id="1"/>
      <w:r w:rsidRPr="0068336D">
        <w:rPr>
          <w:rFonts w:eastAsia="Times New Roman"/>
          <w:b/>
          <w:sz w:val="24"/>
          <w:szCs w:val="24"/>
        </w:rPr>
        <w:lastRenderedPageBreak/>
        <w:t>Introductory Note</w:t>
      </w:r>
    </w:p>
    <w:p w14:paraId="70AA03E9"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Measure of Damages</w:t>
      </w:r>
    </w:p>
    <w:p w14:paraId="4564FFF9"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 The instructions in Part A of this chapter are intended for use primarily in negligence cases in which the limitations on damages for “noneconomic loss or injury” set forth in section 13-21-102.5, C.R.S., apply. For other tort claims, special damage instructions have been prepared that also apply to cases where the statutory limitations on noneconomic losses or injuries apply. For these other damage instructions, see the Detailed Table of Contents to this publication.</w:t>
      </w:r>
    </w:p>
    <w:p w14:paraId="4EBCD6E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2. Part B of this chapter contains instructions on the proper measure of damages for the loss or destruction of personal property. For the proper measure of damages in cases involving physical damage to real property, see Instruction 18:4. See also the Source and Authority to Instruction 18:4 for the proper measure of damages for (1) the destruction of improvements to real property, (2) damages to crops, (3) damages to trees and timber, and (4) the appropriation of gravel, ore, coal, oil, or other minerals. </w:t>
      </w:r>
    </w:p>
    <w:p w14:paraId="3D8C9DB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3. Instructions on the proper measure of damages in actions for breach of contract are set forth in Part E of Chapter 30. Also, for damages for wrongful discharge from employment, see Instructions 31:7 (breach of contract) and 31:15 (tort).</w:t>
      </w:r>
    </w:p>
    <w:p w14:paraId="568BCB8D"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Negligence and Pro Rata Liability</w:t>
      </w:r>
    </w:p>
    <w:p w14:paraId="4C0CB80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4. In negligence cases in which either the comparative negligence statute, § 13-21-111, C.R.S., or the pro rata liability statute, § 13-21-111.5, C.R.S., or both, apply, the Instructions and special verdict forms in Part C of Chapter 9 should be used in conjunction with Instruction 6:1, but not with the special verdict forms in Instructions 6:1A and 6:1B in Part A of this Chapter. In negligence cases in which neither the comparative negligence statute, § 13-21-111, nor the pro rata liability statute, § 13-21-111.5, applies, the Instructions in Chapter 9 should be used in conjunction with Instructions 6:1, 6:1A, and 6:1B.</w:t>
      </w:r>
    </w:p>
    <w:p w14:paraId="1EFD2CF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5. As an alternative in such cases, Instruction 4:20, the model unified verdict form, may be used in conjunction with Instruction 6:1, 6:1A, and 6:1B instead of the special verdict forms in Part C of Chapter 9. Instructions 6:1, 6:1A, and 6:1B should also be used in conjunction with product liability claims in which neither the comparative negligence statute, § 13-21-111, C.R.S., nor the pro rata liability statute, § 13-21-111.5, C.R.S., applies.</w:t>
      </w:r>
    </w:p>
    <w:p w14:paraId="71B34863"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Fault and Pro Rata Liability</w:t>
      </w:r>
    </w:p>
    <w:p w14:paraId="05ECE871"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6. In product liability cases in which either the comparative fault statute, § 13-21-406, C.R.S., or the pro rata liability statute, § 13-21-111.5, C.R.S., or both, apply, the instructions and special verdict forms in Part E of Chapter 14 should be used in conjunction with Instructions 6:1, 6:1A, and 6:1B in Part A of this chapter. </w:t>
      </w:r>
    </w:p>
    <w:p w14:paraId="6C9DEEDF"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7. Again, as an alternative, Instruction 4:20, the model unified verdict form, may be used instead of the special verdict forms in Part E of Chapter 14. </w:t>
      </w:r>
    </w:p>
    <w:p w14:paraId="01E1C738"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lastRenderedPageBreak/>
        <w:t>Pro Rata Liability in Other Tort Actions</w:t>
      </w:r>
    </w:p>
    <w:p w14:paraId="4DA45987"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8. In other tort actions resulting in death or injury to persons or property in which the pro rata liability statute applies, Instruction 4:20, the model unified verdict form, should be used in conjunction with the applicable special damage instruction for the specific kind of tortious conduct on which the claim is based rather than Instructions 6:1, 6:1A, and 6:1B.</w:t>
      </w:r>
    </w:p>
    <w:p w14:paraId="350B7400"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Tort Actions Against Health Professionals</w:t>
      </w:r>
    </w:p>
    <w:p w14:paraId="136DFA52"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9. In tort actions against health care professionals or institutions subject to the limitations on damages provided by sections 13-21-102.5, 13-64-203 to -205, and 13-64-302, C.R.S., the instructions in subpart D of Part I of Chapter 15 should be used rather than Instructions 6:1, 6:1A, and 6:1B.</w:t>
      </w:r>
    </w:p>
    <w:p w14:paraId="7D28D8DA"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Wrongful Death</w:t>
      </w:r>
    </w:p>
    <w:p w14:paraId="231424D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10. In actions for wrongful death, Instructions 10:3 and 10:4 should be used rather than Instructions 6:1, 6:1A, and 6:1 B.</w:t>
      </w:r>
    </w:p>
    <w:p w14:paraId="56D56F6B"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Economic Loss Rule</w:t>
      </w:r>
    </w:p>
    <w:p w14:paraId="5520419F" w14:textId="77777777" w:rsidR="0068336D" w:rsidRDefault="0068336D" w:rsidP="0068336D">
      <w:pPr>
        <w:spacing w:after="240"/>
        <w:ind w:firstLine="720"/>
        <w:rPr>
          <w:rFonts w:eastAsia="Times New Roman"/>
          <w:sz w:val="24"/>
          <w:szCs w:val="24"/>
        </w:rPr>
      </w:pPr>
      <w:r w:rsidRPr="0068336D">
        <w:rPr>
          <w:rFonts w:eastAsia="Times New Roman"/>
          <w:sz w:val="24"/>
          <w:szCs w:val="24"/>
        </w:rPr>
        <w:t>11. For a discussion of the economic loss rule, see the Introductory Note to Chapter 9.</w:t>
      </w:r>
    </w:p>
    <w:p w14:paraId="5182643A" w14:textId="77777777" w:rsidR="0068336D" w:rsidRDefault="0068336D" w:rsidP="0068336D">
      <w:pPr>
        <w:rPr>
          <w:rFonts w:eastAsia="Times New Roman"/>
          <w:sz w:val="24"/>
          <w:szCs w:val="24"/>
        </w:rPr>
      </w:pPr>
      <w:r>
        <w:rPr>
          <w:rFonts w:eastAsia="Times New Roman"/>
          <w:sz w:val="24"/>
          <w:szCs w:val="24"/>
        </w:rPr>
        <w:br w:type="page"/>
      </w:r>
    </w:p>
    <w:p w14:paraId="124BDB64"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5E712D">
        <w:rPr>
          <w:rFonts w:eastAsia="Times New Roman"/>
          <w:b/>
          <w:sz w:val="24"/>
          <w:szCs w:val="24"/>
        </w:rPr>
        <w:t>PERSONAL INJURIES</w:t>
      </w:r>
    </w:p>
    <w:p w14:paraId="032C4866" w14:textId="77777777" w:rsidR="009E3DA4" w:rsidRPr="009E3DA4" w:rsidRDefault="005E712D" w:rsidP="00CC0502">
      <w:pPr>
        <w:spacing w:after="240"/>
        <w:ind w:left="720" w:hanging="720"/>
        <w:rPr>
          <w:rFonts w:eastAsia="Times New Roman"/>
          <w:b/>
          <w:sz w:val="24"/>
          <w:szCs w:val="24"/>
        </w:rPr>
      </w:pPr>
      <w:bookmarkStart w:id="2" w:name="a6_1"/>
      <w:bookmarkEnd w:id="2"/>
      <w:r w:rsidRPr="005E712D">
        <w:rPr>
          <w:rFonts w:eastAsia="Times New Roman"/>
          <w:b/>
          <w:sz w:val="24"/>
          <w:szCs w:val="24"/>
        </w:rPr>
        <w:t xml:space="preserve">6:1 </w:t>
      </w:r>
      <w:r w:rsidRPr="005E712D">
        <w:rPr>
          <w:rFonts w:eastAsia="Times New Roman"/>
          <w:b/>
          <w:sz w:val="24"/>
          <w:szCs w:val="24"/>
        </w:rPr>
        <w:tab/>
        <w:t>PERSONAL INJURIES — ADULTS</w:t>
      </w:r>
    </w:p>
    <w:p w14:paraId="54E225F4"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Plaintiff, </w:t>
      </w:r>
      <w:r w:rsidRPr="005E712D">
        <w:rPr>
          <w:rFonts w:eastAsia="Times New Roman"/>
          <w:i/>
          <w:sz w:val="24"/>
          <w:szCs w:val="24"/>
        </w:rPr>
        <w:t>(name)</w:t>
      </w:r>
      <w:r w:rsidRPr="005E712D">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w:t>
      </w:r>
      <w:r w:rsidRPr="005E712D">
        <w:rPr>
          <w:rFonts w:eastAsia="Times New Roman"/>
          <w:i/>
          <w:sz w:val="24"/>
          <w:szCs w:val="24"/>
        </w:rPr>
        <w:t>(insert appropriate description, e.g., “negligence”)</w:t>
      </w:r>
      <w:r w:rsidRPr="005E712D">
        <w:rPr>
          <w:rFonts w:eastAsia="Times New Roman"/>
          <w:b/>
          <w:sz w:val="24"/>
          <w:szCs w:val="24"/>
        </w:rPr>
        <w:t xml:space="preserve"> of the defendant(s), </w:t>
      </w:r>
      <w:r w:rsidRPr="005E712D">
        <w:rPr>
          <w:rFonts w:eastAsia="Times New Roman"/>
          <w:i/>
          <w:sz w:val="24"/>
          <w:szCs w:val="24"/>
        </w:rPr>
        <w:t>(name[s])</w:t>
      </w:r>
      <w:r w:rsidRPr="005E712D">
        <w:rPr>
          <w:rFonts w:eastAsia="Times New Roman"/>
          <w:b/>
          <w:sz w:val="24"/>
          <w:szCs w:val="24"/>
        </w:rPr>
        <w:t xml:space="preserve">, (and) (,) (the </w:t>
      </w:r>
      <w:r w:rsidRPr="005E712D">
        <w:rPr>
          <w:rFonts w:eastAsia="Times New Roman"/>
          <w:i/>
          <w:sz w:val="24"/>
          <w:szCs w:val="24"/>
        </w:rPr>
        <w:t>[insert appropriate description, e.g., “negligence”]</w:t>
      </w:r>
      <w:r w:rsidRPr="005E712D">
        <w:rPr>
          <w:rFonts w:eastAsia="Times New Roman"/>
          <w:b/>
          <w:sz w:val="24"/>
          <w:szCs w:val="24"/>
        </w:rPr>
        <w:t xml:space="preserve">, if any, of the plaintiff[s], </w:t>
      </w:r>
      <w:r w:rsidRPr="005E712D">
        <w:rPr>
          <w:rFonts w:eastAsia="Times New Roman"/>
          <w:i/>
          <w:sz w:val="24"/>
          <w:szCs w:val="24"/>
        </w:rPr>
        <w:t>[name(s)]</w:t>
      </w:r>
      <w:r w:rsidRPr="005E712D">
        <w:rPr>
          <w:rFonts w:eastAsia="Times New Roman"/>
          <w:b/>
          <w:i/>
          <w:sz w:val="24"/>
          <w:szCs w:val="24"/>
        </w:rPr>
        <w:t>)</w:t>
      </w:r>
      <w:r w:rsidRPr="005E712D">
        <w:rPr>
          <w:rFonts w:eastAsia="Times New Roman"/>
          <w:b/>
          <w:sz w:val="24"/>
          <w:szCs w:val="24"/>
        </w:rPr>
        <w:t xml:space="preserve">, (and) (the </w:t>
      </w:r>
      <w:r w:rsidRPr="005E712D">
        <w:rPr>
          <w:rFonts w:eastAsia="Times New Roman"/>
          <w:i/>
          <w:sz w:val="24"/>
          <w:szCs w:val="24"/>
        </w:rPr>
        <w:t>[insert appropriate description, e.g., “negligence”]</w:t>
      </w:r>
      <w:r w:rsidRPr="005E712D">
        <w:rPr>
          <w:rFonts w:eastAsia="Times New Roman"/>
          <w:b/>
          <w:sz w:val="24"/>
          <w:szCs w:val="24"/>
        </w:rPr>
        <w:t>, if any, of any designated nonparties).</w:t>
      </w:r>
    </w:p>
    <w:p w14:paraId="02D6E4A1"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In determining such damages, you shall consider the following:</w:t>
      </w:r>
    </w:p>
    <w:p w14:paraId="090D9696"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1. Any noneconomic losses or injuries which plaintiff has had to the present time or which plaintiff will probably have in the future, including: physical and mental pain and suffering, inconvenience, emotional stress, impairment of the quality of life, and </w:t>
      </w:r>
      <w:r w:rsidRPr="005E712D">
        <w:rPr>
          <w:rFonts w:eastAsia="Times New Roman"/>
          <w:i/>
          <w:sz w:val="24"/>
          <w:szCs w:val="24"/>
        </w:rPr>
        <w:t>(insert any other recoverable nonecomonic losses for which there is sufficient evidence)</w:t>
      </w:r>
      <w:r w:rsidRPr="005E712D">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69569E68"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2. Any economic losses or injuries which plaintiff has had to the present time or which plaintiff will probably have in the future, including: loss of earnings or damage to (his) (her) ability to earn money in the future, (reasonable and necessary) medical, hospital, and other expenses, and </w:t>
      </w:r>
      <w:r w:rsidRPr="005E712D">
        <w:rPr>
          <w:rFonts w:eastAsia="Times New Roman"/>
          <w:i/>
          <w:sz w:val="24"/>
          <w:szCs w:val="24"/>
        </w:rPr>
        <w:t>(insert any other recoverable economic losses of which there is sufficient evidence).</w:t>
      </w:r>
      <w:r w:rsidRPr="005E712D">
        <w:rPr>
          <w:rFonts w:eastAsia="Times New Roman"/>
          <w:b/>
          <w:sz w:val="24"/>
          <w:szCs w:val="24"/>
        </w:rPr>
        <w:t xml:space="preserve"> (In considering damages in this category, you shall not include actual damages for [physical impairment] [or] [disfigurement], since these damages, if any, are to be included in a separate category.)</w:t>
      </w:r>
    </w:p>
    <w:p w14:paraId="3B07E92B"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(3. Any [physical impairment] [or] [disfigurement]. In considering damages in this category, you shall not include damages again for losses or injuries already determined under either numbered paragraph 1 or 2 above.)</w:t>
      </w:r>
    </w:p>
    <w:p w14:paraId="3988E8AB" w14:textId="77777777" w:rsidR="00832DB4" w:rsidRDefault="00832DB4" w:rsidP="0054263B">
      <w:pPr>
        <w:jc w:val="center"/>
        <w:rPr>
          <w:rFonts w:eastAsia="Times New Roman"/>
          <w:sz w:val="24"/>
          <w:szCs w:val="24"/>
        </w:rPr>
      </w:pPr>
    </w:p>
    <w:p w14:paraId="5452BDF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54F72E6"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1. See Introductory Note to this Chapter.</w:t>
      </w:r>
    </w:p>
    <w:p w14:paraId="53F788D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2. Use only those numbered paragraphs or parenthesized portions of the instruction that apply to the evidence in the case.</w:t>
      </w:r>
    </w:p>
    <w:p w14:paraId="5A489AA8"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This instruction, together with Instructions 6:1A and 6:1B, where applicable, can also be used in lieu of other, more specific, instructions on damages by deleting or adding such elements of damage as are appropriate in light of the evidence in the case.</w:t>
      </w:r>
    </w:p>
    <w:p w14:paraId="2E620BF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The amount of damages prayed for should not be stated in this instruction or in the statement of the case. </w:t>
      </w:r>
      <w:r w:rsidRPr="005E712D">
        <w:rPr>
          <w:rFonts w:eastAsia="Times New Roman"/>
          <w:b/>
          <w:sz w:val="24"/>
          <w:szCs w:val="24"/>
        </w:rPr>
        <w:t>Rodrigue v. Hausman</w:t>
      </w:r>
      <w:r w:rsidRPr="005E712D">
        <w:rPr>
          <w:rFonts w:eastAsia="Times New Roman"/>
          <w:sz w:val="24"/>
          <w:szCs w:val="24"/>
        </w:rPr>
        <w:t xml:space="preserve">, 33 Colo. App. 305, 519 P.2d 1216 (1974); </w:t>
      </w:r>
      <w:r w:rsidRPr="005E712D">
        <w:rPr>
          <w:rFonts w:eastAsia="Times New Roman"/>
          <w:i/>
          <w:sz w:val="24"/>
          <w:szCs w:val="24"/>
        </w:rPr>
        <w:t>see</w:t>
      </w:r>
      <w:r w:rsidRPr="005E712D">
        <w:rPr>
          <w:rFonts w:eastAsia="Times New Roman"/>
          <w:sz w:val="24"/>
          <w:szCs w:val="24"/>
        </w:rPr>
        <w:t xml:space="preserve"> </w:t>
      </w:r>
      <w:r w:rsidRPr="005E712D">
        <w:rPr>
          <w:rFonts w:eastAsia="Times New Roman"/>
          <w:sz w:val="24"/>
          <w:szCs w:val="24"/>
        </w:rPr>
        <w:lastRenderedPageBreak/>
        <w:t>Note 2 of Notes on Use to Instruction 2:1;</w:t>
      </w:r>
      <w:r w:rsidRPr="005E712D">
        <w:rPr>
          <w:rFonts w:eastAsia="Times New Roman"/>
          <w:i/>
          <w:sz w:val="24"/>
          <w:szCs w:val="24"/>
        </w:rPr>
        <w:t xml:space="preserve"> see also</w:t>
      </w:r>
      <w:r w:rsidRPr="005E712D">
        <w:rPr>
          <w:rFonts w:eastAsia="Times New Roman"/>
          <w:sz w:val="24"/>
          <w:szCs w:val="24"/>
        </w:rPr>
        <w:t xml:space="preserve"> C.R.C.P. 8(a) (no dollar amount shall be stated in the demand or prayer for relief).</w:t>
      </w:r>
    </w:p>
    <w:p w14:paraId="027253B6"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5. If the jury has found in favor of the plaintiff, then they have found that the defendant was negligent. Therefore, the phrase “if any” in the first paragraph is not necessary after “the negligence of the defendant(s)” but is necessary after the reference to the possible negligence of plaintiff and any nonparty.</w:t>
      </w:r>
    </w:p>
    <w:p w14:paraId="77021114"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Because the nature of the tortious conduct of the parties or designated nonparties need not be the same, the final clause of the first paragraph of this instruction must be tailored by including a description of the culpable conduct alleged against each party and designated nonparty.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Moody v. A.G. Edwards &amp; Sons, Inc.</w:t>
      </w:r>
      <w:r w:rsidRPr="005E712D">
        <w:rPr>
          <w:rFonts w:eastAsia="Times New Roman"/>
          <w:sz w:val="24"/>
          <w:szCs w:val="24"/>
        </w:rPr>
        <w:t>, 847 P.2d 215 (Colo. App. 1992). Additionally, where there are multiple defendants, and different types of tortious conduct have been alleged against different defendants (for example, negligence as against Defendant A and strict liability or “fault” as against Defendant B), the final clause of the first paragraph of this instruction must be altered to describe separately the nature of the tortious conduct alleged as to each defendant.</w:t>
      </w:r>
    </w:p>
    <w:p w14:paraId="255633A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7. For civil actions other than medical malpractice actions, the maximum amount of noneconomic and derivative noneconomic damages that may be awarded is set by section 13-21-102.5(3)(a) and (b), C.R.S., as adjusted periodically for inflation by the Colorado secretary of state. § 13-21-102.5(3)(c). As of the most recent certification of January 13, 2015, the secretary of state has certified the following adjusted limitations for these damages:</w:t>
      </w:r>
    </w:p>
    <w:p w14:paraId="7708D3DA" w14:textId="77777777" w:rsidR="005E712D" w:rsidRPr="005E712D" w:rsidRDefault="005E712D" w:rsidP="005E712D">
      <w:pPr>
        <w:spacing w:after="240"/>
        <w:ind w:left="720"/>
        <w:rPr>
          <w:rFonts w:eastAsia="Times New Roman"/>
          <w:sz w:val="24"/>
          <w:szCs w:val="24"/>
        </w:rPr>
      </w:pPr>
      <w:r w:rsidRPr="005E712D">
        <w:rPr>
          <w:rFonts w:eastAsia="Times New Roman"/>
          <w:sz w:val="24"/>
          <w:szCs w:val="24"/>
        </w:rPr>
        <w:t>For claims that accrue on or after January 1, 1998, and before January 1, 2008, $366,250, which may be increased by the court upon clear and convincing evidence of justification to a maximum of $732,500.</w:t>
      </w:r>
    </w:p>
    <w:p w14:paraId="28B43CE5" w14:textId="77777777" w:rsidR="005E712D" w:rsidRPr="005E712D" w:rsidRDefault="005E712D" w:rsidP="005E712D">
      <w:pPr>
        <w:spacing w:after="240"/>
        <w:ind w:left="720"/>
        <w:rPr>
          <w:rFonts w:eastAsia="Times New Roman"/>
          <w:sz w:val="24"/>
          <w:szCs w:val="24"/>
        </w:rPr>
      </w:pPr>
      <w:r w:rsidRPr="005E712D">
        <w:rPr>
          <w:rFonts w:eastAsia="Times New Roman"/>
          <w:sz w:val="24"/>
          <w:szCs w:val="24"/>
        </w:rPr>
        <w:t>For claims that accrue on and after January 1, 2008, $468,010, which may be increased by the court upon clear and convincing evidence of justification to a maximum of $936,030.</w:t>
      </w:r>
    </w:p>
    <w:p w14:paraId="2590E9D8" w14:textId="77777777" w:rsidR="005E712D" w:rsidRPr="005E712D" w:rsidRDefault="005E712D" w:rsidP="005E712D">
      <w:pPr>
        <w:spacing w:after="240"/>
        <w:rPr>
          <w:rFonts w:eastAsia="Times New Roman"/>
          <w:b/>
          <w:sz w:val="24"/>
          <w:szCs w:val="24"/>
          <w:u w:val="single"/>
        </w:rPr>
      </w:pPr>
      <w:r w:rsidRPr="005E712D">
        <w:rPr>
          <w:rFonts w:eastAsia="Times New Roman"/>
          <w:sz w:val="24"/>
          <w:szCs w:val="24"/>
        </w:rPr>
        <w:t>For the most current information on these caps, see the secretary of state’s website, www.sos.state.co.us.</w:t>
      </w:r>
    </w:p>
    <w:p w14:paraId="4367D65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8. “Noneconomic loss or injury” is defined as nonpecuniary harm including pain and suffering, inconvenience, emotional stress, and impairment of the quality of life. § 13-21-102.5(2)(b). “Derivative noneconomic loss or injury” is defined as “harm or emotional stress to persons other than the person suffering the direct or primary loss or injury.” § 13-21-102.5(2)(a). However, nothing in section 13-21-102.5 is to be construed “to limit the recovery of compensatory damages for physical impairment or disfigurement. . . .” § 13-21-102.5(5).</w:t>
      </w:r>
    </w:p>
    <w:p w14:paraId="01969D6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9. The terms “physical impairment” and “disfigurement” are not expressly defined in section 13-21-102.5 or in any appellate decision. </w:t>
      </w:r>
      <w:r w:rsidRPr="005E712D">
        <w:rPr>
          <w:rFonts w:eastAsia="Times New Roman"/>
          <w:i/>
          <w:sz w:val="24"/>
          <w:szCs w:val="24"/>
        </w:rPr>
        <w:t>But see</w:t>
      </w:r>
      <w:r w:rsidRPr="005E712D">
        <w:rPr>
          <w:rFonts w:eastAsia="Times New Roman"/>
          <w:b/>
          <w:sz w:val="24"/>
          <w:szCs w:val="24"/>
        </w:rPr>
        <w:t xml:space="preserve"> Pringle v. Valdez</w:t>
      </w:r>
      <w:r w:rsidRPr="005E712D">
        <w:rPr>
          <w:rFonts w:eastAsia="Times New Roman"/>
          <w:sz w:val="24"/>
          <w:szCs w:val="24"/>
        </w:rPr>
        <w:t xml:space="preserve">, 171 P.3d 624, 631 (Colo. 2007) (“‘If someone tortiously inflicts a permanent injury on another he or she has taken away something valuable which is independent and different from other recognized elements of damages such as pain and suffering and loss of earning capacity.’” (quoting 2 Marilyn Minzer et </w:t>
      </w:r>
      <w:r w:rsidRPr="005E712D">
        <w:rPr>
          <w:rFonts w:eastAsia="Times New Roman"/>
          <w:sz w:val="24"/>
          <w:szCs w:val="24"/>
        </w:rPr>
        <w:lastRenderedPageBreak/>
        <w:t xml:space="preserve">al., </w:t>
      </w:r>
      <w:r w:rsidRPr="005E712D">
        <w:rPr>
          <w:rFonts w:eastAsia="Times New Roman"/>
          <w:i/>
          <w:sz w:val="24"/>
          <w:szCs w:val="24"/>
        </w:rPr>
        <w:t>Damages in Tort Actions</w:t>
      </w:r>
      <w:r w:rsidRPr="005E712D">
        <w:rPr>
          <w:rFonts w:eastAsia="Times New Roman"/>
          <w:sz w:val="24"/>
          <w:szCs w:val="24"/>
        </w:rPr>
        <w:t xml:space="preserve"> § 12.02 (1992))); </w:t>
      </w:r>
      <w:r w:rsidRPr="005E712D">
        <w:rPr>
          <w:rFonts w:eastAsia="Times New Roman"/>
          <w:b/>
          <w:sz w:val="24"/>
          <w:szCs w:val="24"/>
        </w:rPr>
        <w:t>Preston v. Dupont</w:t>
      </w:r>
      <w:r w:rsidRPr="005E712D">
        <w:rPr>
          <w:rFonts w:eastAsia="Times New Roman"/>
          <w:sz w:val="24"/>
          <w:szCs w:val="24"/>
        </w:rPr>
        <w:t>, 35 P.3d 433, 441 (Colo. 2001) (“Recovery for [physical impairment] at common law thus flowed from the general principle that whoever unlawfully injures another shall make her whole.”).</w:t>
      </w:r>
    </w:p>
    <w:p w14:paraId="0A212B13"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The limitations of section 13-21-102.5 are not to be disclosed to the jury, but are to be imposed by the court before judgment. § 13-21-102.5(4). To enable the court to do so, however, requires that the jury be instructed separately as to “economic” and “noneconomic” loss or injury as well as “physical impairment” or “disfigurement.”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Cooley v. Paraho Dev. Corp.</w:t>
      </w:r>
      <w:r w:rsidRPr="005E712D">
        <w:rPr>
          <w:rFonts w:eastAsia="Times New Roman"/>
          <w:sz w:val="24"/>
          <w:szCs w:val="24"/>
        </w:rPr>
        <w:t xml:space="preserve">, 851 P.2d 207 (Colo. App. 1992), </w:t>
      </w:r>
      <w:r w:rsidRPr="005E712D">
        <w:rPr>
          <w:rFonts w:eastAsia="Times New Roman"/>
          <w:i/>
          <w:sz w:val="24"/>
          <w:szCs w:val="24"/>
        </w:rPr>
        <w:t>aff’d on other grounds sub nom.</w:t>
      </w:r>
      <w:r w:rsidRPr="005E712D">
        <w:rPr>
          <w:rFonts w:eastAsia="Times New Roman"/>
          <w:b/>
          <w:sz w:val="24"/>
          <w:szCs w:val="24"/>
        </w:rPr>
        <w:t xml:space="preserve"> Gen. Elec. Co. v. Niemet</w:t>
      </w:r>
      <w:r w:rsidRPr="005E712D">
        <w:rPr>
          <w:rFonts w:eastAsia="Times New Roman"/>
          <w:sz w:val="24"/>
          <w:szCs w:val="24"/>
        </w:rPr>
        <w:t xml:space="preserve">, 866 P.2d 1361 (Colo. 1994); </w:t>
      </w:r>
      <w:r w:rsidRPr="005E712D">
        <w:rPr>
          <w:rFonts w:eastAsia="Times New Roman"/>
          <w:b/>
          <w:sz w:val="24"/>
          <w:szCs w:val="24"/>
        </w:rPr>
        <w:t>Herrera v. Gene’s Towing</w:t>
      </w:r>
      <w:r w:rsidRPr="005E712D">
        <w:rPr>
          <w:rFonts w:eastAsia="Times New Roman"/>
          <w:sz w:val="24"/>
          <w:szCs w:val="24"/>
        </w:rPr>
        <w:t xml:space="preserve">, 827 P.2d 619 (Colo. App. 1992); </w:t>
      </w:r>
      <w:r w:rsidRPr="005E712D">
        <w:rPr>
          <w:rFonts w:eastAsia="Times New Roman"/>
          <w:b/>
          <w:sz w:val="24"/>
          <w:szCs w:val="24"/>
        </w:rPr>
        <w:t>Hoffman v. Schafer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815 P.2d 971 (Colo. App. 1991), </w:t>
      </w:r>
      <w:r w:rsidRPr="005E712D">
        <w:rPr>
          <w:rFonts w:eastAsia="Times New Roman"/>
          <w:i/>
          <w:sz w:val="24"/>
          <w:szCs w:val="24"/>
        </w:rPr>
        <w:t>aff’d on other grounds</w:t>
      </w:r>
      <w:r w:rsidRPr="005E712D">
        <w:rPr>
          <w:rFonts w:eastAsia="Times New Roman"/>
          <w:sz w:val="24"/>
          <w:szCs w:val="24"/>
        </w:rPr>
        <w:t>,</w:t>
      </w:r>
      <w:r w:rsidRPr="005E712D">
        <w:rPr>
          <w:rFonts w:eastAsia="Times New Roman"/>
          <w:i/>
          <w:sz w:val="24"/>
          <w:szCs w:val="24"/>
        </w:rPr>
        <w:t xml:space="preserve"> </w:t>
      </w:r>
      <w:r w:rsidRPr="005E712D">
        <w:rPr>
          <w:rFonts w:eastAsia="Times New Roman"/>
          <w:sz w:val="24"/>
          <w:szCs w:val="24"/>
        </w:rPr>
        <w:t>831 P.2d 897 (Colo. 1992).</w:t>
      </w:r>
    </w:p>
    <w:p w14:paraId="357E234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11. Before applying the limitations on damages set forth in section 13-21-102.5(3)(a) to an award of damages for noneconomic losses, the court first must apportion liability based upon the relative degree of negligence among the joint tortfeasors pursuant to section 13-21-111.5, C.R.S. </w:t>
      </w:r>
      <w:r w:rsidRPr="005E712D">
        <w:rPr>
          <w:rFonts w:eastAsia="Times New Roman"/>
          <w:i/>
          <w:sz w:val="24"/>
          <w:szCs w:val="24"/>
        </w:rPr>
        <w:t xml:space="preserve">See </w:t>
      </w:r>
      <w:r w:rsidRPr="005E712D">
        <w:rPr>
          <w:rFonts w:eastAsia="Times New Roman"/>
          <w:b/>
          <w:sz w:val="24"/>
          <w:szCs w:val="24"/>
        </w:rPr>
        <w:t>General Elec. Co.</w:t>
      </w:r>
      <w:r w:rsidRPr="005E712D">
        <w:rPr>
          <w:rFonts w:eastAsia="Times New Roman"/>
          <w:sz w:val="24"/>
          <w:szCs w:val="24"/>
        </w:rPr>
        <w:t xml:space="preserve">, 866 P.2d at 1367-68;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Alhilo v. Kliem</w:t>
      </w:r>
      <w:r w:rsidRPr="005E712D">
        <w:rPr>
          <w:rFonts w:eastAsia="Times New Roman"/>
          <w:sz w:val="24"/>
          <w:szCs w:val="24"/>
        </w:rPr>
        <w:t>, 2016 COA 142, ¶ 66</w:t>
      </w:r>
      <w:r w:rsidR="009A5ACD">
        <w:rPr>
          <w:rFonts w:eastAsia="Times New Roman"/>
          <w:sz w:val="24"/>
          <w:szCs w:val="24"/>
        </w:rPr>
        <w:t>, 412 P.3d 902</w:t>
      </w:r>
      <w:r w:rsidRPr="005E712D">
        <w:rPr>
          <w:rFonts w:eastAsia="Times New Roman"/>
          <w:sz w:val="24"/>
          <w:szCs w:val="24"/>
        </w:rPr>
        <w:t xml:space="preserve"> (under the Wrongful Death Act, §§ 13-21-201 to -204, C.R.S., court apportions fault before applying the damage cap to the amount awarded). The limitation amount applies to each party that recovers damages individually and not to all the recovering parties in the aggregate. </w:t>
      </w:r>
      <w:r w:rsidRPr="005E712D">
        <w:rPr>
          <w:rFonts w:eastAsia="Times New Roman"/>
          <w:b/>
          <w:sz w:val="24"/>
          <w:szCs w:val="24"/>
        </w:rPr>
        <w:t>Palmer v. Diaz</w:t>
      </w:r>
      <w:r w:rsidRPr="005E712D">
        <w:rPr>
          <w:rFonts w:eastAsia="Times New Roman"/>
          <w:sz w:val="24"/>
          <w:szCs w:val="24"/>
        </w:rPr>
        <w:t xml:space="preserve">, 214 P.3d 546 (Colo. App. 2009). </w:t>
      </w:r>
    </w:p>
    <w:p w14:paraId="431C936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Also, in cases involving more than one defendant, the $250,000 cap on noneconomic damages in section 13-21-102.5(3)(a) applies to the amount of noneconomic damages that a plaintiff can recover from each defendant, rather than to the total amount of noneconomic damages awarded. </w:t>
      </w:r>
      <w:r w:rsidRPr="005E712D">
        <w:rPr>
          <w:rFonts w:eastAsia="Times New Roman"/>
          <w:b/>
          <w:sz w:val="24"/>
          <w:szCs w:val="24"/>
        </w:rPr>
        <w:t>General Elec. Co.</w:t>
      </w:r>
      <w:r w:rsidRPr="005E712D">
        <w:rPr>
          <w:rFonts w:eastAsia="Times New Roman"/>
          <w:sz w:val="24"/>
          <w:szCs w:val="24"/>
        </w:rPr>
        <w:t xml:space="preserve">, 866 P.2d at 1366;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Colo. Permanente Med. Grp., P.C. v. Evans</w:t>
      </w:r>
      <w:r w:rsidRPr="005E712D">
        <w:rPr>
          <w:rFonts w:eastAsia="Times New Roman"/>
          <w:sz w:val="24"/>
          <w:szCs w:val="24"/>
        </w:rPr>
        <w:t>, 926 P.2d 1218 (Colo. 1996) (distinguishing the $250,000 cap on noneconomic damages set forth in the medical malpractice damages statute, § 13-64-302, C.R.S., from the damage cap on noneconomic damages set forth in section 13-21-102.5(3)(a)).</w:t>
      </w:r>
    </w:p>
    <w:p w14:paraId="3A4EC8F4"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13. Under section 13-21-111.5, the damages awarded against the nonsettling defendants should be reduced only by an amount equivalent to the percentage of liability attributed to the settling nonparties irrespective of the settlement amounts actually paid to the plaintiff. </w:t>
      </w:r>
      <w:r w:rsidRPr="005E712D">
        <w:rPr>
          <w:rFonts w:eastAsia="Times New Roman"/>
          <w:b/>
          <w:sz w:val="24"/>
          <w:szCs w:val="24"/>
        </w:rPr>
        <w:t>Smith v. Zufelt</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880 P.2d 1178 (Colo. 1994); </w:t>
      </w:r>
      <w:r w:rsidRPr="005E712D">
        <w:rPr>
          <w:rFonts w:eastAsia="Times New Roman"/>
          <w:i/>
          <w:sz w:val="24"/>
          <w:szCs w:val="24"/>
        </w:rPr>
        <w:t xml:space="preserve">accord </w:t>
      </w:r>
      <w:r w:rsidRPr="005E712D">
        <w:rPr>
          <w:rFonts w:eastAsia="Times New Roman"/>
          <w:b/>
          <w:sz w:val="24"/>
          <w:szCs w:val="24"/>
        </w:rPr>
        <w:t>Sprung v. Adcock</w:t>
      </w:r>
      <w:r w:rsidRPr="005E712D">
        <w:rPr>
          <w:rFonts w:eastAsia="Times New Roman"/>
          <w:sz w:val="24"/>
          <w:szCs w:val="24"/>
        </w:rPr>
        <w:t>, 903 P.2d 1224 (Colo. App. 1995).</w:t>
      </w:r>
    </w:p>
    <w:p w14:paraId="7B8014E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14. Other damages limitations include section 13-64-302, for tort actions against health care professionals or institutions, </w:t>
      </w:r>
      <w:r w:rsidRPr="005E712D">
        <w:rPr>
          <w:rFonts w:eastAsia="Times New Roman"/>
          <w:i/>
          <w:sz w:val="24"/>
          <w:szCs w:val="24"/>
        </w:rPr>
        <w:t>see</w:t>
      </w:r>
      <w:r w:rsidRPr="005E712D">
        <w:rPr>
          <w:rFonts w:eastAsia="Times New Roman"/>
          <w:sz w:val="24"/>
          <w:szCs w:val="24"/>
        </w:rPr>
        <w:t xml:space="preserve"> Instruction 15:14 and the related instructions in Part I, subpart D of Chapter 15, and sections 13-21-203 and 203.5, C.R.S., for wrongful death actions, </w:t>
      </w:r>
      <w:r w:rsidRPr="005E712D">
        <w:rPr>
          <w:rFonts w:eastAsia="Times New Roman"/>
          <w:i/>
          <w:sz w:val="24"/>
          <w:szCs w:val="24"/>
        </w:rPr>
        <w:t>see</w:t>
      </w:r>
      <w:r w:rsidRPr="005E712D">
        <w:rPr>
          <w:rFonts w:eastAsia="Times New Roman"/>
          <w:sz w:val="24"/>
          <w:szCs w:val="24"/>
        </w:rPr>
        <w:t xml:space="preserve"> Instruction 10:3.</w:t>
      </w:r>
    </w:p>
    <w:p w14:paraId="7BADC63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15. In addition to the general limitations on recoverable damages set out in section 13-21-102.5, other statutes impose limitations on recoverable damages in certain specific cases. When any such statute may apply, other instructions should be used or appropriate modifications must be made in this instruction. </w:t>
      </w:r>
      <w:r w:rsidRPr="005E712D">
        <w:rPr>
          <w:rFonts w:eastAsia="Times New Roman"/>
          <w:i/>
          <w:sz w:val="24"/>
          <w:szCs w:val="24"/>
        </w:rPr>
        <w:t>See, e.g.</w:t>
      </w:r>
      <w:r w:rsidRPr="005E712D">
        <w:rPr>
          <w:rFonts w:eastAsia="Times New Roman"/>
          <w:sz w:val="24"/>
          <w:szCs w:val="24"/>
        </w:rPr>
        <w:t xml:space="preserve">, § 13-64-302 (actions against health care professionals and institutions); §§ 24-10-114 &amp; 118(1)(d), C.R.S. (public entities and public employees in actions brought under the Colorado Governmental Immunity Act); § 33-41-103(2)(a), C.R.S. (liability of landowner who makes land available to public entity for recreational purposes); § 33-44-113, </w:t>
      </w:r>
      <w:r w:rsidRPr="005E712D">
        <w:rPr>
          <w:rFonts w:eastAsia="Times New Roman"/>
          <w:sz w:val="24"/>
          <w:szCs w:val="24"/>
        </w:rPr>
        <w:lastRenderedPageBreak/>
        <w:t xml:space="preserve">C.R.S. (liability of ski area operators to various users);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Pyles-Knutzen v. Bd. of Cty. Comm’rs</w:t>
      </w:r>
      <w:r w:rsidRPr="005E712D">
        <w:rPr>
          <w:rFonts w:eastAsia="Times New Roman"/>
          <w:sz w:val="24"/>
          <w:szCs w:val="24"/>
        </w:rPr>
        <w:t xml:space="preserve">, 781 P.2d 164 (Colo. App. 1989) (claim under Colorado Governmental Immunity Act is limited by section 24-10-114(1), but not by amount “requested” by plaintiff in notice of claim submitted under section 24-10-109(2)(e), C.R.S.). </w:t>
      </w:r>
    </w:p>
    <w:p w14:paraId="549A1B19"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16. The potentially competing claims of an injured party and a subrogated insurance carrier are subject to the provisions of section 10-1-135, C.R.S.</w:t>
      </w:r>
    </w:p>
    <w:p w14:paraId="370E764F"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17. Omit any element of damage for which there is insufficient evidence. </w:t>
      </w:r>
      <w:r w:rsidRPr="005E712D">
        <w:rPr>
          <w:rFonts w:eastAsia="Times New Roman"/>
          <w:b/>
          <w:sz w:val="24"/>
          <w:szCs w:val="24"/>
        </w:rPr>
        <w:t>Barter Mach. &amp; Supply Co. v. Muchow</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169 Colo. 100, 453 P.2d 804 (1969); </w:t>
      </w:r>
      <w:r w:rsidRPr="005E712D">
        <w:rPr>
          <w:rFonts w:eastAsia="Times New Roman"/>
          <w:b/>
          <w:sz w:val="24"/>
          <w:szCs w:val="24"/>
        </w:rPr>
        <w:t>Stahl v. Cooper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117 Colo. 468, 190 P.2d 891 (1948). For example, “[a]n instruction on permanent injuries or future pain and suffering should not be given unless there is evidence from which it can be inferred with reasonable probability that such permanent injuries have been sustained or that such future pain and suffering will occur.” </w:t>
      </w:r>
      <w:r w:rsidRPr="005E712D">
        <w:rPr>
          <w:rFonts w:eastAsia="Times New Roman"/>
          <w:b/>
          <w:sz w:val="24"/>
          <w:szCs w:val="24"/>
        </w:rPr>
        <w:t>Sours v. Goodrich</w:t>
      </w:r>
      <w:r w:rsidRPr="005E712D">
        <w:rPr>
          <w:rFonts w:eastAsia="Times New Roman"/>
          <w:sz w:val="24"/>
          <w:szCs w:val="24"/>
        </w:rPr>
        <w:t xml:space="preserve">, 674 P.2d 995, 996 (Colo. App. 1983). On the other hand, “if there is evidence of permanent disability, a court may instruct the jury on impairment of future earning capacity.” </w:t>
      </w:r>
      <w:r w:rsidRPr="005E712D">
        <w:rPr>
          <w:rFonts w:eastAsia="Times New Roman"/>
          <w:b/>
          <w:sz w:val="24"/>
          <w:szCs w:val="24"/>
        </w:rPr>
        <w:t>Phillips v. Monarch Recreation Corp.</w:t>
      </w:r>
      <w:r w:rsidRPr="005E712D">
        <w:rPr>
          <w:rFonts w:eastAsia="Times New Roman"/>
          <w:sz w:val="24"/>
          <w:szCs w:val="24"/>
        </w:rPr>
        <w:t xml:space="preserve">, 668 P.2d 982, 987 (Colo. App. 1983). And the jury must compensate an injured party for proven damages. </w:t>
      </w:r>
      <w:r w:rsidRPr="005E712D">
        <w:rPr>
          <w:rFonts w:eastAsia="Times New Roman"/>
          <w:b/>
          <w:sz w:val="24"/>
          <w:szCs w:val="24"/>
        </w:rPr>
        <w:t>Villandry v. Gregerson</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824 P.2d 829 (Colo. App. 1991), </w:t>
      </w:r>
      <w:r w:rsidRPr="005E712D">
        <w:rPr>
          <w:rFonts w:eastAsia="Times New Roman"/>
          <w:i/>
          <w:sz w:val="24"/>
          <w:szCs w:val="24"/>
        </w:rPr>
        <w:t>overruled on other grounds by</w:t>
      </w:r>
      <w:r w:rsidRPr="005E712D">
        <w:rPr>
          <w:rFonts w:eastAsia="Times New Roman"/>
          <w:sz w:val="24"/>
          <w:szCs w:val="24"/>
        </w:rPr>
        <w:t xml:space="preserve"> </w:t>
      </w:r>
      <w:r w:rsidRPr="005E712D">
        <w:rPr>
          <w:rFonts w:eastAsia="Times New Roman"/>
          <w:b/>
          <w:sz w:val="24"/>
          <w:szCs w:val="24"/>
        </w:rPr>
        <w:t>Lee’s Mobile Wash v. Campbell</w:t>
      </w:r>
      <w:r w:rsidRPr="005E712D">
        <w:rPr>
          <w:rFonts w:eastAsia="Times New Roman"/>
          <w:sz w:val="24"/>
          <w:szCs w:val="24"/>
        </w:rPr>
        <w:t xml:space="preserve">, 853 P.2d 1140 (Colo. 1993);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Peterson v. Tadolini</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97 P.3d 359 (Colo. App. 2004) (noneconomic damages award of zero was inconsistent with undisputed evidence of plaintiff’s pain and loss of enjoyment of life, necessitating new trial on issue of damages). </w:t>
      </w:r>
    </w:p>
    <w:p w14:paraId="40DD81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CC0CC2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The first paragraph of this instruction is supported by </w:t>
      </w:r>
      <w:r w:rsidRPr="005E712D">
        <w:rPr>
          <w:rFonts w:eastAsia="Times New Roman"/>
          <w:b/>
          <w:sz w:val="24"/>
          <w:szCs w:val="24"/>
        </w:rPr>
        <w:t>Pullman Palace Car Co. v. Barker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4 Colo. 344 (1878). The remaining numbered paragraphs are based on section 13-21-102.5.</w:t>
      </w:r>
    </w:p>
    <w:p w14:paraId="5B65CA24" w14:textId="77777777" w:rsidR="005E712D" w:rsidRPr="005E712D" w:rsidRDefault="005E712D" w:rsidP="002F48D6">
      <w:pPr>
        <w:keepNext/>
        <w:rPr>
          <w:rFonts w:eastAsia="Times New Roman"/>
          <w:sz w:val="24"/>
          <w:szCs w:val="24"/>
        </w:rPr>
      </w:pPr>
      <w:r w:rsidRPr="005E712D">
        <w:rPr>
          <w:rFonts w:eastAsia="Times New Roman"/>
          <w:b/>
          <w:sz w:val="24"/>
          <w:szCs w:val="24"/>
          <w:u w:val="single"/>
        </w:rPr>
        <w:t>Constitutionality of cap on noneconomic damages</w:t>
      </w:r>
    </w:p>
    <w:p w14:paraId="6B08A13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2. The constitutionality of the damages cap on noneconomic damages, </w:t>
      </w:r>
      <w:r w:rsidRPr="005E712D">
        <w:rPr>
          <w:rFonts w:eastAsia="Times New Roman"/>
          <w:i/>
          <w:sz w:val="24"/>
          <w:szCs w:val="24"/>
        </w:rPr>
        <w:t>see</w:t>
      </w:r>
      <w:r w:rsidRPr="005E712D">
        <w:rPr>
          <w:rFonts w:eastAsia="Times New Roman"/>
          <w:sz w:val="24"/>
          <w:szCs w:val="24"/>
        </w:rPr>
        <w:t xml:space="preserve"> § 13-21-102.5(3), was upheld in </w:t>
      </w:r>
      <w:r w:rsidRPr="005E712D">
        <w:rPr>
          <w:rFonts w:eastAsia="Times New Roman"/>
          <w:b/>
          <w:sz w:val="24"/>
          <w:szCs w:val="24"/>
        </w:rPr>
        <w:t>Scharrel v. Wal-Mart Stores, Inc.</w:t>
      </w:r>
      <w:r w:rsidRPr="005E712D">
        <w:rPr>
          <w:rFonts w:eastAsia="Times New Roman"/>
          <w:sz w:val="24"/>
          <w:szCs w:val="24"/>
        </w:rPr>
        <w:t xml:space="preserve">, 949 P.2d 89 (Colo. App. 1997). </w:t>
      </w:r>
      <w:r w:rsidRPr="005E712D">
        <w:rPr>
          <w:rFonts w:eastAsia="Times New Roman"/>
          <w:i/>
          <w:sz w:val="24"/>
          <w:szCs w:val="24"/>
        </w:rPr>
        <w:t xml:space="preserve">Accord </w:t>
      </w:r>
      <w:r w:rsidRPr="005E712D">
        <w:rPr>
          <w:rFonts w:eastAsia="Times New Roman"/>
          <w:b/>
          <w:sz w:val="24"/>
          <w:szCs w:val="24"/>
        </w:rPr>
        <w:t>Stewart v. Rice</w:t>
      </w:r>
      <w:r w:rsidRPr="005E712D">
        <w:rPr>
          <w:rFonts w:eastAsia="Times New Roman"/>
          <w:sz w:val="24"/>
          <w:szCs w:val="24"/>
        </w:rPr>
        <w:t xml:space="preserve">, 25 P.3d 1233 (Colo. App. 2000), </w:t>
      </w:r>
      <w:r w:rsidRPr="005E712D">
        <w:rPr>
          <w:rFonts w:eastAsia="Times New Roman"/>
          <w:i/>
          <w:sz w:val="24"/>
          <w:szCs w:val="24"/>
        </w:rPr>
        <w:t>rev’d on other grounds</w:t>
      </w:r>
      <w:r w:rsidRPr="005E712D">
        <w:rPr>
          <w:rFonts w:eastAsia="Times New Roman"/>
          <w:sz w:val="24"/>
          <w:szCs w:val="24"/>
        </w:rPr>
        <w:t>, 47 P.3d 316 (Colo. 2002).</w:t>
      </w:r>
    </w:p>
    <w:p w14:paraId="451DA887"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Recoverable Damages</w:t>
      </w:r>
    </w:p>
    <w:p w14:paraId="1DD70C1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Generally, as to the various elements of damages that may be recoverable, see</w:t>
      </w:r>
      <w:r w:rsidRPr="005E712D">
        <w:rPr>
          <w:rFonts w:eastAsia="Times New Roman"/>
          <w:i/>
          <w:sz w:val="24"/>
          <w:szCs w:val="24"/>
        </w:rPr>
        <w:t xml:space="preserve"> </w:t>
      </w:r>
      <w:r w:rsidRPr="005E712D">
        <w:rPr>
          <w:rFonts w:eastAsia="Times New Roman"/>
          <w:b/>
          <w:sz w:val="24"/>
          <w:szCs w:val="24"/>
        </w:rPr>
        <w:t>Thompson v. Tartler</w:t>
      </w:r>
      <w:r w:rsidRPr="005E712D">
        <w:rPr>
          <w:rFonts w:eastAsia="Times New Roman"/>
          <w:sz w:val="24"/>
          <w:szCs w:val="24"/>
        </w:rPr>
        <w:t xml:space="preserve">, 166 Colo. 247, 443 P.2d 365 (1968) (loss of future earnings); </w:t>
      </w:r>
      <w:r w:rsidRPr="005E712D">
        <w:rPr>
          <w:rFonts w:eastAsia="Times New Roman"/>
          <w:b/>
          <w:sz w:val="24"/>
          <w:szCs w:val="24"/>
        </w:rPr>
        <w:t>Van Schaack &amp; Co. v. Perkins</w:t>
      </w:r>
      <w:r w:rsidRPr="005E712D">
        <w:rPr>
          <w:rFonts w:eastAsia="Times New Roman"/>
          <w:sz w:val="24"/>
          <w:szCs w:val="24"/>
        </w:rPr>
        <w:t xml:space="preserve">, 129 Colo. 567, 272 P.2d 269 (1954); </w:t>
      </w:r>
      <w:r w:rsidRPr="005E712D">
        <w:rPr>
          <w:rFonts w:eastAsia="Times New Roman"/>
          <w:b/>
          <w:sz w:val="24"/>
          <w:szCs w:val="24"/>
        </w:rPr>
        <w:t>Gerick v. Brock</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120 Colo. 394, 210 P.2d 214 (1949); </w:t>
      </w:r>
      <w:r w:rsidRPr="005E712D">
        <w:rPr>
          <w:rFonts w:eastAsia="Times New Roman"/>
          <w:b/>
          <w:sz w:val="24"/>
          <w:szCs w:val="24"/>
        </w:rPr>
        <w:t>Colo. Utils. Corp. v. Casady</w:t>
      </w:r>
      <w:r w:rsidRPr="005E712D">
        <w:rPr>
          <w:rFonts w:eastAsia="Times New Roman"/>
          <w:sz w:val="24"/>
          <w:szCs w:val="24"/>
        </w:rPr>
        <w:t xml:space="preserve">, 89 Colo. 156, 300 P. 601 (1931); </w:t>
      </w:r>
      <w:r w:rsidRPr="005E712D">
        <w:rPr>
          <w:rFonts w:eastAsia="Times New Roman"/>
          <w:b/>
          <w:sz w:val="24"/>
          <w:szCs w:val="24"/>
        </w:rPr>
        <w:t>Denver Tramway Corp. v. Gentry</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 Colo. 51, 256 P. 1088 (1927); </w:t>
      </w:r>
      <w:r w:rsidRPr="005E712D">
        <w:rPr>
          <w:rFonts w:eastAsia="Times New Roman"/>
          <w:b/>
          <w:sz w:val="24"/>
          <w:szCs w:val="24"/>
        </w:rPr>
        <w:t>Russo v. Birrenkott</w:t>
      </w:r>
      <w:r w:rsidRPr="005E712D">
        <w:rPr>
          <w:rFonts w:eastAsia="Times New Roman"/>
          <w:sz w:val="24"/>
          <w:szCs w:val="24"/>
        </w:rPr>
        <w:t xml:space="preserve">, 770 P.2d 1335 (Colo. App. 1988); </w:t>
      </w:r>
      <w:r w:rsidRPr="005E712D">
        <w:rPr>
          <w:rFonts w:eastAsia="Times New Roman"/>
          <w:b/>
          <w:sz w:val="24"/>
          <w:szCs w:val="24"/>
        </w:rPr>
        <w:t>Short v. Downs</w:t>
      </w:r>
      <w:r w:rsidRPr="005E712D">
        <w:rPr>
          <w:rFonts w:eastAsia="Times New Roman"/>
          <w:sz w:val="24"/>
          <w:szCs w:val="24"/>
        </w:rPr>
        <w:t xml:space="preserve">, 36 Colo. App. 109, 537 P.2d 754 (1975) (permanent injuries); and </w:t>
      </w:r>
      <w:r w:rsidRPr="005E712D">
        <w:rPr>
          <w:rFonts w:eastAsia="Times New Roman"/>
          <w:b/>
          <w:sz w:val="24"/>
          <w:szCs w:val="24"/>
        </w:rPr>
        <w:t>Brncic v. Metz</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28 Colo. App. 204, 471 P.2d 618 (1970). </w:t>
      </w:r>
      <w:r w:rsidRPr="005E712D">
        <w:rPr>
          <w:rFonts w:eastAsia="Times New Roman"/>
          <w:i/>
          <w:sz w:val="24"/>
          <w:szCs w:val="24"/>
        </w:rPr>
        <w:t>See also</w:t>
      </w:r>
      <w:r w:rsidRPr="005E712D">
        <w:rPr>
          <w:rFonts w:eastAsia="Times New Roman"/>
          <w:sz w:val="24"/>
          <w:szCs w:val="24"/>
        </w:rPr>
        <w:t xml:space="preserve"> Colorado’s Construction Defect Action Reform Act, §§ 13-20-801 to -808, C.R.S. (describing recoverable damages in construction defect claims).</w:t>
      </w:r>
    </w:p>
    <w:p w14:paraId="5DF7F8B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lastRenderedPageBreak/>
        <w:t xml:space="preserve">4. Damages for “loss of future earning capacity” are compensable even though they may be “uncertain in respect to the amount.” </w:t>
      </w:r>
      <w:r w:rsidRPr="005E712D">
        <w:rPr>
          <w:rFonts w:eastAsia="Times New Roman"/>
          <w:b/>
          <w:sz w:val="24"/>
          <w:szCs w:val="24"/>
        </w:rPr>
        <w:t>Brittis v. Freemon</w:t>
      </w:r>
      <w:r w:rsidRPr="005E712D">
        <w:rPr>
          <w:rFonts w:eastAsia="Times New Roman"/>
          <w:sz w:val="24"/>
          <w:szCs w:val="24"/>
        </w:rPr>
        <w:t xml:space="preserve">, 34 Colo. App. 348, 354, 527 P.2d 1175, 1179 (1974);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Martinez v. Shapland</w:t>
      </w:r>
      <w:r w:rsidRPr="005E712D">
        <w:rPr>
          <w:rFonts w:eastAsia="Times New Roman"/>
          <w:sz w:val="24"/>
          <w:szCs w:val="24"/>
        </w:rPr>
        <w:t xml:space="preserve">, 833 P.2d 837 (Colo. App. 1992); </w:t>
      </w:r>
      <w:r w:rsidRPr="005E712D">
        <w:rPr>
          <w:rFonts w:eastAsia="Times New Roman"/>
          <w:b/>
          <w:sz w:val="24"/>
          <w:szCs w:val="24"/>
        </w:rPr>
        <w:t>Kitto v. Gilbert</w:t>
      </w:r>
      <w:r w:rsidRPr="005E712D">
        <w:rPr>
          <w:rFonts w:eastAsia="Times New Roman"/>
          <w:sz w:val="24"/>
          <w:szCs w:val="24"/>
        </w:rPr>
        <w:t xml:space="preserve">, 39 Colo. App. 374, 570 P.2d 544 (1977). A plaintiff’s immigration status may be relevant to a determination of future wage loss in some circumstances. </w:t>
      </w:r>
      <w:r w:rsidRPr="005E712D">
        <w:rPr>
          <w:rFonts w:eastAsia="Times New Roman"/>
          <w:b/>
          <w:sz w:val="24"/>
          <w:szCs w:val="24"/>
        </w:rPr>
        <w:t>Silva v. Wilcox</w:t>
      </w:r>
      <w:r w:rsidRPr="005E712D">
        <w:rPr>
          <w:rFonts w:eastAsia="Times New Roman"/>
          <w:sz w:val="24"/>
          <w:szCs w:val="24"/>
        </w:rPr>
        <w:t xml:space="preserve">, 223 P.3d 127 (Colo. App. 2009). Also, if there is evidence of permanent injury, to be awarded damages for loss of future earnings, a plaintiff need not show that but for the injury he or she could have earned more money. </w:t>
      </w:r>
      <w:r w:rsidRPr="005E712D">
        <w:rPr>
          <w:rFonts w:eastAsia="Times New Roman"/>
          <w:b/>
          <w:sz w:val="24"/>
          <w:szCs w:val="24"/>
        </w:rPr>
        <w:t>Jones v. Cruzan</w:t>
      </w:r>
      <w:r w:rsidRPr="005E712D">
        <w:rPr>
          <w:rFonts w:eastAsia="Times New Roman"/>
          <w:sz w:val="24"/>
          <w:szCs w:val="24"/>
        </w:rPr>
        <w:t>, 33 P.3d 1262 (Colo. App. 2001) (evidence that plaintiff was earning more money after the injury did not preclude an award of damages for diminished earning capacity where there was evidence of permanent injury).</w:t>
      </w:r>
    </w:p>
    <w:p w14:paraId="0D0E6CD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5. Medical expenses are compensable to the extent they are reasonable in amount as well as necessary. </w:t>
      </w:r>
      <w:r w:rsidRPr="005E712D">
        <w:rPr>
          <w:rFonts w:eastAsia="Times New Roman"/>
          <w:b/>
          <w:sz w:val="24"/>
          <w:szCs w:val="24"/>
        </w:rPr>
        <w:t>Kendall v. Hargrave</w:t>
      </w:r>
      <w:r w:rsidRPr="005E712D">
        <w:rPr>
          <w:rFonts w:eastAsia="Times New Roman"/>
          <w:sz w:val="24"/>
          <w:szCs w:val="24"/>
        </w:rPr>
        <w:t xml:space="preserve">, 142 Colo. 120, 349 P.2d 993 (1960); </w:t>
      </w:r>
      <w:r w:rsidRPr="005E712D">
        <w:rPr>
          <w:rFonts w:eastAsia="Times New Roman"/>
          <w:b/>
          <w:sz w:val="24"/>
          <w:szCs w:val="24"/>
        </w:rPr>
        <w:t>Oliver v. Weaver</w:t>
      </w:r>
      <w:r w:rsidRPr="005E712D">
        <w:rPr>
          <w:rFonts w:eastAsia="Times New Roman"/>
          <w:sz w:val="24"/>
          <w:szCs w:val="24"/>
        </w:rPr>
        <w:t xml:space="preserve">, 72 Colo. 540, 212 P. 978 (1923); </w:t>
      </w:r>
      <w:r w:rsidRPr="005E712D">
        <w:rPr>
          <w:rFonts w:eastAsia="Times New Roman"/>
          <w:b/>
          <w:sz w:val="24"/>
          <w:szCs w:val="24"/>
        </w:rPr>
        <w:t>Denver City Tramway Co. v. Hills</w:t>
      </w:r>
      <w:r w:rsidRPr="005E712D">
        <w:rPr>
          <w:rFonts w:eastAsia="Times New Roman"/>
          <w:sz w:val="24"/>
          <w:szCs w:val="24"/>
        </w:rPr>
        <w:t xml:space="preserve">, 50 Colo. 328, 116 P. 125 (1911). </w:t>
      </w:r>
      <w:r w:rsidRPr="005E712D">
        <w:rPr>
          <w:rFonts w:eastAsia="Times New Roman"/>
          <w:i/>
          <w:sz w:val="24"/>
          <w:szCs w:val="24"/>
        </w:rPr>
        <w:t xml:space="preserve">But see </w:t>
      </w:r>
      <w:r w:rsidRPr="005E712D">
        <w:rPr>
          <w:rFonts w:eastAsia="Times New Roman"/>
          <w:b/>
          <w:sz w:val="24"/>
          <w:szCs w:val="24"/>
        </w:rPr>
        <w:t>Wal-Mart Stores, Inc. v. Crossgrove</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2012 CO 31, ¶ 18, 276 P.3d 562 (common law portion of the collateral source rule, which applies pre-verdict, required exclusion of evidence of amount paid by medical insurer, even when offered solely to prove reasonable value of medical services). As to when gratuitously rendered medical services or medical expenses paid by others are “incurred,” and hence compensable, see </w:t>
      </w:r>
      <w:r w:rsidRPr="005E712D">
        <w:rPr>
          <w:rFonts w:eastAsia="Times New Roman"/>
          <w:b/>
          <w:sz w:val="24"/>
          <w:szCs w:val="24"/>
        </w:rPr>
        <w:t>City of Englewood v. Bryant</w:t>
      </w:r>
      <w:r w:rsidRPr="005E712D">
        <w:rPr>
          <w:rFonts w:eastAsia="Times New Roman"/>
          <w:sz w:val="24"/>
          <w:szCs w:val="24"/>
        </w:rPr>
        <w:t xml:space="preserve">, 100 Colo. 552, 68 P.2d 913 (1937); and </w:t>
      </w:r>
      <w:r w:rsidRPr="005E712D">
        <w:rPr>
          <w:rFonts w:eastAsia="Times New Roman"/>
          <w:b/>
          <w:sz w:val="24"/>
          <w:szCs w:val="24"/>
        </w:rPr>
        <w:t>Gomez v. Black</w:t>
      </w:r>
      <w:r w:rsidRPr="005E712D">
        <w:rPr>
          <w:rFonts w:eastAsia="Times New Roman"/>
          <w:sz w:val="24"/>
          <w:szCs w:val="24"/>
        </w:rPr>
        <w:t xml:space="preserve">, 32 Colo. App. 332, 511 P.2d 531 (1973). </w:t>
      </w:r>
      <w:r w:rsidRPr="005E712D">
        <w:rPr>
          <w:rFonts w:eastAsia="Times New Roman"/>
          <w:i/>
          <w:sz w:val="24"/>
          <w:szCs w:val="24"/>
        </w:rPr>
        <w:t xml:space="preserve">But see </w:t>
      </w:r>
      <w:r w:rsidRPr="005E712D">
        <w:rPr>
          <w:rFonts w:eastAsia="Times New Roman"/>
          <w:b/>
          <w:sz w:val="24"/>
          <w:szCs w:val="24"/>
        </w:rPr>
        <w:t>Smith v. Kinningham</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2013 COA 103, ¶ 19, 328 P.3d 258 (“gratuitous government benefits” exception to collateral source rule set forth in </w:t>
      </w:r>
      <w:r w:rsidRPr="005E712D">
        <w:rPr>
          <w:rFonts w:eastAsia="Times New Roman"/>
          <w:b/>
          <w:sz w:val="24"/>
          <w:szCs w:val="24"/>
        </w:rPr>
        <w:t xml:space="preserve">City of Englewood </w:t>
      </w:r>
      <w:r w:rsidRPr="005E712D">
        <w:rPr>
          <w:rFonts w:eastAsia="Times New Roman"/>
          <w:sz w:val="24"/>
          <w:szCs w:val="24"/>
        </w:rPr>
        <w:t xml:space="preserve">and </w:t>
      </w:r>
      <w:r w:rsidRPr="005E712D">
        <w:rPr>
          <w:rFonts w:eastAsia="Times New Roman"/>
          <w:b/>
          <w:sz w:val="24"/>
          <w:szCs w:val="24"/>
        </w:rPr>
        <w:t xml:space="preserve">Gomez </w:t>
      </w:r>
      <w:r w:rsidRPr="005E712D">
        <w:rPr>
          <w:rFonts w:eastAsia="Times New Roman"/>
          <w:sz w:val="24"/>
          <w:szCs w:val="24"/>
        </w:rPr>
        <w:t>was abrogated by section 10-1-135(10)(a)).</w:t>
      </w:r>
    </w:p>
    <w:p w14:paraId="7D712E9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While lost wages or income prior to trial, “loss of enjoyment of life,” etc., have been recognized as compensable, </w:t>
      </w:r>
      <w:r w:rsidRPr="005E712D">
        <w:rPr>
          <w:rFonts w:eastAsia="Times New Roman"/>
          <w:b/>
          <w:sz w:val="24"/>
          <w:szCs w:val="24"/>
        </w:rPr>
        <w:t>Hildyard v. Western Fasteners, Inc.</w:t>
      </w:r>
      <w:r w:rsidRPr="005E712D">
        <w:rPr>
          <w:rFonts w:eastAsia="Times New Roman"/>
          <w:sz w:val="24"/>
          <w:szCs w:val="24"/>
        </w:rPr>
        <w:t xml:space="preserve">, 33 Colo. App. 396, 522 P.2d 596 (1974), “loss of business profits” as a separate element of damages has not. </w:t>
      </w:r>
      <w:r w:rsidRPr="005E712D">
        <w:rPr>
          <w:rFonts w:eastAsia="Times New Roman"/>
          <w:b/>
          <w:sz w:val="24"/>
          <w:szCs w:val="24"/>
        </w:rPr>
        <w:t>Ford Motor Co. v. Conrardy</w:t>
      </w:r>
      <w:r w:rsidRPr="005E712D">
        <w:rPr>
          <w:rFonts w:eastAsia="Times New Roman"/>
          <w:sz w:val="24"/>
          <w:szCs w:val="24"/>
        </w:rPr>
        <w:t>, 29 Colo. App. 577, 488 P.2d 219 (1971).</w:t>
      </w:r>
    </w:p>
    <w:p w14:paraId="7A155E8C"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7. In medical malpractice cases, damages for emotional distress based on a reasonable fear of an increased risk of cancer are recoverable where plaintiff demonstrates that his or her condition physically worsened as a result of the alleged malpractice. </w:t>
      </w:r>
      <w:r w:rsidRPr="005E712D">
        <w:rPr>
          <w:rFonts w:eastAsia="Times New Roman"/>
          <w:b/>
          <w:sz w:val="24"/>
          <w:szCs w:val="24"/>
        </w:rPr>
        <w:t>Boryla v. Pash</w:t>
      </w:r>
      <w:r w:rsidRPr="005E712D">
        <w:rPr>
          <w:rFonts w:eastAsia="Times New Roman"/>
          <w:sz w:val="24"/>
          <w:szCs w:val="24"/>
        </w:rPr>
        <w:t xml:space="preserve">, 960 P.2d 123 (Colo. 1998);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Salazar v. Am. Sterilizer Co.</w:t>
      </w:r>
      <w:r w:rsidRPr="005E712D">
        <w:rPr>
          <w:rFonts w:eastAsia="Times New Roman"/>
          <w:sz w:val="24"/>
          <w:szCs w:val="24"/>
        </w:rPr>
        <w:t>, 5 P.3d 357 (Colo. App. 2000).</w:t>
      </w:r>
    </w:p>
    <w:p w14:paraId="20D91F44" w14:textId="77777777" w:rsidR="00E91DC9" w:rsidRPr="00D438F0" w:rsidRDefault="005E712D" w:rsidP="00E91DC9">
      <w:pPr>
        <w:ind w:firstLine="720"/>
      </w:pPr>
      <w:r w:rsidRPr="005E712D">
        <w:rPr>
          <w:rFonts w:eastAsia="Times New Roman"/>
          <w:sz w:val="24"/>
          <w:szCs w:val="24"/>
        </w:rPr>
        <w:t xml:space="preserve">8. Under Colorado’s survival statute, </w:t>
      </w:r>
      <w:r w:rsidR="00E91DC9">
        <w:rPr>
          <w:rFonts w:eastAsia="Times New Roman"/>
          <w:sz w:val="24"/>
          <w:szCs w:val="24"/>
        </w:rPr>
        <w:t>§ 13-20-101(1), C.R.S., neither punitive damages nor other penalties can be awarded against a defendant who has died.</w:t>
      </w:r>
      <w:r w:rsidR="00016142">
        <w:rPr>
          <w:rFonts w:eastAsia="Times New Roman"/>
          <w:b/>
          <w:sz w:val="24"/>
          <w:szCs w:val="24"/>
        </w:rPr>
        <w:t xml:space="preserve"> </w:t>
      </w:r>
      <w:r w:rsidRPr="005E712D">
        <w:rPr>
          <w:rFonts w:eastAsia="Times New Roman"/>
          <w:b/>
          <w:sz w:val="24"/>
          <w:szCs w:val="24"/>
        </w:rPr>
        <w:t>Guar. Tr. Life Ins. Co.</w:t>
      </w:r>
      <w:r w:rsidR="00E91DC9">
        <w:rPr>
          <w:rFonts w:eastAsia="Times New Roman"/>
          <w:b/>
          <w:sz w:val="24"/>
          <w:szCs w:val="24"/>
        </w:rPr>
        <w:t xml:space="preserve"> v. Casper</w:t>
      </w:r>
      <w:r w:rsidRPr="005E712D">
        <w:rPr>
          <w:rFonts w:eastAsia="Times New Roman"/>
          <w:sz w:val="24"/>
          <w:szCs w:val="24"/>
        </w:rPr>
        <w:t>, 201</w:t>
      </w:r>
      <w:r w:rsidR="00E91DC9">
        <w:rPr>
          <w:rFonts w:eastAsia="Times New Roman"/>
          <w:sz w:val="24"/>
          <w:szCs w:val="24"/>
        </w:rPr>
        <w:t>8</w:t>
      </w:r>
      <w:r w:rsidRPr="005E712D">
        <w:rPr>
          <w:rFonts w:eastAsia="Times New Roman"/>
          <w:sz w:val="24"/>
          <w:szCs w:val="24"/>
        </w:rPr>
        <w:t xml:space="preserve"> CO </w:t>
      </w:r>
      <w:r w:rsidR="00E91DC9">
        <w:rPr>
          <w:rFonts w:eastAsia="Times New Roman"/>
          <w:sz w:val="24"/>
          <w:szCs w:val="24"/>
        </w:rPr>
        <w:t>43</w:t>
      </w:r>
      <w:r w:rsidRPr="005E712D">
        <w:rPr>
          <w:rFonts w:eastAsia="Times New Roman"/>
          <w:sz w:val="24"/>
          <w:szCs w:val="24"/>
        </w:rPr>
        <w:t>, ¶</w:t>
      </w:r>
      <w:r w:rsidR="00E91DC9">
        <w:rPr>
          <w:rFonts w:eastAsia="Times New Roman"/>
          <w:sz w:val="24"/>
          <w:szCs w:val="24"/>
        </w:rPr>
        <w:t>¶ 9-10</w:t>
      </w:r>
      <w:r w:rsidR="00BA4966">
        <w:rPr>
          <w:rFonts w:eastAsia="Times New Roman"/>
          <w:sz w:val="24"/>
          <w:szCs w:val="24"/>
        </w:rPr>
        <w:t>, 418 P.3d 1163</w:t>
      </w:r>
      <w:r w:rsidRPr="005E712D">
        <w:rPr>
          <w:rFonts w:eastAsia="Times New Roman"/>
          <w:sz w:val="24"/>
          <w:szCs w:val="24"/>
        </w:rPr>
        <w:t>.</w:t>
      </w:r>
      <w:r w:rsidR="00EF7890">
        <w:rPr>
          <w:rFonts w:eastAsia="Times New Roman"/>
          <w:sz w:val="24"/>
          <w:szCs w:val="24"/>
        </w:rPr>
        <w:t xml:space="preserve"> </w:t>
      </w:r>
      <w:r w:rsidR="00E91DC9">
        <w:rPr>
          <w:rFonts w:eastAsia="Times New Roman"/>
          <w:sz w:val="24"/>
          <w:szCs w:val="24"/>
        </w:rPr>
        <w:t xml:space="preserve">Where a deceased plaintiff’s claim is based upon personal injury, any damages awarded are limited to loss of earnings and expenses before death and cannot include pain, suffering, disfigurement, or prospective profits or earnings after death. § 13-20-101(1). For purposes of the survival statute, a claim for violation of section 10-3-1116 (unreasonable delay or denial of first-party insurance benefits) is not a “tort action based upon personal injury.” </w:t>
      </w:r>
      <w:r w:rsidR="00E91DC9">
        <w:rPr>
          <w:rFonts w:eastAsia="Times New Roman"/>
          <w:b/>
          <w:sz w:val="24"/>
          <w:szCs w:val="24"/>
        </w:rPr>
        <w:t>Casper</w:t>
      </w:r>
      <w:r w:rsidR="00E91DC9">
        <w:rPr>
          <w:rFonts w:eastAsia="Times New Roman"/>
          <w:sz w:val="24"/>
          <w:szCs w:val="24"/>
        </w:rPr>
        <w:t xml:space="preserve">, ¶¶ 14-17. For instructions on claims for breach of sections 10-3-1115 and </w:t>
      </w:r>
      <w:r w:rsidR="009B70E6">
        <w:rPr>
          <w:rFonts w:eastAsia="Times New Roman"/>
          <w:sz w:val="24"/>
          <w:szCs w:val="24"/>
        </w:rPr>
        <w:t>-</w:t>
      </w:r>
      <w:r w:rsidR="00E91DC9">
        <w:rPr>
          <w:rFonts w:eastAsia="Times New Roman"/>
          <w:sz w:val="24"/>
          <w:szCs w:val="24"/>
        </w:rPr>
        <w:t>1116, see Instructions 25:4 through 25:6.</w:t>
      </w:r>
    </w:p>
    <w:p w14:paraId="449137AA" w14:textId="77777777" w:rsidR="005E712D" w:rsidRPr="00334049" w:rsidRDefault="005E712D" w:rsidP="00E91DC9">
      <w:pPr>
        <w:ind w:firstLine="720"/>
        <w:rPr>
          <w:rFonts w:eastAsia="Times New Roman"/>
          <w:sz w:val="24"/>
          <w:szCs w:val="24"/>
        </w:rPr>
      </w:pPr>
    </w:p>
    <w:p w14:paraId="121144EF"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9. For the damages one may recover against a defendant who made illegal drugs available to an illegal user and the use of such drugs caused damages to others, see Drug Dealer Liability Act, §§ 13-21-801 to -813, C.R.S. Such damages may include punitive damages, reasonable </w:t>
      </w:r>
      <w:r w:rsidRPr="005E712D">
        <w:rPr>
          <w:rFonts w:eastAsia="Times New Roman"/>
          <w:sz w:val="24"/>
          <w:szCs w:val="24"/>
        </w:rPr>
        <w:lastRenderedPageBreak/>
        <w:t>attorney fees, and costs of suit. As to the persons who may recover such damages, see section 13-21-804(1), and as to the persons who may be held liable for such damages, see section 13-21-804(2)(a) and (b).</w:t>
      </w:r>
    </w:p>
    <w:p w14:paraId="3B8E45F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For a discussion of the admissibility of expert testimony based on the “willingness-to-pay” approach to determining damages for loss of enjoyment of life, sometimes referred to as hedonic damages, see </w:t>
      </w:r>
      <w:r w:rsidRPr="005E712D">
        <w:rPr>
          <w:rFonts w:eastAsia="Times New Roman"/>
          <w:b/>
          <w:sz w:val="24"/>
          <w:szCs w:val="24"/>
        </w:rPr>
        <w:t>Scharrel</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949 P.2d at 92.</w:t>
      </w:r>
    </w:p>
    <w:p w14:paraId="5C1DDC1B"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Whether Expert Testimony Is Required</w:t>
      </w:r>
    </w:p>
    <w:p w14:paraId="0091E27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11. Expert medical testimony is not necessarily required to establish that a plaintiff suffered a permanent injury. </w:t>
      </w:r>
      <w:r w:rsidRPr="005E712D">
        <w:rPr>
          <w:rFonts w:eastAsia="Times New Roman"/>
          <w:b/>
          <w:sz w:val="24"/>
          <w:szCs w:val="24"/>
        </w:rPr>
        <w:t>Lawson v. Safeway,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878 P.2d 127 (Colo. App. 1994).</w:t>
      </w:r>
    </w:p>
    <w:p w14:paraId="77A88201"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Interest</w:t>
      </w:r>
    </w:p>
    <w:p w14:paraId="16905DB9"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Under section 13-21-101(1), C.R.S., in a personal injury action based on tort, a plaintiff may recover interest on his or her personal injury damages from the date the action accrued, rather than from the date of filing suit. </w:t>
      </w:r>
      <w:r w:rsidRPr="005E712D">
        <w:rPr>
          <w:rFonts w:eastAsia="Times New Roman"/>
          <w:b/>
          <w:sz w:val="24"/>
          <w:szCs w:val="24"/>
        </w:rPr>
        <w:t>Briggs v. Cornwell</w:t>
      </w:r>
      <w:r w:rsidRPr="005E712D">
        <w:rPr>
          <w:rFonts w:eastAsia="Times New Roman"/>
          <w:sz w:val="24"/>
          <w:szCs w:val="24"/>
        </w:rPr>
        <w:t xml:space="preserve">, 676 P.2d 1252 (Colo. App. 1983). In a property damage case where damages are measured by repair and/or replacement costs, prejudgment interest accrues from the date the costs were incurred, not the date of the original damage. </w:t>
      </w:r>
      <w:r w:rsidRPr="005E712D">
        <w:rPr>
          <w:rFonts w:eastAsia="Times New Roman"/>
          <w:b/>
          <w:sz w:val="24"/>
          <w:szCs w:val="24"/>
        </w:rPr>
        <w:t>Goodyear Tire &amp; Rubber Co. v. Holmes</w:t>
      </w:r>
      <w:r w:rsidRPr="005E712D">
        <w:rPr>
          <w:rFonts w:eastAsia="Times New Roman"/>
          <w:sz w:val="24"/>
          <w:szCs w:val="24"/>
        </w:rPr>
        <w:t xml:space="preserve">, 193 P.3d 821 (Colo. 2008). Prejudgment interest, as an element of damage, is to be determined by the court. § 13-21-101(1). The trial court is to calculate interest on the amount of the reduced award, after application of any statutory damages caps, regardless of the amount awarded by the jury. </w:t>
      </w:r>
      <w:r w:rsidRPr="005E712D">
        <w:rPr>
          <w:rFonts w:eastAsia="Times New Roman"/>
          <w:b/>
          <w:sz w:val="24"/>
          <w:szCs w:val="24"/>
        </w:rPr>
        <w:t>Morris v. Goodwin</w:t>
      </w:r>
      <w:r w:rsidRPr="005E712D">
        <w:rPr>
          <w:rFonts w:eastAsia="Times New Roman"/>
          <w:sz w:val="24"/>
          <w:szCs w:val="24"/>
        </w:rPr>
        <w:t>, 185 P.3d 777 (Colo. 2008) (analyzing interest and damages cap of section 13-64-302).</w:t>
      </w:r>
    </w:p>
    <w:p w14:paraId="3B683CE0"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Collateral Source Rule</w:t>
      </w:r>
    </w:p>
    <w:p w14:paraId="28F43FD5" w14:textId="77777777" w:rsidR="005E712D" w:rsidRPr="005E712D" w:rsidRDefault="005E712D" w:rsidP="00E91DC9">
      <w:pPr>
        <w:spacing w:after="240"/>
        <w:ind w:firstLine="720"/>
        <w:rPr>
          <w:rFonts w:eastAsia="Times New Roman"/>
          <w:sz w:val="24"/>
          <w:szCs w:val="24"/>
        </w:rPr>
      </w:pPr>
      <w:r w:rsidRPr="005E712D">
        <w:rPr>
          <w:rFonts w:eastAsia="Times New Roman"/>
          <w:sz w:val="24"/>
          <w:szCs w:val="24"/>
        </w:rPr>
        <w:t xml:space="preserve">13. Section 13-21-111.6, C.R.S.,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Keelan v. Van Waters &amp; Rogers,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820 P.2d 1145 (Colo. App. 1991) (personal injury award obtained by Denver firefighter could not be reduced by amount of disability benefits received by firefighter through statewide fund created pursuant to statute because disability benefits were paid as a result of firefighter’s employment contract with the City of Denver), </w:t>
      </w:r>
      <w:r w:rsidRPr="005E712D">
        <w:rPr>
          <w:rFonts w:eastAsia="Times New Roman"/>
          <w:i/>
          <w:sz w:val="24"/>
          <w:szCs w:val="24"/>
        </w:rPr>
        <w:t>aff’d</w:t>
      </w:r>
      <w:r w:rsidRPr="005E712D">
        <w:rPr>
          <w:rFonts w:eastAsia="Times New Roman"/>
          <w:sz w:val="24"/>
          <w:szCs w:val="24"/>
        </w:rPr>
        <w:t xml:space="preserve">, 840 P.2d 1070 (Colo. 1992);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Crossgrove</w:t>
      </w:r>
      <w:r w:rsidRPr="005E712D">
        <w:rPr>
          <w:rFonts w:eastAsia="Times New Roman"/>
          <w:sz w:val="24"/>
          <w:szCs w:val="24"/>
        </w:rPr>
        <w:t xml:space="preserve">, 2012 CO 31, ¶ 18 (common law portion of the collateral source rule, which applies pre-verdict, required exclusion of evidence of amount paid by medical insurer for plaintiff’s medical expenses, even where offered solely to prove reasonable value of medical services, and collateral source statute applies only post-verdict); </w:t>
      </w:r>
      <w:r w:rsidRPr="005E712D">
        <w:rPr>
          <w:rFonts w:eastAsia="Times New Roman"/>
          <w:b/>
          <w:sz w:val="24"/>
          <w:szCs w:val="24"/>
        </w:rPr>
        <w:t>Smith v. Jeppsen</w:t>
      </w:r>
      <w:r w:rsidRPr="005E712D">
        <w:rPr>
          <w:rFonts w:eastAsia="Times New Roman"/>
          <w:sz w:val="24"/>
          <w:szCs w:val="24"/>
        </w:rPr>
        <w:t xml:space="preserve">, 2012 CO 32, ¶¶ 20-22, 277 P.3d 224 (companion case to </w:t>
      </w:r>
      <w:r w:rsidRPr="005E712D">
        <w:rPr>
          <w:rFonts w:eastAsia="Times New Roman"/>
          <w:b/>
          <w:sz w:val="24"/>
          <w:szCs w:val="24"/>
        </w:rPr>
        <w:t>Crossgrove</w:t>
      </w:r>
      <w:r w:rsidRPr="005E712D">
        <w:rPr>
          <w:rFonts w:eastAsia="Times New Roman"/>
          <w:sz w:val="24"/>
          <w:szCs w:val="24"/>
        </w:rPr>
        <w:t xml:space="preserve">); </w:t>
      </w:r>
      <w:r w:rsidRPr="005E712D">
        <w:rPr>
          <w:rFonts w:eastAsia="Times New Roman"/>
          <w:b/>
          <w:sz w:val="24"/>
          <w:szCs w:val="24"/>
        </w:rPr>
        <w:t>Sunahara v. State Farm Mut. Auto. Ins. Co.</w:t>
      </w:r>
      <w:r w:rsidRPr="005E712D">
        <w:rPr>
          <w:rFonts w:eastAsia="Times New Roman"/>
          <w:sz w:val="24"/>
          <w:szCs w:val="24"/>
        </w:rPr>
        <w:t xml:space="preserve">, 2012 CO 30M, ¶¶ 13-19, 280 P.3d 649 (companion case to </w:t>
      </w:r>
      <w:r w:rsidRPr="005E712D">
        <w:rPr>
          <w:rFonts w:eastAsia="Times New Roman"/>
          <w:b/>
          <w:sz w:val="24"/>
          <w:szCs w:val="24"/>
        </w:rPr>
        <w:t>Crossgrove</w:t>
      </w:r>
      <w:r w:rsidRPr="005E712D">
        <w:rPr>
          <w:rFonts w:eastAsia="Times New Roman"/>
          <w:sz w:val="24"/>
          <w:szCs w:val="24"/>
        </w:rPr>
        <w:t>);</w:t>
      </w:r>
      <w:r w:rsidRPr="005E712D">
        <w:rPr>
          <w:rFonts w:eastAsia="Times New Roman"/>
          <w:b/>
          <w:sz w:val="24"/>
          <w:szCs w:val="24"/>
        </w:rPr>
        <w:t xml:space="preserve"> Volunteers of Am. Colo. Branch v. Gardenswartz</w:t>
      </w:r>
      <w:r w:rsidRPr="005E712D">
        <w:rPr>
          <w:rFonts w:eastAsia="Times New Roman"/>
          <w:sz w:val="24"/>
          <w:szCs w:val="24"/>
        </w:rPr>
        <w:t xml:space="preserve">, 242 P.3d 1080 (Colo. 2010) (contract clause of statutory collateral source rule, § 13-21-111.6, applies where plaintiff’s medical insurer paid discounted amounts to medical providers, and, under the common-law collateral source rule, plaintiff’s damages are not reduced by the amount of the discount); </w:t>
      </w:r>
      <w:r w:rsidRPr="005E712D">
        <w:rPr>
          <w:rFonts w:eastAsia="Times New Roman"/>
          <w:b/>
          <w:sz w:val="24"/>
          <w:szCs w:val="24"/>
        </w:rPr>
        <w:t>Colo. Permanente Med. Grp.</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926 P.2d at 1230;</w:t>
      </w:r>
      <w:r w:rsidR="00E91DC9">
        <w:rPr>
          <w:rFonts w:eastAsia="Times New Roman"/>
          <w:sz w:val="24"/>
          <w:szCs w:val="24"/>
        </w:rPr>
        <w:t xml:space="preserve"> </w:t>
      </w:r>
      <w:r w:rsidR="00E91DC9">
        <w:rPr>
          <w:rFonts w:eastAsia="Times New Roman"/>
          <w:b/>
          <w:sz w:val="24"/>
          <w:szCs w:val="24"/>
        </w:rPr>
        <w:t xml:space="preserve">Forfar v. Wal-Mart Stores, Inc., </w:t>
      </w:r>
      <w:r w:rsidR="00E91DC9" w:rsidRPr="00BA4966">
        <w:rPr>
          <w:rFonts w:eastAsia="Times New Roman"/>
          <w:sz w:val="24"/>
          <w:szCs w:val="24"/>
        </w:rPr>
        <w:t>2018 COA 125, ¶ 31 (</w:t>
      </w:r>
      <w:r w:rsidR="00E91DC9">
        <w:rPr>
          <w:rFonts w:eastAsia="Times New Roman"/>
          <w:sz w:val="24"/>
          <w:szCs w:val="24"/>
        </w:rPr>
        <w:t>p</w:t>
      </w:r>
      <w:r w:rsidR="00E91DC9" w:rsidRPr="00BA4966">
        <w:rPr>
          <w:rFonts w:eastAsia="Times New Roman"/>
          <w:sz w:val="24"/>
          <w:szCs w:val="24"/>
        </w:rPr>
        <w:t xml:space="preserve">laintiff’s damages are not reduced in post-verdict proceedings by the amount of Medicare benefits received because such benefits fall </w:t>
      </w:r>
      <w:r w:rsidR="00E91DC9">
        <w:rPr>
          <w:rFonts w:eastAsia="Times New Roman"/>
          <w:sz w:val="24"/>
          <w:szCs w:val="24"/>
        </w:rPr>
        <w:t>within the contract exception in</w:t>
      </w:r>
      <w:r w:rsidR="00E91DC9" w:rsidRPr="00BA4966">
        <w:rPr>
          <w:rFonts w:eastAsia="Times New Roman"/>
          <w:sz w:val="24"/>
          <w:szCs w:val="24"/>
        </w:rPr>
        <w:t xml:space="preserve"> </w:t>
      </w:r>
      <w:r w:rsidR="00E91DC9">
        <w:rPr>
          <w:rFonts w:eastAsia="Times New Roman"/>
          <w:sz w:val="24"/>
          <w:szCs w:val="24"/>
        </w:rPr>
        <w:t>section</w:t>
      </w:r>
      <w:r w:rsidR="00E91DC9" w:rsidRPr="00BA4966">
        <w:rPr>
          <w:rFonts w:eastAsia="Times New Roman"/>
          <w:sz w:val="24"/>
          <w:szCs w:val="24"/>
        </w:rPr>
        <w:t xml:space="preserve"> 13-21-111.6);</w:t>
      </w:r>
      <w:r w:rsidRPr="005E712D">
        <w:rPr>
          <w:rFonts w:eastAsia="Times New Roman"/>
          <w:sz w:val="24"/>
          <w:szCs w:val="24"/>
        </w:rPr>
        <w:t xml:space="preserve"> </w:t>
      </w:r>
      <w:r w:rsidRPr="005E712D">
        <w:rPr>
          <w:rFonts w:eastAsia="Times New Roman"/>
          <w:b/>
          <w:sz w:val="24"/>
          <w:szCs w:val="24"/>
        </w:rPr>
        <w:t>Pressey v. Children’s Hosp. Colo.</w:t>
      </w:r>
      <w:r w:rsidRPr="005E712D">
        <w:rPr>
          <w:rFonts w:eastAsia="Times New Roman"/>
          <w:sz w:val="24"/>
          <w:szCs w:val="24"/>
        </w:rPr>
        <w:t>, 2017 COA 28, ¶ 14 (</w:t>
      </w:r>
      <w:r w:rsidR="00E91DC9">
        <w:rPr>
          <w:rFonts w:eastAsia="Times New Roman"/>
          <w:sz w:val="24"/>
          <w:szCs w:val="24"/>
        </w:rPr>
        <w:t xml:space="preserve">plaintiff’s </w:t>
      </w:r>
      <w:r w:rsidR="00E91DC9">
        <w:rPr>
          <w:rFonts w:eastAsia="Times New Roman"/>
          <w:sz w:val="24"/>
          <w:szCs w:val="24"/>
        </w:rPr>
        <w:lastRenderedPageBreak/>
        <w:t xml:space="preserve">damages are not reduced in post-verdict proceedings by the amount of </w:t>
      </w:r>
      <w:r w:rsidRPr="005E712D">
        <w:rPr>
          <w:rFonts w:eastAsia="Times New Roman"/>
          <w:sz w:val="24"/>
          <w:szCs w:val="24"/>
        </w:rPr>
        <w:t xml:space="preserve">Medicaid benefits </w:t>
      </w:r>
      <w:r w:rsidR="00E91DC9">
        <w:rPr>
          <w:rFonts w:eastAsia="Times New Roman"/>
          <w:sz w:val="24"/>
          <w:szCs w:val="24"/>
        </w:rPr>
        <w:t xml:space="preserve">received because such benefits fall within </w:t>
      </w:r>
      <w:r w:rsidRPr="005E712D">
        <w:rPr>
          <w:rFonts w:eastAsia="Times New Roman"/>
          <w:sz w:val="24"/>
          <w:szCs w:val="24"/>
        </w:rPr>
        <w:t xml:space="preserve">the contract exception </w:t>
      </w:r>
      <w:r w:rsidR="00E91DC9">
        <w:rPr>
          <w:rFonts w:eastAsia="Times New Roman"/>
          <w:sz w:val="24"/>
          <w:szCs w:val="24"/>
        </w:rPr>
        <w:t>in</w:t>
      </w:r>
      <w:r w:rsidR="00E91DC9" w:rsidRPr="005E712D">
        <w:rPr>
          <w:rFonts w:eastAsia="Times New Roman"/>
          <w:sz w:val="24"/>
          <w:szCs w:val="24"/>
        </w:rPr>
        <w:t xml:space="preserve"> </w:t>
      </w:r>
      <w:r w:rsidR="00E91DC9">
        <w:rPr>
          <w:rFonts w:eastAsia="Times New Roman"/>
          <w:sz w:val="24"/>
          <w:szCs w:val="24"/>
        </w:rPr>
        <w:t>section 13-21-111.6)</w:t>
      </w:r>
      <w:r w:rsidRPr="005E712D">
        <w:rPr>
          <w:rFonts w:eastAsia="Times New Roman"/>
          <w:sz w:val="24"/>
          <w:szCs w:val="24"/>
        </w:rPr>
        <w:t xml:space="preserve">; </w:t>
      </w:r>
      <w:r w:rsidRPr="005E712D">
        <w:rPr>
          <w:rFonts w:eastAsia="Times New Roman"/>
          <w:b/>
          <w:sz w:val="24"/>
          <w:szCs w:val="24"/>
        </w:rPr>
        <w:t>Dep’t of Human Servs. v. State Personnel Bd.</w:t>
      </w:r>
      <w:r w:rsidRPr="005E712D">
        <w:rPr>
          <w:rFonts w:eastAsia="Times New Roman"/>
          <w:sz w:val="24"/>
          <w:szCs w:val="24"/>
        </w:rPr>
        <w:t xml:space="preserve">, 2016 COA 37, ¶¶ 31-42, 371 P.3d 748 (PERA disability benefits constitute a collateral source and are not to be offset against a damage award.); </w:t>
      </w:r>
      <w:r w:rsidRPr="005E712D">
        <w:rPr>
          <w:rFonts w:eastAsia="Times New Roman"/>
          <w:b/>
          <w:sz w:val="24"/>
          <w:szCs w:val="24"/>
        </w:rPr>
        <w:t>Calderon v. Am. Family Mut. Ins. Co.</w:t>
      </w:r>
      <w:r w:rsidRPr="005E712D">
        <w:rPr>
          <w:rFonts w:eastAsia="Times New Roman"/>
          <w:sz w:val="24"/>
          <w:szCs w:val="24"/>
        </w:rPr>
        <w:t>, 2014 COA 70, ¶¶ 28-32</w:t>
      </w:r>
      <w:r w:rsidR="009A5ACD">
        <w:rPr>
          <w:rFonts w:eastAsia="Times New Roman"/>
          <w:sz w:val="24"/>
          <w:szCs w:val="24"/>
        </w:rPr>
        <w:t>, 409 P.3d 393</w:t>
      </w:r>
      <w:r w:rsidRPr="005E712D">
        <w:rPr>
          <w:rFonts w:eastAsia="Times New Roman"/>
          <w:sz w:val="24"/>
          <w:szCs w:val="24"/>
        </w:rPr>
        <w:t xml:space="preserve"> (post-verdict setoff rule codified in section 13-21-111.6</w:t>
      </w:r>
      <w:r w:rsidRPr="005E712D">
        <w:rPr>
          <w:rFonts w:eastAsia="Times New Roman"/>
          <w:b/>
          <w:sz w:val="24"/>
          <w:szCs w:val="24"/>
        </w:rPr>
        <w:t xml:space="preserve"> </w:t>
      </w:r>
      <w:r w:rsidRPr="005E712D">
        <w:rPr>
          <w:rFonts w:eastAsia="Times New Roman"/>
          <w:sz w:val="24"/>
          <w:szCs w:val="24"/>
        </w:rPr>
        <w:t>does not bar insurer from setting off Medpay benefit against judgment against insurer for UM/UIM benefits because the defendant is the collateral source),</w:t>
      </w:r>
      <w:r w:rsidRPr="005E712D">
        <w:rPr>
          <w:rFonts w:eastAsia="Times New Roman"/>
          <w:i/>
          <w:sz w:val="24"/>
          <w:szCs w:val="24"/>
        </w:rPr>
        <w:t xml:space="preserve"> rev’d on other grounds</w:t>
      </w:r>
      <w:r w:rsidRPr="005E712D">
        <w:rPr>
          <w:rFonts w:eastAsia="Times New Roman"/>
          <w:sz w:val="24"/>
          <w:szCs w:val="24"/>
        </w:rPr>
        <w:t xml:space="preserve">, 2016 CO 72, 383 P.3d 676; </w:t>
      </w:r>
      <w:r w:rsidRPr="005E712D">
        <w:rPr>
          <w:rFonts w:eastAsia="Times New Roman"/>
          <w:b/>
          <w:sz w:val="24"/>
          <w:szCs w:val="24"/>
        </w:rPr>
        <w:t>Stresscon Corp. v.</w:t>
      </w:r>
      <w:r w:rsidRPr="005E712D">
        <w:rPr>
          <w:rFonts w:eastAsia="Times New Roman"/>
          <w:sz w:val="24"/>
          <w:szCs w:val="24"/>
        </w:rPr>
        <w:t xml:space="preserve"> </w:t>
      </w:r>
      <w:r w:rsidRPr="005E712D">
        <w:rPr>
          <w:rFonts w:eastAsia="Times New Roman"/>
          <w:b/>
          <w:sz w:val="24"/>
          <w:szCs w:val="24"/>
        </w:rPr>
        <w:t>Travelers Prop. Cas. Co. of Am.</w:t>
      </w:r>
      <w:r w:rsidRPr="005E712D">
        <w:rPr>
          <w:rFonts w:eastAsia="Times New Roman"/>
          <w:sz w:val="24"/>
          <w:szCs w:val="24"/>
        </w:rPr>
        <w:t>, 2013 COA 131, ¶¶ 80-86</w:t>
      </w:r>
      <w:r w:rsidR="009A5ACD">
        <w:rPr>
          <w:rFonts w:eastAsia="Times New Roman"/>
          <w:sz w:val="24"/>
          <w:szCs w:val="24"/>
        </w:rPr>
        <w:t>, 373 P.3d 615</w:t>
      </w:r>
      <w:r w:rsidRPr="005E712D">
        <w:rPr>
          <w:rFonts w:eastAsia="Times New Roman"/>
          <w:sz w:val="24"/>
          <w:szCs w:val="24"/>
        </w:rPr>
        <w:t xml:space="preserve"> (contract clause of statutory collateral source rule normally would apply</w:t>
      </w:r>
      <w:r w:rsidRPr="005E712D">
        <w:rPr>
          <w:rFonts w:eastAsia="Times New Roman"/>
          <w:b/>
          <w:sz w:val="24"/>
          <w:szCs w:val="24"/>
        </w:rPr>
        <w:t xml:space="preserve"> </w:t>
      </w:r>
      <w:r w:rsidRPr="005E712D">
        <w:rPr>
          <w:rFonts w:eastAsia="Times New Roman"/>
          <w:sz w:val="24"/>
          <w:szCs w:val="24"/>
        </w:rPr>
        <w:t xml:space="preserve">to plaintiff’s receipt of insurance proceeds paid by sub-contractor’s insurer, but plaintiff contracted this right away by means of the “other insurance” clause in applicable insurance policies), </w:t>
      </w:r>
      <w:r w:rsidRPr="005E712D">
        <w:rPr>
          <w:rFonts w:eastAsia="Times New Roman"/>
          <w:i/>
          <w:sz w:val="24"/>
          <w:szCs w:val="24"/>
        </w:rPr>
        <w:t>rev’d on other grounds</w:t>
      </w:r>
      <w:r w:rsidRPr="005E712D">
        <w:rPr>
          <w:rFonts w:eastAsia="Times New Roman"/>
          <w:sz w:val="24"/>
          <w:szCs w:val="24"/>
        </w:rPr>
        <w:t xml:space="preserve">, 2016 CO 22M, 370 P.3d 140; </w:t>
      </w:r>
      <w:r w:rsidRPr="005E712D">
        <w:rPr>
          <w:rFonts w:eastAsia="Times New Roman"/>
          <w:b/>
          <w:sz w:val="24"/>
          <w:szCs w:val="24"/>
        </w:rPr>
        <w:t>Miller v. Brannon</w:t>
      </w:r>
      <w:r w:rsidRPr="005E712D">
        <w:rPr>
          <w:rFonts w:eastAsia="Times New Roman"/>
          <w:sz w:val="24"/>
          <w:szCs w:val="24"/>
        </w:rPr>
        <w:t xml:space="preserve">, 207 P.3d 923 (Colo. App. 2009) (PIP benefits received by plaintiff within contract exception to collateral source rule); </w:t>
      </w:r>
      <w:r w:rsidRPr="005E712D">
        <w:rPr>
          <w:rFonts w:eastAsia="Times New Roman"/>
          <w:b/>
          <w:sz w:val="24"/>
          <w:szCs w:val="24"/>
        </w:rPr>
        <w:t>Combined Commc’ns Corp. v. Pub. Serv. Co. of Colo.</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865 P.2d 893 (Colo. App. 1993). Where an insured obtains a judgment against an insurer for first-party benefits, however, the contract clause of section 13-21-111.6 does not preclude the insurer from exercising a contractual right to reduce the judgment by the amount the insurer previously paid for the insured’s medical expenses. </w:t>
      </w:r>
      <w:r w:rsidRPr="005E712D">
        <w:rPr>
          <w:rFonts w:eastAsia="Times New Roman"/>
          <w:b/>
          <w:sz w:val="24"/>
          <w:szCs w:val="24"/>
        </w:rPr>
        <w:t>Levy v. Am. Family Mut. Ins. Co.</w:t>
      </w:r>
      <w:r w:rsidRPr="005E712D">
        <w:rPr>
          <w:rFonts w:eastAsia="Times New Roman"/>
          <w:sz w:val="24"/>
          <w:szCs w:val="24"/>
        </w:rPr>
        <w:t xml:space="preserve">, 293 P.3d 40 (Colo. App. 2011). Under section 10-1-135(10)(a), the fact or amount of any collateral source payments is expressly inadmissible in actions against third-party tortfeasors or to recover uninsured motorist benefits under section 10-4-609, C.R.S. </w:t>
      </w:r>
      <w:r w:rsidRPr="005E712D">
        <w:rPr>
          <w:rFonts w:eastAsia="Times New Roman"/>
          <w:b/>
          <w:sz w:val="24"/>
          <w:szCs w:val="24"/>
        </w:rPr>
        <w:t>Smith</w:t>
      </w:r>
      <w:r w:rsidRPr="005E712D">
        <w:rPr>
          <w:rFonts w:eastAsia="Times New Roman"/>
          <w:sz w:val="24"/>
          <w:szCs w:val="24"/>
        </w:rPr>
        <w:t xml:space="preserve">, 2013 COA 103, ¶ 19 (Medicaid payments are inadmissible collateral source benefits and the “gratuitous government benefits” exception set forth in </w:t>
      </w:r>
      <w:r w:rsidRPr="005E712D">
        <w:rPr>
          <w:rFonts w:eastAsia="Times New Roman"/>
          <w:b/>
          <w:sz w:val="24"/>
          <w:szCs w:val="24"/>
        </w:rPr>
        <w:t>City of Englewood</w:t>
      </w:r>
      <w:r w:rsidRPr="005E712D">
        <w:rPr>
          <w:rFonts w:eastAsia="Times New Roman"/>
          <w:sz w:val="24"/>
          <w:szCs w:val="24"/>
        </w:rPr>
        <w:t xml:space="preserve">, 100 Colo. at 554, 68 P.2d at 915, and </w:t>
      </w:r>
      <w:r w:rsidRPr="005E712D">
        <w:rPr>
          <w:rFonts w:eastAsia="Times New Roman"/>
          <w:b/>
          <w:sz w:val="24"/>
          <w:szCs w:val="24"/>
        </w:rPr>
        <w:t>Gomez</w:t>
      </w:r>
      <w:r w:rsidRPr="005E712D">
        <w:rPr>
          <w:rFonts w:eastAsia="Times New Roman"/>
          <w:sz w:val="24"/>
          <w:szCs w:val="24"/>
        </w:rPr>
        <w:t>, 32 Colo. App. at 336, 511 P.2d at 533, was overruled by section 10-1-135(10)(a)).</w:t>
      </w:r>
    </w:p>
    <w:p w14:paraId="3D419BC8"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14. For a discussion of the relationship between the collateral source rule set forth in section 13-21-111.6, and the Uniform Contribution Among Tortfeasors Act, §§ 13-50.5-101 to -106, C.R.S., see </w:t>
      </w:r>
      <w:r w:rsidRPr="005E712D">
        <w:rPr>
          <w:rFonts w:eastAsia="Times New Roman"/>
          <w:b/>
          <w:sz w:val="24"/>
          <w:szCs w:val="24"/>
        </w:rPr>
        <w:t>Smith</w:t>
      </w:r>
      <w:r w:rsidRPr="005E712D">
        <w:rPr>
          <w:rFonts w:eastAsia="Times New Roman"/>
          <w:sz w:val="24"/>
          <w:szCs w:val="24"/>
        </w:rPr>
        <w:t>, 880 P.2d at 1188 (section 13-50.5-105 applies to settlement agreements entered into to avoid liability at trial, rather than the damage reduction provisions of the “collateral source rule” set forth in section 13-21-111.6).</w:t>
      </w:r>
    </w:p>
    <w:p w14:paraId="1902137D"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Federal Law</w:t>
      </w:r>
    </w:p>
    <w:p w14:paraId="7FB24EFD"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15. In FELA actions tried in state courts, the proper measure of damages is to be determined as a matter of federal law. </w:t>
      </w:r>
      <w:r w:rsidRPr="005E712D">
        <w:rPr>
          <w:rFonts w:eastAsia="Times New Roman"/>
          <w:b/>
          <w:sz w:val="24"/>
          <w:szCs w:val="24"/>
        </w:rPr>
        <w:t>Monessen Sw. Ry. v. Morgan</w:t>
      </w:r>
      <w:r w:rsidRPr="005E712D">
        <w:rPr>
          <w:rFonts w:eastAsia="Times New Roman"/>
          <w:sz w:val="24"/>
          <w:szCs w:val="24"/>
        </w:rPr>
        <w:t xml:space="preserve">, 486 U.S. 330 (1988) (as matter of federal law, plaintiff was not entitled to prejudgment interest, and damages for lost future earnings must be discounted to present value). For a discussion of various formulas for calculating a discount to present value, see </w:t>
      </w:r>
      <w:r w:rsidRPr="005E712D">
        <w:rPr>
          <w:rFonts w:eastAsia="Times New Roman"/>
          <w:b/>
          <w:sz w:val="24"/>
          <w:szCs w:val="24"/>
        </w:rPr>
        <w:t>Brady v. Burlington Northern Railroad</w:t>
      </w:r>
      <w:r w:rsidRPr="005E712D">
        <w:rPr>
          <w:rFonts w:eastAsia="Times New Roman"/>
          <w:sz w:val="24"/>
          <w:szCs w:val="24"/>
        </w:rPr>
        <w:t xml:space="preserve">, 752 P.2d 592 (Colo. App. 1988).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Failing v. Burlington N. R.R.</w:t>
      </w:r>
      <w:r w:rsidRPr="005E712D">
        <w:rPr>
          <w:rFonts w:eastAsia="Times New Roman"/>
          <w:sz w:val="24"/>
          <w:szCs w:val="24"/>
        </w:rPr>
        <w:t>, 815 P.2d 974 (Colo. App. 1991).</w:t>
      </w:r>
    </w:p>
    <w:p w14:paraId="768D4308" w14:textId="77777777" w:rsidR="0068336D" w:rsidRDefault="005E712D" w:rsidP="007A3A0E">
      <w:pPr>
        <w:spacing w:after="240"/>
        <w:ind w:firstLine="720"/>
        <w:rPr>
          <w:rFonts w:eastAsia="Times New Roman"/>
          <w:sz w:val="24"/>
          <w:szCs w:val="24"/>
        </w:rPr>
      </w:pPr>
      <w:r w:rsidRPr="005E712D">
        <w:rPr>
          <w:rFonts w:eastAsia="Times New Roman"/>
          <w:sz w:val="24"/>
          <w:szCs w:val="24"/>
        </w:rPr>
        <w:t>16. Other limitations on the recovery of damages may apply when recovery is sought against a volunteer of a nonprofit organization or governmental entity “for harm caused by an act or omission of the volunteer on behalf of the organization or entity.” 42 U.S.C. § 14503(a) (2012). For the applicable limitations, see Volunteer Protection Act of 1997, 42 U.S.C. §§ 14503 and 14504. When applicable, this and related instructions on damages must be modified as appropriate. 11 U.S.C. §§ 14501-05.</w:t>
      </w:r>
    </w:p>
    <w:p w14:paraId="24518551" w14:textId="77777777" w:rsidR="00434371" w:rsidRDefault="00434371">
      <w:pPr>
        <w:rPr>
          <w:rFonts w:eastAsia="Times New Roman"/>
          <w:sz w:val="24"/>
          <w:szCs w:val="24"/>
        </w:rPr>
      </w:pPr>
      <w:r>
        <w:rPr>
          <w:rFonts w:eastAsia="Times New Roman"/>
          <w:sz w:val="24"/>
          <w:szCs w:val="24"/>
        </w:rPr>
        <w:lastRenderedPageBreak/>
        <w:br w:type="page"/>
      </w:r>
    </w:p>
    <w:p w14:paraId="66742E32" w14:textId="77777777" w:rsidR="00434371" w:rsidRPr="009E3DA4" w:rsidRDefault="00434371" w:rsidP="00434371">
      <w:pPr>
        <w:spacing w:after="240"/>
        <w:ind w:left="720" w:hanging="720"/>
        <w:rPr>
          <w:rFonts w:eastAsia="Times New Roman"/>
          <w:b/>
          <w:sz w:val="24"/>
          <w:szCs w:val="24"/>
        </w:rPr>
      </w:pPr>
      <w:bookmarkStart w:id="3" w:name="a6_1A"/>
      <w:bookmarkEnd w:id="3"/>
      <w:r w:rsidRPr="00434371">
        <w:rPr>
          <w:rFonts w:eastAsia="Times New Roman"/>
          <w:b/>
          <w:sz w:val="24"/>
          <w:szCs w:val="24"/>
        </w:rPr>
        <w:lastRenderedPageBreak/>
        <w:t xml:space="preserve">6:1A </w:t>
      </w:r>
      <w:r w:rsidRPr="00434371">
        <w:rPr>
          <w:rFonts w:eastAsia="Times New Roman"/>
          <w:b/>
          <w:sz w:val="24"/>
          <w:szCs w:val="24"/>
        </w:rPr>
        <w:tab/>
        <w:t>SPECIAL INTERROGATORIES TO THE JURY TO DETERMINE THE AMOUNT OF DAMAGES AWARDED FOR ECONOMIC AND NONECONOMIC LOSSES OR INJURIES AND FOR PHYSICAL IMPAIRMENT OR DISFIGUREMENT ― MECHANICS FOR SUBMITTING</w:t>
      </w:r>
    </w:p>
    <w:p w14:paraId="121D0FBB"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The following questions relate to the amount of damages, if any, which you may determine the plaintiff is entitled to recover from (the defendant) (one or more of the defendants) on plaintiff’s claim of </w:t>
      </w:r>
      <w:r w:rsidRPr="00434371">
        <w:rPr>
          <w:rFonts w:eastAsia="Times New Roman"/>
          <w:i/>
          <w:sz w:val="24"/>
          <w:szCs w:val="24"/>
        </w:rPr>
        <w:t>(insert appropriate description of claim, e.g., “negligence,” “battery,” etc.)</w:t>
      </w:r>
      <w:r w:rsidRPr="00434371">
        <w:rPr>
          <w:rFonts w:eastAsia="Times New Roman"/>
          <w:b/>
          <w:sz w:val="24"/>
          <w:szCs w:val="24"/>
        </w:rPr>
        <w:t>.</w:t>
      </w:r>
    </w:p>
    <w:p w14:paraId="7FF12B0F"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If you find that the plaintiff is not entitled to recover any (actual) damages from (the defendant) (one or more of the defendants), then you should not answer any of the following questions and you should not fill in any part of the accompanying form titled “Answers to Questions Regarding Damages.”</w:t>
      </w:r>
    </w:p>
    <w:p w14:paraId="620DCC24"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On the other hand, if you find that the plaintiff is entitled to recover damages from (the defendant) (one or more of the defendants), then you must answer all of the following questions and your foreperson must put your answers on the form titled “Answers to Questions Regarding Damages.”</w:t>
      </w:r>
    </w:p>
    <w:p w14:paraId="465D7E49"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In answering these questions you should include all of the plaintiff’s damages which you find were caused, in whole or in part, by the </w:t>
      </w:r>
      <w:r w:rsidRPr="00434371">
        <w:rPr>
          <w:rFonts w:eastAsia="Times New Roman"/>
          <w:i/>
          <w:sz w:val="24"/>
          <w:szCs w:val="24"/>
        </w:rPr>
        <w:t>(insert appropriate description, e.g., negligence, fault, conduct, etc.)</w:t>
      </w:r>
      <w:r w:rsidRPr="00434371">
        <w:rPr>
          <w:rFonts w:eastAsia="Times New Roman"/>
          <w:b/>
          <w:sz w:val="24"/>
          <w:szCs w:val="24"/>
        </w:rPr>
        <w:t xml:space="preserve"> of (the defendant) (one or more of the defendants).</w:t>
      </w:r>
    </w:p>
    <w:p w14:paraId="0BC27E01"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You must all agree on your answers to each of the questions. After your foreperson has put your answers to all of the questions on the accompanying answer form, you must all sign the completed form on the signature lines provided at the end of the form.</w:t>
      </w:r>
    </w:p>
    <w:p w14:paraId="3F68AAC7"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1. What is the total amount of plaintiff’s damages, if any, for noneconomic losses or injuries, (excluding any damages for [physical impairment] [or] [disfigurement])? Noneconomic losses or injuries are those losses or injuries described in numbered paragraph 1 of Instruction </w:t>
      </w:r>
      <w:r w:rsidRPr="00434371">
        <w:rPr>
          <w:rFonts w:eastAsia="Times New Roman"/>
          <w:i/>
          <w:sz w:val="24"/>
          <w:szCs w:val="24"/>
        </w:rPr>
        <w:t>(insert number of the applicable instruction on damages)</w:t>
      </w:r>
      <w:r w:rsidRPr="00434371">
        <w:rPr>
          <w:rFonts w:eastAsia="Times New Roman"/>
          <w:b/>
          <w:sz w:val="24"/>
          <w:szCs w:val="24"/>
        </w:rPr>
        <w:t>. You should answer “0” if you determine there were none.</w:t>
      </w:r>
    </w:p>
    <w:p w14:paraId="2D6C79E6"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2. What is the total amount of plaintiff’s damages, if any, for economic losses, (excluding any damages for [physical impairment] [or] [disfigurement])? Economic losses are those losses described in numbered paragraph 2 of Instruction </w:t>
      </w:r>
      <w:r w:rsidRPr="00434371">
        <w:rPr>
          <w:rFonts w:eastAsia="Times New Roman"/>
          <w:i/>
          <w:sz w:val="24"/>
          <w:szCs w:val="24"/>
        </w:rPr>
        <w:t>(insert number of applicable instruction on damages)</w:t>
      </w:r>
      <w:r w:rsidRPr="00434371">
        <w:rPr>
          <w:rFonts w:eastAsia="Times New Roman"/>
          <w:b/>
          <w:sz w:val="24"/>
          <w:szCs w:val="24"/>
        </w:rPr>
        <w:t>. You should answer “0” if you determine there were none.</w:t>
      </w:r>
    </w:p>
    <w:p w14:paraId="358D2BB8"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(3. What is the total amount of plaintiff’s damages for [physical impairment] [or] [disfigurement]? You should answer “0” if you determine there were none.)</w:t>
      </w:r>
    </w:p>
    <w:p w14:paraId="03D31068" w14:textId="77777777" w:rsidR="00434371" w:rsidRDefault="00434371" w:rsidP="00434371">
      <w:pPr>
        <w:jc w:val="center"/>
        <w:rPr>
          <w:rFonts w:eastAsia="Times New Roman"/>
          <w:sz w:val="24"/>
          <w:szCs w:val="24"/>
        </w:rPr>
      </w:pPr>
    </w:p>
    <w:p w14:paraId="53292219" w14:textId="77777777" w:rsidR="00434371" w:rsidRPr="0054263B" w:rsidRDefault="00434371" w:rsidP="00434371">
      <w:pPr>
        <w:keepNext/>
        <w:spacing w:after="240"/>
        <w:jc w:val="center"/>
        <w:rPr>
          <w:rFonts w:eastAsia="Times New Roman"/>
          <w:b/>
          <w:sz w:val="24"/>
          <w:szCs w:val="24"/>
        </w:rPr>
      </w:pPr>
      <w:r w:rsidRPr="0054263B">
        <w:rPr>
          <w:rFonts w:eastAsia="Times New Roman"/>
          <w:b/>
          <w:sz w:val="24"/>
          <w:szCs w:val="24"/>
        </w:rPr>
        <w:t>Notes on Use</w:t>
      </w:r>
    </w:p>
    <w:p w14:paraId="6C0DFB63"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1. This instruction should be used in actions in which the limitations on damages for “noneconomic loss or injury” set forth in section 13-21-102.5, C.R.S., may apply.</w:t>
      </w:r>
    </w:p>
    <w:p w14:paraId="6F71EAC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lastRenderedPageBreak/>
        <w:t>2. Instruction 6:1B should be given whenever this instruction is given.</w:t>
      </w:r>
    </w:p>
    <w:p w14:paraId="004941E5"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3. The Notes on Use to Instruction 6:1 also apply to this instruction.</w:t>
      </w:r>
    </w:p>
    <w:p w14:paraId="1571A112"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4. The parenthesized language in the first sentences of numbered paragraphs 1 and 2 and the parenthesized numbered paragraph 3 of this instruction should be given only if there is sufficient evidence to support a finding that physical impairment or disfigurement has been sustained.</w:t>
      </w:r>
    </w:p>
    <w:p w14:paraId="433CEFD4"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5. In cases involving (1) comparative negligence (see Instructions 9:22 through 9:27D), (2) the negligence or fault of a nonparty (see Instructions 9:28 through 9:29B), or (3) comparative fault (see Instructions 14:30 through 14:33B), this instruction and Instruction 6:1B should not be used.</w:t>
      </w:r>
    </w:p>
    <w:p w14:paraId="13C97A61"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6. In cases involving multiple claims for both economic and noneconomic damages, if the damages for each such claim are identical, then this instruction should be appropriately modified so that only one set of the special interrogatories set forth in this instruction is submitted to the jury for all such claims. In such cases, Instruction 6:14 must be given with this instruction. On the other hand, if the economic and noneconomic damages for such claims are not identical, then a separate set of the special interrogatories set forth in this instruction must be submitted for each such claim.</w:t>
      </w:r>
    </w:p>
    <w:p w14:paraId="3368A98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7. When this instruction is given with instructions on damages other than Instruction 6:1 (such as 6:2 and 6:3), such other instructions on damages may need to be modified to differentiate the noneconomic damages and the economic damages. When making any such modifications, Instruction 6:1 may be used as a model.</w:t>
      </w:r>
    </w:p>
    <w:p w14:paraId="513CE5DA" w14:textId="77777777" w:rsidR="00434371" w:rsidRPr="0054263B" w:rsidRDefault="00434371" w:rsidP="00434371">
      <w:pPr>
        <w:keepNext/>
        <w:spacing w:after="240"/>
        <w:jc w:val="center"/>
        <w:rPr>
          <w:rFonts w:eastAsia="Times New Roman"/>
          <w:b/>
          <w:sz w:val="24"/>
          <w:szCs w:val="24"/>
        </w:rPr>
      </w:pPr>
      <w:r>
        <w:rPr>
          <w:rFonts w:eastAsia="Times New Roman"/>
          <w:b/>
          <w:sz w:val="24"/>
          <w:szCs w:val="24"/>
        </w:rPr>
        <w:t>Source and Authority</w:t>
      </w:r>
    </w:p>
    <w:p w14:paraId="284ACA6B" w14:textId="77777777" w:rsidR="00434371" w:rsidRDefault="00434371" w:rsidP="00434371">
      <w:pPr>
        <w:spacing w:after="240"/>
        <w:ind w:firstLine="720"/>
        <w:rPr>
          <w:rFonts w:eastAsia="Times New Roman"/>
          <w:sz w:val="24"/>
          <w:szCs w:val="24"/>
        </w:rPr>
      </w:pPr>
      <w:r w:rsidRPr="00434371">
        <w:rPr>
          <w:rFonts w:eastAsia="Times New Roman"/>
          <w:sz w:val="24"/>
          <w:szCs w:val="24"/>
        </w:rPr>
        <w:t>See the Source and Authority to Instruction 6:1.</w:t>
      </w:r>
    </w:p>
    <w:p w14:paraId="584425C3" w14:textId="77777777" w:rsidR="008557E1" w:rsidRDefault="008557E1">
      <w:pPr>
        <w:rPr>
          <w:rFonts w:eastAsia="Times New Roman"/>
          <w:sz w:val="24"/>
          <w:szCs w:val="24"/>
        </w:rPr>
      </w:pPr>
      <w:r>
        <w:rPr>
          <w:rFonts w:eastAsia="Times New Roman"/>
          <w:sz w:val="24"/>
          <w:szCs w:val="24"/>
        </w:rPr>
        <w:br w:type="page"/>
      </w:r>
    </w:p>
    <w:p w14:paraId="4969A133" w14:textId="77777777" w:rsidR="008557E1" w:rsidRPr="009E3DA4" w:rsidRDefault="008557E1" w:rsidP="008557E1">
      <w:pPr>
        <w:spacing w:after="240"/>
        <w:ind w:left="720" w:hanging="720"/>
        <w:rPr>
          <w:rFonts w:eastAsia="Times New Roman"/>
          <w:b/>
          <w:sz w:val="24"/>
          <w:szCs w:val="24"/>
        </w:rPr>
      </w:pPr>
      <w:bookmarkStart w:id="4" w:name="a6_1B"/>
      <w:bookmarkEnd w:id="4"/>
      <w:r w:rsidRPr="008557E1">
        <w:rPr>
          <w:rFonts w:eastAsia="Times New Roman"/>
          <w:b/>
          <w:sz w:val="24"/>
          <w:szCs w:val="24"/>
        </w:rPr>
        <w:t xml:space="preserve">6:1B </w:t>
      </w:r>
      <w:r w:rsidRPr="008557E1">
        <w:rPr>
          <w:rFonts w:eastAsia="Times New Roman"/>
          <w:b/>
          <w:sz w:val="24"/>
          <w:szCs w:val="24"/>
        </w:rPr>
        <w:tab/>
        <w:t>ANSWERS TO SPECIAL INTERROGATORIES TO THE JURY SET FORTH IN INSTRUCTION 6:1A</w:t>
      </w:r>
    </w:p>
    <w:p w14:paraId="745A08ED" w14:textId="77777777" w:rsidR="008557E1" w:rsidRPr="008557E1" w:rsidRDefault="008557E1" w:rsidP="008557E1">
      <w:pPr>
        <w:jc w:val="center"/>
        <w:rPr>
          <w:rFonts w:eastAsia="Times New Roman"/>
          <w:b/>
          <w:sz w:val="24"/>
          <w:szCs w:val="24"/>
        </w:rPr>
      </w:pPr>
      <w:r w:rsidRPr="008557E1">
        <w:rPr>
          <w:rFonts w:eastAsia="Times New Roman"/>
          <w:b/>
          <w:sz w:val="24"/>
          <w:szCs w:val="24"/>
        </w:rPr>
        <w:t xml:space="preserve">IN THE _______ COURT IN AND FOR THE </w:t>
      </w:r>
    </w:p>
    <w:p w14:paraId="3D155F6A" w14:textId="77777777" w:rsidR="008557E1" w:rsidRPr="008557E1" w:rsidRDefault="008557E1" w:rsidP="008557E1">
      <w:pPr>
        <w:jc w:val="center"/>
        <w:rPr>
          <w:rFonts w:eastAsia="Times New Roman"/>
          <w:b/>
          <w:sz w:val="24"/>
          <w:szCs w:val="24"/>
        </w:rPr>
      </w:pPr>
      <w:r w:rsidRPr="008557E1">
        <w:rPr>
          <w:rFonts w:eastAsia="Times New Roman"/>
          <w:b/>
          <w:sz w:val="24"/>
          <w:szCs w:val="24"/>
        </w:rPr>
        <w:t>COUNTY OF _______, STATE OF COLORADO</w:t>
      </w:r>
    </w:p>
    <w:p w14:paraId="77FA2DF6" w14:textId="77777777" w:rsidR="008557E1" w:rsidRPr="008557E1" w:rsidRDefault="008557E1" w:rsidP="008557E1">
      <w:pPr>
        <w:jc w:val="center"/>
        <w:rPr>
          <w:rFonts w:eastAsia="Times New Roman"/>
          <w:b/>
          <w:sz w:val="24"/>
          <w:szCs w:val="24"/>
        </w:rPr>
      </w:pPr>
    </w:p>
    <w:p w14:paraId="53C22902" w14:textId="77777777" w:rsidR="008557E1" w:rsidRPr="008557E1" w:rsidRDefault="008557E1" w:rsidP="008557E1">
      <w:pPr>
        <w:jc w:val="center"/>
        <w:rPr>
          <w:rFonts w:eastAsia="Times New Roman"/>
          <w:b/>
          <w:sz w:val="24"/>
          <w:szCs w:val="24"/>
        </w:rPr>
      </w:pPr>
      <w:r w:rsidRPr="008557E1">
        <w:rPr>
          <w:rFonts w:eastAsia="Times New Roman"/>
          <w:b/>
          <w:sz w:val="24"/>
          <w:szCs w:val="24"/>
        </w:rPr>
        <w:t>Civil Action No. _______</w:t>
      </w:r>
    </w:p>
    <w:p w14:paraId="5AAC0844" w14:textId="77777777" w:rsidR="008557E1" w:rsidRPr="008557E1" w:rsidRDefault="008557E1" w:rsidP="008557E1">
      <w:pPr>
        <w:rPr>
          <w:rFonts w:eastAsia="Times New Roman"/>
          <w:b/>
          <w:sz w:val="24"/>
          <w:szCs w:val="24"/>
        </w:rPr>
      </w:pPr>
    </w:p>
    <w:p w14:paraId="14C6110A" w14:textId="77777777" w:rsidR="008557E1" w:rsidRPr="008557E1" w:rsidRDefault="008557E1" w:rsidP="008557E1">
      <w:pPr>
        <w:rPr>
          <w:rFonts w:eastAsia="Times New Roman"/>
          <w:b/>
          <w:sz w:val="24"/>
          <w:szCs w:val="24"/>
        </w:rPr>
      </w:pPr>
    </w:p>
    <w:p w14:paraId="0D887B89" w14:textId="77777777" w:rsidR="008557E1" w:rsidRPr="008557E1" w:rsidRDefault="008557E1" w:rsidP="008557E1">
      <w:pPr>
        <w:rPr>
          <w:rFonts w:eastAsia="Times New Roman"/>
          <w:b/>
          <w:sz w:val="24"/>
          <w:szCs w:val="24"/>
        </w:rPr>
      </w:pPr>
    </w:p>
    <w:p w14:paraId="47F7F483"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___________________________________  )  </w:t>
      </w:r>
    </w:p>
    <w:p w14:paraId="0E6C12D8" w14:textId="77777777" w:rsidR="008557E1" w:rsidRPr="008557E1" w:rsidRDefault="008557E1" w:rsidP="008557E1">
      <w:pPr>
        <w:rPr>
          <w:rFonts w:eastAsia="Times New Roman"/>
          <w:b/>
          <w:sz w:val="24"/>
          <w:szCs w:val="24"/>
        </w:rPr>
      </w:pPr>
      <w:r w:rsidRPr="008557E1">
        <w:rPr>
          <w:rFonts w:eastAsia="Times New Roman"/>
          <w:b/>
          <w:sz w:val="24"/>
          <w:szCs w:val="24"/>
        </w:rPr>
        <w:tab/>
      </w:r>
      <w:r w:rsidRPr="008557E1">
        <w:rPr>
          <w:rFonts w:eastAsia="Times New Roman"/>
          <w:b/>
          <w:sz w:val="24"/>
          <w:szCs w:val="24"/>
        </w:rPr>
        <w:tab/>
        <w:t xml:space="preserve">      Plaintiff,      </w:t>
      </w:r>
      <w:r w:rsidRPr="008557E1">
        <w:rPr>
          <w:rFonts w:eastAsia="Times New Roman"/>
          <w:b/>
          <w:sz w:val="24"/>
          <w:szCs w:val="24"/>
        </w:rPr>
        <w:tab/>
      </w:r>
      <w:r w:rsidRPr="008557E1">
        <w:rPr>
          <w:rFonts w:eastAsia="Times New Roman"/>
          <w:b/>
          <w:sz w:val="24"/>
          <w:szCs w:val="24"/>
        </w:rPr>
        <w:tab/>
        <w:t xml:space="preserve">     )   ANSWERS TO QUESTIONS</w:t>
      </w:r>
    </w:p>
    <w:p w14:paraId="631BA65C"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t xml:space="preserve">v.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   REGARDING DAMAGES</w:t>
      </w:r>
    </w:p>
    <w:p w14:paraId="36C9F29C"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___________________________________  )  </w:t>
      </w:r>
    </w:p>
    <w:p w14:paraId="7C6D26AE" w14:textId="77777777" w:rsidR="008557E1" w:rsidRPr="008557E1" w:rsidRDefault="008557E1" w:rsidP="008557E1">
      <w:pPr>
        <w:rPr>
          <w:rFonts w:eastAsia="Times New Roman"/>
          <w:b/>
          <w:sz w:val="24"/>
          <w:szCs w:val="24"/>
        </w:rPr>
      </w:pPr>
      <w:r w:rsidRPr="008557E1">
        <w:rPr>
          <w:rFonts w:eastAsia="Times New Roman"/>
          <w:b/>
          <w:sz w:val="24"/>
          <w:szCs w:val="24"/>
        </w:rPr>
        <w:t xml:space="preserve">                              Defendant.  </w:t>
      </w:r>
      <w:r w:rsidRPr="008557E1">
        <w:rPr>
          <w:rFonts w:eastAsia="Times New Roman"/>
          <w:b/>
          <w:sz w:val="24"/>
          <w:szCs w:val="24"/>
        </w:rPr>
        <w:tab/>
      </w:r>
      <w:r w:rsidRPr="008557E1">
        <w:rPr>
          <w:rFonts w:eastAsia="Times New Roman"/>
          <w:b/>
          <w:sz w:val="24"/>
          <w:szCs w:val="24"/>
        </w:rPr>
        <w:tab/>
        <w:t xml:space="preserve">     )</w:t>
      </w:r>
    </w:p>
    <w:p w14:paraId="0271E384" w14:textId="77777777" w:rsidR="008557E1" w:rsidRPr="008557E1" w:rsidRDefault="008557E1" w:rsidP="008557E1">
      <w:pPr>
        <w:rPr>
          <w:rFonts w:eastAsia="Times New Roman"/>
          <w:b/>
          <w:sz w:val="24"/>
          <w:szCs w:val="24"/>
        </w:rPr>
      </w:pPr>
    </w:p>
    <w:p w14:paraId="6631EDA2" w14:textId="77777777" w:rsidR="008557E1" w:rsidRPr="008557E1" w:rsidRDefault="008557E1" w:rsidP="008557E1">
      <w:pPr>
        <w:rPr>
          <w:rFonts w:eastAsia="Times New Roman"/>
          <w:b/>
          <w:sz w:val="24"/>
          <w:szCs w:val="24"/>
        </w:rPr>
      </w:pPr>
    </w:p>
    <w:p w14:paraId="24763FEA" w14:textId="77777777" w:rsidR="008557E1" w:rsidRPr="008557E1" w:rsidRDefault="008557E1" w:rsidP="008557E1">
      <w:pPr>
        <w:ind w:firstLine="720"/>
        <w:rPr>
          <w:rFonts w:eastAsia="Times New Roman"/>
          <w:b/>
          <w:sz w:val="24"/>
          <w:szCs w:val="24"/>
        </w:rPr>
      </w:pPr>
      <w:r w:rsidRPr="008557E1">
        <w:rPr>
          <w:rFonts w:eastAsia="Times New Roman"/>
          <w:b/>
          <w:sz w:val="24"/>
          <w:szCs w:val="24"/>
        </w:rPr>
        <w:t>DO NOT ANSWER ANY OF THESE QUESTIONS IF YOU HAVE RETURNED A VERDICT IN FAVOR OF (THE DEFENDANT) (ALL OF THE DEFENDANTS) AND AGAINST THE PLAINTIFF</w:t>
      </w:r>
    </w:p>
    <w:p w14:paraId="677EB93D" w14:textId="77777777" w:rsidR="008557E1" w:rsidRPr="008557E1" w:rsidRDefault="008557E1" w:rsidP="008557E1">
      <w:pPr>
        <w:rPr>
          <w:rFonts w:eastAsia="Times New Roman"/>
          <w:b/>
          <w:sz w:val="24"/>
          <w:szCs w:val="24"/>
        </w:rPr>
      </w:pPr>
    </w:p>
    <w:p w14:paraId="03955313" w14:textId="77777777" w:rsidR="008557E1" w:rsidRPr="008557E1" w:rsidRDefault="008557E1" w:rsidP="008557E1">
      <w:pPr>
        <w:ind w:firstLine="720"/>
        <w:rPr>
          <w:rFonts w:eastAsia="Times New Roman"/>
          <w:b/>
          <w:sz w:val="24"/>
          <w:szCs w:val="24"/>
        </w:rPr>
      </w:pPr>
      <w:r w:rsidRPr="008557E1">
        <w:rPr>
          <w:rFonts w:eastAsia="Times New Roman"/>
          <w:b/>
          <w:sz w:val="24"/>
          <w:szCs w:val="24"/>
        </w:rPr>
        <w:t>We, the jury, present our Answers to the Questions submitted by the Court, to which we have all agreed:</w:t>
      </w:r>
    </w:p>
    <w:p w14:paraId="12A0A153" w14:textId="77777777" w:rsidR="008557E1" w:rsidRPr="008557E1" w:rsidRDefault="008557E1" w:rsidP="008557E1">
      <w:pPr>
        <w:rPr>
          <w:rFonts w:eastAsia="Times New Roman"/>
          <w:b/>
          <w:sz w:val="24"/>
          <w:szCs w:val="24"/>
        </w:rPr>
      </w:pPr>
    </w:p>
    <w:p w14:paraId="3759A114"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 xml:space="preserve">1. </w:t>
      </w:r>
      <w:r w:rsidRPr="008557E1">
        <w:rPr>
          <w:rFonts w:eastAsia="Times New Roman"/>
          <w:b/>
          <w:sz w:val="24"/>
          <w:szCs w:val="24"/>
        </w:rPr>
        <w:tab/>
        <w:t xml:space="preserve">What is the total amount of plaintiff’s damages for noneconomic losses or injuries (, excluding any damages for [physical impairment] [or] [disfigurement])? Noneconomic losses or injuries are those losses or injuries described in numbered paragraph 1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04855163" w14:textId="77777777" w:rsidR="008557E1" w:rsidRPr="008557E1" w:rsidRDefault="008557E1" w:rsidP="008557E1">
      <w:pPr>
        <w:ind w:left="1665"/>
        <w:rPr>
          <w:rFonts w:eastAsia="Times New Roman"/>
          <w:b/>
          <w:sz w:val="24"/>
          <w:szCs w:val="24"/>
        </w:rPr>
      </w:pPr>
    </w:p>
    <w:p w14:paraId="099003A2"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$_______</w:t>
      </w:r>
    </w:p>
    <w:p w14:paraId="74E807F5" w14:textId="77777777" w:rsidR="008557E1" w:rsidRPr="008557E1" w:rsidRDefault="008557E1" w:rsidP="008557E1">
      <w:pPr>
        <w:rPr>
          <w:rFonts w:eastAsia="Times New Roman"/>
          <w:b/>
          <w:sz w:val="24"/>
          <w:szCs w:val="24"/>
        </w:rPr>
      </w:pPr>
    </w:p>
    <w:p w14:paraId="0486455B"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2.</w:t>
      </w:r>
      <w:r w:rsidRPr="008557E1">
        <w:rPr>
          <w:rFonts w:eastAsia="Times New Roman"/>
          <w:b/>
          <w:sz w:val="24"/>
          <w:szCs w:val="24"/>
        </w:rPr>
        <w:tab/>
        <w:t xml:space="preserve">What is the total amount of plaintiff’s damages for economic losses (, excluding any damages for [physical impairment] [or] [disfigurement])? Economic losses are those losses described in numbered paragraph 2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2E1F7792" w14:textId="77777777" w:rsidR="008557E1" w:rsidRPr="008557E1" w:rsidRDefault="008557E1" w:rsidP="008557E1">
      <w:pPr>
        <w:ind w:left="1665"/>
        <w:rPr>
          <w:rFonts w:eastAsia="Times New Roman"/>
          <w:b/>
          <w:sz w:val="24"/>
          <w:szCs w:val="24"/>
        </w:rPr>
      </w:pPr>
    </w:p>
    <w:p w14:paraId="083AE8C5"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w:t>
      </w:r>
    </w:p>
    <w:p w14:paraId="5700810B" w14:textId="77777777" w:rsidR="008557E1" w:rsidRPr="008557E1" w:rsidRDefault="008557E1" w:rsidP="008557E1">
      <w:pPr>
        <w:rPr>
          <w:rFonts w:eastAsia="Times New Roman"/>
          <w:b/>
          <w:sz w:val="24"/>
          <w:szCs w:val="24"/>
        </w:rPr>
      </w:pPr>
    </w:p>
    <w:p w14:paraId="496354AB" w14:textId="77777777" w:rsidR="008557E1" w:rsidRPr="008557E1" w:rsidRDefault="008557E1" w:rsidP="008557E1">
      <w:pPr>
        <w:tabs>
          <w:tab w:val="left" w:pos="1080"/>
        </w:tabs>
        <w:ind w:left="720"/>
        <w:rPr>
          <w:rFonts w:eastAsia="Times New Roman"/>
          <w:b/>
          <w:sz w:val="24"/>
          <w:szCs w:val="24"/>
        </w:rPr>
      </w:pPr>
      <w:r w:rsidRPr="008557E1">
        <w:rPr>
          <w:rFonts w:eastAsia="Times New Roman"/>
          <w:b/>
          <w:sz w:val="24"/>
          <w:szCs w:val="24"/>
        </w:rPr>
        <w:t>3.</w:t>
      </w:r>
      <w:r w:rsidRPr="008557E1">
        <w:rPr>
          <w:rFonts w:eastAsia="Times New Roman"/>
          <w:b/>
          <w:sz w:val="24"/>
          <w:szCs w:val="24"/>
        </w:rPr>
        <w:tab/>
        <w:t xml:space="preserve">What is the total amount of plaintiff’s damages for [physical </w:t>
      </w:r>
    </w:p>
    <w:p w14:paraId="02B3FD84" w14:textId="77777777" w:rsidR="008557E1" w:rsidRPr="008557E1" w:rsidRDefault="008557E1" w:rsidP="008557E1">
      <w:pPr>
        <w:ind w:left="1080"/>
        <w:rPr>
          <w:rFonts w:eastAsia="Times New Roman"/>
          <w:b/>
          <w:sz w:val="24"/>
          <w:szCs w:val="24"/>
        </w:rPr>
      </w:pPr>
      <w:r w:rsidRPr="008557E1">
        <w:rPr>
          <w:rFonts w:eastAsia="Times New Roman"/>
          <w:b/>
          <w:sz w:val="24"/>
          <w:szCs w:val="24"/>
        </w:rPr>
        <w:t>impairment] [or] [disfigurement]? You should answer “0” if you determine there were none.</w:t>
      </w:r>
    </w:p>
    <w:p w14:paraId="4E1158D0" w14:textId="77777777" w:rsidR="008557E1" w:rsidRPr="008557E1" w:rsidRDefault="008557E1" w:rsidP="008557E1">
      <w:pPr>
        <w:ind w:left="1080"/>
        <w:rPr>
          <w:rFonts w:eastAsia="Times New Roman"/>
          <w:b/>
          <w:sz w:val="24"/>
          <w:szCs w:val="24"/>
        </w:rPr>
      </w:pPr>
    </w:p>
    <w:p w14:paraId="0A8915AF" w14:textId="77777777" w:rsidR="008557E1" w:rsidRPr="008557E1" w:rsidRDefault="008557E1" w:rsidP="008557E1">
      <w:pPr>
        <w:ind w:left="1080"/>
        <w:rPr>
          <w:rFonts w:eastAsia="Times New Roman"/>
          <w:b/>
          <w:sz w:val="24"/>
          <w:szCs w:val="24"/>
        </w:rPr>
      </w:pPr>
      <w:r w:rsidRPr="008557E1">
        <w:rPr>
          <w:rFonts w:eastAsia="Times New Roman"/>
          <w:b/>
          <w:sz w:val="24"/>
          <w:szCs w:val="24"/>
        </w:rPr>
        <w:t>ANSWER: $_______)</w:t>
      </w:r>
    </w:p>
    <w:p w14:paraId="48119731" w14:textId="77777777" w:rsidR="008557E1" w:rsidRPr="008557E1" w:rsidRDefault="008557E1" w:rsidP="008557E1">
      <w:pPr>
        <w:rPr>
          <w:rFonts w:eastAsia="Times New Roman"/>
          <w:b/>
          <w:sz w:val="24"/>
          <w:szCs w:val="24"/>
        </w:rPr>
      </w:pPr>
    </w:p>
    <w:p w14:paraId="65E20A9D"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BBE24BE"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Foreperson</w:t>
      </w:r>
    </w:p>
    <w:p w14:paraId="38946298"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F972554" w14:textId="77777777" w:rsidR="008557E1" w:rsidRPr="008557E1" w:rsidRDefault="008557E1" w:rsidP="008557E1">
      <w:pPr>
        <w:rPr>
          <w:rFonts w:eastAsia="Times New Roman"/>
          <w:b/>
          <w:sz w:val="24"/>
          <w:szCs w:val="24"/>
        </w:rPr>
      </w:pPr>
    </w:p>
    <w:p w14:paraId="547FE5A0"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49990A5C" w14:textId="77777777" w:rsidR="008557E1" w:rsidRPr="008557E1" w:rsidRDefault="008557E1" w:rsidP="008557E1">
      <w:pPr>
        <w:rPr>
          <w:rFonts w:eastAsia="Times New Roman"/>
          <w:b/>
          <w:sz w:val="24"/>
          <w:szCs w:val="24"/>
        </w:rPr>
      </w:pPr>
    </w:p>
    <w:p w14:paraId="0F2F4018" w14:textId="77777777" w:rsidR="008557E1" w:rsidRDefault="008557E1" w:rsidP="008557E1">
      <w:pPr>
        <w:jc w:val="center"/>
        <w:rPr>
          <w:rFonts w:eastAsia="Times New Roman"/>
          <w:sz w:val="24"/>
          <w:szCs w:val="24"/>
        </w:rPr>
      </w:pPr>
    </w:p>
    <w:p w14:paraId="22BA95F0" w14:textId="77777777" w:rsidR="008557E1" w:rsidRPr="0054263B" w:rsidRDefault="008557E1" w:rsidP="008557E1">
      <w:pPr>
        <w:keepNext/>
        <w:spacing w:after="240"/>
        <w:jc w:val="center"/>
        <w:rPr>
          <w:rFonts w:eastAsia="Times New Roman"/>
          <w:b/>
          <w:sz w:val="24"/>
          <w:szCs w:val="24"/>
        </w:rPr>
      </w:pPr>
      <w:r w:rsidRPr="0054263B">
        <w:rPr>
          <w:rFonts w:eastAsia="Times New Roman"/>
          <w:b/>
          <w:sz w:val="24"/>
          <w:szCs w:val="24"/>
        </w:rPr>
        <w:t>Notes on Use</w:t>
      </w:r>
    </w:p>
    <w:p w14:paraId="6B16DB05" w14:textId="77777777" w:rsidR="008557E1" w:rsidRDefault="008557E1" w:rsidP="008557E1">
      <w:pPr>
        <w:spacing w:after="240"/>
        <w:ind w:firstLine="720"/>
        <w:rPr>
          <w:rFonts w:eastAsia="Times New Roman"/>
          <w:sz w:val="24"/>
          <w:szCs w:val="24"/>
        </w:rPr>
      </w:pPr>
      <w:r w:rsidRPr="008557E1">
        <w:rPr>
          <w:rFonts w:eastAsia="Times New Roman"/>
          <w:sz w:val="24"/>
          <w:szCs w:val="24"/>
        </w:rPr>
        <w:t>See Notes on Use to Instructions 6:1 and 6:1A.</w:t>
      </w:r>
    </w:p>
    <w:p w14:paraId="66DD4FEA" w14:textId="77777777" w:rsidR="008557E1" w:rsidRPr="0054263B" w:rsidRDefault="008557E1" w:rsidP="008557E1">
      <w:pPr>
        <w:keepNext/>
        <w:spacing w:after="240"/>
        <w:jc w:val="center"/>
        <w:rPr>
          <w:rFonts w:eastAsia="Times New Roman"/>
          <w:b/>
          <w:sz w:val="24"/>
          <w:szCs w:val="24"/>
        </w:rPr>
      </w:pPr>
      <w:r>
        <w:rPr>
          <w:rFonts w:eastAsia="Times New Roman"/>
          <w:b/>
          <w:sz w:val="24"/>
          <w:szCs w:val="24"/>
        </w:rPr>
        <w:t>Source and Authority</w:t>
      </w:r>
    </w:p>
    <w:p w14:paraId="534FC303" w14:textId="77777777" w:rsidR="008557E1" w:rsidRDefault="008557E1" w:rsidP="008557E1">
      <w:pPr>
        <w:spacing w:after="240"/>
        <w:ind w:firstLine="720"/>
        <w:rPr>
          <w:rFonts w:eastAsia="Times New Roman"/>
          <w:sz w:val="24"/>
          <w:szCs w:val="24"/>
        </w:rPr>
      </w:pPr>
      <w:r w:rsidRPr="008557E1">
        <w:rPr>
          <w:rFonts w:eastAsia="Times New Roman"/>
          <w:sz w:val="24"/>
          <w:szCs w:val="24"/>
        </w:rPr>
        <w:t>See Source and Authority to Instruction 6:1.</w:t>
      </w:r>
    </w:p>
    <w:p w14:paraId="35F91F5C" w14:textId="77777777" w:rsidR="008A637B" w:rsidRDefault="008A637B">
      <w:pPr>
        <w:rPr>
          <w:rFonts w:eastAsia="Times New Roman"/>
          <w:sz w:val="24"/>
          <w:szCs w:val="24"/>
        </w:rPr>
      </w:pPr>
      <w:r>
        <w:rPr>
          <w:rFonts w:eastAsia="Times New Roman"/>
          <w:sz w:val="24"/>
          <w:szCs w:val="24"/>
        </w:rPr>
        <w:br w:type="page"/>
      </w:r>
    </w:p>
    <w:p w14:paraId="3134DB06" w14:textId="77777777" w:rsidR="008A637B" w:rsidRPr="009E3DA4" w:rsidRDefault="008A637B" w:rsidP="008A637B">
      <w:pPr>
        <w:spacing w:after="240"/>
        <w:ind w:left="720" w:hanging="720"/>
        <w:rPr>
          <w:rFonts w:eastAsia="Times New Roman"/>
          <w:b/>
          <w:sz w:val="24"/>
          <w:szCs w:val="24"/>
        </w:rPr>
      </w:pPr>
      <w:bookmarkStart w:id="5" w:name="a6_2"/>
      <w:bookmarkEnd w:id="5"/>
      <w:r w:rsidRPr="008A637B">
        <w:rPr>
          <w:rFonts w:eastAsia="Times New Roman"/>
          <w:b/>
          <w:sz w:val="24"/>
          <w:szCs w:val="24"/>
        </w:rPr>
        <w:t xml:space="preserve">6:2 </w:t>
      </w:r>
      <w:r w:rsidRPr="008A637B">
        <w:rPr>
          <w:rFonts w:eastAsia="Times New Roman"/>
          <w:b/>
          <w:sz w:val="24"/>
          <w:szCs w:val="24"/>
        </w:rPr>
        <w:tab/>
        <w:t>PERSONAL INJURIES — MINOR CHILD</w:t>
      </w:r>
    </w:p>
    <w:p w14:paraId="53C33D6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 </w:t>
      </w:r>
      <w:r w:rsidRPr="00683FA1">
        <w:rPr>
          <w:rFonts w:eastAsia="Times New Roman"/>
          <w:i/>
          <w:sz w:val="24"/>
          <w:szCs w:val="24"/>
        </w:rPr>
        <w:t>(name)</w:t>
      </w:r>
      <w:r w:rsidRPr="00683FA1">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w:t>
      </w:r>
      <w:r w:rsidRPr="00683FA1">
        <w:rPr>
          <w:rFonts w:eastAsia="Times New Roman"/>
          <w:i/>
          <w:sz w:val="24"/>
          <w:szCs w:val="24"/>
        </w:rPr>
        <w:t>(insert appropriate description, e.g., “negligence”)</w:t>
      </w:r>
      <w:r w:rsidRPr="00683FA1">
        <w:rPr>
          <w:rFonts w:eastAsia="Times New Roman"/>
          <w:b/>
          <w:sz w:val="24"/>
          <w:szCs w:val="24"/>
        </w:rPr>
        <w:t xml:space="preserve"> 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0417C2E2"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1E9C147F"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noneconomic losses or injuries which plaintiff has had to the present time or which plaintiff will probably have in the future, including: physical and mental pain and suffering, inconvenience, emotional stress, impairment of the quality of life, and </w:t>
      </w:r>
      <w:r w:rsidRPr="00683FA1">
        <w:rPr>
          <w:rFonts w:eastAsia="Times New Roman"/>
          <w:i/>
          <w:sz w:val="24"/>
          <w:szCs w:val="24"/>
        </w:rPr>
        <w:t>(insert any other recoverable noneconomic losses for which there is sufficient evidence)</w:t>
      </w:r>
      <w:r w:rsidRPr="00683FA1">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64CB0F0C"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2. Any economic losses or injuries which plaintiff will probably have in the future after (he) (she) reaches the age of 18 (or is otherwise emancipated), including: loss or damage to (his) (her) ability to earn money in the future, any (reasonable and necessary) medical, hospital, and other expenses the plaintiff, as a minor child, has paid for (or for which [he] [she] is personally responsible), and </w:t>
      </w:r>
      <w:r w:rsidRPr="00683FA1">
        <w:rPr>
          <w:rFonts w:eastAsia="Times New Roman"/>
          <w:i/>
          <w:sz w:val="24"/>
          <w:szCs w:val="24"/>
        </w:rPr>
        <w:t>(insert any other recoverable economic losses of which there is sufficient evidence)</w:t>
      </w:r>
      <w:r w:rsidRPr="00683FA1">
        <w:rPr>
          <w:rFonts w:eastAsia="Times New Roman"/>
          <w:b/>
          <w:sz w:val="24"/>
          <w:szCs w:val="24"/>
        </w:rPr>
        <w:t>. (In considering damages in this category, you shall not include actual damages for [physical impairment] [or] [disfigurement], since these damages, if any, are to be included in a separate category.)</w:t>
      </w:r>
    </w:p>
    <w:p w14:paraId="5D0D2110"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(3. Any [physical impairment] [or] [disfigurement]. In considering damages in this category, you shall not include damages again for losses or injuries already determined under either numbered paragraph 1 or 2 above.)</w:t>
      </w:r>
    </w:p>
    <w:p w14:paraId="5BBA5D9E"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(In determining the plaintiff’s, </w:t>
      </w:r>
      <w:r w:rsidRPr="00683FA1">
        <w:rPr>
          <w:rFonts w:eastAsia="Times New Roman"/>
          <w:i/>
          <w:sz w:val="24"/>
          <w:szCs w:val="24"/>
        </w:rPr>
        <w:t>(name of minor child)</w:t>
      </w:r>
      <w:r w:rsidRPr="00683FA1">
        <w:rPr>
          <w:rFonts w:eastAsia="Times New Roman"/>
          <w:b/>
          <w:sz w:val="24"/>
          <w:szCs w:val="24"/>
        </w:rPr>
        <w:t xml:space="preserve">, damages you should not include [any future expenses for </w:t>
      </w:r>
      <w:r w:rsidRPr="00683FA1">
        <w:rPr>
          <w:rFonts w:eastAsia="Times New Roman"/>
          <w:i/>
          <w:sz w:val="24"/>
          <w:szCs w:val="24"/>
        </w:rPr>
        <w:t>(insert appropriate description)</w:t>
      </w:r>
      <w:r w:rsidRPr="00683FA1">
        <w:rPr>
          <w:rFonts w:eastAsia="Times New Roman"/>
          <w:b/>
          <w:sz w:val="24"/>
          <w:szCs w:val="24"/>
        </w:rPr>
        <w:t xml:space="preserve">] [or] [any future (loss of earnings) (impairment of earning capacity)] which plaintiff </w:t>
      </w:r>
      <w:r w:rsidRPr="00683FA1">
        <w:rPr>
          <w:rFonts w:eastAsia="Times New Roman"/>
          <w:i/>
          <w:sz w:val="24"/>
          <w:szCs w:val="24"/>
        </w:rPr>
        <w:t>(name of minor child)</w:t>
      </w:r>
      <w:r w:rsidRPr="00683FA1">
        <w:rPr>
          <w:rFonts w:eastAsia="Times New Roman"/>
          <w:b/>
          <w:sz w:val="24"/>
          <w:szCs w:val="24"/>
        </w:rPr>
        <w:t xml:space="preserve"> may have between now and the time when (he) (she) reaches the age of 18 [or is emancipated] because these damages, if any, are recoverable by the plaintiff’s parents.) (For the same reason, you should not include in plaintiff’s, </w:t>
      </w:r>
      <w:r w:rsidRPr="00683FA1">
        <w:rPr>
          <w:rFonts w:eastAsia="Times New Roman"/>
          <w:i/>
          <w:sz w:val="24"/>
          <w:szCs w:val="24"/>
        </w:rPr>
        <w:t>(name of minor child)</w:t>
      </w:r>
      <w:r w:rsidRPr="00683FA1">
        <w:rPr>
          <w:rFonts w:eastAsia="Times New Roman"/>
          <w:b/>
          <w:sz w:val="24"/>
          <w:szCs w:val="24"/>
        </w:rPr>
        <w:t>, damages any damages for any loss of past earnings.)</w:t>
      </w:r>
    </w:p>
    <w:p w14:paraId="17A66B70" w14:textId="77777777" w:rsidR="008A637B" w:rsidRDefault="008A637B" w:rsidP="008A637B">
      <w:pPr>
        <w:jc w:val="center"/>
        <w:rPr>
          <w:rFonts w:eastAsia="Times New Roman"/>
          <w:sz w:val="24"/>
          <w:szCs w:val="24"/>
        </w:rPr>
      </w:pPr>
    </w:p>
    <w:p w14:paraId="667476E2" w14:textId="77777777" w:rsidR="008A637B" w:rsidRPr="0054263B" w:rsidRDefault="008A637B" w:rsidP="008A637B">
      <w:pPr>
        <w:keepNext/>
        <w:spacing w:after="240"/>
        <w:jc w:val="center"/>
        <w:rPr>
          <w:rFonts w:eastAsia="Times New Roman"/>
          <w:b/>
          <w:sz w:val="24"/>
          <w:szCs w:val="24"/>
        </w:rPr>
      </w:pPr>
      <w:r w:rsidRPr="0054263B">
        <w:rPr>
          <w:rFonts w:eastAsia="Times New Roman"/>
          <w:b/>
          <w:sz w:val="24"/>
          <w:szCs w:val="24"/>
        </w:rPr>
        <w:t>Notes on Use</w:t>
      </w:r>
    </w:p>
    <w:p w14:paraId="1D01BC1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The Notes on Use to Instruction 6:1 also apply to this instruction.</w:t>
      </w:r>
    </w:p>
    <w:p w14:paraId="66992E6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2. Omit any parenthesized or bracketed words or phrases which are inappropriate to the particular case. The last paragraph in particular should be omitted if there is no claim for damages relating to earnings or to expenses. If either or both of these matters are involved, such portions of this paragraph should be used as are appropriate.</w:t>
      </w:r>
    </w:p>
    <w:p w14:paraId="1D95BE72"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3. If one or both parents have joined with the minor as plaintiffs to recover their damages, Instruction 6:3 also should be given with this instruction.</w:t>
      </w:r>
    </w:p>
    <w:p w14:paraId="14B7E88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4. When necessary, Instruction 7:1, defining “minor child,” and Instruction 7:2, defining “emancipation,” should be given with this instruction.</w:t>
      </w:r>
    </w:p>
    <w:p w14:paraId="6E5FE64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5. For a discussion of the propriety of submitting to the jury the issue of post-majority lost future earning capacity or lost wages under a general damage instruction without any evidence as to the amount or measure of these damages, see </w:t>
      </w:r>
      <w:r w:rsidRPr="008A637B">
        <w:rPr>
          <w:rFonts w:eastAsia="Times New Roman"/>
          <w:b/>
          <w:sz w:val="24"/>
          <w:szCs w:val="24"/>
        </w:rPr>
        <w:t>Stewart v. Rice</w:t>
      </w:r>
      <w:r w:rsidRPr="008A637B">
        <w:rPr>
          <w:rFonts w:eastAsia="Times New Roman"/>
          <w:sz w:val="24"/>
          <w:szCs w:val="24"/>
        </w:rPr>
        <w:t xml:space="preserve">, 25 P.3d 1233 (Colo. App. 2000), </w:t>
      </w:r>
      <w:r w:rsidRPr="008A637B">
        <w:rPr>
          <w:rFonts w:eastAsia="Times New Roman"/>
          <w:i/>
          <w:sz w:val="24"/>
          <w:szCs w:val="24"/>
        </w:rPr>
        <w:t>rev’d on other grounds</w:t>
      </w:r>
      <w:r w:rsidRPr="008A637B">
        <w:rPr>
          <w:rFonts w:eastAsia="Times New Roman"/>
          <w:sz w:val="24"/>
          <w:szCs w:val="24"/>
        </w:rPr>
        <w:t>, 47 P.3d 316 (Colo. 2002).</w:t>
      </w:r>
    </w:p>
    <w:p w14:paraId="7011C87E" w14:textId="77777777" w:rsidR="008A637B" w:rsidRPr="0054263B" w:rsidRDefault="008A637B" w:rsidP="008A637B">
      <w:pPr>
        <w:keepNext/>
        <w:spacing w:after="240"/>
        <w:jc w:val="center"/>
        <w:rPr>
          <w:rFonts w:eastAsia="Times New Roman"/>
          <w:b/>
          <w:sz w:val="24"/>
          <w:szCs w:val="24"/>
        </w:rPr>
      </w:pPr>
      <w:r>
        <w:rPr>
          <w:rFonts w:eastAsia="Times New Roman"/>
          <w:b/>
          <w:sz w:val="24"/>
          <w:szCs w:val="24"/>
        </w:rPr>
        <w:t>Source and Authority</w:t>
      </w:r>
    </w:p>
    <w:p w14:paraId="75458B79"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This instruction is supported by section 13-21-102.5, C.R.S.</w:t>
      </w:r>
    </w:p>
    <w:p w14:paraId="08048AFC"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2. As to the age at which a child ceases to be a minor, see sections 2-4-401(6) and 13-22-101, C.R.S.</w:t>
      </w:r>
    </w:p>
    <w:p w14:paraId="315499EC"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3.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Pr="008A637B">
        <w:rPr>
          <w:rFonts w:eastAsia="Times New Roman"/>
          <w:b/>
          <w:sz w:val="24"/>
          <w:szCs w:val="24"/>
        </w:rPr>
        <w:t>Pressey v. Children’s Hosp. Colo.</w:t>
      </w:r>
      <w:r w:rsidRPr="008A637B">
        <w:rPr>
          <w:rFonts w:eastAsia="Times New Roman"/>
          <w:sz w:val="24"/>
          <w:szCs w:val="24"/>
        </w:rPr>
        <w:t xml:space="preserve">, 2017 COA 28, ¶ 26; </w:t>
      </w:r>
      <w:r w:rsidRPr="008A637B">
        <w:rPr>
          <w:rFonts w:eastAsia="Times New Roman"/>
          <w:i/>
          <w:sz w:val="24"/>
          <w:szCs w:val="24"/>
        </w:rPr>
        <w:t>see also</w:t>
      </w:r>
      <w:r w:rsidRPr="008A637B">
        <w:rPr>
          <w:rFonts w:eastAsia="Times New Roman"/>
          <w:sz w:val="24"/>
          <w:szCs w:val="24"/>
        </w:rPr>
        <w:t xml:space="preserve"> </w:t>
      </w:r>
      <w:r w:rsidRPr="008A637B">
        <w:rPr>
          <w:rFonts w:eastAsia="Times New Roman"/>
          <w:b/>
          <w:sz w:val="24"/>
          <w:szCs w:val="24"/>
        </w:rPr>
        <w:t>Nat’l Fuel Co. v. Green</w:t>
      </w:r>
      <w:r w:rsidRPr="008A637B">
        <w:rPr>
          <w:rFonts w:eastAsia="Times New Roman"/>
          <w:sz w:val="24"/>
          <w:szCs w:val="24"/>
        </w:rPr>
        <w:t>, 50 Colo. 307, 115 P. 709 (1911).</w:t>
      </w:r>
    </w:p>
    <w:p w14:paraId="15A1CB4D"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4. As to the minor’s right to recover for pain and suffering, see </w:t>
      </w:r>
      <w:r w:rsidRPr="008A637B">
        <w:rPr>
          <w:rFonts w:eastAsia="Times New Roman"/>
          <w:b/>
          <w:sz w:val="24"/>
          <w:szCs w:val="24"/>
        </w:rPr>
        <w:t>Colorado Utilities Corp. v. Casady</w:t>
      </w:r>
      <w:r w:rsidRPr="008A637B">
        <w:rPr>
          <w:rFonts w:eastAsia="Times New Roman"/>
          <w:sz w:val="24"/>
          <w:szCs w:val="24"/>
        </w:rPr>
        <w:t>, 89 Colo. 156, 300 P. 601 (1931).</w:t>
      </w:r>
    </w:p>
    <w:p w14:paraId="7B01174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5. The parent is entitled to recover for loss of the minor’s earnings during the child’s minority unless the child has been emancipated, </w:t>
      </w:r>
      <w:r w:rsidRPr="008A637B">
        <w:rPr>
          <w:rFonts w:eastAsia="Times New Roman"/>
          <w:b/>
          <w:sz w:val="24"/>
          <w:szCs w:val="24"/>
        </w:rPr>
        <w:t>Pawnee Farmers’ Elevator Co. v. Powell</w:t>
      </w:r>
      <w:r w:rsidRPr="008A637B">
        <w:rPr>
          <w:rFonts w:eastAsia="Times New Roman"/>
          <w:sz w:val="24"/>
          <w:szCs w:val="24"/>
        </w:rPr>
        <w:t xml:space="preserve">, 76 Colo. 1, 227 P. 836 (1924), or, unless the parent has allowed the child to retain the child’s own earnings. </w:t>
      </w:r>
      <w:r w:rsidRPr="008A637B">
        <w:rPr>
          <w:rFonts w:eastAsia="Times New Roman"/>
          <w:i/>
          <w:sz w:val="24"/>
          <w:szCs w:val="24"/>
        </w:rPr>
        <w:t>See</w:t>
      </w:r>
      <w:r w:rsidRPr="008A637B">
        <w:rPr>
          <w:rFonts w:eastAsia="Times New Roman"/>
          <w:sz w:val="24"/>
          <w:szCs w:val="24"/>
        </w:rPr>
        <w:t xml:space="preserve"> </w:t>
      </w:r>
      <w:r w:rsidRPr="008A637B">
        <w:rPr>
          <w:rFonts w:eastAsia="Times New Roman"/>
          <w:b/>
          <w:sz w:val="24"/>
          <w:szCs w:val="24"/>
        </w:rPr>
        <w:t>Harman v. Chase</w:t>
      </w:r>
      <w:r w:rsidRPr="008A637B">
        <w:rPr>
          <w:rFonts w:eastAsia="Times New Roman"/>
          <w:sz w:val="24"/>
          <w:szCs w:val="24"/>
        </w:rPr>
        <w:t xml:space="preserve">, 160 Colo. 449, 417 P.2d 784 (1966) (by implication). The minor, however, is entitled to damages for any loss or impairment of future earning capacity if such loss is supported by sufficient evidence. </w:t>
      </w:r>
      <w:r w:rsidRPr="008A637B">
        <w:rPr>
          <w:rFonts w:eastAsia="Times New Roman"/>
          <w:b/>
          <w:sz w:val="24"/>
          <w:szCs w:val="24"/>
        </w:rPr>
        <w:t>Pawnee Farmers Elevator Co.</w:t>
      </w:r>
      <w:r w:rsidRPr="008A637B">
        <w:rPr>
          <w:rFonts w:eastAsia="Times New Roman"/>
          <w:sz w:val="24"/>
          <w:szCs w:val="24"/>
        </w:rPr>
        <w:t xml:space="preserve">, 76 Colo. at 7, 227 P. at 839; </w:t>
      </w:r>
      <w:r w:rsidRPr="008A637B">
        <w:rPr>
          <w:rFonts w:eastAsia="Times New Roman"/>
          <w:i/>
          <w:sz w:val="24"/>
          <w:szCs w:val="24"/>
        </w:rPr>
        <w:t>see also</w:t>
      </w:r>
      <w:r w:rsidRPr="008A637B">
        <w:rPr>
          <w:rFonts w:eastAsia="Times New Roman"/>
          <w:sz w:val="24"/>
          <w:szCs w:val="24"/>
        </w:rPr>
        <w:t xml:space="preserve"> </w:t>
      </w:r>
      <w:r w:rsidRPr="008A637B">
        <w:rPr>
          <w:rFonts w:eastAsia="Times New Roman"/>
          <w:b/>
          <w:sz w:val="24"/>
          <w:szCs w:val="24"/>
        </w:rPr>
        <w:t>Thompson v. Tartler</w:t>
      </w:r>
      <w:r w:rsidRPr="008A637B">
        <w:rPr>
          <w:rFonts w:eastAsia="Times New Roman"/>
          <w:sz w:val="24"/>
          <w:szCs w:val="24"/>
        </w:rPr>
        <w:t xml:space="preserve">, 166 Colo. 247, 443 P.2d 365 (1968); </w:t>
      </w:r>
      <w:r w:rsidRPr="008A637B">
        <w:rPr>
          <w:rFonts w:eastAsia="Times New Roman"/>
          <w:b/>
          <w:sz w:val="24"/>
          <w:szCs w:val="24"/>
        </w:rPr>
        <w:t>Odell v. Pub. Serv. Co</w:t>
      </w:r>
      <w:r w:rsidRPr="008A637B">
        <w:rPr>
          <w:rFonts w:eastAsia="Times New Roman"/>
          <w:sz w:val="24"/>
          <w:szCs w:val="24"/>
        </w:rPr>
        <w:t>., 158 Colo. 404, 407 P.2d 330 (1965).</w:t>
      </w:r>
    </w:p>
    <w:p w14:paraId="73E6AB26"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6. A parent may relinquish the right to pre-majority expenses. </w:t>
      </w:r>
      <w:r w:rsidRPr="008A637B">
        <w:rPr>
          <w:rFonts w:eastAsia="Times New Roman"/>
          <w:b/>
          <w:sz w:val="24"/>
          <w:szCs w:val="24"/>
        </w:rPr>
        <w:t>Pressey</w:t>
      </w:r>
      <w:r w:rsidRPr="008A637B">
        <w:rPr>
          <w:rFonts w:eastAsia="Times New Roman"/>
          <w:sz w:val="24"/>
          <w:szCs w:val="24"/>
        </w:rPr>
        <w:t>, 2017 COA 28, ¶ 27.</w:t>
      </w:r>
    </w:p>
    <w:p w14:paraId="7340BF05" w14:textId="77777777" w:rsidR="00683FA1" w:rsidRDefault="00683FA1">
      <w:pPr>
        <w:rPr>
          <w:rFonts w:eastAsia="Times New Roman"/>
          <w:sz w:val="24"/>
          <w:szCs w:val="24"/>
        </w:rPr>
      </w:pPr>
      <w:r>
        <w:rPr>
          <w:rFonts w:eastAsia="Times New Roman"/>
          <w:sz w:val="24"/>
          <w:szCs w:val="24"/>
        </w:rPr>
        <w:br w:type="page"/>
      </w:r>
    </w:p>
    <w:p w14:paraId="15ED2A84" w14:textId="77777777" w:rsidR="00683FA1" w:rsidRPr="009E3DA4" w:rsidRDefault="00683FA1" w:rsidP="00683FA1">
      <w:pPr>
        <w:spacing w:after="240"/>
        <w:ind w:left="720" w:hanging="720"/>
        <w:rPr>
          <w:rFonts w:eastAsia="Times New Roman"/>
          <w:b/>
          <w:sz w:val="24"/>
          <w:szCs w:val="24"/>
        </w:rPr>
      </w:pPr>
      <w:bookmarkStart w:id="6" w:name="a6_3"/>
      <w:bookmarkEnd w:id="6"/>
      <w:r w:rsidRPr="00683FA1">
        <w:rPr>
          <w:rFonts w:eastAsia="Times New Roman"/>
          <w:b/>
          <w:sz w:val="24"/>
          <w:szCs w:val="24"/>
        </w:rPr>
        <w:t xml:space="preserve">6:3 </w:t>
      </w:r>
      <w:r w:rsidRPr="00683FA1">
        <w:rPr>
          <w:rFonts w:eastAsia="Times New Roman"/>
          <w:b/>
          <w:sz w:val="24"/>
          <w:szCs w:val="24"/>
        </w:rPr>
        <w:tab/>
        <w:t>PERSONAL INJURIES — MINOR CHILD — MEASURE OF PARENTS’ DAMAGES</w:t>
      </w:r>
    </w:p>
    <w:p w14:paraId="4684BBA1"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Plaintiff(s), </w:t>
      </w:r>
      <w:r w:rsidRPr="00683FA1">
        <w:rPr>
          <w:rFonts w:eastAsia="Times New Roman"/>
          <w:i/>
          <w:sz w:val="24"/>
          <w:szCs w:val="24"/>
        </w:rPr>
        <w:t>(name[s])</w:t>
      </w:r>
      <w:r w:rsidRPr="00683FA1">
        <w:rPr>
          <w:rFonts w:eastAsia="Times New Roman"/>
          <w:b/>
          <w:sz w:val="24"/>
          <w:szCs w:val="24"/>
        </w:rPr>
        <w:t xml:space="preserve">, (has) (have) the burden of proving, by a preponderance of the evidence, the nature and extent of (his) (her) (their) damages. If you find in favor of the plaintiff(s), </w:t>
      </w:r>
      <w:r w:rsidRPr="00683FA1">
        <w:rPr>
          <w:rFonts w:eastAsia="Times New Roman"/>
          <w:i/>
          <w:sz w:val="24"/>
          <w:szCs w:val="24"/>
        </w:rPr>
        <w:t>(name of parent[s])</w:t>
      </w:r>
      <w:r w:rsidRPr="00683FA1">
        <w:rPr>
          <w:rFonts w:eastAsia="Times New Roman"/>
          <w:b/>
          <w:sz w:val="24"/>
          <w:szCs w:val="24"/>
        </w:rPr>
        <w:t xml:space="preserve">, on (his) (her) (their) claim of damages for injuries caused to (his) (her) (their) minor child, </w:t>
      </w:r>
      <w:r w:rsidRPr="00683FA1">
        <w:rPr>
          <w:rFonts w:eastAsia="Times New Roman"/>
          <w:i/>
          <w:sz w:val="24"/>
          <w:szCs w:val="24"/>
        </w:rPr>
        <w:t>(name of minor child)</w:t>
      </w:r>
      <w:r w:rsidRPr="00683FA1">
        <w:rPr>
          <w:rFonts w:eastAsia="Times New Roman"/>
          <w:b/>
          <w:sz w:val="24"/>
          <w:szCs w:val="24"/>
        </w:rPr>
        <w:t xml:space="preserve">, by the defendant(s), </w:t>
      </w:r>
      <w:r w:rsidRPr="00683FA1">
        <w:rPr>
          <w:rFonts w:eastAsia="Times New Roman"/>
          <w:i/>
          <w:sz w:val="24"/>
          <w:szCs w:val="24"/>
        </w:rPr>
        <w:t>(name[s] of defendant[s])</w:t>
      </w:r>
      <w:r w:rsidRPr="00683FA1">
        <w:rPr>
          <w:rFonts w:eastAsia="Times New Roman"/>
          <w:b/>
          <w:sz w:val="24"/>
          <w:szCs w:val="24"/>
        </w:rPr>
        <w:t xml:space="preserve">, you must determine the total dollar amount of plaintiff(’s)(s’), </w:t>
      </w:r>
      <w:r w:rsidRPr="00683FA1">
        <w:rPr>
          <w:rFonts w:eastAsia="Times New Roman"/>
          <w:i/>
          <w:sz w:val="24"/>
          <w:szCs w:val="24"/>
        </w:rPr>
        <w:t>(name[s] of parent[s])</w:t>
      </w:r>
      <w:r w:rsidRPr="00683FA1">
        <w:rPr>
          <w:rFonts w:eastAsia="Times New Roman"/>
          <w:b/>
          <w:sz w:val="24"/>
          <w:szCs w:val="24"/>
        </w:rPr>
        <w:t xml:space="preserve">, damages, if any, that were caused by the </w:t>
      </w:r>
      <w:r w:rsidRPr="00683FA1">
        <w:rPr>
          <w:rFonts w:eastAsia="Times New Roman"/>
          <w:i/>
          <w:sz w:val="24"/>
          <w:szCs w:val="24"/>
        </w:rPr>
        <w:t xml:space="preserve">(insert appropriate description, e.g., “negligence”) </w:t>
      </w:r>
      <w:r w:rsidRPr="00683FA1">
        <w:rPr>
          <w:rFonts w:eastAsia="Times New Roman"/>
          <w:b/>
          <w:sz w:val="24"/>
          <w:szCs w:val="24"/>
        </w:rPr>
        <w:t xml:space="preserve">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6D1EF9BC"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585F90DD"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(reasonable and necessary) expenses the plaintiff(s) (has) (have) had on </w:t>
      </w:r>
      <w:r w:rsidRPr="00683FA1">
        <w:rPr>
          <w:rFonts w:eastAsia="Times New Roman"/>
          <w:i/>
          <w:sz w:val="24"/>
          <w:szCs w:val="24"/>
        </w:rPr>
        <w:t>(name of minor child)</w:t>
      </w:r>
      <w:r w:rsidRPr="00683FA1">
        <w:rPr>
          <w:rFonts w:eastAsia="Times New Roman"/>
          <w:b/>
          <w:sz w:val="24"/>
          <w:szCs w:val="24"/>
        </w:rPr>
        <w:t xml:space="preserve">’s behalf to the present time and any expenses the plaintiff(s), </w:t>
      </w:r>
      <w:r w:rsidRPr="00683FA1">
        <w:rPr>
          <w:rFonts w:eastAsia="Times New Roman"/>
          <w:i/>
          <w:sz w:val="24"/>
          <w:szCs w:val="24"/>
        </w:rPr>
        <w:t>(name[s] of parent[s])</w:t>
      </w:r>
      <w:r w:rsidRPr="00683FA1">
        <w:rPr>
          <w:rFonts w:eastAsia="Times New Roman"/>
          <w:b/>
          <w:sz w:val="24"/>
          <w:szCs w:val="24"/>
        </w:rPr>
        <w:t xml:space="preserve">, will have in the future between now and the time </w:t>
      </w:r>
      <w:r w:rsidRPr="00683FA1">
        <w:rPr>
          <w:rFonts w:eastAsia="Times New Roman"/>
          <w:i/>
          <w:sz w:val="24"/>
          <w:szCs w:val="24"/>
        </w:rPr>
        <w:t>(name of minor child)</w:t>
      </w:r>
      <w:r w:rsidRPr="00683FA1">
        <w:rPr>
          <w:rFonts w:eastAsia="Times New Roman"/>
          <w:b/>
          <w:sz w:val="24"/>
          <w:szCs w:val="24"/>
        </w:rPr>
        <w:t xml:space="preserve"> reaches the age of 18 (or is emancipated) for </w:t>
      </w:r>
      <w:r w:rsidRPr="00683FA1">
        <w:rPr>
          <w:rFonts w:eastAsia="Times New Roman"/>
          <w:i/>
          <w:sz w:val="24"/>
          <w:szCs w:val="24"/>
        </w:rPr>
        <w:t>(insert appropriate description, using separately lettered subparagraphs for various categories, if necessary, e.g., “medical, hospital, and other similar services,” etc.)</w:t>
      </w:r>
      <w:r w:rsidRPr="00683FA1">
        <w:rPr>
          <w:rFonts w:eastAsia="Times New Roman"/>
          <w:b/>
          <w:sz w:val="24"/>
          <w:szCs w:val="24"/>
        </w:rPr>
        <w:t>;</w:t>
      </w:r>
    </w:p>
    <w:p w14:paraId="654559F5"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2. Any loss of past earnings </w:t>
      </w:r>
      <w:r w:rsidRPr="00683FA1">
        <w:rPr>
          <w:rFonts w:eastAsia="Times New Roman"/>
          <w:i/>
          <w:sz w:val="24"/>
          <w:szCs w:val="24"/>
        </w:rPr>
        <w:t>(name of minor child)</w:t>
      </w:r>
      <w:r w:rsidRPr="00683FA1">
        <w:rPr>
          <w:rFonts w:eastAsia="Times New Roman"/>
          <w:b/>
          <w:sz w:val="24"/>
          <w:szCs w:val="24"/>
        </w:rPr>
        <w:t xml:space="preserve"> may have had to the present time;</w:t>
      </w:r>
    </w:p>
    <w:p w14:paraId="3098E685"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3. Any future (loss of earnings) (damage to </w:t>
      </w:r>
      <w:r w:rsidRPr="00683FA1">
        <w:rPr>
          <w:rFonts w:eastAsia="Times New Roman"/>
          <w:i/>
          <w:sz w:val="24"/>
          <w:szCs w:val="24"/>
        </w:rPr>
        <w:t>[name of minor child’s]</w:t>
      </w:r>
      <w:r w:rsidRPr="00683FA1">
        <w:rPr>
          <w:rFonts w:eastAsia="Times New Roman"/>
          <w:b/>
          <w:sz w:val="24"/>
          <w:szCs w:val="24"/>
        </w:rPr>
        <w:t xml:space="preserve"> ability to earn money in the future) will probably have between now and the time when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D03FF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4. Any loss of past household and similar services or any loss of such services in the future </w:t>
      </w:r>
      <w:r w:rsidRPr="00683FA1">
        <w:rPr>
          <w:rFonts w:eastAsia="Times New Roman"/>
          <w:i/>
          <w:sz w:val="24"/>
          <w:szCs w:val="24"/>
        </w:rPr>
        <w:t>(name of minor child)</w:t>
      </w:r>
      <w:r w:rsidRPr="00683FA1">
        <w:rPr>
          <w:rFonts w:eastAsia="Times New Roman"/>
          <w:b/>
          <w:sz w:val="24"/>
          <w:szCs w:val="24"/>
        </w:rPr>
        <w:t xml:space="preserve"> would have provided to the plaintiff(s), </w:t>
      </w:r>
      <w:r w:rsidRPr="00683FA1">
        <w:rPr>
          <w:rFonts w:eastAsia="Times New Roman"/>
          <w:i/>
          <w:sz w:val="24"/>
          <w:szCs w:val="24"/>
        </w:rPr>
        <w:t>(name[s] of parent[s])</w:t>
      </w:r>
      <w:r w:rsidRPr="00683FA1">
        <w:rPr>
          <w:rFonts w:eastAsia="Times New Roman"/>
          <w:b/>
          <w:sz w:val="24"/>
          <w:szCs w:val="24"/>
        </w:rPr>
        <w:t xml:space="preserve"> until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33347B"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5. </w:t>
      </w:r>
      <w:r w:rsidRPr="00683FA1">
        <w:rPr>
          <w:rFonts w:eastAsia="Times New Roman"/>
          <w:i/>
          <w:sz w:val="24"/>
          <w:szCs w:val="24"/>
        </w:rPr>
        <w:t>(Insert any other appropriate elements of damages, e.g., any unusual services the plaintiff may be required to render the child because of [his] [her] injuries)</w:t>
      </w:r>
      <w:r w:rsidRPr="00683FA1">
        <w:rPr>
          <w:rFonts w:eastAsia="Times New Roman"/>
          <w:b/>
          <w:sz w:val="24"/>
          <w:szCs w:val="24"/>
        </w:rPr>
        <w:t>.</w:t>
      </w:r>
    </w:p>
    <w:p w14:paraId="6B714ACB" w14:textId="77777777" w:rsidR="00683FA1" w:rsidRDefault="00683FA1" w:rsidP="00683FA1">
      <w:pPr>
        <w:jc w:val="center"/>
        <w:rPr>
          <w:rFonts w:eastAsia="Times New Roman"/>
          <w:sz w:val="24"/>
          <w:szCs w:val="24"/>
        </w:rPr>
      </w:pPr>
    </w:p>
    <w:p w14:paraId="744F2E2D" w14:textId="77777777" w:rsidR="00683FA1" w:rsidRPr="0054263B" w:rsidRDefault="00683FA1" w:rsidP="00683FA1">
      <w:pPr>
        <w:keepNext/>
        <w:spacing w:after="240"/>
        <w:jc w:val="center"/>
        <w:rPr>
          <w:rFonts w:eastAsia="Times New Roman"/>
          <w:b/>
          <w:sz w:val="24"/>
          <w:szCs w:val="24"/>
        </w:rPr>
      </w:pPr>
      <w:r w:rsidRPr="0054263B">
        <w:rPr>
          <w:rFonts w:eastAsia="Times New Roman"/>
          <w:b/>
          <w:sz w:val="24"/>
          <w:szCs w:val="24"/>
        </w:rPr>
        <w:t>Notes on Use</w:t>
      </w:r>
    </w:p>
    <w:p w14:paraId="1CAB6BDC"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The Notes on Use to Instruction 6:1 also apply to this instruction.</w:t>
      </w:r>
    </w:p>
    <w:p w14:paraId="7755A5F8"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2. When the parent only is suing on his or her own claim, Instruction 6:4 should be given with this instruction.</w:t>
      </w:r>
    </w:p>
    <w:p w14:paraId="2BCD0D23"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3. When necessary, Instruction 7:1, defining “minor child,” and Instruction 7:2, defining “emancipation,” should be given with this instruction.</w:t>
      </w:r>
    </w:p>
    <w:p w14:paraId="747DBCDF" w14:textId="77777777" w:rsidR="00683FA1" w:rsidRPr="0054263B" w:rsidRDefault="00683FA1" w:rsidP="00683FA1">
      <w:pPr>
        <w:keepNext/>
        <w:spacing w:after="240"/>
        <w:jc w:val="center"/>
        <w:rPr>
          <w:rFonts w:eastAsia="Times New Roman"/>
          <w:b/>
          <w:sz w:val="24"/>
          <w:szCs w:val="24"/>
        </w:rPr>
      </w:pPr>
      <w:r>
        <w:rPr>
          <w:rFonts w:eastAsia="Times New Roman"/>
          <w:b/>
          <w:sz w:val="24"/>
          <w:szCs w:val="24"/>
        </w:rPr>
        <w:t>Source and Authority</w:t>
      </w:r>
    </w:p>
    <w:p w14:paraId="16C3A9F4"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See the Source and Authority to Instruction 6:2.</w:t>
      </w:r>
    </w:p>
    <w:p w14:paraId="6B5BC1B1"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2. Parents may not recover damages for loss of consortium arising solely from injury to the child. </w:t>
      </w:r>
      <w:r w:rsidRPr="00683FA1">
        <w:rPr>
          <w:rFonts w:eastAsia="Times New Roman"/>
          <w:b/>
          <w:sz w:val="24"/>
          <w:szCs w:val="24"/>
        </w:rPr>
        <w:t>Elgin v. Bartlett</w:t>
      </w:r>
      <w:r w:rsidRPr="00683FA1">
        <w:rPr>
          <w:rFonts w:eastAsia="Times New Roman"/>
          <w:sz w:val="24"/>
          <w:szCs w:val="24"/>
        </w:rPr>
        <w:t>, 994 P.2d 411 (Colo. 1999).</w:t>
      </w:r>
    </w:p>
    <w:p w14:paraId="3A228B27"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3.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r w:rsidRPr="00683FA1">
        <w:rPr>
          <w:rFonts w:eastAsia="Times New Roman"/>
          <w:b/>
          <w:sz w:val="24"/>
          <w:szCs w:val="24"/>
        </w:rPr>
        <w:t>Pressey v. Children’s Hosp. Colo.</w:t>
      </w:r>
      <w:r w:rsidRPr="00683FA1">
        <w:rPr>
          <w:rFonts w:eastAsia="Times New Roman"/>
          <w:sz w:val="24"/>
          <w:szCs w:val="24"/>
        </w:rPr>
        <w:t>, 2017 COA 28, ¶ 26.</w:t>
      </w:r>
    </w:p>
    <w:p w14:paraId="5A4127B7"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4. Several Colorado cases have considered the damages a parent is entitled to recover for injuries to his or her unemancipated minor child. </w:t>
      </w:r>
      <w:r w:rsidRPr="00683FA1">
        <w:rPr>
          <w:rFonts w:eastAsia="Times New Roman"/>
          <w:i/>
          <w:sz w:val="24"/>
          <w:szCs w:val="24"/>
        </w:rPr>
        <w:t>See</w:t>
      </w:r>
      <w:r w:rsidRPr="00683FA1">
        <w:rPr>
          <w:rFonts w:eastAsia="Times New Roman"/>
          <w:sz w:val="24"/>
          <w:szCs w:val="24"/>
        </w:rPr>
        <w:t xml:space="preserve"> </w:t>
      </w:r>
      <w:r w:rsidRPr="00683FA1">
        <w:rPr>
          <w:rFonts w:eastAsia="Times New Roman"/>
          <w:b/>
          <w:sz w:val="24"/>
          <w:szCs w:val="24"/>
        </w:rPr>
        <w:t>Odell v. Pub. Serv. Co. of Colo.</w:t>
      </w:r>
      <w:r w:rsidRPr="00683FA1">
        <w:rPr>
          <w:rFonts w:eastAsia="Times New Roman"/>
          <w:sz w:val="24"/>
          <w:szCs w:val="24"/>
        </w:rPr>
        <w:t xml:space="preserve">, 158 Colo. 404, 407 P.2d 330 (1965) (hospital, medical, and additional educational expenses); </w:t>
      </w:r>
      <w:r w:rsidRPr="00683FA1">
        <w:rPr>
          <w:rFonts w:eastAsia="Times New Roman"/>
          <w:b/>
          <w:sz w:val="24"/>
          <w:szCs w:val="24"/>
        </w:rPr>
        <w:t>Colo. Utils. Corp. v. Casady</w:t>
      </w:r>
      <w:r w:rsidRPr="00683FA1">
        <w:rPr>
          <w:rFonts w:eastAsia="Times New Roman"/>
          <w:sz w:val="24"/>
          <w:szCs w:val="24"/>
        </w:rPr>
        <w:t xml:space="preserve">, 89 Colo. 168, 300 P. 606 (1931) (future pecuniary expense and loss of services); </w:t>
      </w:r>
      <w:r w:rsidRPr="00683FA1">
        <w:rPr>
          <w:rFonts w:eastAsia="Times New Roman"/>
          <w:b/>
          <w:sz w:val="24"/>
          <w:szCs w:val="24"/>
        </w:rPr>
        <w:t>Pawnee Farmers’ Elevator Co. v. Powell</w:t>
      </w:r>
      <w:r w:rsidRPr="00683FA1">
        <w:rPr>
          <w:rFonts w:eastAsia="Times New Roman"/>
          <w:sz w:val="24"/>
          <w:szCs w:val="24"/>
        </w:rPr>
        <w:t>, 76 Colo. 1, 227 P. 836 (1924) (loss of earnings and diminution of earning capacity).</w:t>
      </w:r>
    </w:p>
    <w:p w14:paraId="109D7B70"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5. When a case involving a child’s death arises under the Ski Safety Act, §§ 33-44-101 to -114, C.R.S., the damages recoverable by a parent are subject to the cap contained in section 33-44-113, C.R.S., not the cap contained in the Wrongful Death Act, § 13-21-203(1)(a), C.R.S. </w:t>
      </w:r>
      <w:r w:rsidRPr="00683FA1">
        <w:rPr>
          <w:rFonts w:eastAsia="Times New Roman"/>
          <w:b/>
          <w:sz w:val="24"/>
          <w:szCs w:val="24"/>
        </w:rPr>
        <w:t>Stamp v. Vail Corp.</w:t>
      </w:r>
      <w:r w:rsidRPr="00683FA1">
        <w:rPr>
          <w:rFonts w:eastAsia="Times New Roman"/>
          <w:sz w:val="24"/>
          <w:szCs w:val="24"/>
        </w:rPr>
        <w:t>, 172 P.3d 437 (Colo. 2007).</w:t>
      </w:r>
    </w:p>
    <w:p w14:paraId="04953702" w14:textId="77777777" w:rsidR="00EF4043" w:rsidRDefault="00EF4043">
      <w:pPr>
        <w:rPr>
          <w:rFonts w:eastAsia="Times New Roman"/>
          <w:sz w:val="24"/>
          <w:szCs w:val="24"/>
        </w:rPr>
      </w:pPr>
      <w:r>
        <w:rPr>
          <w:rFonts w:eastAsia="Times New Roman"/>
          <w:sz w:val="24"/>
          <w:szCs w:val="24"/>
        </w:rPr>
        <w:br w:type="page"/>
      </w:r>
    </w:p>
    <w:p w14:paraId="6B6BE77E" w14:textId="77777777" w:rsidR="00EF4043" w:rsidRPr="009E3DA4" w:rsidRDefault="00EF4043" w:rsidP="00EF4043">
      <w:pPr>
        <w:spacing w:after="240"/>
        <w:ind w:left="720" w:hanging="720"/>
        <w:rPr>
          <w:rFonts w:eastAsia="Times New Roman"/>
          <w:b/>
          <w:sz w:val="24"/>
          <w:szCs w:val="24"/>
        </w:rPr>
      </w:pPr>
      <w:bookmarkStart w:id="7" w:name="a6_4"/>
      <w:bookmarkEnd w:id="7"/>
      <w:r w:rsidRPr="00EF4043">
        <w:rPr>
          <w:rFonts w:eastAsia="Times New Roman"/>
          <w:b/>
          <w:sz w:val="24"/>
          <w:szCs w:val="24"/>
        </w:rPr>
        <w:t xml:space="preserve">6:4 </w:t>
      </w:r>
      <w:r w:rsidRPr="00EF4043">
        <w:rPr>
          <w:rFonts w:eastAsia="Times New Roman"/>
          <w:b/>
          <w:sz w:val="24"/>
          <w:szCs w:val="24"/>
        </w:rPr>
        <w:tab/>
        <w:t>PERSONAL INJURIES — MINOR CHILD — LOSS OF EARNINGS — DISTINCTION BETWEEN PARENTS’ AND CHILD’S CLAIMS</w:t>
      </w:r>
    </w:p>
    <w:p w14:paraId="259CCD94"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Earnings of a minor child before emancipation belong to the parents. Earnings after emancipation or after reaching the age of 18 belong to the child.</w:t>
      </w:r>
    </w:p>
    <w:p w14:paraId="0B876389" w14:textId="77777777" w:rsidR="00EF4043" w:rsidRDefault="00EF4043" w:rsidP="00EF4043">
      <w:pPr>
        <w:jc w:val="center"/>
        <w:rPr>
          <w:rFonts w:eastAsia="Times New Roman"/>
          <w:sz w:val="24"/>
          <w:szCs w:val="24"/>
        </w:rPr>
      </w:pPr>
    </w:p>
    <w:p w14:paraId="64023E28"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451777FF"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When Instruction 6:2 is given, this instruction normally will not be necessary. When, however, a parent is suing only on his or her own claim, in which case Instruction 6:3 will be given, this instruction also should be given.</w:t>
      </w:r>
    </w:p>
    <w:p w14:paraId="306347F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See Instruction 7:1, defining “minor,” and Instruction 7:2, defining “emancipation.”</w:t>
      </w:r>
    </w:p>
    <w:p w14:paraId="6BCC3F11"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159C70CE" w14:textId="77777777" w:rsidR="00A85AAA" w:rsidRDefault="00EF4043" w:rsidP="007A3A0E">
      <w:pPr>
        <w:spacing w:after="240"/>
        <w:ind w:firstLine="720"/>
        <w:rPr>
          <w:rFonts w:eastAsia="Times New Roman"/>
          <w:sz w:val="24"/>
          <w:szCs w:val="24"/>
        </w:rPr>
      </w:pPr>
      <w:r w:rsidRPr="00EF4043">
        <w:rPr>
          <w:rFonts w:eastAsia="Times New Roman"/>
          <w:sz w:val="24"/>
          <w:szCs w:val="24"/>
        </w:rPr>
        <w:t xml:space="preserve">This instruction is supported by section 13-22-101(1), C.R.S. </w:t>
      </w:r>
      <w:r w:rsidRPr="00EF4043">
        <w:rPr>
          <w:rFonts w:eastAsia="Times New Roman"/>
          <w:i/>
          <w:sz w:val="24"/>
          <w:szCs w:val="24"/>
        </w:rPr>
        <w:t>See also</w:t>
      </w:r>
      <w:r w:rsidRPr="00EF4043">
        <w:rPr>
          <w:rFonts w:eastAsia="Times New Roman"/>
          <w:sz w:val="24"/>
          <w:szCs w:val="24"/>
        </w:rPr>
        <w:t xml:space="preserve"> Source and Authority to Instructions 6:2 &amp; 6:3.</w:t>
      </w:r>
    </w:p>
    <w:p w14:paraId="2DA04B9B" w14:textId="77777777" w:rsidR="00EF4043" w:rsidRDefault="00EF4043">
      <w:pPr>
        <w:rPr>
          <w:rFonts w:eastAsia="Times New Roman"/>
          <w:sz w:val="24"/>
          <w:szCs w:val="24"/>
        </w:rPr>
      </w:pPr>
      <w:r>
        <w:rPr>
          <w:rFonts w:eastAsia="Times New Roman"/>
          <w:sz w:val="24"/>
          <w:szCs w:val="24"/>
        </w:rPr>
        <w:br w:type="page"/>
      </w:r>
    </w:p>
    <w:p w14:paraId="798138B2" w14:textId="77777777" w:rsidR="00EF4043" w:rsidRPr="009E3DA4" w:rsidRDefault="00EF4043" w:rsidP="00EF4043">
      <w:pPr>
        <w:spacing w:after="240"/>
        <w:ind w:left="720" w:hanging="720"/>
        <w:rPr>
          <w:rFonts w:eastAsia="Times New Roman"/>
          <w:b/>
          <w:sz w:val="24"/>
          <w:szCs w:val="24"/>
        </w:rPr>
      </w:pPr>
      <w:bookmarkStart w:id="8" w:name="a6_5"/>
      <w:bookmarkEnd w:id="8"/>
      <w:r w:rsidRPr="00EF4043">
        <w:rPr>
          <w:rFonts w:eastAsia="Times New Roman"/>
          <w:b/>
          <w:sz w:val="24"/>
          <w:szCs w:val="24"/>
        </w:rPr>
        <w:t xml:space="preserve">6:5 </w:t>
      </w:r>
      <w:r w:rsidRPr="00EF4043">
        <w:rPr>
          <w:rFonts w:eastAsia="Times New Roman"/>
          <w:b/>
          <w:sz w:val="24"/>
          <w:szCs w:val="24"/>
        </w:rPr>
        <w:tab/>
        <w:t>LOSS OF CONSORTIUM — ELEMENTS OF LIABILITY</w:t>
      </w:r>
    </w:p>
    <w:p w14:paraId="6D68F820"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For the plaintiff, </w:t>
      </w:r>
      <w:r w:rsidRPr="00EF4043">
        <w:rPr>
          <w:rFonts w:eastAsia="Times New Roman"/>
          <w:i/>
          <w:sz w:val="24"/>
          <w:szCs w:val="24"/>
        </w:rPr>
        <w:t>(name)</w:t>
      </w:r>
      <w:r w:rsidRPr="00EF4043">
        <w:rPr>
          <w:rFonts w:eastAsia="Times New Roman"/>
          <w:b/>
          <w:sz w:val="24"/>
          <w:szCs w:val="24"/>
        </w:rPr>
        <w:t xml:space="preserve">, to recover from the defendant, </w:t>
      </w:r>
      <w:r w:rsidRPr="00EF4043">
        <w:rPr>
          <w:rFonts w:eastAsia="Times New Roman"/>
          <w:i/>
          <w:sz w:val="24"/>
          <w:szCs w:val="24"/>
        </w:rPr>
        <w:t>(name)</w:t>
      </w:r>
      <w:r w:rsidRPr="00EF4043">
        <w:rPr>
          <w:rFonts w:eastAsia="Times New Roman"/>
          <w:b/>
          <w:sz w:val="24"/>
          <w:szCs w:val="24"/>
        </w:rPr>
        <w:t xml:space="preserve">, on (his) (her) claim of loss of consortium for injury to the plaintiff’s spouse, </w:t>
      </w:r>
      <w:r w:rsidRPr="00EF4043">
        <w:rPr>
          <w:rFonts w:eastAsia="Times New Roman"/>
          <w:i/>
          <w:sz w:val="24"/>
          <w:szCs w:val="24"/>
        </w:rPr>
        <w:t>(name)</w:t>
      </w:r>
      <w:r w:rsidRPr="00EF4043">
        <w:rPr>
          <w:rFonts w:eastAsia="Times New Roman"/>
          <w:b/>
          <w:sz w:val="24"/>
          <w:szCs w:val="24"/>
        </w:rPr>
        <w:t>, you must find all of the following have been proved by a preponderance of the evidence:</w:t>
      </w:r>
    </w:p>
    <w:p w14:paraId="6F03E061"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1. The defendant was negligent;</w:t>
      </w:r>
    </w:p>
    <w:p w14:paraId="02C3D3B7"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2. </w:t>
      </w:r>
      <w:r w:rsidRPr="00EF4043">
        <w:rPr>
          <w:rFonts w:eastAsia="Times New Roman"/>
          <w:i/>
          <w:sz w:val="24"/>
          <w:szCs w:val="24"/>
        </w:rPr>
        <w:t xml:space="preserve">(Name of spouse) </w:t>
      </w:r>
      <w:r w:rsidRPr="00EF4043">
        <w:rPr>
          <w:rFonts w:eastAsia="Times New Roman"/>
          <w:b/>
          <w:sz w:val="24"/>
          <w:szCs w:val="24"/>
        </w:rPr>
        <w:t>was injured as a result of the defendant’s negligence;</w:t>
      </w:r>
    </w:p>
    <w:p w14:paraId="2D9DCB4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3. The plaintiff and </w:t>
      </w:r>
      <w:r w:rsidRPr="00EF4043">
        <w:rPr>
          <w:rFonts w:eastAsia="Times New Roman"/>
          <w:i/>
          <w:sz w:val="24"/>
          <w:szCs w:val="24"/>
        </w:rPr>
        <w:t>(name of spouse)</w:t>
      </w:r>
      <w:r w:rsidRPr="00EF4043">
        <w:rPr>
          <w:rFonts w:eastAsia="Times New Roman"/>
          <w:b/>
          <w:sz w:val="24"/>
          <w:szCs w:val="24"/>
        </w:rPr>
        <w:t xml:space="preserve"> were married at the time </w:t>
      </w:r>
      <w:r w:rsidRPr="00EF4043">
        <w:rPr>
          <w:rFonts w:eastAsia="Times New Roman"/>
          <w:i/>
          <w:sz w:val="24"/>
          <w:szCs w:val="24"/>
        </w:rPr>
        <w:t>(name of spouse)</w:t>
      </w:r>
      <w:r w:rsidRPr="00EF4043">
        <w:rPr>
          <w:rFonts w:eastAsia="Times New Roman"/>
          <w:b/>
          <w:sz w:val="24"/>
          <w:szCs w:val="24"/>
        </w:rPr>
        <w:t xml:space="preserve"> was injured; and</w:t>
      </w:r>
    </w:p>
    <w:p w14:paraId="198D2F2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4. As a result of such injuries to </w:t>
      </w:r>
      <w:r w:rsidRPr="00EF4043">
        <w:rPr>
          <w:rFonts w:eastAsia="Times New Roman"/>
          <w:i/>
          <w:sz w:val="24"/>
          <w:szCs w:val="24"/>
        </w:rPr>
        <w:t>(name of spouse)</w:t>
      </w:r>
      <w:r w:rsidRPr="00EF4043">
        <w:rPr>
          <w:rFonts w:eastAsia="Times New Roman"/>
          <w:b/>
          <w:sz w:val="24"/>
          <w:szCs w:val="24"/>
        </w:rPr>
        <w:t>, the plaintiff also had a loss of (his) (her) rights of consortium.</w:t>
      </w:r>
    </w:p>
    <w:p w14:paraId="5857B8E6"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If you find that any one or more of these </w:t>
      </w:r>
      <w:r w:rsidRPr="00EF4043">
        <w:rPr>
          <w:rFonts w:eastAsia="Times New Roman"/>
          <w:i/>
          <w:sz w:val="24"/>
          <w:szCs w:val="24"/>
        </w:rPr>
        <w:t>(number)</w:t>
      </w:r>
      <w:r w:rsidRPr="00EF4043">
        <w:rPr>
          <w:rFonts w:eastAsia="Times New Roman"/>
          <w:b/>
          <w:sz w:val="24"/>
          <w:szCs w:val="24"/>
        </w:rPr>
        <w:t xml:space="preserve"> statements has not been proved, then your verdict on the plaintiff’s, </w:t>
      </w:r>
      <w:r w:rsidRPr="00EF4043">
        <w:rPr>
          <w:rFonts w:eastAsia="Times New Roman"/>
          <w:i/>
          <w:sz w:val="24"/>
          <w:szCs w:val="24"/>
        </w:rPr>
        <w:t>(name)</w:t>
      </w:r>
      <w:r w:rsidRPr="00EF4043">
        <w:rPr>
          <w:rFonts w:eastAsia="Times New Roman"/>
          <w:b/>
          <w:sz w:val="24"/>
          <w:szCs w:val="24"/>
        </w:rPr>
        <w:t>, claim must be for the defendant.</w:t>
      </w:r>
    </w:p>
    <w:p w14:paraId="385D2A72"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On the other hand, if you find that all of these </w:t>
      </w:r>
      <w:r w:rsidRPr="00EF4043">
        <w:rPr>
          <w:rFonts w:eastAsia="Times New Roman"/>
          <w:i/>
          <w:sz w:val="24"/>
          <w:szCs w:val="24"/>
        </w:rPr>
        <w:t>(number)</w:t>
      </w:r>
      <w:r w:rsidRPr="00EF4043">
        <w:rPr>
          <w:rFonts w:eastAsia="Times New Roman"/>
          <w:b/>
          <w:sz w:val="24"/>
          <w:szCs w:val="24"/>
        </w:rPr>
        <w:t xml:space="preserve"> statements have been proved, (then your verdict must be for the plaintiff) (then you must consider the defendant’s affirmative defense(s) of </w:t>
      </w:r>
      <w:r w:rsidRPr="00EF4043">
        <w:rPr>
          <w:rFonts w:eastAsia="Times New Roman"/>
          <w:i/>
          <w:sz w:val="24"/>
          <w:szCs w:val="24"/>
        </w:rPr>
        <w:t>[insert description of any affirmative defenses]</w:t>
      </w:r>
      <w:r w:rsidRPr="00EF4043">
        <w:rPr>
          <w:rFonts w:eastAsia="Times New Roman"/>
          <w:b/>
          <w:sz w:val="24"/>
          <w:szCs w:val="24"/>
        </w:rPr>
        <w:t>).</w:t>
      </w:r>
    </w:p>
    <w:p w14:paraId="6932178D"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If you find that (this affirmative defense) (any one or more of these affirmative defenses) (has) (have) been proved by a preponderance of the evidence, then your verdict must be for the defendant.</w:t>
      </w:r>
    </w:p>
    <w:p w14:paraId="41BE68A5"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However, if you find that (this affirmative defense) (none of these affirmative defenses) (has not) (have) been proved, then your verdict must be for the plaintiff.</w:t>
      </w:r>
    </w:p>
    <w:p w14:paraId="40C15569" w14:textId="77777777" w:rsidR="00EF4043" w:rsidRDefault="00EF4043" w:rsidP="00EF4043">
      <w:pPr>
        <w:jc w:val="center"/>
        <w:rPr>
          <w:rFonts w:eastAsia="Times New Roman"/>
          <w:sz w:val="24"/>
          <w:szCs w:val="24"/>
        </w:rPr>
      </w:pPr>
    </w:p>
    <w:p w14:paraId="53F68452"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333F1C33"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Omit any numbered paragraph as to which the facts are not in dispute.</w:t>
      </w:r>
    </w:p>
    <w:p w14:paraId="1729A54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Instruction 6:6 should be used with this instruction for the definition of consortium and the damages that are recoverable for its loss.</w:t>
      </w:r>
    </w:p>
    <w:p w14:paraId="33B6329E"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3. Damages for loss of consortium also can be recovered when caused by other forms of tortious conduct against the spouse, for example, battery. In such cases this instruction should be appropriately modified.</w:t>
      </w:r>
    </w:p>
    <w:p w14:paraId="6FC0961C"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4. Whenever this instruction is given, the appropriate instructions relating to causation also must be given. </w:t>
      </w:r>
      <w:r w:rsidRPr="00EF4043">
        <w:rPr>
          <w:rFonts w:eastAsia="Times New Roman"/>
          <w:i/>
          <w:sz w:val="24"/>
          <w:szCs w:val="24"/>
        </w:rPr>
        <w:t>See</w:t>
      </w:r>
      <w:r w:rsidRPr="00EF4043">
        <w:rPr>
          <w:rFonts w:eastAsia="Times New Roman"/>
          <w:sz w:val="24"/>
          <w:szCs w:val="24"/>
        </w:rPr>
        <w:t xml:space="preserve"> Instructions 9:18-9:21.</w:t>
      </w:r>
    </w:p>
    <w:p w14:paraId="4A4BB1A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5. Loss of consortium is a derivative claim and is subject to the same defenses available to the underlying personal injury claim. </w:t>
      </w:r>
      <w:r w:rsidRPr="00EF4043">
        <w:rPr>
          <w:rFonts w:eastAsia="Times New Roman"/>
          <w:b/>
          <w:sz w:val="24"/>
          <w:szCs w:val="24"/>
        </w:rPr>
        <w:t>Colo. Comp. Ins. Auth. v. Jorgensen</w:t>
      </w:r>
      <w:r w:rsidRPr="00EF4043">
        <w:rPr>
          <w:rFonts w:eastAsia="Times New Roman"/>
          <w:sz w:val="24"/>
          <w:szCs w:val="24"/>
        </w:rPr>
        <w:t xml:space="preserve">, 992 P.2d 1156 (Colo. 2000); </w:t>
      </w:r>
      <w:r w:rsidRPr="00EF4043">
        <w:rPr>
          <w:rFonts w:eastAsia="Times New Roman"/>
          <w:b/>
          <w:sz w:val="24"/>
          <w:szCs w:val="24"/>
        </w:rPr>
        <w:t>Lee v. Colo. Dep’t of Health</w:t>
      </w:r>
      <w:r w:rsidRPr="00EF4043">
        <w:rPr>
          <w:rFonts w:eastAsia="Times New Roman"/>
          <w:sz w:val="24"/>
          <w:szCs w:val="24"/>
        </w:rPr>
        <w:t xml:space="preserve">, 718 P.2d 221 (Colo. 1986); </w:t>
      </w:r>
      <w:r w:rsidRPr="00EF4043">
        <w:rPr>
          <w:rFonts w:eastAsia="Times New Roman"/>
          <w:b/>
          <w:sz w:val="24"/>
          <w:szCs w:val="24"/>
        </w:rPr>
        <w:t>Draper v. DeFrenchi-Gordineer</w:t>
      </w:r>
      <w:r w:rsidRPr="00EF4043">
        <w:rPr>
          <w:rFonts w:eastAsia="Times New Roman"/>
          <w:sz w:val="24"/>
          <w:szCs w:val="24"/>
        </w:rPr>
        <w:t xml:space="preserve">, 282 P.3d 489 (Colo. App. 2011); </w:t>
      </w:r>
      <w:r w:rsidRPr="00EF4043">
        <w:rPr>
          <w:rFonts w:eastAsia="Times New Roman"/>
          <w:b/>
          <w:sz w:val="24"/>
          <w:szCs w:val="24"/>
        </w:rPr>
        <w:t>Terry v. Sullivan</w:t>
      </w:r>
      <w:r w:rsidRPr="00EF4043">
        <w:rPr>
          <w:rFonts w:eastAsia="Times New Roman"/>
          <w:sz w:val="24"/>
          <w:szCs w:val="24"/>
        </w:rPr>
        <w:t xml:space="preserve">, 58 P.3d 1098 (Colo. App. 2002);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Elgin v. Bartlett</w:t>
      </w:r>
      <w:r w:rsidRPr="00EF4043">
        <w:rPr>
          <w:rFonts w:eastAsia="Times New Roman"/>
          <w:sz w:val="24"/>
          <w:szCs w:val="24"/>
        </w:rPr>
        <w:t>,</w:t>
      </w:r>
      <w:r w:rsidRPr="00EF4043">
        <w:rPr>
          <w:rFonts w:eastAsia="Times New Roman"/>
          <w:b/>
          <w:sz w:val="24"/>
          <w:szCs w:val="24"/>
        </w:rPr>
        <w:t xml:space="preserve"> </w:t>
      </w:r>
      <w:r w:rsidRPr="00EF4043">
        <w:rPr>
          <w:rFonts w:eastAsia="Times New Roman"/>
          <w:sz w:val="24"/>
          <w:szCs w:val="24"/>
        </w:rPr>
        <w:t xml:space="preserve">994 P.2d 411 (Colo. 1999) (claims for derivative damages subject to same defenses available to underlying claims). Thus, a claim for loss of consortium arising out of an automobile accident was derivative for purposes of the now-repealed No-Fault Act, and could be maintained only if injuries to the spouse on which the claim is based satisfied one of the statutory threshold requirements for suit. </w:t>
      </w:r>
      <w:r w:rsidRPr="00EF4043">
        <w:rPr>
          <w:rFonts w:eastAsia="Times New Roman"/>
          <w:b/>
          <w:sz w:val="24"/>
          <w:szCs w:val="24"/>
        </w:rPr>
        <w:t>Welch v. George</w:t>
      </w:r>
      <w:r w:rsidRPr="00EF4043">
        <w:rPr>
          <w:rFonts w:eastAsia="Times New Roman"/>
          <w:sz w:val="24"/>
          <w:szCs w:val="24"/>
        </w:rPr>
        <w:t>, 19 P.3d 675 (Colo. 2000).</w:t>
      </w:r>
    </w:p>
    <w:p w14:paraId="54EB0259"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6. While the contributory negligence of the injured spouse or the spouse claiming loss of consortium is a defense to a claim for such loss, </w:t>
      </w:r>
      <w:r w:rsidRPr="00EF4043">
        <w:rPr>
          <w:rFonts w:eastAsia="Times New Roman"/>
          <w:smallCaps/>
          <w:sz w:val="24"/>
          <w:szCs w:val="24"/>
        </w:rPr>
        <w:t>W. Page Keeton et al., Prosser and Keeton on the Law of Torts</w:t>
      </w:r>
      <w:r w:rsidRPr="00EF4043">
        <w:rPr>
          <w:rFonts w:eastAsia="Times New Roman"/>
          <w:sz w:val="24"/>
          <w:szCs w:val="24"/>
        </w:rPr>
        <w:t xml:space="preserve"> § 125, at 937 (5th ed. 1984), it is not necessarily a complete bar under the comparative negligence statute, § 13-21-111, C.R.S. When there is sufficient evidence of contributory negligence on the part of the injured spouse or the plaintiff, the last two unnumbered paragraphs of this instruction should be changed to read as the last two unnumbered paragraphs of Instruction 9:22 (with appropriate modifications depending on whose contributory negligence is involved). The appropriate comparative negligence instructions, </w:t>
      </w:r>
      <w:r w:rsidRPr="00EF4043">
        <w:rPr>
          <w:rFonts w:eastAsia="Times New Roman"/>
          <w:i/>
          <w:sz w:val="24"/>
          <w:szCs w:val="24"/>
        </w:rPr>
        <w:t>see</w:t>
      </w:r>
      <w:r w:rsidRPr="00EF4043">
        <w:rPr>
          <w:rFonts w:eastAsia="Times New Roman"/>
          <w:sz w:val="24"/>
          <w:szCs w:val="24"/>
        </w:rPr>
        <w:t xml:space="preserve"> Instructions 9:26 – 9:28D, again with whatever modifications may be required, must also be given.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Pioneer Constr. Co. v. Bergeron</w:t>
      </w:r>
      <w:r w:rsidRPr="00EF4043">
        <w:rPr>
          <w:rFonts w:eastAsia="Times New Roman"/>
          <w:sz w:val="24"/>
          <w:szCs w:val="24"/>
        </w:rPr>
        <w:t>, 170 Colo. 474, 462 P.2d 589 (1969) (contributory negligence of wife bars husband’s claims for wife’s medical expenses, loss of services and consortium, and expenses for care of children).</w:t>
      </w:r>
    </w:p>
    <w:p w14:paraId="56C5F064"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7. If no affirmative defense has been put in issue, the last two paragraphs of the instruction should be omitted.</w:t>
      </w:r>
    </w:p>
    <w:p w14:paraId="02A400ED"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8. This instruction should be given regardless of whether the injured spouse has joined in the suit to recover his or her own damages. When both spouses join in the same suit, however, separate verdict forms on the respective spouses’ claims should be submitted to the jury. </w:t>
      </w:r>
      <w:r w:rsidRPr="00EF4043">
        <w:rPr>
          <w:rFonts w:eastAsia="Times New Roman"/>
          <w:i/>
          <w:sz w:val="24"/>
          <w:szCs w:val="24"/>
        </w:rPr>
        <w:t>See</w:t>
      </w:r>
      <w:r w:rsidRPr="00EF4043">
        <w:rPr>
          <w:rFonts w:eastAsia="Times New Roman"/>
          <w:sz w:val="24"/>
          <w:szCs w:val="24"/>
        </w:rPr>
        <w:t xml:space="preserve"> </w:t>
      </w:r>
      <w:r w:rsidRPr="00EF4043">
        <w:rPr>
          <w:rFonts w:eastAsia="Times New Roman"/>
          <w:b/>
          <w:sz w:val="24"/>
          <w:szCs w:val="24"/>
        </w:rPr>
        <w:t>Nemer v. Anderson</w:t>
      </w:r>
      <w:r w:rsidRPr="00EF4043">
        <w:rPr>
          <w:rFonts w:eastAsia="Times New Roman"/>
          <w:sz w:val="24"/>
          <w:szCs w:val="24"/>
        </w:rPr>
        <w:t>, 151 Colo. 411, 378 P.2d 841 (1963) (by implication).</w:t>
      </w:r>
    </w:p>
    <w:p w14:paraId="68C43A58"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4AFF2F4B"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1. For other forms of conduct giving rise to a claim of damages for loss of consortium, see 1 </w:t>
      </w:r>
      <w:r w:rsidRPr="00EF4043">
        <w:rPr>
          <w:rFonts w:eastAsia="Times New Roman"/>
          <w:smallCaps/>
          <w:sz w:val="24"/>
          <w:szCs w:val="24"/>
        </w:rPr>
        <w:t>H. Clark, The Law of Domestic Relations in the United States</w:t>
      </w:r>
      <w:r w:rsidRPr="00EF4043">
        <w:rPr>
          <w:rFonts w:eastAsia="Times New Roman"/>
          <w:sz w:val="24"/>
          <w:szCs w:val="24"/>
        </w:rPr>
        <w:t xml:space="preserve"> § 12.5 (2d ed. 1987).</w:t>
      </w:r>
    </w:p>
    <w:p w14:paraId="3AC61B40"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Section 14-2-209, C.R.S., gives a wife the same right to recover for loss of consortium as a husband.</w:t>
      </w:r>
    </w:p>
    <w:p w14:paraId="5D10394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3. For defenses in general, see </w:t>
      </w:r>
      <w:r w:rsidRPr="00EF4043">
        <w:rPr>
          <w:rFonts w:eastAsia="Times New Roman"/>
          <w:smallCaps/>
          <w:sz w:val="24"/>
          <w:szCs w:val="24"/>
        </w:rPr>
        <w:t>Prosser and Keeton on the Law of Torts</w:t>
      </w:r>
      <w:r w:rsidRPr="00EF4043">
        <w:rPr>
          <w:rFonts w:eastAsia="Times New Roman"/>
          <w:sz w:val="24"/>
          <w:szCs w:val="24"/>
        </w:rPr>
        <w:t xml:space="preserve">, </w:t>
      </w:r>
      <w:r w:rsidRPr="00EF4043">
        <w:rPr>
          <w:rFonts w:eastAsia="Times New Roman"/>
          <w:i/>
          <w:sz w:val="24"/>
          <w:szCs w:val="24"/>
        </w:rPr>
        <w:t>supra</w:t>
      </w:r>
      <w:r w:rsidRPr="00EF4043">
        <w:rPr>
          <w:rFonts w:eastAsia="Times New Roman"/>
          <w:sz w:val="24"/>
          <w:szCs w:val="24"/>
        </w:rPr>
        <w:t>, § 125, at 937-39 (5th ed. 1984).</w:t>
      </w:r>
    </w:p>
    <w:p w14:paraId="5271EFCC" w14:textId="77777777" w:rsidR="00EC3919" w:rsidRDefault="00EC3919">
      <w:pPr>
        <w:rPr>
          <w:rFonts w:eastAsia="Times New Roman"/>
          <w:sz w:val="24"/>
          <w:szCs w:val="24"/>
        </w:rPr>
      </w:pPr>
      <w:r>
        <w:rPr>
          <w:rFonts w:eastAsia="Times New Roman"/>
          <w:sz w:val="24"/>
          <w:szCs w:val="24"/>
        </w:rPr>
        <w:br w:type="page"/>
      </w:r>
    </w:p>
    <w:p w14:paraId="780935E1" w14:textId="77777777" w:rsidR="00EC3919" w:rsidRPr="009E3DA4" w:rsidRDefault="00EC3919" w:rsidP="00EC3919">
      <w:pPr>
        <w:spacing w:after="240"/>
        <w:ind w:left="720" w:hanging="720"/>
        <w:rPr>
          <w:rFonts w:eastAsia="Times New Roman"/>
          <w:b/>
          <w:sz w:val="24"/>
          <w:szCs w:val="24"/>
        </w:rPr>
      </w:pPr>
      <w:bookmarkStart w:id="9" w:name="a6_6"/>
      <w:bookmarkEnd w:id="9"/>
      <w:r w:rsidRPr="00EC3919">
        <w:rPr>
          <w:rFonts w:eastAsia="Times New Roman"/>
          <w:b/>
          <w:sz w:val="24"/>
          <w:szCs w:val="24"/>
        </w:rPr>
        <w:t xml:space="preserve">6:6 </w:t>
      </w:r>
      <w:r w:rsidRPr="00EC3919">
        <w:rPr>
          <w:rFonts w:eastAsia="Times New Roman"/>
          <w:b/>
          <w:sz w:val="24"/>
          <w:szCs w:val="24"/>
        </w:rPr>
        <w:tab/>
        <w:t>LOSS OF CONSORTIUM — DEFINED — DAMAGES</w:t>
      </w:r>
    </w:p>
    <w:p w14:paraId="1464F19A"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If you find for the plaintiff, </w:t>
      </w:r>
      <w:r w:rsidRPr="00EC3919">
        <w:rPr>
          <w:rFonts w:eastAsia="Times New Roman"/>
          <w:i/>
          <w:sz w:val="24"/>
          <w:szCs w:val="24"/>
        </w:rPr>
        <w:t>(name of injured spouse)</w:t>
      </w:r>
      <w:r w:rsidRPr="00EC3919">
        <w:rPr>
          <w:rFonts w:eastAsia="Times New Roman"/>
          <w:b/>
          <w:sz w:val="24"/>
          <w:szCs w:val="24"/>
        </w:rPr>
        <w:t xml:space="preserve">, then you may award damages to (his) (her) spouse for any loss of consortium resulting from the injury to </w:t>
      </w:r>
      <w:r w:rsidRPr="00EC3919">
        <w:rPr>
          <w:rFonts w:eastAsia="Times New Roman"/>
          <w:i/>
          <w:sz w:val="24"/>
          <w:szCs w:val="24"/>
        </w:rPr>
        <w:t>(name of injured spouse)</w:t>
      </w:r>
      <w:r w:rsidRPr="00EC3919">
        <w:rPr>
          <w:rFonts w:eastAsia="Times New Roman"/>
          <w:b/>
          <w:sz w:val="24"/>
          <w:szCs w:val="24"/>
        </w:rPr>
        <w:t>.</w:t>
      </w:r>
    </w:p>
    <w:p w14:paraId="7F9553F8"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Plaintiff, </w:t>
      </w:r>
      <w:r w:rsidRPr="00EC3919">
        <w:rPr>
          <w:rFonts w:eastAsia="Times New Roman"/>
          <w:i/>
          <w:sz w:val="24"/>
          <w:szCs w:val="24"/>
        </w:rPr>
        <w:t>(name of non-injured spouse)</w:t>
      </w:r>
      <w:r w:rsidRPr="00EC3919">
        <w:rPr>
          <w:rFonts w:eastAsia="Times New Roman"/>
          <w:b/>
          <w:sz w:val="24"/>
          <w:szCs w:val="24"/>
        </w:rPr>
        <w:t xml:space="preserve">, has the burden of proving, by a preponderance of the evidence, the nature and extent of (his) (her) damages. If you find in favor of the plaintiff, </w:t>
      </w:r>
      <w:r w:rsidRPr="00EC3919">
        <w:rPr>
          <w:rFonts w:eastAsia="Times New Roman"/>
          <w:i/>
          <w:sz w:val="24"/>
          <w:szCs w:val="24"/>
        </w:rPr>
        <w:t>(name of non-injured spouse)</w:t>
      </w:r>
      <w:r w:rsidRPr="00EC3919">
        <w:rPr>
          <w:rFonts w:eastAsia="Times New Roman"/>
          <w:b/>
          <w:sz w:val="24"/>
          <w:szCs w:val="24"/>
        </w:rPr>
        <w:t xml:space="preserve">, you must determine the total amount of (his) (her) damages, if any, that were caused by the </w:t>
      </w:r>
      <w:r w:rsidRPr="00EC3919">
        <w:rPr>
          <w:rFonts w:eastAsia="Times New Roman"/>
          <w:i/>
          <w:sz w:val="24"/>
          <w:szCs w:val="24"/>
        </w:rPr>
        <w:t>(insert appropriate description, e.g., “negligence”)</w:t>
      </w:r>
      <w:r w:rsidRPr="00EC3919">
        <w:rPr>
          <w:rFonts w:eastAsia="Times New Roman"/>
          <w:b/>
          <w:sz w:val="24"/>
          <w:szCs w:val="24"/>
        </w:rPr>
        <w:t xml:space="preserve"> of the defendant(s), </w:t>
      </w:r>
      <w:r w:rsidRPr="00EC3919">
        <w:rPr>
          <w:rFonts w:eastAsia="Times New Roman"/>
          <w:i/>
          <w:sz w:val="24"/>
          <w:szCs w:val="24"/>
        </w:rPr>
        <w:t>(name[s]),</w:t>
      </w:r>
      <w:r w:rsidRPr="00EC3919">
        <w:rPr>
          <w:rFonts w:eastAsia="Times New Roman"/>
          <w:b/>
          <w:sz w:val="24"/>
          <w:szCs w:val="24"/>
        </w:rPr>
        <w:t xml:space="preserve"> (and) (,) (the </w:t>
      </w:r>
      <w:r w:rsidRPr="00EC3919">
        <w:rPr>
          <w:rFonts w:eastAsia="Times New Roman"/>
          <w:i/>
          <w:sz w:val="24"/>
          <w:szCs w:val="24"/>
        </w:rPr>
        <w:t>[insert appropriate description, e.g., “negligence”]</w:t>
      </w:r>
      <w:r w:rsidRPr="00EC3919">
        <w:rPr>
          <w:rFonts w:eastAsia="Times New Roman"/>
          <w:b/>
          <w:sz w:val="24"/>
          <w:szCs w:val="24"/>
        </w:rPr>
        <w:t xml:space="preserve">, if any, of the plaintiffs, </w:t>
      </w:r>
      <w:r w:rsidRPr="00EC3919">
        <w:rPr>
          <w:rFonts w:eastAsia="Times New Roman"/>
          <w:i/>
          <w:sz w:val="24"/>
          <w:szCs w:val="24"/>
        </w:rPr>
        <w:t>[names])</w:t>
      </w:r>
      <w:r w:rsidRPr="00EC3919">
        <w:rPr>
          <w:rFonts w:eastAsia="Times New Roman"/>
          <w:b/>
          <w:sz w:val="24"/>
          <w:szCs w:val="24"/>
        </w:rPr>
        <w:t xml:space="preserve"> (,) (and) (the </w:t>
      </w:r>
      <w:r w:rsidRPr="00EC3919">
        <w:rPr>
          <w:rFonts w:eastAsia="Times New Roman"/>
          <w:i/>
          <w:sz w:val="24"/>
          <w:szCs w:val="24"/>
        </w:rPr>
        <w:t>[insert appropriate description, e.g., “negligence”]</w:t>
      </w:r>
      <w:r w:rsidRPr="00EC3919">
        <w:rPr>
          <w:rFonts w:eastAsia="Times New Roman"/>
          <w:b/>
          <w:sz w:val="24"/>
          <w:szCs w:val="24"/>
        </w:rPr>
        <w:t>, if any, of any designated nonparties).</w:t>
      </w:r>
    </w:p>
    <w:p w14:paraId="1EC345A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In determining such damages, you shall consider the following:</w:t>
      </w:r>
    </w:p>
    <w:p w14:paraId="44551654"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1. Any noneconomic damages in the form of loss of affection, society, companionship, and aid and comfort of the injured spouse, and</w:t>
      </w:r>
    </w:p>
    <w:p w14:paraId="0F46607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2. Economic damages for loss of household services the injured spouse would have performed and any resulting expenses which plaintiff has had or which plaintiff will have in the future, including </w:t>
      </w:r>
      <w:r w:rsidRPr="00EC3919">
        <w:rPr>
          <w:rFonts w:eastAsia="Times New Roman"/>
          <w:i/>
          <w:sz w:val="24"/>
          <w:szCs w:val="24"/>
        </w:rPr>
        <w:t>(insert description of those expenses which would be compensable and concerning which there is sufficient evidence for the jury reasonably to determine their existence and amount)</w:t>
      </w:r>
      <w:r w:rsidRPr="00EC3919">
        <w:rPr>
          <w:rFonts w:eastAsia="Times New Roman"/>
          <w:b/>
          <w:sz w:val="24"/>
          <w:szCs w:val="24"/>
        </w:rPr>
        <w:t>.</w:t>
      </w:r>
    </w:p>
    <w:p w14:paraId="19F0A2A9" w14:textId="77777777" w:rsidR="00EC3919" w:rsidRDefault="00EC3919" w:rsidP="00EC3919">
      <w:pPr>
        <w:jc w:val="center"/>
        <w:rPr>
          <w:rFonts w:eastAsia="Times New Roman"/>
          <w:sz w:val="24"/>
          <w:szCs w:val="24"/>
        </w:rPr>
      </w:pPr>
    </w:p>
    <w:p w14:paraId="3F9CDB8D"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7F9F85D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1. Use whichever parenthesized words and phrases are appropriate to the evidence in the case.</w:t>
      </w:r>
    </w:p>
    <w:p w14:paraId="25DF60BB"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2. When the uninjured spouse has incurred expenses under numbered paragraph 2 of this instruction to replace one or more household services, and those same expenses also might come within the language used in Instruction 6:1 or Instruction 6:1A to describe the damages being claimed by the injured spouse, an appropriate cautionary instruction intended to prevent double recovery should be given.</w:t>
      </w:r>
    </w:p>
    <w:p w14:paraId="058E99B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3. This instruction should be given whenever Instruction 6:5 is given.</w:t>
      </w:r>
    </w:p>
    <w:p w14:paraId="4AABA24C"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4. The court should omit the first numbered paragraph of this instruction unless the court finds there is “justification” for such “derivative noneconomic” losses or injuries “by clear and convincing evidence.” § 13-21-102.5(3)(b), C.R.S.</w:t>
      </w:r>
    </w:p>
    <w:p w14:paraId="357E2CE1"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448C8376" w14:textId="77777777" w:rsidR="00EF4043" w:rsidRDefault="00EC3919" w:rsidP="007A3A0E">
      <w:pPr>
        <w:spacing w:after="240"/>
        <w:ind w:firstLine="720"/>
        <w:rPr>
          <w:rFonts w:eastAsia="Times New Roman"/>
          <w:sz w:val="24"/>
          <w:szCs w:val="24"/>
        </w:rPr>
      </w:pPr>
      <w:r w:rsidRPr="00EC3919">
        <w:rPr>
          <w:rFonts w:eastAsia="Times New Roman"/>
          <w:sz w:val="24"/>
          <w:szCs w:val="24"/>
        </w:rPr>
        <w:t xml:space="preserve">The definition of consortium used in this instruction is supported by 1 </w:t>
      </w:r>
      <w:r w:rsidRPr="00EC3919">
        <w:rPr>
          <w:rFonts w:eastAsia="Times New Roman"/>
          <w:smallCaps/>
          <w:sz w:val="24"/>
          <w:szCs w:val="24"/>
        </w:rPr>
        <w:t>H. Clark, The Law of Domestic Relations in the United States</w:t>
      </w:r>
      <w:r w:rsidRPr="00EC3919">
        <w:rPr>
          <w:rFonts w:eastAsia="Times New Roman"/>
          <w:sz w:val="24"/>
          <w:szCs w:val="24"/>
        </w:rPr>
        <w:t xml:space="preserve"> § 12.5 (2d ed. 1987). Under modern definitions of consortium, “companionship” includes sexual relations, </w:t>
      </w:r>
      <w:r w:rsidRPr="00EC3919">
        <w:rPr>
          <w:rFonts w:eastAsia="Times New Roman"/>
          <w:smallCaps/>
          <w:sz w:val="24"/>
          <w:szCs w:val="24"/>
        </w:rPr>
        <w:t>W. Page Keeton et al., Prosser and Keeton on the Law of Torts</w:t>
      </w:r>
      <w:r w:rsidRPr="00EC3919">
        <w:rPr>
          <w:rFonts w:eastAsia="Times New Roman"/>
          <w:sz w:val="24"/>
          <w:szCs w:val="24"/>
        </w:rPr>
        <w:t xml:space="preserve"> § 125 (5th ed. 1984).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Schell v. Navajo Freight Lines, Inc.</w:t>
      </w:r>
      <w:r w:rsidRPr="00EC3919">
        <w:rPr>
          <w:rFonts w:eastAsia="Times New Roman"/>
          <w:sz w:val="24"/>
          <w:szCs w:val="24"/>
        </w:rPr>
        <w:t>, 693 P.2d 382, 385 (Colo. App. 1984) (citing former instruction, now incorporated into numbered paragraphs 1 and 2 of this instruction, and noting intangible nature of “rights arising out of a marital relationship”).</w:t>
      </w:r>
    </w:p>
    <w:p w14:paraId="5D9C29E5" w14:textId="77777777" w:rsidR="00EC3919" w:rsidRDefault="00EC3919">
      <w:pPr>
        <w:rPr>
          <w:rFonts w:eastAsia="Times New Roman"/>
          <w:sz w:val="24"/>
          <w:szCs w:val="24"/>
        </w:rPr>
      </w:pPr>
      <w:r>
        <w:rPr>
          <w:rFonts w:eastAsia="Times New Roman"/>
          <w:sz w:val="24"/>
          <w:szCs w:val="24"/>
        </w:rPr>
        <w:br w:type="page"/>
      </w:r>
    </w:p>
    <w:p w14:paraId="4B0022D6" w14:textId="77777777" w:rsidR="00EC3919" w:rsidRPr="009E3DA4" w:rsidRDefault="00EC3919" w:rsidP="00EC3919">
      <w:pPr>
        <w:spacing w:after="240"/>
        <w:ind w:left="720" w:hanging="720"/>
        <w:rPr>
          <w:rFonts w:eastAsia="Times New Roman"/>
          <w:b/>
          <w:sz w:val="24"/>
          <w:szCs w:val="24"/>
        </w:rPr>
      </w:pPr>
      <w:bookmarkStart w:id="10" w:name="a6_7"/>
      <w:bookmarkEnd w:id="10"/>
      <w:r w:rsidRPr="00EC3919">
        <w:rPr>
          <w:rFonts w:eastAsia="Times New Roman"/>
          <w:b/>
          <w:sz w:val="24"/>
          <w:szCs w:val="24"/>
        </w:rPr>
        <w:t xml:space="preserve">6:7 </w:t>
      </w:r>
      <w:r w:rsidRPr="00EC3919">
        <w:rPr>
          <w:rFonts w:eastAsia="Times New Roman"/>
          <w:b/>
          <w:sz w:val="24"/>
          <w:szCs w:val="24"/>
        </w:rPr>
        <w:tab/>
        <w:t>PERSONAL INJURIES — NON-REDUCTION OF DAMAGES — “THIN SKULL” DOCTRINE</w:t>
      </w:r>
    </w:p>
    <w:p w14:paraId="5F45541E"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In determining the amount of plaintiff’s actual damages, you cannot reduce the amount of or refuse to award any such damages because of any </w:t>
      </w:r>
      <w:r w:rsidRPr="00EC3919">
        <w:rPr>
          <w:rFonts w:eastAsia="Times New Roman"/>
          <w:i/>
          <w:sz w:val="24"/>
          <w:szCs w:val="24"/>
        </w:rPr>
        <w:t>(insert appropriate description, e.g., physical frailties, mental condition, illness, etc.)</w:t>
      </w:r>
      <w:r w:rsidRPr="00EC3919">
        <w:rPr>
          <w:rFonts w:eastAsia="Times New Roman"/>
          <w:b/>
          <w:sz w:val="24"/>
          <w:szCs w:val="24"/>
        </w:rPr>
        <w:t xml:space="preserve"> of the plaintiff that may have made (him) (her) more susceptible to injury, disability, or impairment than an average or normal person.</w:t>
      </w:r>
    </w:p>
    <w:p w14:paraId="01B8DDB7" w14:textId="77777777" w:rsidR="00EC3919" w:rsidRDefault="00EC3919" w:rsidP="00EC3919">
      <w:pPr>
        <w:jc w:val="center"/>
        <w:rPr>
          <w:rFonts w:eastAsia="Times New Roman"/>
          <w:sz w:val="24"/>
          <w:szCs w:val="24"/>
        </w:rPr>
      </w:pPr>
    </w:p>
    <w:p w14:paraId="2C1E6EA7"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2687C6DA"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1. This instruction should be given when the defendant seeks to avoid or limit liability for plaintiff’s injuries by asserting that the injuries would not have occurred or would have been less severe if the plaintiff had been a normal or average person. </w:t>
      </w:r>
      <w:r w:rsidRPr="00EC3919">
        <w:rPr>
          <w:rFonts w:eastAsia="Times New Roman"/>
          <w:i/>
          <w:sz w:val="24"/>
          <w:szCs w:val="24"/>
        </w:rPr>
        <w:t>See</w:t>
      </w:r>
      <w:r w:rsidRPr="00EC3919">
        <w:rPr>
          <w:rFonts w:eastAsia="Times New Roman"/>
          <w:sz w:val="24"/>
          <w:szCs w:val="24"/>
        </w:rPr>
        <w:t xml:space="preserve"> </w:t>
      </w:r>
      <w:r w:rsidRPr="00EC3919">
        <w:rPr>
          <w:rFonts w:eastAsia="Times New Roman"/>
          <w:b/>
          <w:sz w:val="24"/>
          <w:szCs w:val="24"/>
        </w:rPr>
        <w:t>State Farm Mut. Auto. Ins. Co. v. Peiffer</w:t>
      </w:r>
      <w:r w:rsidRPr="00EC3919">
        <w:rPr>
          <w:rFonts w:eastAsia="Times New Roman"/>
          <w:sz w:val="24"/>
          <w:szCs w:val="24"/>
        </w:rPr>
        <w:t xml:space="preserve">, 955 P.2d 1008 (Colo. 1998); </w:t>
      </w:r>
      <w:r w:rsidRPr="00EC3919">
        <w:rPr>
          <w:rFonts w:eastAsia="Times New Roman"/>
          <w:b/>
          <w:sz w:val="24"/>
          <w:szCs w:val="24"/>
        </w:rPr>
        <w:t>Schafer v. Hoffman</w:t>
      </w:r>
      <w:r w:rsidRPr="00EC3919">
        <w:rPr>
          <w:rFonts w:eastAsia="Times New Roman"/>
          <w:sz w:val="24"/>
          <w:szCs w:val="24"/>
        </w:rPr>
        <w:t xml:space="preserve">, 831 P.2d 897 (Colo. 1992); </w:t>
      </w:r>
      <w:r w:rsidRPr="00EC3919">
        <w:rPr>
          <w:rFonts w:eastAsia="Times New Roman"/>
          <w:b/>
          <w:sz w:val="24"/>
          <w:szCs w:val="24"/>
        </w:rPr>
        <w:t>Giampapa v. Am. Family Mut. Ins. Co.</w:t>
      </w:r>
      <w:r w:rsidRPr="00EC3919">
        <w:rPr>
          <w:rFonts w:eastAsia="Times New Roman"/>
          <w:sz w:val="24"/>
          <w:szCs w:val="24"/>
        </w:rPr>
        <w:t xml:space="preserve">, 12 P.3d 839 (Colo. App. 2000), </w:t>
      </w:r>
      <w:r w:rsidRPr="00EC3919">
        <w:rPr>
          <w:rFonts w:eastAsia="Times New Roman"/>
          <w:i/>
          <w:sz w:val="24"/>
          <w:szCs w:val="24"/>
        </w:rPr>
        <w:t>rev’d on other grounds,</w:t>
      </w:r>
      <w:r w:rsidRPr="00EC3919">
        <w:rPr>
          <w:rFonts w:eastAsia="Times New Roman"/>
          <w:sz w:val="24"/>
          <w:szCs w:val="24"/>
        </w:rPr>
        <w:t xml:space="preserve"> 64 P.3d 230 (Colo. 2003); </w:t>
      </w:r>
      <w:r w:rsidRPr="00EC3919">
        <w:rPr>
          <w:rFonts w:eastAsia="Times New Roman"/>
          <w:b/>
          <w:sz w:val="24"/>
          <w:szCs w:val="24"/>
        </w:rPr>
        <w:t>Loza v. State Farm Mut. Auto. Ins. Co.</w:t>
      </w:r>
      <w:r w:rsidRPr="00EC3919">
        <w:rPr>
          <w:rFonts w:eastAsia="Times New Roman"/>
          <w:sz w:val="24"/>
          <w:szCs w:val="24"/>
        </w:rPr>
        <w:t xml:space="preserve">, 970 P.2d 478 (Colo. App. 1998); </w:t>
      </w:r>
      <w:r w:rsidRPr="00EC3919">
        <w:rPr>
          <w:rFonts w:eastAsia="Times New Roman"/>
          <w:b/>
          <w:sz w:val="24"/>
          <w:szCs w:val="24"/>
        </w:rPr>
        <w:t>Kildahl v. Tagge</w:t>
      </w:r>
      <w:r w:rsidRPr="00EC3919">
        <w:rPr>
          <w:rFonts w:eastAsia="Times New Roman"/>
          <w:sz w:val="24"/>
          <w:szCs w:val="24"/>
        </w:rPr>
        <w:t>,</w:t>
      </w:r>
      <w:r w:rsidRPr="00EC3919">
        <w:rPr>
          <w:rFonts w:eastAsia="Times New Roman"/>
          <w:b/>
          <w:sz w:val="24"/>
          <w:szCs w:val="24"/>
        </w:rPr>
        <w:t xml:space="preserve"> </w:t>
      </w:r>
      <w:r w:rsidRPr="00EC3919">
        <w:rPr>
          <w:rFonts w:eastAsia="Times New Roman"/>
          <w:sz w:val="24"/>
          <w:szCs w:val="24"/>
        </w:rPr>
        <w:t xml:space="preserve">942 P.2d 1283 (Colo. App. 1996). The “thin skull” doctrine is not limited to preexisting bodily conditions, but also applies if a plaintiff is predisposed or more susceptible to injury or illness than a normal person. </w:t>
      </w:r>
      <w:r w:rsidRPr="00EC3919">
        <w:rPr>
          <w:rFonts w:eastAsia="Times New Roman"/>
          <w:b/>
          <w:sz w:val="24"/>
          <w:szCs w:val="24"/>
        </w:rPr>
        <w:t>Schafer</w:t>
      </w:r>
      <w:r w:rsidRPr="00EC3919">
        <w:rPr>
          <w:rFonts w:eastAsia="Times New Roman"/>
          <w:sz w:val="24"/>
          <w:szCs w:val="24"/>
        </w:rPr>
        <w:t xml:space="preserve">, 831 P.2d at 901. Under the “thin skull” doctrine, foreseeability is not an issue in determining the extent of a plaintiff’s injuries. </w:t>
      </w:r>
      <w:r w:rsidRPr="00EC3919">
        <w:rPr>
          <w:rFonts w:eastAsia="Times New Roman"/>
          <w:i/>
          <w:sz w:val="24"/>
          <w:szCs w:val="24"/>
        </w:rPr>
        <w:t>Id</w:t>
      </w:r>
      <w:r w:rsidRPr="00EC3919">
        <w:rPr>
          <w:rFonts w:eastAsia="Times New Roman"/>
          <w:sz w:val="24"/>
          <w:szCs w:val="24"/>
        </w:rPr>
        <w:t>. at 902.</w:t>
      </w:r>
    </w:p>
    <w:p w14:paraId="41E45CEE"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2. “[A]n egg-shell instruction is appropriate where there is evidence that the plaintiff had a dormant or asymptomatic pre-existing condition. Giving an eggshell instruction is also appropriate where a pre-existing condition was symptomatic, if there is evidence that the harm resulting from the defendant’s negligence is greater than it would have been in the absence of the pre-existing condition.” </w:t>
      </w:r>
      <w:r w:rsidRPr="00EC3919">
        <w:rPr>
          <w:rFonts w:eastAsia="Times New Roman"/>
          <w:b/>
          <w:sz w:val="24"/>
          <w:szCs w:val="24"/>
        </w:rPr>
        <w:t>McLaughlin v. BNSF Ry. Co.</w:t>
      </w:r>
      <w:r w:rsidRPr="00EC3919">
        <w:rPr>
          <w:rFonts w:eastAsia="Times New Roman"/>
          <w:sz w:val="24"/>
          <w:szCs w:val="24"/>
        </w:rPr>
        <w:t>, 2012 COA 92, ¶ 44, 300 P.3d 925, 937 (applying federal law in an action brought under the Federal Employers’ Liability Act, the court presents an in-depth discussion of the interrelationship between an eggshell instruction and an aggravation instruction).</w:t>
      </w:r>
    </w:p>
    <w:p w14:paraId="70CDF81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3. In cases involving the aggravation of a preexisting condition, consideration must be given as to whether this instruction or Instruction 6:8, or both, apply. If both instructions are given, some modification of this instruction and Instruction 6:8 may be necessary, and an instruction clarifying for the jury how both should be applied also should be given. </w:t>
      </w:r>
      <w:r w:rsidRPr="00EC3919">
        <w:rPr>
          <w:rFonts w:eastAsia="Times New Roman"/>
          <w:i/>
          <w:sz w:val="24"/>
          <w:szCs w:val="24"/>
        </w:rPr>
        <w:t>See id.</w:t>
      </w:r>
    </w:p>
    <w:p w14:paraId="28B37E32"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08FD171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This instruction is supported by </w:t>
      </w:r>
      <w:r w:rsidRPr="00EC3919">
        <w:rPr>
          <w:rFonts w:eastAsia="Times New Roman"/>
          <w:b/>
          <w:sz w:val="24"/>
          <w:szCs w:val="24"/>
        </w:rPr>
        <w:t>Schafer</w:t>
      </w:r>
      <w:r w:rsidRPr="00EC3919">
        <w:rPr>
          <w:rFonts w:eastAsia="Times New Roman"/>
          <w:sz w:val="24"/>
          <w:szCs w:val="24"/>
        </w:rPr>
        <w:t xml:space="preserve">, 831 P.2d at 900.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Stephens v. Koch</w:t>
      </w:r>
      <w:r w:rsidRPr="00EC3919">
        <w:rPr>
          <w:rFonts w:eastAsia="Times New Roman"/>
          <w:sz w:val="24"/>
          <w:szCs w:val="24"/>
        </w:rPr>
        <w:t xml:space="preserve">, 192 Colo. 531, 533, 561 P.2d 333, 334 (1977) (“[A] defendant must take his victim as he finds him.”); </w:t>
      </w:r>
      <w:r w:rsidRPr="00EC3919">
        <w:rPr>
          <w:rFonts w:eastAsia="Times New Roman"/>
          <w:i/>
          <w:sz w:val="24"/>
          <w:szCs w:val="24"/>
        </w:rPr>
        <w:t xml:space="preserve">accord </w:t>
      </w:r>
      <w:r w:rsidRPr="00EC3919">
        <w:rPr>
          <w:rFonts w:eastAsia="Times New Roman"/>
          <w:b/>
          <w:sz w:val="24"/>
          <w:szCs w:val="24"/>
        </w:rPr>
        <w:t>Fischer v. Moore</w:t>
      </w:r>
      <w:r w:rsidRPr="00EC3919">
        <w:rPr>
          <w:rFonts w:eastAsia="Times New Roman"/>
          <w:sz w:val="24"/>
          <w:szCs w:val="24"/>
        </w:rPr>
        <w:t>, 183 Colo. 392, 517 P.2d 458 (1973).</w:t>
      </w:r>
    </w:p>
    <w:p w14:paraId="706C69EE" w14:textId="77777777" w:rsidR="00AF7D47" w:rsidRDefault="00AF7D47">
      <w:pPr>
        <w:rPr>
          <w:rFonts w:eastAsia="Times New Roman"/>
          <w:sz w:val="24"/>
          <w:szCs w:val="24"/>
        </w:rPr>
      </w:pPr>
      <w:r>
        <w:rPr>
          <w:rFonts w:eastAsia="Times New Roman"/>
          <w:sz w:val="24"/>
          <w:szCs w:val="24"/>
        </w:rPr>
        <w:br w:type="page"/>
      </w:r>
    </w:p>
    <w:p w14:paraId="0A28CAB9" w14:textId="77777777" w:rsidR="00AF7D47" w:rsidRPr="009E3DA4" w:rsidRDefault="00AF7D47" w:rsidP="00AF7D47">
      <w:pPr>
        <w:spacing w:after="240"/>
        <w:ind w:left="720" w:hanging="720"/>
        <w:rPr>
          <w:rFonts w:eastAsia="Times New Roman"/>
          <w:b/>
          <w:sz w:val="24"/>
          <w:szCs w:val="24"/>
        </w:rPr>
      </w:pPr>
      <w:bookmarkStart w:id="11" w:name="a6_8"/>
      <w:bookmarkEnd w:id="11"/>
      <w:r w:rsidRPr="00AF7D47">
        <w:rPr>
          <w:rFonts w:eastAsia="Times New Roman"/>
          <w:b/>
          <w:sz w:val="24"/>
          <w:szCs w:val="24"/>
        </w:rPr>
        <w:t xml:space="preserve">6:8 </w:t>
      </w:r>
      <w:r w:rsidRPr="00AF7D47">
        <w:rPr>
          <w:rFonts w:eastAsia="Times New Roman"/>
          <w:b/>
          <w:sz w:val="24"/>
          <w:szCs w:val="24"/>
        </w:rPr>
        <w:tab/>
        <w:t>AGGRAVATION OF PREEXISTING CONDITION</w:t>
      </w:r>
    </w:p>
    <w:p w14:paraId="59F5C70A"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For the plaintiff, </w:t>
      </w:r>
      <w:r w:rsidRPr="00AF7D47">
        <w:rPr>
          <w:rFonts w:eastAsia="Times New Roman"/>
          <w:i/>
          <w:sz w:val="24"/>
          <w:szCs w:val="24"/>
        </w:rPr>
        <w:t>(name)</w:t>
      </w:r>
      <w:r w:rsidRPr="00AF7D47">
        <w:rPr>
          <w:rFonts w:eastAsia="Times New Roman"/>
          <w:b/>
          <w:sz w:val="24"/>
          <w:szCs w:val="24"/>
        </w:rPr>
        <w:t>, to recover damages for the aggravation of a preexisting condition, you must find all of the following have been proved:</w:t>
      </w:r>
    </w:p>
    <w:p w14:paraId="44E1AE70"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1. Before </w:t>
      </w:r>
      <w:r w:rsidRPr="00AF7D47">
        <w:rPr>
          <w:rFonts w:eastAsia="Times New Roman"/>
          <w:i/>
          <w:sz w:val="24"/>
          <w:szCs w:val="24"/>
        </w:rPr>
        <w:t>(insert date)</w:t>
      </w:r>
      <w:r w:rsidRPr="00AF7D47">
        <w:rPr>
          <w:rFonts w:eastAsia="Times New Roman"/>
          <w:b/>
          <w:sz w:val="24"/>
          <w:szCs w:val="24"/>
        </w:rPr>
        <w:t xml:space="preserve">, the plaintiff suffered from </w:t>
      </w:r>
      <w:r w:rsidRPr="00AF7D47">
        <w:rPr>
          <w:rFonts w:eastAsia="Times New Roman"/>
          <w:i/>
          <w:sz w:val="24"/>
          <w:szCs w:val="24"/>
        </w:rPr>
        <w:t>(insert appropriate description of ailment or disability)</w:t>
      </w:r>
      <w:r w:rsidRPr="00AF7D47">
        <w:rPr>
          <w:rFonts w:eastAsia="Times New Roman"/>
          <w:b/>
          <w:sz w:val="24"/>
          <w:szCs w:val="24"/>
        </w:rPr>
        <w:t>;</w:t>
      </w:r>
    </w:p>
    <w:p w14:paraId="20EDD66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2. On </w:t>
      </w:r>
      <w:r w:rsidRPr="00AF7D47">
        <w:rPr>
          <w:rFonts w:eastAsia="Times New Roman"/>
          <w:i/>
          <w:sz w:val="24"/>
          <w:szCs w:val="24"/>
        </w:rPr>
        <w:t>(insert date)</w:t>
      </w:r>
      <w:r w:rsidRPr="00AF7D47">
        <w:rPr>
          <w:rFonts w:eastAsia="Times New Roman"/>
          <w:b/>
          <w:sz w:val="24"/>
          <w:szCs w:val="24"/>
        </w:rPr>
        <w:t xml:space="preserve">, the defendant, </w:t>
      </w:r>
      <w:r w:rsidRPr="00AF7D47">
        <w:rPr>
          <w:rFonts w:eastAsia="Times New Roman"/>
          <w:i/>
          <w:sz w:val="24"/>
          <w:szCs w:val="24"/>
        </w:rPr>
        <w:t>(name)</w:t>
      </w:r>
      <w:r w:rsidRPr="00AF7D47">
        <w:rPr>
          <w:rFonts w:eastAsia="Times New Roman"/>
          <w:b/>
          <w:sz w:val="24"/>
          <w:szCs w:val="24"/>
        </w:rPr>
        <w:t>, was (</w:t>
      </w:r>
      <w:r w:rsidRPr="00AF7D47">
        <w:rPr>
          <w:rFonts w:eastAsia="Times New Roman"/>
          <w:i/>
          <w:sz w:val="24"/>
          <w:szCs w:val="24"/>
        </w:rPr>
        <w:t>insert appropriate description, e.g., “negligent”</w:t>
      </w:r>
      <w:r w:rsidRPr="00AF7D47">
        <w:rPr>
          <w:rFonts w:eastAsia="Times New Roman"/>
          <w:b/>
          <w:sz w:val="24"/>
          <w:szCs w:val="24"/>
        </w:rPr>
        <w:t>); and</w:t>
      </w:r>
    </w:p>
    <w:p w14:paraId="5F480856"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3. The defendant’s </w:t>
      </w:r>
      <w:r w:rsidRPr="00AF7D47">
        <w:rPr>
          <w:rFonts w:eastAsia="Times New Roman"/>
          <w:i/>
          <w:sz w:val="24"/>
          <w:szCs w:val="24"/>
        </w:rPr>
        <w:t xml:space="preserve">(insert appropriate description, e.g. “negligence”) </w:t>
      </w:r>
      <w:r w:rsidRPr="00AF7D47">
        <w:rPr>
          <w:rFonts w:eastAsia="Times New Roman"/>
          <w:b/>
          <w:sz w:val="24"/>
          <w:szCs w:val="24"/>
        </w:rPr>
        <w:t xml:space="preserve">made the plaintiff’s </w:t>
      </w:r>
      <w:r w:rsidRPr="00AF7D47">
        <w:rPr>
          <w:rFonts w:eastAsia="Times New Roman"/>
          <w:i/>
          <w:sz w:val="24"/>
          <w:szCs w:val="24"/>
        </w:rPr>
        <w:t>(insert appropriate description of ailment or disability)</w:t>
      </w:r>
      <w:r w:rsidRPr="00AF7D47">
        <w:rPr>
          <w:rFonts w:eastAsia="Times New Roman"/>
          <w:b/>
          <w:sz w:val="24"/>
          <w:szCs w:val="24"/>
        </w:rPr>
        <w:t xml:space="preserve"> worse.</w:t>
      </w:r>
    </w:p>
    <w:p w14:paraId="6974A4E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that all of these </w:t>
      </w:r>
      <w:r w:rsidRPr="00AF7D47">
        <w:rPr>
          <w:rFonts w:eastAsia="Times New Roman"/>
          <w:i/>
          <w:sz w:val="24"/>
          <w:szCs w:val="24"/>
        </w:rPr>
        <w:t>(number)</w:t>
      </w:r>
      <w:r w:rsidRPr="00AF7D47">
        <w:rPr>
          <w:rFonts w:eastAsia="Times New Roman"/>
          <w:b/>
          <w:sz w:val="24"/>
          <w:szCs w:val="24"/>
        </w:rPr>
        <w:t xml:space="preserve"> statements have been proved by a preponderance of the evidence, it is your duty to determine, if possible, the amount of damages, if any,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3AE8288F"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able to separate the amount of damages, if any, caused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 from the amount of damages, if any, caused by the ailment or disability which existed before </w:t>
      </w:r>
      <w:r w:rsidRPr="00AF7D47">
        <w:rPr>
          <w:rFonts w:eastAsia="Times New Roman"/>
          <w:i/>
          <w:sz w:val="24"/>
          <w:szCs w:val="24"/>
        </w:rPr>
        <w:t>(insert date)</w:t>
      </w:r>
      <w:r w:rsidRPr="00AF7D47">
        <w:rPr>
          <w:rFonts w:eastAsia="Times New Roman"/>
          <w:b/>
          <w:sz w:val="24"/>
          <w:szCs w:val="24"/>
        </w:rPr>
        <w:t xml:space="preserve">, then the plaintiff is entitled to recover damages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7768D794"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unable to separate the damages caused by the ailment or disability which existed before </w:t>
      </w:r>
      <w:r w:rsidRPr="00AF7D47">
        <w:rPr>
          <w:rFonts w:eastAsia="Times New Roman"/>
          <w:i/>
          <w:sz w:val="24"/>
          <w:szCs w:val="24"/>
        </w:rPr>
        <w:t xml:space="preserve">(date) </w:t>
      </w:r>
      <w:r w:rsidRPr="00AF7D47">
        <w:rPr>
          <w:rFonts w:eastAsia="Times New Roman"/>
          <w:b/>
          <w:sz w:val="24"/>
          <w:szCs w:val="24"/>
        </w:rPr>
        <w:t xml:space="preserve">and the damages caused by the </w:t>
      </w:r>
      <w:r w:rsidRPr="00AF7D47">
        <w:rPr>
          <w:rFonts w:eastAsia="Times New Roman"/>
          <w:i/>
          <w:sz w:val="24"/>
          <w:szCs w:val="24"/>
        </w:rPr>
        <w:t xml:space="preserve">(insert appropriate description, e.g., “negligence”) </w:t>
      </w:r>
      <w:r w:rsidRPr="00AF7D47">
        <w:rPr>
          <w:rFonts w:eastAsia="Times New Roman"/>
          <w:b/>
          <w:sz w:val="24"/>
          <w:szCs w:val="24"/>
        </w:rPr>
        <w:t>of the defendant, then the defendant is legally responsible for the entire amount of damages.</w:t>
      </w:r>
    </w:p>
    <w:p w14:paraId="0C233C9C" w14:textId="77777777" w:rsidR="00AF7D47" w:rsidRDefault="00AF7D47" w:rsidP="00AF7D47">
      <w:pPr>
        <w:jc w:val="center"/>
        <w:rPr>
          <w:rFonts w:eastAsia="Times New Roman"/>
          <w:sz w:val="24"/>
          <w:szCs w:val="24"/>
        </w:rPr>
      </w:pPr>
    </w:p>
    <w:p w14:paraId="3ED8D941"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20136F60"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applies even where the preexisting condition was of traumatic origin for which the plaintiff previously had recovered damages. </w:t>
      </w:r>
      <w:r w:rsidRPr="00AF7D47">
        <w:rPr>
          <w:rFonts w:eastAsia="Times New Roman"/>
          <w:b/>
          <w:sz w:val="24"/>
          <w:szCs w:val="24"/>
        </w:rPr>
        <w:t>Hylton v. Wade</w:t>
      </w:r>
      <w:r w:rsidRPr="00AF7D47">
        <w:rPr>
          <w:rFonts w:eastAsia="Times New Roman"/>
          <w:sz w:val="24"/>
          <w:szCs w:val="24"/>
        </w:rPr>
        <w:t>, 29 Colo. App. 98, 478 P.2d 690 (1970).</w:t>
      </w:r>
    </w:p>
    <w:p w14:paraId="24A48A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rules stated in this instruction do not apply to a fact situation where the plaintiff’s injuries have been aggravated by a subsequent accident not proximately caused by the defendant. </w:t>
      </w:r>
      <w:r w:rsidRPr="00AF7D47">
        <w:rPr>
          <w:rFonts w:eastAsia="Times New Roman"/>
          <w:i/>
          <w:sz w:val="24"/>
          <w:szCs w:val="24"/>
        </w:rPr>
        <w:t>See</w:t>
      </w:r>
      <w:r w:rsidRPr="00AF7D47">
        <w:rPr>
          <w:rFonts w:eastAsia="Times New Roman"/>
          <w:sz w:val="24"/>
          <w:szCs w:val="24"/>
        </w:rPr>
        <w:t xml:space="preserve"> Instruction 6:9;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Smartt v. Lamar Oil Co.</w:t>
      </w:r>
      <w:r w:rsidRPr="00AF7D47">
        <w:rPr>
          <w:rFonts w:eastAsia="Times New Roman"/>
          <w:sz w:val="24"/>
          <w:szCs w:val="24"/>
        </w:rPr>
        <w:t xml:space="preserve">, 623 P.2d 73 (Colo. App. 1980); </w:t>
      </w:r>
      <w:r w:rsidRPr="00AF7D47">
        <w:rPr>
          <w:rFonts w:eastAsia="Times New Roman"/>
          <w:b/>
          <w:sz w:val="24"/>
          <w:szCs w:val="24"/>
        </w:rPr>
        <w:t>Bruckman v. Pena</w:t>
      </w:r>
      <w:r w:rsidRPr="00AF7D47">
        <w:rPr>
          <w:rFonts w:eastAsia="Times New Roman"/>
          <w:sz w:val="24"/>
          <w:szCs w:val="24"/>
        </w:rPr>
        <w:t>, 29 Colo. App. 357, 487 P.2d 566 (1971). Where a subsequent injury may have been proximately caused by the defendant’s conduct, see Instructions 9:19 and 9:20.</w:t>
      </w:r>
    </w:p>
    <w:p w14:paraId="576C79B0"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“[W]here plaintiff shows (1) that he had a pre-existing condition and (2) that, as a proximate result of defendant’s negligence, this condition was aggravated, the giving of [this instruction], in its entirety, [is] mandatory.” </w:t>
      </w:r>
      <w:r w:rsidRPr="00AF7D47">
        <w:rPr>
          <w:rFonts w:eastAsia="Times New Roman"/>
          <w:b/>
          <w:sz w:val="24"/>
          <w:szCs w:val="24"/>
        </w:rPr>
        <w:t>Brittis v. Freemon</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34 Colo. App. 348, 353, 527 P.2d 1175, 1178 (1974); </w:t>
      </w:r>
      <w:r w:rsidRPr="00AF7D47">
        <w:rPr>
          <w:rFonts w:eastAsia="Times New Roman"/>
          <w:i/>
          <w:sz w:val="24"/>
          <w:szCs w:val="24"/>
        </w:rPr>
        <w:t xml:space="preserve">see also </w:t>
      </w:r>
      <w:r w:rsidRPr="00AF7D47">
        <w:rPr>
          <w:rFonts w:eastAsia="Times New Roman"/>
          <w:b/>
          <w:sz w:val="24"/>
          <w:szCs w:val="24"/>
        </w:rPr>
        <w:t>McLaughlin v. BNSF Ry. Co.</w:t>
      </w:r>
      <w:r w:rsidRPr="00AF7D47">
        <w:rPr>
          <w:rFonts w:eastAsia="Times New Roman"/>
          <w:sz w:val="24"/>
          <w:szCs w:val="24"/>
        </w:rPr>
        <w:t>, 2012 COA 92, ¶¶ 35-50, 300 P.3d 925 (in an action brought under the Federal Employers’ Liability Act, the court presents an in-depth discussion of the interrelationship between an eggshell instruction and an aggravation instruction).</w:t>
      </w:r>
    </w:p>
    <w:p w14:paraId="778531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4. Compare this instruction with Instruction 6:7. If both this instruction and Instruction 6:7 are given to the jury, some modification of this instruction may be necessary and an instruction clarifying for the jury how both should be applied should be given. </w:t>
      </w:r>
      <w:r w:rsidRPr="00AF7D47">
        <w:rPr>
          <w:rFonts w:eastAsia="Times New Roman"/>
          <w:i/>
          <w:sz w:val="24"/>
          <w:szCs w:val="24"/>
        </w:rPr>
        <w:t>See</w:t>
      </w:r>
      <w:r w:rsidRPr="00AF7D47">
        <w:rPr>
          <w:rFonts w:eastAsia="Times New Roman"/>
          <w:sz w:val="24"/>
          <w:szCs w:val="24"/>
        </w:rPr>
        <w:t xml:space="preserve"> </w:t>
      </w:r>
      <w:r w:rsidRPr="00AF7D47">
        <w:rPr>
          <w:rFonts w:eastAsia="Times New Roman"/>
          <w:b/>
          <w:sz w:val="24"/>
          <w:szCs w:val="24"/>
        </w:rPr>
        <w:t>McLaughlin</w:t>
      </w:r>
      <w:r w:rsidRPr="00AF7D47">
        <w:rPr>
          <w:rFonts w:eastAsia="Times New Roman"/>
          <w:sz w:val="24"/>
          <w:szCs w:val="24"/>
        </w:rPr>
        <w:t>, ¶ 44.</w:t>
      </w:r>
    </w:p>
    <w:p w14:paraId="4BD354CB"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 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940 P.2d at 982)).</w:t>
      </w:r>
    </w:p>
    <w:p w14:paraId="0568BDE6"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1E49E55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Intermill v. Heumesser</w:t>
      </w:r>
      <w:r w:rsidRPr="00AF7D47">
        <w:rPr>
          <w:rFonts w:eastAsia="Times New Roman"/>
          <w:sz w:val="24"/>
          <w:szCs w:val="24"/>
        </w:rPr>
        <w:t xml:space="preserve">, 154 Colo. 496, 391 P.2d 684 (1964); </w:t>
      </w:r>
      <w:r w:rsidRPr="00AF7D47">
        <w:rPr>
          <w:rFonts w:eastAsia="Times New Roman"/>
          <w:b/>
          <w:sz w:val="24"/>
          <w:szCs w:val="24"/>
        </w:rPr>
        <w:t>Newbury v. Vogel</w:t>
      </w:r>
      <w:r w:rsidRPr="00AF7D47">
        <w:rPr>
          <w:rFonts w:eastAsia="Times New Roman"/>
          <w:sz w:val="24"/>
          <w:szCs w:val="24"/>
        </w:rPr>
        <w:t xml:space="preserve">, 151 Colo. 520, 379 P.2d 811 (1963); </w:t>
      </w:r>
      <w:r w:rsidRPr="00AF7D47">
        <w:rPr>
          <w:rFonts w:eastAsia="Times New Roman"/>
          <w:b/>
          <w:sz w:val="24"/>
          <w:szCs w:val="24"/>
        </w:rPr>
        <w:t>Lawson v. Safeway, Inc.</w:t>
      </w:r>
      <w:r w:rsidRPr="00AF7D47">
        <w:rPr>
          <w:rFonts w:eastAsia="Times New Roman"/>
          <w:sz w:val="24"/>
          <w:szCs w:val="24"/>
        </w:rPr>
        <w:t xml:space="preserve">, 878 P.2d 127 (Colo. App. 1994); </w:t>
      </w:r>
      <w:r w:rsidRPr="00AF7D47">
        <w:rPr>
          <w:rFonts w:eastAsia="Times New Roman"/>
          <w:b/>
          <w:sz w:val="24"/>
          <w:szCs w:val="24"/>
        </w:rPr>
        <w:t>Hildyard v. Western Fasteners, Inc.</w:t>
      </w:r>
      <w:r w:rsidRPr="00AF7D47">
        <w:rPr>
          <w:rFonts w:eastAsia="Times New Roman"/>
          <w:sz w:val="24"/>
          <w:szCs w:val="24"/>
        </w:rPr>
        <w:t xml:space="preserve">, 33 Colo. App. 396, 522 P.2d 596 (1974) (specifically approving former instruction); and </w:t>
      </w:r>
      <w:r w:rsidRPr="00AF7D47">
        <w:rPr>
          <w:rFonts w:eastAsia="Times New Roman"/>
          <w:b/>
          <w:sz w:val="24"/>
          <w:szCs w:val="24"/>
        </w:rPr>
        <w:t>McLaughlin</w:t>
      </w:r>
      <w:r w:rsidRPr="00AF7D47">
        <w:rPr>
          <w:rFonts w:eastAsia="Times New Roman"/>
          <w:sz w:val="24"/>
          <w:szCs w:val="24"/>
        </w:rPr>
        <w:t>, 2012 COA 92, ¶ 44.</w:t>
      </w:r>
    </w:p>
    <w:p w14:paraId="13F00AB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last two paragraphs of this instruction (the second paragraph of the former instruction) adequately and correctly state the law, and consequently it is not necessary to include in this instruction any statement concerning the burden of proof on the issue of apportionment. </w:t>
      </w:r>
      <w:r w:rsidRPr="00AF7D47">
        <w:rPr>
          <w:rFonts w:eastAsia="Times New Roman"/>
          <w:b/>
          <w:sz w:val="24"/>
          <w:szCs w:val="24"/>
        </w:rPr>
        <w:t>Stephens v. Koch</w:t>
      </w:r>
      <w:r w:rsidRPr="00AF7D47">
        <w:rPr>
          <w:rFonts w:eastAsia="Times New Roman"/>
          <w:sz w:val="24"/>
          <w:szCs w:val="24"/>
        </w:rPr>
        <w:t>, 192 Colo. 531, 561 P.2d 333 (1977).</w:t>
      </w:r>
    </w:p>
    <w:p w14:paraId="7AD77BE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The pro rata liability statute, § 13-21-111.5, C.R.S., does not modify or provide an alternative to the doctrine of apportionment set forth in this instruction. </w:t>
      </w:r>
      <w:r w:rsidRPr="00AF7D47">
        <w:rPr>
          <w:rFonts w:eastAsia="Times New Roman"/>
          <w:b/>
          <w:sz w:val="24"/>
          <w:szCs w:val="24"/>
        </w:rPr>
        <w:t>Fried v. Leong</w:t>
      </w:r>
      <w:r w:rsidRPr="00AF7D47">
        <w:rPr>
          <w:rFonts w:eastAsia="Times New Roman"/>
          <w:sz w:val="24"/>
          <w:szCs w:val="24"/>
        </w:rPr>
        <w:t>, 946 P.2d 487 (Colo. App. 1997).</w:t>
      </w:r>
    </w:p>
    <w:p w14:paraId="37B8FE99" w14:textId="77777777" w:rsidR="00AF7D47" w:rsidRDefault="00AF7D47">
      <w:pPr>
        <w:rPr>
          <w:rFonts w:eastAsia="Times New Roman"/>
          <w:sz w:val="24"/>
          <w:szCs w:val="24"/>
        </w:rPr>
      </w:pPr>
      <w:r>
        <w:rPr>
          <w:rFonts w:eastAsia="Times New Roman"/>
          <w:sz w:val="24"/>
          <w:szCs w:val="24"/>
        </w:rPr>
        <w:br w:type="page"/>
      </w:r>
    </w:p>
    <w:p w14:paraId="4F0BF78B" w14:textId="77777777" w:rsidR="00AF7D47" w:rsidRPr="009E3DA4" w:rsidRDefault="00AF7D47" w:rsidP="00AF7D47">
      <w:pPr>
        <w:spacing w:after="240"/>
        <w:ind w:left="720" w:hanging="720"/>
        <w:rPr>
          <w:rFonts w:eastAsia="Times New Roman"/>
          <w:b/>
          <w:sz w:val="24"/>
          <w:szCs w:val="24"/>
        </w:rPr>
      </w:pPr>
      <w:bookmarkStart w:id="12" w:name="a6_9"/>
      <w:bookmarkEnd w:id="12"/>
      <w:r w:rsidRPr="00AF7D47">
        <w:rPr>
          <w:rFonts w:eastAsia="Times New Roman"/>
          <w:b/>
          <w:sz w:val="24"/>
          <w:szCs w:val="24"/>
        </w:rPr>
        <w:t xml:space="preserve">6:9 </w:t>
      </w:r>
      <w:r w:rsidRPr="00AF7D47">
        <w:rPr>
          <w:rFonts w:eastAsia="Times New Roman"/>
          <w:b/>
          <w:sz w:val="24"/>
          <w:szCs w:val="24"/>
        </w:rPr>
        <w:tab/>
        <w:t>DAMAGES CAUSED BY UNRELATED SECOND EVENT</w:t>
      </w:r>
    </w:p>
    <w:p w14:paraId="19245FAC"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The plaintiff, </w:t>
      </w:r>
      <w:r w:rsidRPr="00AF7D47">
        <w:rPr>
          <w:rFonts w:eastAsia="Times New Roman"/>
          <w:i/>
          <w:sz w:val="24"/>
          <w:szCs w:val="24"/>
        </w:rPr>
        <w:t>(name)</w:t>
      </w:r>
      <w:r w:rsidRPr="00AF7D47">
        <w:rPr>
          <w:rFonts w:eastAsia="Times New Roman"/>
          <w:b/>
          <w:sz w:val="24"/>
          <w:szCs w:val="24"/>
        </w:rPr>
        <w:t xml:space="preserve">, claims damages from the defendant, </w:t>
      </w:r>
      <w:r w:rsidRPr="00AF7D47">
        <w:rPr>
          <w:rFonts w:eastAsia="Times New Roman"/>
          <w:i/>
          <w:sz w:val="24"/>
          <w:szCs w:val="24"/>
        </w:rPr>
        <w:t>(name)</w:t>
      </w:r>
      <w:r w:rsidRPr="00AF7D47">
        <w:rPr>
          <w:rFonts w:eastAsia="Times New Roman"/>
          <w:b/>
          <w:sz w:val="24"/>
          <w:szCs w:val="24"/>
        </w:rPr>
        <w:t xml:space="preserve">, for (injuries) (damages) (losses) caused by (a) (an) </w:t>
      </w:r>
      <w:r w:rsidRPr="00AF7D47">
        <w:rPr>
          <w:rFonts w:eastAsia="Times New Roman"/>
          <w:i/>
          <w:sz w:val="24"/>
          <w:szCs w:val="24"/>
        </w:rPr>
        <w:t>(insert appropriate description of event, e.g., “auto accident on June 24, 20--”)</w:t>
      </w:r>
      <w:r w:rsidRPr="00AF7D47">
        <w:rPr>
          <w:rFonts w:eastAsia="Times New Roman"/>
          <w:b/>
          <w:sz w:val="24"/>
          <w:szCs w:val="24"/>
        </w:rPr>
        <w:t xml:space="preserve">. If you find that the defendant’s </w:t>
      </w:r>
      <w:r w:rsidRPr="00AF7D47">
        <w:rPr>
          <w:rFonts w:eastAsia="Times New Roman"/>
          <w:i/>
          <w:sz w:val="24"/>
          <w:szCs w:val="24"/>
        </w:rPr>
        <w:t>(insert appropriate description, e.g., “negligence”)</w:t>
      </w:r>
      <w:r w:rsidRPr="00AF7D47">
        <w:rPr>
          <w:rFonts w:eastAsia="Times New Roman"/>
          <w:b/>
          <w:sz w:val="24"/>
          <w:szCs w:val="24"/>
        </w:rPr>
        <w:t xml:space="preserve">, if any, was a cause of any such (injuries) (damages) (losses), then the plaintiff may recover all damages caused by that event. But if you find the plaintiff was later injured in (a) (an) </w:t>
      </w:r>
      <w:r w:rsidRPr="00AF7D47">
        <w:rPr>
          <w:rFonts w:eastAsia="Times New Roman"/>
          <w:i/>
          <w:sz w:val="24"/>
          <w:szCs w:val="24"/>
        </w:rPr>
        <w:t>(insert appropriate description of second event, e.g., “toboggan accident on January 3, 20--”)</w:t>
      </w:r>
      <w:r w:rsidRPr="00AF7D47">
        <w:rPr>
          <w:rFonts w:eastAsia="Times New Roman"/>
          <w:b/>
          <w:sz w:val="24"/>
          <w:szCs w:val="24"/>
        </w:rPr>
        <w:t xml:space="preserve"> which was not caused by any acts or omissions of the defendant, then the plaintiff may not recover any damages caused only by the </w:t>
      </w:r>
      <w:r w:rsidRPr="00AF7D47">
        <w:rPr>
          <w:rFonts w:eastAsia="Times New Roman"/>
          <w:i/>
          <w:sz w:val="24"/>
          <w:szCs w:val="24"/>
        </w:rPr>
        <w:t>(insert description of second event, e.g., “toboggan accident”)</w:t>
      </w:r>
      <w:r w:rsidRPr="00AF7D47">
        <w:rPr>
          <w:rFonts w:eastAsia="Times New Roman"/>
          <w:b/>
          <w:sz w:val="24"/>
          <w:szCs w:val="24"/>
        </w:rPr>
        <w:t>.</w:t>
      </w:r>
    </w:p>
    <w:p w14:paraId="23770A99"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the </w:t>
      </w:r>
      <w:r w:rsidRPr="00AF7D47">
        <w:rPr>
          <w:rFonts w:eastAsia="Times New Roman"/>
          <w:i/>
          <w:sz w:val="24"/>
          <w:szCs w:val="24"/>
        </w:rPr>
        <w:t>(insert description of second event, e.g., “toboggan accident on January 3, 20--”)</w:t>
      </w:r>
      <w:r w:rsidRPr="00AF7D47">
        <w:rPr>
          <w:rFonts w:eastAsia="Times New Roman"/>
          <w:b/>
          <w:sz w:val="24"/>
          <w:szCs w:val="24"/>
        </w:rPr>
        <w:t xml:space="preserve"> (increased) (aggravated) (worsened) any (injuries) (damages) (losses) caused by the </w:t>
      </w:r>
      <w:r w:rsidRPr="00AF7D47">
        <w:rPr>
          <w:rFonts w:eastAsia="Times New Roman"/>
          <w:i/>
          <w:sz w:val="24"/>
          <w:szCs w:val="24"/>
        </w:rPr>
        <w:t>(insert description of first event, e.g., “auto accident on June 24, 20--”)</w:t>
      </w:r>
      <w:r w:rsidRPr="00AF7D47">
        <w:rPr>
          <w:rFonts w:eastAsia="Times New Roman"/>
          <w:b/>
          <w:sz w:val="24"/>
          <w:szCs w:val="24"/>
        </w:rPr>
        <w:t xml:space="preserve">, then you must separate, if possible, those damages caused by the </w:t>
      </w:r>
      <w:r w:rsidRPr="00AF7D47">
        <w:rPr>
          <w:rFonts w:eastAsia="Times New Roman"/>
          <w:i/>
          <w:sz w:val="24"/>
          <w:szCs w:val="24"/>
        </w:rPr>
        <w:t>(description of first event, e.g., “auto accident”)</w:t>
      </w:r>
      <w:r w:rsidRPr="00AF7D47">
        <w:rPr>
          <w:rFonts w:eastAsia="Times New Roman"/>
          <w:b/>
          <w:sz w:val="24"/>
          <w:szCs w:val="24"/>
        </w:rPr>
        <w:t xml:space="preserve"> from those caused by the </w:t>
      </w:r>
      <w:r w:rsidRPr="00AF7D47">
        <w:rPr>
          <w:rFonts w:eastAsia="Times New Roman"/>
          <w:i/>
          <w:sz w:val="24"/>
          <w:szCs w:val="24"/>
        </w:rPr>
        <w:t>(description of second event, e.g., “toboggan accident”)</w:t>
      </w:r>
      <w:r w:rsidRPr="00AF7D47">
        <w:rPr>
          <w:rFonts w:eastAsia="Times New Roman"/>
          <w:b/>
          <w:sz w:val="24"/>
          <w:szCs w:val="24"/>
        </w:rPr>
        <w:t xml:space="preserve">, and the plaintiff may recover all those separate damages caused by the </w:t>
      </w:r>
      <w:r w:rsidRPr="00AF7D47">
        <w:rPr>
          <w:rFonts w:eastAsia="Times New Roman"/>
          <w:i/>
          <w:sz w:val="24"/>
          <w:szCs w:val="24"/>
        </w:rPr>
        <w:t>(description of first event, e.g., “auto accident”)</w:t>
      </w:r>
      <w:r w:rsidRPr="00AF7D47">
        <w:rPr>
          <w:rFonts w:eastAsia="Times New Roman"/>
          <w:b/>
          <w:sz w:val="24"/>
          <w:szCs w:val="24"/>
        </w:rPr>
        <w:t>.</w:t>
      </w:r>
    </w:p>
    <w:p w14:paraId="28DE6381"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it is not possible to separate any damages caused by the </w:t>
      </w:r>
      <w:r w:rsidRPr="00AF7D47">
        <w:rPr>
          <w:rFonts w:eastAsia="Times New Roman"/>
          <w:i/>
          <w:sz w:val="24"/>
          <w:szCs w:val="24"/>
        </w:rPr>
        <w:t>(description of first event, e.g., “auto accident on June 24, 20--”)</w:t>
      </w:r>
      <w:r w:rsidRPr="00AF7D47">
        <w:rPr>
          <w:rFonts w:eastAsia="Times New Roman"/>
          <w:b/>
          <w:sz w:val="24"/>
          <w:szCs w:val="24"/>
        </w:rPr>
        <w:t xml:space="preserve"> from any caused by the </w:t>
      </w:r>
      <w:r w:rsidRPr="00AF7D47">
        <w:rPr>
          <w:rFonts w:eastAsia="Times New Roman"/>
          <w:i/>
          <w:sz w:val="24"/>
          <w:szCs w:val="24"/>
        </w:rPr>
        <w:t>(description of second event, e.g., “toboggan accident on January 3, 20--”)</w:t>
      </w:r>
      <w:r w:rsidRPr="00AF7D47">
        <w:rPr>
          <w:rFonts w:eastAsia="Times New Roman"/>
          <w:b/>
          <w:sz w:val="24"/>
          <w:szCs w:val="24"/>
        </w:rPr>
        <w:t xml:space="preserve">, then the plaintiff may recover those damages only from the date of the </w:t>
      </w:r>
      <w:r w:rsidRPr="00AF7D47">
        <w:rPr>
          <w:rFonts w:eastAsia="Times New Roman"/>
          <w:i/>
          <w:sz w:val="24"/>
          <w:szCs w:val="24"/>
        </w:rPr>
        <w:t>(description of first event, e.g., “auto accident on June 24, 20--”)</w:t>
      </w:r>
      <w:r w:rsidRPr="00AF7D47">
        <w:rPr>
          <w:rFonts w:eastAsia="Times New Roman"/>
          <w:b/>
          <w:sz w:val="24"/>
          <w:szCs w:val="24"/>
        </w:rPr>
        <w:t xml:space="preserve"> to the date of the </w:t>
      </w:r>
      <w:r w:rsidRPr="00AF7D47">
        <w:rPr>
          <w:rFonts w:eastAsia="Times New Roman"/>
          <w:i/>
          <w:sz w:val="24"/>
          <w:szCs w:val="24"/>
        </w:rPr>
        <w:t>(description of second event, e.g., “toboggan accident on January 3, 20--”)</w:t>
      </w:r>
      <w:r w:rsidRPr="00AF7D47">
        <w:rPr>
          <w:rFonts w:eastAsia="Times New Roman"/>
          <w:b/>
          <w:sz w:val="24"/>
          <w:szCs w:val="24"/>
        </w:rPr>
        <w:t>.</w:t>
      </w:r>
    </w:p>
    <w:p w14:paraId="769C101F" w14:textId="77777777" w:rsidR="00AF7D47" w:rsidRDefault="00AF7D47" w:rsidP="00AF7D47">
      <w:pPr>
        <w:jc w:val="center"/>
        <w:rPr>
          <w:rFonts w:eastAsia="Times New Roman"/>
          <w:sz w:val="24"/>
          <w:szCs w:val="24"/>
        </w:rPr>
      </w:pPr>
    </w:p>
    <w:p w14:paraId="5C23614F"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5458EAD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The rules stated in this instruction apply to a fact situation where the plaintiff’s injuries have been aggravated by a subsequent accident or injury which was not causally related to the accident involving the defendant or to other conduct of the defendant. </w:t>
      </w:r>
      <w:r w:rsidRPr="00AF7D47">
        <w:rPr>
          <w:rFonts w:eastAsia="Times New Roman"/>
          <w:i/>
          <w:sz w:val="24"/>
          <w:szCs w:val="24"/>
        </w:rPr>
        <w:t>See, e.g</w:t>
      </w:r>
      <w:r w:rsidRPr="00AF7D47">
        <w:rPr>
          <w:rFonts w:eastAsia="Times New Roman"/>
          <w:sz w:val="24"/>
          <w:szCs w:val="24"/>
        </w:rPr>
        <w:t>.,</w:t>
      </w:r>
      <w:r w:rsidRPr="00AF7D47">
        <w:rPr>
          <w:rFonts w:eastAsia="Times New Roman"/>
          <w:i/>
          <w:sz w:val="24"/>
          <w:szCs w:val="24"/>
        </w:rPr>
        <w:t xml:space="preserve"> </w:t>
      </w:r>
      <w:r w:rsidRPr="00AF7D47">
        <w:rPr>
          <w:rFonts w:eastAsia="Times New Roman"/>
          <w:b/>
          <w:sz w:val="24"/>
          <w:szCs w:val="24"/>
        </w:rPr>
        <w:t>Garhart v. Columbia/HealthONE, L.L.C.</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95 P.3d 571 (Colo. 2004) (second event instruction not warranted where injury was causally related through the defendant’s conduct to prior or concurrent injury).</w:t>
      </w:r>
    </w:p>
    <w:p w14:paraId="72361D7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2. Use whichever parenthesized words are appropriate.</w:t>
      </w:r>
    </w:p>
    <w:p w14:paraId="21150C2A"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3. When there is sufficient evidence that the defendant’s conduct may have aggravated a preexisting condition of the plaintiff, Instruction 6:8 should be used rather than this instruction.</w:t>
      </w:r>
    </w:p>
    <w:p w14:paraId="3F806812"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4. This instruction must be appropriately modified in any case involving multiple parties or one or more designated nonparties.</w:t>
      </w:r>
    </w:p>
    <w:p w14:paraId="3C2558F3"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defined. </w:t>
      </w:r>
      <w:r w:rsidRPr="00AF7D47">
        <w:rPr>
          <w:rFonts w:eastAsia="Times New Roman"/>
          <w:b/>
          <w:sz w:val="24"/>
          <w:szCs w:val="24"/>
        </w:rPr>
        <w:t>Lascano v. Vowell</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¶29, 365 P.3d 371 (when term in jury instructions is not defined, jury is presumed to have applied the common meaning of the word (citing </w:t>
      </w:r>
      <w:r w:rsidRPr="00AF7D47">
        <w:rPr>
          <w:rFonts w:eastAsia="Times New Roman"/>
          <w:b/>
          <w:sz w:val="24"/>
          <w:szCs w:val="24"/>
        </w:rPr>
        <w:t>Lascano</w:t>
      </w:r>
      <w:r w:rsidRPr="00AF7D47">
        <w:rPr>
          <w:rFonts w:eastAsia="Times New Roman"/>
          <w:sz w:val="24"/>
          <w:szCs w:val="24"/>
        </w:rPr>
        <w:t>, 940 P.2d at 982)).</w:t>
      </w:r>
    </w:p>
    <w:p w14:paraId="7FD2370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6. This instruction may be given even if there is no evidence that the subsequent injury was permanent. </w:t>
      </w:r>
      <w:r w:rsidRPr="00AF7D47">
        <w:rPr>
          <w:rFonts w:eastAsia="Times New Roman"/>
          <w:b/>
          <w:sz w:val="24"/>
          <w:szCs w:val="24"/>
        </w:rPr>
        <w:t>Francis ex rel. Goodridge v. Dahl</w:t>
      </w:r>
      <w:r w:rsidRPr="00AF7D47">
        <w:rPr>
          <w:rFonts w:eastAsia="Times New Roman"/>
          <w:sz w:val="24"/>
          <w:szCs w:val="24"/>
        </w:rPr>
        <w:t>, 107 P.3d 1171 (Colo. App. 2005).</w:t>
      </w:r>
    </w:p>
    <w:p w14:paraId="3E95A55D"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0DF5C60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Brown v. Kreuser</w:t>
      </w:r>
      <w:r w:rsidRPr="00AF7D47">
        <w:rPr>
          <w:rFonts w:eastAsia="Times New Roman"/>
          <w:sz w:val="24"/>
          <w:szCs w:val="24"/>
        </w:rPr>
        <w:t xml:space="preserve">, 38 Colo. App. 554, 560 P.2d 105 (1977) (jury properly instructed that it could consider exacerbation of auto accident-related injuries by subsequent fall where physician testified as to condition of the injuries both before and after the occurrence of the second accident); and </w:t>
      </w:r>
      <w:r w:rsidRPr="00AF7D47">
        <w:rPr>
          <w:rFonts w:eastAsia="Times New Roman"/>
          <w:b/>
          <w:sz w:val="24"/>
          <w:szCs w:val="24"/>
        </w:rPr>
        <w:t>Lascano</w:t>
      </w:r>
      <w:r w:rsidRPr="00AF7D47">
        <w:rPr>
          <w:rFonts w:eastAsia="Times New Roman"/>
          <w:sz w:val="24"/>
          <w:szCs w:val="24"/>
        </w:rPr>
        <w:t xml:space="preserve">, 940 P.2d 981-82 (where it was not possible to separate damages caused by motor vehicle accident and subsequent accidents, instruction that plaintiff could recover damages only from the date of motor vehicle accident to the date of the first subsequent injury was proper).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Francis</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107 P.3d at 1175 (subsequent injury instruction allowed where plaintiff suffered a fall from a pommel horse after auto accident); </w:t>
      </w:r>
      <w:r w:rsidRPr="00AF7D47">
        <w:rPr>
          <w:rFonts w:eastAsia="Times New Roman"/>
          <w:b/>
          <w:sz w:val="24"/>
          <w:szCs w:val="24"/>
        </w:rPr>
        <w:t>Smartt v. Lamar Oil Co.</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623 P.2d 73 (Colo. App. 1980) (subsequent fall due to tripping on bathroom rug); </w:t>
      </w:r>
      <w:r w:rsidRPr="00AF7D47">
        <w:rPr>
          <w:rFonts w:eastAsia="Times New Roman"/>
          <w:b/>
          <w:sz w:val="24"/>
          <w:szCs w:val="24"/>
        </w:rPr>
        <w:t>Romero v. Parker</w:t>
      </w:r>
      <w:r w:rsidRPr="00AF7D47">
        <w:rPr>
          <w:rFonts w:eastAsia="Times New Roman"/>
          <w:sz w:val="24"/>
          <w:szCs w:val="24"/>
        </w:rPr>
        <w:t xml:space="preserve">, 619 P.2d 89 (Colo. App. 1980) (subsequent auto accident). </w:t>
      </w:r>
    </w:p>
    <w:p w14:paraId="28BA4A2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principles of this instruction are not limited to subsequent accidents causing physical injuries, but apply to other subsequent events as well, such as a job layoff. </w:t>
      </w:r>
      <w:r w:rsidRPr="00AF7D47">
        <w:rPr>
          <w:rFonts w:eastAsia="Times New Roman"/>
          <w:b/>
          <w:sz w:val="24"/>
          <w:szCs w:val="24"/>
        </w:rPr>
        <w:t>Guerrero v. Bailey</w:t>
      </w:r>
      <w:r w:rsidRPr="00AF7D47">
        <w:rPr>
          <w:rFonts w:eastAsia="Times New Roman"/>
          <w:sz w:val="24"/>
          <w:szCs w:val="24"/>
        </w:rPr>
        <w:t xml:space="preserve">, 658 P.2d 278 (Colo. App. 1982). </w:t>
      </w:r>
    </w:p>
    <w:p w14:paraId="0DBB13E2" w14:textId="77777777" w:rsidR="004C723A" w:rsidRDefault="004C723A">
      <w:pPr>
        <w:rPr>
          <w:rFonts w:eastAsia="Times New Roman"/>
          <w:sz w:val="24"/>
          <w:szCs w:val="24"/>
        </w:rPr>
      </w:pPr>
      <w:r>
        <w:rPr>
          <w:rFonts w:eastAsia="Times New Roman"/>
          <w:sz w:val="24"/>
          <w:szCs w:val="24"/>
        </w:rPr>
        <w:br w:type="page"/>
      </w:r>
    </w:p>
    <w:p w14:paraId="5CF67F8B" w14:textId="77777777" w:rsidR="004C723A" w:rsidRPr="009E3DA4" w:rsidRDefault="004C723A" w:rsidP="004C723A">
      <w:pPr>
        <w:spacing w:after="240"/>
        <w:ind w:left="720" w:hanging="720"/>
        <w:rPr>
          <w:rFonts w:eastAsia="Times New Roman"/>
          <w:b/>
          <w:sz w:val="24"/>
          <w:szCs w:val="24"/>
        </w:rPr>
      </w:pPr>
      <w:bookmarkStart w:id="13" w:name="a6_10"/>
      <w:bookmarkEnd w:id="13"/>
      <w:r w:rsidRPr="004C723A">
        <w:rPr>
          <w:rFonts w:eastAsia="Times New Roman"/>
          <w:b/>
          <w:sz w:val="24"/>
          <w:szCs w:val="24"/>
        </w:rPr>
        <w:t xml:space="preserve">6:10 </w:t>
      </w:r>
      <w:r w:rsidRPr="004C723A">
        <w:rPr>
          <w:rFonts w:eastAsia="Times New Roman"/>
          <w:b/>
          <w:sz w:val="24"/>
          <w:szCs w:val="24"/>
        </w:rPr>
        <w:tab/>
        <w:t>EFFECT OF INCOME TAX AND OTHER ECONOMIC FACTORS ON AWARD OF DAMAGES</w:t>
      </w:r>
    </w:p>
    <w:p w14:paraId="7787EB68"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Special Note</w:t>
      </w:r>
    </w:p>
    <w:p w14:paraId="345EF4E9"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The Committee has taken no position on the formulation of instructions dealing with “economic factors” as they may affect an award of damages.</w:t>
      </w:r>
    </w:p>
    <w:p w14:paraId="39E65980"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55044895"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1. As to income taxes, it has been held proper for a trial court to refuse to instruct the jury that any damage award for personal injuries would not be subject to income tax. </w:t>
      </w:r>
      <w:r w:rsidRPr="004C723A">
        <w:rPr>
          <w:rFonts w:eastAsia="Times New Roman"/>
          <w:i/>
          <w:sz w:val="24"/>
          <w:szCs w:val="24"/>
        </w:rPr>
        <w:t>See</w:t>
      </w:r>
      <w:r w:rsidRPr="004C723A">
        <w:rPr>
          <w:rFonts w:eastAsia="Times New Roman"/>
          <w:sz w:val="24"/>
          <w:szCs w:val="24"/>
        </w:rPr>
        <w:t xml:space="preserve"> </w:t>
      </w:r>
      <w:r w:rsidRPr="004C723A">
        <w:rPr>
          <w:rFonts w:eastAsia="Times New Roman"/>
          <w:b/>
          <w:sz w:val="24"/>
          <w:szCs w:val="24"/>
        </w:rPr>
        <w:t>Ford v. Bd. of Cty. Comm’rs</w:t>
      </w:r>
      <w:r w:rsidRPr="004C723A">
        <w:rPr>
          <w:rFonts w:eastAsia="Times New Roman"/>
          <w:sz w:val="24"/>
          <w:szCs w:val="24"/>
        </w:rPr>
        <w:t xml:space="preserve">, 677 P.2d 358 (Colo. App. 1983) (wrongful death action); </w:t>
      </w:r>
      <w:r w:rsidRPr="004C723A">
        <w:rPr>
          <w:rFonts w:eastAsia="Times New Roman"/>
          <w:b/>
          <w:sz w:val="24"/>
          <w:szCs w:val="24"/>
        </w:rPr>
        <w:t>Hildyard v. W. Fasteners, Inc.</w:t>
      </w:r>
      <w:r w:rsidRPr="004C723A">
        <w:rPr>
          <w:rFonts w:eastAsia="Times New Roman"/>
          <w:sz w:val="24"/>
          <w:szCs w:val="24"/>
        </w:rPr>
        <w:t xml:space="preserve">, 33 Colo. App. 396, 522 P.2d 596 (1974); </w:t>
      </w:r>
      <w:r w:rsidRPr="004C723A">
        <w:rPr>
          <w:rFonts w:eastAsia="Times New Roman"/>
          <w:b/>
          <w:sz w:val="24"/>
          <w:szCs w:val="24"/>
        </w:rPr>
        <w:t>Polster v. Griff’s of Am., Inc.</w:t>
      </w:r>
      <w:r w:rsidRPr="004C723A">
        <w:rPr>
          <w:rFonts w:eastAsia="Times New Roman"/>
          <w:sz w:val="24"/>
          <w:szCs w:val="24"/>
        </w:rPr>
        <w:t xml:space="preserve">, 32 Colo. App. 264, 514 P.2d 80 (1973), </w:t>
      </w:r>
      <w:r w:rsidRPr="004C723A">
        <w:rPr>
          <w:rFonts w:eastAsia="Times New Roman"/>
          <w:i/>
          <w:sz w:val="24"/>
          <w:szCs w:val="24"/>
        </w:rPr>
        <w:t>rev’d on other grounds</w:t>
      </w:r>
      <w:r w:rsidRPr="004C723A">
        <w:rPr>
          <w:rFonts w:eastAsia="Times New Roman"/>
          <w:sz w:val="24"/>
          <w:szCs w:val="24"/>
        </w:rPr>
        <w:t>,</w:t>
      </w:r>
      <w:r w:rsidRPr="004C723A">
        <w:rPr>
          <w:rFonts w:eastAsia="Times New Roman"/>
          <w:i/>
          <w:sz w:val="24"/>
          <w:szCs w:val="24"/>
        </w:rPr>
        <w:t xml:space="preserve"> </w:t>
      </w:r>
      <w:r w:rsidRPr="004C723A">
        <w:rPr>
          <w:rFonts w:eastAsia="Times New Roman"/>
          <w:sz w:val="24"/>
          <w:szCs w:val="24"/>
        </w:rPr>
        <w:t xml:space="preserve">184 Colo. 418, 520 P.2d 745 (1974); </w:t>
      </w:r>
      <w:r w:rsidRPr="004C723A">
        <w:rPr>
          <w:rFonts w:eastAsia="Times New Roman"/>
          <w:b/>
          <w:sz w:val="24"/>
          <w:szCs w:val="24"/>
        </w:rPr>
        <w:t>Davis v. Fortino &amp; Jackson Chevrolet Co.</w:t>
      </w:r>
      <w:r w:rsidRPr="004C723A">
        <w:rPr>
          <w:rFonts w:eastAsia="Times New Roman"/>
          <w:sz w:val="24"/>
          <w:szCs w:val="24"/>
        </w:rPr>
        <w:t xml:space="preserve">, 32 Colo. App. 222, 510 P.2d 1376 (1973);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Landsberg v. Hutsell</w:t>
      </w:r>
      <w:r w:rsidRPr="004C723A">
        <w:rPr>
          <w:rFonts w:eastAsia="Times New Roman"/>
          <w:sz w:val="24"/>
          <w:szCs w:val="24"/>
        </w:rPr>
        <w:t>, 837 P.2d 205 (Colo. App. 1992).</w:t>
      </w:r>
    </w:p>
    <w:p w14:paraId="2061681A"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2. In </w:t>
      </w:r>
      <w:r w:rsidRPr="004C723A">
        <w:rPr>
          <w:rFonts w:eastAsia="Times New Roman"/>
          <w:b/>
          <w:sz w:val="24"/>
          <w:szCs w:val="24"/>
        </w:rPr>
        <w:t>In re Estate of Beren</w:t>
      </w:r>
      <w:r w:rsidRPr="004C723A">
        <w:rPr>
          <w:rFonts w:eastAsia="Times New Roman"/>
          <w:sz w:val="24"/>
          <w:szCs w:val="24"/>
        </w:rPr>
        <w:t xml:space="preserve">, 2012 COA 203M, ¶¶ 144-45, </w:t>
      </w:r>
      <w:r w:rsidR="00BA4966">
        <w:rPr>
          <w:rFonts w:eastAsia="Times New Roman"/>
          <w:sz w:val="24"/>
          <w:szCs w:val="24"/>
        </w:rPr>
        <w:t xml:space="preserve">412 P.3d 487, </w:t>
      </w:r>
      <w:r w:rsidRPr="004C723A">
        <w:rPr>
          <w:rFonts w:eastAsia="Times New Roman"/>
          <w:i/>
          <w:sz w:val="24"/>
          <w:szCs w:val="24"/>
        </w:rPr>
        <w:t>aff’d in part, rev’d in part on other grounds sub nom.</w:t>
      </w:r>
      <w:r w:rsidRPr="004C723A">
        <w:rPr>
          <w:rFonts w:eastAsia="Times New Roman"/>
          <w:sz w:val="24"/>
          <w:szCs w:val="24"/>
        </w:rPr>
        <w:t xml:space="preserve"> </w:t>
      </w:r>
      <w:r w:rsidRPr="004C723A">
        <w:rPr>
          <w:rFonts w:eastAsia="Times New Roman"/>
          <w:b/>
          <w:sz w:val="24"/>
          <w:szCs w:val="24"/>
        </w:rPr>
        <w:t>Beren v. Beren</w:t>
      </w:r>
      <w:r w:rsidRPr="004C723A">
        <w:rPr>
          <w:rFonts w:eastAsia="Times New Roman"/>
          <w:sz w:val="24"/>
          <w:szCs w:val="24"/>
        </w:rPr>
        <w:t>, 2015 CO 29, 349 P.3d 233, the court of appeals declined to adopt a rule that a party ordered to repay amounts received pursuant to a reversed judgment is entitled to a credit for taxes paid on the amount erroneously distributed. The court held, however, that on remand the trial court had discretion (1) to hear evidence concerning the amount of taxes paid and the steps taken to seek a refund and (2) to stay for a reasonable time that portion of the repayment obligation attributable to the disputed taxes while her claim for the tax refund was litigated.</w:t>
      </w:r>
    </w:p>
    <w:p w14:paraId="53E37D78"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3. In </w:t>
      </w:r>
      <w:r w:rsidRPr="004C723A">
        <w:rPr>
          <w:rFonts w:eastAsia="Times New Roman"/>
          <w:b/>
          <w:sz w:val="24"/>
          <w:szCs w:val="24"/>
        </w:rPr>
        <w:t>Hoyal v. Pioneer Sand Co., Inc.</w:t>
      </w:r>
      <w:r w:rsidRPr="004C723A">
        <w:rPr>
          <w:rFonts w:eastAsia="Times New Roman"/>
          <w:sz w:val="24"/>
          <w:szCs w:val="24"/>
        </w:rPr>
        <w:t xml:space="preserve">, 188 P.3d 716 (Colo. 2008), the Colorado Supreme Court upheld a trial court’s exclusion of evidence of potential future income taxes in calculating economic damages in a wrongful death action, concluding that the evidence would be distracting, speculative, and contrary to a goal of the tort system, compensating victims. In dicta, the court indicated the same considerations applied in personal injury actions. </w:t>
      </w:r>
      <w:r w:rsidRPr="004C723A">
        <w:rPr>
          <w:rFonts w:eastAsia="Times New Roman"/>
          <w:i/>
          <w:sz w:val="24"/>
          <w:szCs w:val="24"/>
        </w:rPr>
        <w:t>But see</w:t>
      </w:r>
      <w:r w:rsidRPr="004C723A">
        <w:rPr>
          <w:rFonts w:eastAsia="Times New Roman"/>
          <w:sz w:val="24"/>
          <w:szCs w:val="24"/>
        </w:rPr>
        <w:t xml:space="preserve"> </w:t>
      </w:r>
      <w:r w:rsidRPr="004C723A">
        <w:rPr>
          <w:rFonts w:eastAsia="Times New Roman"/>
          <w:b/>
          <w:sz w:val="24"/>
          <w:szCs w:val="24"/>
        </w:rPr>
        <w:t>Lewis v. Great W. Distrib. Co. of Borger</w:t>
      </w:r>
      <w:r w:rsidRPr="004C723A">
        <w:rPr>
          <w:rFonts w:eastAsia="Times New Roman"/>
          <w:sz w:val="24"/>
          <w:szCs w:val="24"/>
        </w:rPr>
        <w:t>, 168 Colo. 424, 451 P.2d 754 (1969) (noting that the determination of net pecuniary loss in a wrongful death case contemplates deduction of income taxes).</w:t>
      </w:r>
    </w:p>
    <w:p w14:paraId="59513E22"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4. In </w:t>
      </w:r>
      <w:r w:rsidRPr="004C723A">
        <w:rPr>
          <w:rFonts w:eastAsia="Times New Roman"/>
          <w:b/>
          <w:sz w:val="24"/>
          <w:szCs w:val="24"/>
        </w:rPr>
        <w:t>Norfolk &amp; W. Ry. v. Liepelt</w:t>
      </w:r>
      <w:r w:rsidRPr="004C723A">
        <w:rPr>
          <w:rFonts w:eastAsia="Times New Roman"/>
          <w:sz w:val="24"/>
          <w:szCs w:val="24"/>
        </w:rPr>
        <w:t xml:space="preserve">, 444 U.S. 490 (1980), the U.S. Supreme Court held in a wrongful death case brought under the Federal Employers’ Liability Act, where the measure of damages is the loss of pecuniary benefits the beneficiaries might reasonably have received from the deceased, that (1) evidence concerning income taxes the deceased would have paid on estimated future earnings is admissible, and (2) it was error “in this case” to refuse to give the jury a cautionary instruction that any award they might make would not be subject to income taxes and consequently such taxes should not be considered by them in determining the amount of any award.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Gulf Offshore Co. v. Mobil Oil Corp.</w:t>
      </w:r>
      <w:r w:rsidRPr="004C723A">
        <w:rPr>
          <w:rFonts w:eastAsia="Times New Roman"/>
          <w:sz w:val="24"/>
          <w:szCs w:val="24"/>
        </w:rPr>
        <w:t>,</w:t>
      </w:r>
      <w:r w:rsidRPr="004C723A">
        <w:rPr>
          <w:rFonts w:eastAsia="Times New Roman"/>
          <w:b/>
          <w:sz w:val="24"/>
          <w:szCs w:val="24"/>
        </w:rPr>
        <w:t xml:space="preserve"> </w:t>
      </w:r>
      <w:r w:rsidRPr="004C723A">
        <w:rPr>
          <w:rFonts w:eastAsia="Times New Roman"/>
          <w:sz w:val="24"/>
          <w:szCs w:val="24"/>
        </w:rPr>
        <w:t xml:space="preserve">453 U.S. 473 (1981) (discussing when, as to federal causes of action triable in either federal or state courts, the giving of such a cautionary instruction should be determined as a matter of federal law or state law). On the other hand, “the failure to give [a] non-taxability instruction [in a FELA case not involving wrongful death] is harmless error unless there is a showing that the verdict is excessive.” </w:t>
      </w:r>
      <w:r w:rsidRPr="004C723A">
        <w:rPr>
          <w:rFonts w:eastAsia="Times New Roman"/>
          <w:b/>
          <w:sz w:val="24"/>
          <w:szCs w:val="24"/>
        </w:rPr>
        <w:t>Marlow v. Atchison, Topeka &amp; Santa Fe Ry.</w:t>
      </w:r>
      <w:r w:rsidRPr="004C723A">
        <w:rPr>
          <w:rFonts w:eastAsia="Times New Roman"/>
          <w:sz w:val="24"/>
          <w:szCs w:val="24"/>
        </w:rPr>
        <w:t>, 671 P.2d 438, 442 (Colo. App. 1983).</w:t>
      </w:r>
    </w:p>
    <w:p w14:paraId="1CC97A84"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5. For a discussion of both income taxes and inflation, see </w:t>
      </w:r>
      <w:r w:rsidRPr="004C723A">
        <w:rPr>
          <w:rFonts w:eastAsia="Times New Roman"/>
          <w:b/>
          <w:sz w:val="24"/>
          <w:szCs w:val="24"/>
        </w:rPr>
        <w:t>Good v. A.B. Chance Co.</w:t>
      </w:r>
      <w:r w:rsidRPr="004C723A">
        <w:rPr>
          <w:rFonts w:eastAsia="Times New Roman"/>
          <w:sz w:val="24"/>
          <w:szCs w:val="24"/>
        </w:rPr>
        <w:t>,</w:t>
      </w:r>
      <w:r w:rsidRPr="004C723A">
        <w:rPr>
          <w:rFonts w:eastAsia="Times New Roman"/>
          <w:b/>
          <w:sz w:val="24"/>
          <w:szCs w:val="24"/>
        </w:rPr>
        <w:t xml:space="preserve"> </w:t>
      </w:r>
      <w:r w:rsidRPr="004C723A">
        <w:rPr>
          <w:rFonts w:eastAsia="Times New Roman"/>
          <w:sz w:val="24"/>
          <w:szCs w:val="24"/>
        </w:rPr>
        <w:t>39 Colo. App. 70, 565 P.2d 217 (1977).</w:t>
      </w:r>
    </w:p>
    <w:p w14:paraId="786DDD76"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6. In personal injury actions, an instruction on the nontaxability of damage awards as income should not be given. </w:t>
      </w:r>
      <w:r w:rsidRPr="004C723A">
        <w:rPr>
          <w:rFonts w:eastAsia="Times New Roman"/>
          <w:b/>
          <w:sz w:val="24"/>
          <w:szCs w:val="24"/>
        </w:rPr>
        <w:t>Rego Co. v. McKown-Katy</w:t>
      </w:r>
      <w:r w:rsidRPr="004C723A">
        <w:rPr>
          <w:rFonts w:eastAsia="Times New Roman"/>
          <w:sz w:val="24"/>
          <w:szCs w:val="24"/>
        </w:rPr>
        <w:t>, 801 P.2d 536 (Colo. 1990).</w:t>
      </w:r>
    </w:p>
    <w:p w14:paraId="29D5EAF5"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7. Any tax benefits the plaintiff may receive from being able to write off losses caused by the defendant should not be deducted from the plaintiff’s damages, and if evidence of such tax benefits is received, the court should instruct the jury that it should not consider the effect of income taxes when determining the amount of plaintiff’s damages. </w:t>
      </w:r>
      <w:r w:rsidRPr="004C723A">
        <w:rPr>
          <w:rFonts w:eastAsia="Times New Roman"/>
          <w:b/>
          <w:sz w:val="24"/>
          <w:szCs w:val="24"/>
        </w:rPr>
        <w:t>Boettcher &amp; Co. v. Munson</w:t>
      </w:r>
      <w:r w:rsidRPr="004C723A">
        <w:rPr>
          <w:rFonts w:eastAsia="Times New Roman"/>
          <w:sz w:val="24"/>
          <w:szCs w:val="24"/>
        </w:rPr>
        <w:t>, 854 P.2d 199 (Colo. 1993).</w:t>
      </w:r>
    </w:p>
    <w:p w14:paraId="0EA392D9" w14:textId="77777777" w:rsidR="004C723A" w:rsidRDefault="004C723A">
      <w:pPr>
        <w:rPr>
          <w:rFonts w:eastAsia="Times New Roman"/>
          <w:sz w:val="24"/>
          <w:szCs w:val="24"/>
        </w:rPr>
      </w:pPr>
      <w:r>
        <w:rPr>
          <w:rFonts w:eastAsia="Times New Roman"/>
          <w:sz w:val="24"/>
          <w:szCs w:val="24"/>
        </w:rPr>
        <w:br w:type="page"/>
      </w:r>
    </w:p>
    <w:p w14:paraId="34453A24" w14:textId="77777777" w:rsidR="004C723A" w:rsidRDefault="004C723A" w:rsidP="004C723A">
      <w:pPr>
        <w:spacing w:after="240"/>
        <w:jc w:val="center"/>
        <w:rPr>
          <w:rFonts w:eastAsia="Times New Roman"/>
          <w:b/>
          <w:sz w:val="24"/>
          <w:szCs w:val="24"/>
        </w:rPr>
      </w:pPr>
      <w:r w:rsidRPr="004C723A">
        <w:rPr>
          <w:rFonts w:eastAsia="Times New Roman"/>
          <w:b/>
          <w:sz w:val="24"/>
          <w:szCs w:val="24"/>
        </w:rPr>
        <w:t>B. DAMAGES FOR LOSS OR DESTRUCTION OF PERSONAL PROPERTY</w:t>
      </w:r>
    </w:p>
    <w:p w14:paraId="5ED45077" w14:textId="77777777" w:rsidR="004C723A" w:rsidRPr="009E3DA4" w:rsidRDefault="004C723A" w:rsidP="004C723A">
      <w:pPr>
        <w:spacing w:after="240"/>
        <w:ind w:left="720" w:hanging="720"/>
        <w:rPr>
          <w:rFonts w:eastAsia="Times New Roman"/>
          <w:b/>
          <w:sz w:val="24"/>
          <w:szCs w:val="24"/>
        </w:rPr>
      </w:pPr>
      <w:bookmarkStart w:id="14" w:name="a6_11"/>
      <w:bookmarkEnd w:id="14"/>
      <w:r w:rsidRPr="004C723A">
        <w:rPr>
          <w:rFonts w:eastAsia="Times New Roman"/>
          <w:b/>
          <w:sz w:val="24"/>
          <w:szCs w:val="24"/>
        </w:rPr>
        <w:t xml:space="preserve">6:11 </w:t>
      </w:r>
      <w:r w:rsidRPr="004C723A">
        <w:rPr>
          <w:rFonts w:eastAsia="Times New Roman"/>
          <w:b/>
          <w:sz w:val="24"/>
          <w:szCs w:val="24"/>
        </w:rPr>
        <w:tab/>
        <w:t>PERSONAL PROPERTY — DIFFERENCE IN MARKET VALUE</w:t>
      </w:r>
    </w:p>
    <w:p w14:paraId="121FD9D2" w14:textId="77777777" w:rsidR="004C723A" w:rsidRPr="004C723A" w:rsidRDefault="004C723A" w:rsidP="004C723A">
      <w:pPr>
        <w:spacing w:after="240"/>
        <w:ind w:firstLine="720"/>
        <w:rPr>
          <w:rFonts w:eastAsia="Times New Roman"/>
          <w:b/>
          <w:sz w:val="24"/>
          <w:szCs w:val="24"/>
        </w:rPr>
      </w:pPr>
      <w:r w:rsidRPr="004C723A">
        <w:rPr>
          <w:rFonts w:eastAsia="Times New Roman"/>
          <w:b/>
          <w:sz w:val="24"/>
          <w:szCs w:val="24"/>
        </w:rPr>
        <w:t xml:space="preserve">If you find in favor of the plaintiff, </w:t>
      </w:r>
      <w:r w:rsidRPr="004C723A">
        <w:rPr>
          <w:rFonts w:eastAsia="Times New Roman"/>
          <w:i/>
          <w:sz w:val="24"/>
          <w:szCs w:val="24"/>
        </w:rPr>
        <w:t>(name)</w:t>
      </w:r>
      <w:r w:rsidRPr="004C723A">
        <w:rPr>
          <w:rFonts w:eastAsia="Times New Roman"/>
          <w:b/>
          <w:sz w:val="24"/>
          <w:szCs w:val="24"/>
        </w:rPr>
        <w:t>, you shall award as (his) (her) actual damages the difference between the market value of the property immediately before and its market value immediately after the occurrence.</w:t>
      </w:r>
    </w:p>
    <w:p w14:paraId="6AF4190A"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317186FA"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This instruction should be used where the property damaged has a market value, and there is evidence of total or substantial destruction. </w:t>
      </w:r>
      <w:r w:rsidRPr="004C723A">
        <w:rPr>
          <w:rFonts w:eastAsia="Times New Roman"/>
          <w:i/>
          <w:sz w:val="24"/>
          <w:szCs w:val="24"/>
        </w:rPr>
        <w:t>Cf</w:t>
      </w:r>
      <w:r w:rsidRPr="004C723A">
        <w:rPr>
          <w:rFonts w:eastAsia="Times New Roman"/>
          <w:sz w:val="24"/>
          <w:szCs w:val="24"/>
        </w:rPr>
        <w:t xml:space="preserve">. Notes on Use to Instruction 6:12. In certain cases the plaintiff may be entitled to other damages as well. </w:t>
      </w:r>
      <w:r w:rsidRPr="004C723A">
        <w:rPr>
          <w:rFonts w:eastAsia="Times New Roman"/>
          <w:i/>
          <w:sz w:val="24"/>
          <w:szCs w:val="24"/>
        </w:rPr>
        <w:t>See, e.g.</w:t>
      </w:r>
      <w:r w:rsidRPr="004C723A">
        <w:rPr>
          <w:rFonts w:eastAsia="Times New Roman"/>
          <w:sz w:val="24"/>
          <w:szCs w:val="24"/>
        </w:rPr>
        <w:t xml:space="preserve">, the authority cited below in Source and Authority;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Cope v. Vermeer Sales &amp; Serv. of Colo., Inc.</w:t>
      </w:r>
      <w:r w:rsidRPr="004C723A">
        <w:rPr>
          <w:rFonts w:eastAsia="Times New Roman"/>
          <w:sz w:val="24"/>
          <w:szCs w:val="24"/>
        </w:rPr>
        <w:t>, 650 P.2d 1307, 1309 (Colo. App. 1982) (holding that plaintiff was entitled to recover loss of profits anticipated from use of negligently damaged property, and stating, “[t]he rule which precludes recovery of uncertain and speculative damages applies only where the fact of damages is uncertain, not where the amount is uncertain”).</w:t>
      </w:r>
    </w:p>
    <w:p w14:paraId="6B53DF7D"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Source and Authority</w:t>
      </w:r>
    </w:p>
    <w:p w14:paraId="0BB1A0DF"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1. This instruction is supported by </w:t>
      </w:r>
      <w:r w:rsidRPr="004C723A">
        <w:rPr>
          <w:rFonts w:eastAsia="Times New Roman"/>
          <w:b/>
          <w:sz w:val="24"/>
          <w:szCs w:val="24"/>
        </w:rPr>
        <w:t>Goodyear Tire &amp; Rubber Co. v. Holmes</w:t>
      </w:r>
      <w:r w:rsidRPr="004C723A">
        <w:rPr>
          <w:rFonts w:eastAsia="Times New Roman"/>
          <w:sz w:val="24"/>
          <w:szCs w:val="24"/>
        </w:rPr>
        <w:t xml:space="preserve">, 193 P.3d 821 (Colo. 2008); </w:t>
      </w:r>
      <w:r w:rsidRPr="004C723A">
        <w:rPr>
          <w:rFonts w:eastAsia="Times New Roman"/>
          <w:b/>
          <w:sz w:val="24"/>
          <w:szCs w:val="24"/>
        </w:rPr>
        <w:t>Zwick v. Simpson</w:t>
      </w:r>
      <w:r w:rsidRPr="004C723A">
        <w:rPr>
          <w:rFonts w:eastAsia="Times New Roman"/>
          <w:sz w:val="24"/>
          <w:szCs w:val="24"/>
        </w:rPr>
        <w:t>, 193 Colo. 36, 572 P.2d 133 (1977);</w:t>
      </w:r>
      <w:r w:rsidRPr="004C723A">
        <w:rPr>
          <w:rFonts w:eastAsia="Times New Roman"/>
          <w:b/>
          <w:sz w:val="24"/>
          <w:szCs w:val="24"/>
        </w:rPr>
        <w:t xml:space="preserve"> State v. Morison</w:t>
      </w:r>
      <w:r w:rsidRPr="004C723A">
        <w:rPr>
          <w:rFonts w:eastAsia="Times New Roman"/>
          <w:sz w:val="24"/>
          <w:szCs w:val="24"/>
        </w:rPr>
        <w:t xml:space="preserve">, 148 Colo. 79, 365 P.2d 266 (1961); </w:t>
      </w:r>
      <w:r w:rsidRPr="004C723A">
        <w:rPr>
          <w:rFonts w:eastAsia="Times New Roman"/>
          <w:b/>
          <w:sz w:val="24"/>
          <w:szCs w:val="24"/>
        </w:rPr>
        <w:t>Trujillo v. Wilson</w:t>
      </w:r>
      <w:r w:rsidRPr="004C723A">
        <w:rPr>
          <w:rFonts w:eastAsia="Times New Roman"/>
          <w:sz w:val="24"/>
          <w:szCs w:val="24"/>
        </w:rPr>
        <w:t xml:space="preserve">, 117 Colo. 430, 189 P.2d 147 (1948) (plaintiff also entitled to recover expense of reasonable efforts to preserve or restore the property); and </w:t>
      </w:r>
      <w:r w:rsidRPr="004C723A">
        <w:rPr>
          <w:rFonts w:eastAsia="Times New Roman"/>
          <w:b/>
          <w:sz w:val="24"/>
          <w:szCs w:val="24"/>
        </w:rPr>
        <w:t>Airborne, Inc. v. Denver Air Center, Inc.</w:t>
      </w:r>
      <w:r w:rsidRPr="004C723A">
        <w:rPr>
          <w:rFonts w:eastAsia="Times New Roman"/>
          <w:sz w:val="24"/>
          <w:szCs w:val="24"/>
        </w:rPr>
        <w:t>, 832 P.2d 1086 (Colo. App. 1992) (diminution in value must be based on market prices at the time of the occurrence, not on the date of trial).</w:t>
      </w:r>
    </w:p>
    <w:p w14:paraId="38753233"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2. Under sections 5-12-102(1)(a) and (b), C.R.S., prejudgment interest, calculated by the court rather than the jury, is recoverable on damages for injury to personal property. </w:t>
      </w:r>
      <w:r w:rsidRPr="004C723A">
        <w:rPr>
          <w:rFonts w:eastAsia="Times New Roman"/>
          <w:b/>
          <w:sz w:val="24"/>
          <w:szCs w:val="24"/>
        </w:rPr>
        <w:t>Isbill Assocs., Inc. v. City &amp; Cty. of Denver</w:t>
      </w:r>
      <w:r w:rsidRPr="004C723A">
        <w:rPr>
          <w:rFonts w:eastAsia="Times New Roman"/>
          <w:sz w:val="24"/>
          <w:szCs w:val="24"/>
        </w:rPr>
        <w:t>, 666 P.2d 1117 (Colo. App. 1983).</w:t>
      </w:r>
    </w:p>
    <w:p w14:paraId="0313A84C"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3. In the absence of fraud, malice, or other willful and wanton conduct, there is generally no recovery in trespass and negligence cases for mental suffering for damage to or the loss of personal property. </w:t>
      </w:r>
      <w:r w:rsidRPr="004C723A">
        <w:rPr>
          <w:rFonts w:eastAsia="Times New Roman"/>
          <w:b/>
          <w:sz w:val="24"/>
          <w:szCs w:val="24"/>
        </w:rPr>
        <w:t>Webster v. Boone</w:t>
      </w:r>
      <w:r w:rsidRPr="004C723A">
        <w:rPr>
          <w:rFonts w:eastAsia="Times New Roman"/>
          <w:sz w:val="24"/>
          <w:szCs w:val="24"/>
        </w:rPr>
        <w:t xml:space="preserve">, 992 P.2d 1183 (Colo. App. 1999). Nor is recovery permitted for the sentimental or emotional value of lost or damaged personal property such as keepsakes and mementos even though such items may have no market value or the value to the owner is far greater than the market value. </w:t>
      </w:r>
      <w:r w:rsidRPr="004C723A">
        <w:rPr>
          <w:rFonts w:eastAsia="Times New Roman"/>
          <w:i/>
          <w:sz w:val="24"/>
          <w:szCs w:val="24"/>
        </w:rPr>
        <w:t>Id</w:t>
      </w:r>
      <w:r w:rsidRPr="004C723A">
        <w:rPr>
          <w:rFonts w:eastAsia="Times New Roman"/>
          <w:sz w:val="24"/>
          <w:szCs w:val="24"/>
        </w:rPr>
        <w:t xml:space="preserve">.; </w:t>
      </w:r>
      <w:r w:rsidRPr="004C723A">
        <w:rPr>
          <w:rFonts w:eastAsia="Times New Roman"/>
          <w:i/>
          <w:sz w:val="24"/>
          <w:szCs w:val="24"/>
        </w:rPr>
        <w:t>cf</w:t>
      </w:r>
      <w:r w:rsidRPr="004C723A">
        <w:rPr>
          <w:rFonts w:eastAsia="Times New Roman"/>
          <w:sz w:val="24"/>
          <w:szCs w:val="24"/>
        </w:rPr>
        <w:t xml:space="preserve">. </w:t>
      </w:r>
      <w:r w:rsidRPr="004C723A">
        <w:rPr>
          <w:rFonts w:eastAsia="Times New Roman"/>
          <w:b/>
          <w:sz w:val="24"/>
          <w:szCs w:val="24"/>
        </w:rPr>
        <w:t>Chryar v. Wolf</w:t>
      </w:r>
      <w:r w:rsidRPr="004C723A">
        <w:rPr>
          <w:rFonts w:eastAsia="Times New Roman"/>
          <w:sz w:val="24"/>
          <w:szCs w:val="24"/>
        </w:rPr>
        <w:t>, 21 P.3d 428 (Colo. App. 2000) (in outrageous conduct case, sentimental value of lost or damaged property may be considered in assessing damages for emotional distress).</w:t>
      </w:r>
    </w:p>
    <w:p w14:paraId="242C0FF4" w14:textId="77777777" w:rsidR="00E551EB" w:rsidRDefault="00E551EB">
      <w:pPr>
        <w:rPr>
          <w:rFonts w:eastAsia="Times New Roman"/>
          <w:sz w:val="24"/>
          <w:szCs w:val="24"/>
        </w:rPr>
      </w:pPr>
      <w:r>
        <w:rPr>
          <w:rFonts w:eastAsia="Times New Roman"/>
          <w:sz w:val="24"/>
          <w:szCs w:val="24"/>
        </w:rPr>
        <w:br w:type="page"/>
      </w:r>
    </w:p>
    <w:p w14:paraId="496CBACA" w14:textId="77777777" w:rsidR="00E551EB" w:rsidRPr="009E3DA4" w:rsidRDefault="00E551EB" w:rsidP="00E551EB">
      <w:pPr>
        <w:spacing w:after="240"/>
        <w:ind w:left="720" w:hanging="720"/>
        <w:rPr>
          <w:rFonts w:eastAsia="Times New Roman"/>
          <w:b/>
          <w:sz w:val="24"/>
          <w:szCs w:val="24"/>
        </w:rPr>
      </w:pPr>
      <w:bookmarkStart w:id="15" w:name="a6_12"/>
      <w:bookmarkEnd w:id="15"/>
      <w:r w:rsidRPr="00E551EB">
        <w:rPr>
          <w:rFonts w:eastAsia="Times New Roman"/>
          <w:b/>
          <w:sz w:val="24"/>
          <w:szCs w:val="24"/>
        </w:rPr>
        <w:t xml:space="preserve">6:12 </w:t>
      </w:r>
      <w:r w:rsidRPr="00E551EB">
        <w:rPr>
          <w:rFonts w:eastAsia="Times New Roman"/>
          <w:b/>
          <w:sz w:val="24"/>
          <w:szCs w:val="24"/>
        </w:rPr>
        <w:tab/>
        <w:t>PERSONAL PROPERTY — COST OF REPAIRS</w:t>
      </w:r>
    </w:p>
    <w:p w14:paraId="6B46BC3C"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w:t>
      </w:r>
      <w:r w:rsidRPr="00E551EB">
        <w:rPr>
          <w:rFonts w:eastAsia="Times New Roman"/>
          <w:i/>
          <w:sz w:val="24"/>
          <w:szCs w:val="24"/>
        </w:rPr>
        <w:t>(name)</w:t>
      </w:r>
      <w:r w:rsidRPr="00E551EB">
        <w:rPr>
          <w:rFonts w:eastAsia="Times New Roman"/>
          <w:b/>
          <w:sz w:val="24"/>
          <w:szCs w:val="24"/>
        </w:rPr>
        <w:t>, you shall award as (his) (her) actual damages both the reasonable cost of (repairing) (rebuilding) the property, and the decrease in market value, if any, to the property as (repaired) (rebuilt).</w:t>
      </w:r>
    </w:p>
    <w:p w14:paraId="13B0365F"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the cost of (repairs) (rebuilding) and any decrease in market value of the property as (repaired) (rebuilt) is more than the market value of the property before the occurrence, your award shall be limited to the market value of the property before the occurrence.</w:t>
      </w:r>
    </w:p>
    <w:p w14:paraId="6A2295A1"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4BD32764"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should be used when: the personal property has been damaged, but not destroyed, and repairs are feasible; the property has no market value; repairs have already been made; or repair costs will more effectively compensate the plaintiff. </w:t>
      </w:r>
      <w:r w:rsidRPr="00E551EB">
        <w:rPr>
          <w:rFonts w:eastAsia="Times New Roman"/>
          <w:i/>
          <w:sz w:val="24"/>
          <w:szCs w:val="24"/>
        </w:rPr>
        <w:t xml:space="preserve">See generally </w:t>
      </w:r>
      <w:r w:rsidRPr="00E551EB">
        <w:rPr>
          <w:rFonts w:eastAsia="Times New Roman"/>
          <w:b/>
          <w:sz w:val="24"/>
          <w:szCs w:val="24"/>
        </w:rPr>
        <w:t>Bd. of Cty. Comm’rs of Weld Cty. v. Slovek</w:t>
      </w:r>
      <w:r w:rsidRPr="00E551EB">
        <w:rPr>
          <w:rFonts w:eastAsia="Times New Roman"/>
          <w:sz w:val="24"/>
          <w:szCs w:val="24"/>
        </w:rPr>
        <w:t>, 723 P.2d 1309 (Colo. 1986);</w:t>
      </w:r>
      <w:r w:rsidRPr="00E551EB">
        <w:rPr>
          <w:rFonts w:eastAsia="Times New Roman"/>
          <w:i/>
          <w:sz w:val="24"/>
          <w:szCs w:val="24"/>
        </w:rPr>
        <w:t xml:space="preserve"> </w:t>
      </w:r>
      <w:r w:rsidRPr="00E551EB">
        <w:rPr>
          <w:rFonts w:eastAsia="Times New Roman"/>
          <w:b/>
          <w:sz w:val="24"/>
          <w:szCs w:val="24"/>
        </w:rPr>
        <w:t>Zwick v. Simpson</w:t>
      </w:r>
      <w:r w:rsidRPr="00E551EB">
        <w:rPr>
          <w:rFonts w:eastAsia="Times New Roman"/>
          <w:sz w:val="24"/>
          <w:szCs w:val="24"/>
        </w:rPr>
        <w:t xml:space="preserve">, 193 Colo. 36, 572 P.2d 133 (1977). Selection of which measure of damages to use is within the discretion of the trial court.  </w:t>
      </w:r>
      <w:r w:rsidRPr="00E551EB">
        <w:rPr>
          <w:rFonts w:eastAsia="Times New Roman"/>
          <w:b/>
          <w:sz w:val="24"/>
          <w:szCs w:val="24"/>
        </w:rPr>
        <w:t>Slovek</w:t>
      </w:r>
      <w:r w:rsidRPr="00E551EB">
        <w:rPr>
          <w:rFonts w:eastAsia="Times New Roman"/>
          <w:sz w:val="24"/>
          <w:szCs w:val="24"/>
        </w:rPr>
        <w:t xml:space="preserve">, 723 P.2d at 1316. </w:t>
      </w:r>
      <w:r w:rsidRPr="00E551EB">
        <w:rPr>
          <w:rFonts w:eastAsia="Times New Roman"/>
          <w:i/>
          <w:sz w:val="24"/>
          <w:szCs w:val="24"/>
        </w:rPr>
        <w:t>Cf</w:t>
      </w:r>
      <w:r w:rsidRPr="00E551EB">
        <w:rPr>
          <w:rFonts w:eastAsia="Times New Roman"/>
          <w:sz w:val="24"/>
          <w:szCs w:val="24"/>
        </w:rPr>
        <w:t>. Notes on Use to Instruction 6:11.</w:t>
      </w:r>
    </w:p>
    <w:p w14:paraId="7E9B025D"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2. Use whichever parenthesized words are most appropriate.</w:t>
      </w:r>
    </w:p>
    <w:p w14:paraId="1BB69E3A"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3. The concept of depreciation has been included in the second paragraph of this instruction. Consequently, where the property may have appreciated in value, or would have done so had the occurrence not transpired, this second paragraph should be omitted or, if given, be appropriately modified. </w:t>
      </w:r>
      <w:r w:rsidRPr="00E551EB">
        <w:rPr>
          <w:rFonts w:eastAsia="Times New Roman"/>
          <w:b/>
          <w:sz w:val="24"/>
          <w:szCs w:val="24"/>
        </w:rPr>
        <w:t>McAlonan v. U.S. Home Corp.</w:t>
      </w:r>
      <w:r w:rsidRPr="00E551EB">
        <w:rPr>
          <w:rFonts w:eastAsia="Times New Roman"/>
          <w:sz w:val="24"/>
          <w:szCs w:val="24"/>
        </w:rPr>
        <w:t>, 724 P.2d 78 (Colo. App. 1986).</w:t>
      </w:r>
    </w:p>
    <w:p w14:paraId="47E0D509"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4. Under section 5-12-101(1)(b), C.R.S., in a strict liability case where repair costs are appropriate damages, prejudgment interest accrues from the date plaintiff pays the repair or replacement expenditure. </w:t>
      </w:r>
      <w:r w:rsidRPr="00E551EB">
        <w:rPr>
          <w:rFonts w:eastAsia="Times New Roman"/>
          <w:b/>
          <w:sz w:val="24"/>
          <w:szCs w:val="24"/>
        </w:rPr>
        <w:t>Goodyear Tire &amp; Rubber Co. v. Holmes</w:t>
      </w:r>
      <w:r w:rsidRPr="00E551EB">
        <w:rPr>
          <w:rFonts w:eastAsia="Times New Roman"/>
          <w:sz w:val="24"/>
          <w:szCs w:val="24"/>
        </w:rPr>
        <w:t>, 193 P.3d 821 (Colo. 2008).</w:t>
      </w:r>
    </w:p>
    <w:p w14:paraId="17599C6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5. This instruction should be appropriately modified in a case brought under the Construction Defect Action Reform Act, §§ 13-20-801 to -808, C.R.S. (“CDARA”).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Hildebrand v. New Vista Homes II, LLC</w:t>
      </w:r>
      <w:r w:rsidRPr="00E551EB">
        <w:rPr>
          <w:rFonts w:eastAsia="Times New Roman"/>
          <w:sz w:val="24"/>
          <w:szCs w:val="24"/>
        </w:rPr>
        <w:t>, 252 P.3d 1159 (Colo. App. 2010) (Actual damages in CDARA case are the lesser of the fair market value of the real property without the alleged construction defect, the replacement cost of the real property, or the reasonable cost to repair the alleged construction defect; damages for inconvenience may also be awarded.).</w:t>
      </w:r>
    </w:p>
    <w:p w14:paraId="63D2D97D"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AEE6CB9" w14:textId="77777777" w:rsidR="00E551EB" w:rsidRDefault="00E551EB" w:rsidP="00E551EB">
      <w:pPr>
        <w:spacing w:after="240"/>
        <w:ind w:firstLine="720"/>
      </w:pPr>
      <w:r w:rsidRPr="00E551EB">
        <w:rPr>
          <w:rFonts w:eastAsia="Times New Roman"/>
          <w:sz w:val="24"/>
          <w:szCs w:val="24"/>
        </w:rPr>
        <w:t xml:space="preserve">This instruction is supported by </w:t>
      </w:r>
      <w:r w:rsidRPr="00E551EB">
        <w:rPr>
          <w:rFonts w:eastAsia="Times New Roman"/>
          <w:b/>
          <w:sz w:val="24"/>
          <w:szCs w:val="24"/>
        </w:rPr>
        <w:t>Callaham v. Slavsky</w:t>
      </w:r>
      <w:r w:rsidRPr="00E551EB">
        <w:rPr>
          <w:rFonts w:eastAsia="Times New Roman"/>
          <w:sz w:val="24"/>
          <w:szCs w:val="24"/>
        </w:rPr>
        <w:t xml:space="preserve">, 153 Colo. 291, 385 P.2d 674 (1963) (by implication); </w:t>
      </w:r>
      <w:r w:rsidRPr="00E551EB">
        <w:rPr>
          <w:rFonts w:eastAsia="Times New Roman"/>
          <w:b/>
          <w:sz w:val="24"/>
          <w:szCs w:val="24"/>
        </w:rPr>
        <w:t>Allison v. Heller</w:t>
      </w:r>
      <w:r w:rsidRPr="00E551EB">
        <w:rPr>
          <w:rFonts w:eastAsia="Times New Roman"/>
          <w:sz w:val="24"/>
          <w:szCs w:val="24"/>
        </w:rPr>
        <w:t xml:space="preserve">, 132 Colo. 415, 289 P.2d 160 (1955) (plaintiff entitled to have property restored as nearly as possible to its condition before accident); and </w:t>
      </w:r>
      <w:r w:rsidRPr="00E551EB">
        <w:rPr>
          <w:rFonts w:eastAsia="Times New Roman"/>
          <w:b/>
          <w:sz w:val="24"/>
          <w:szCs w:val="24"/>
        </w:rPr>
        <w:t>Airborne, Inc. v. Denver Air Center, Inc.</w:t>
      </w:r>
      <w:r w:rsidRPr="00E551EB">
        <w:rPr>
          <w:rFonts w:eastAsia="Times New Roman"/>
          <w:sz w:val="24"/>
          <w:szCs w:val="24"/>
        </w:rPr>
        <w:t xml:space="preserve">, 832 P.2d 1086 (Colo. App. 1992) (if damage to property is reparable, plaintiff is entitled to recover reasonable costs of repair together with any decrease in market value as repaired).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McAlonan</w:t>
      </w:r>
      <w:r w:rsidRPr="00E551EB">
        <w:rPr>
          <w:rFonts w:eastAsia="Times New Roman"/>
          <w:sz w:val="24"/>
          <w:szCs w:val="24"/>
        </w:rPr>
        <w:t>, 724 P.2d at 79-80 (approving first paragraph and applying it in action to recover costs of repairs needed to bring new condominium up to quality contracted for).</w:t>
      </w:r>
      <w:r>
        <w:br w:type="page"/>
      </w:r>
    </w:p>
    <w:p w14:paraId="17CDC6A8" w14:textId="77777777" w:rsidR="00E551EB" w:rsidRPr="009E3DA4" w:rsidRDefault="00E551EB" w:rsidP="00E551EB">
      <w:pPr>
        <w:spacing w:after="240"/>
        <w:ind w:left="720" w:hanging="720"/>
        <w:rPr>
          <w:rFonts w:eastAsia="Times New Roman"/>
          <w:b/>
          <w:sz w:val="24"/>
          <w:szCs w:val="24"/>
        </w:rPr>
      </w:pPr>
      <w:bookmarkStart w:id="16" w:name="a6_13"/>
      <w:bookmarkEnd w:id="16"/>
      <w:r w:rsidRPr="00E551EB">
        <w:rPr>
          <w:rFonts w:eastAsia="Times New Roman"/>
          <w:b/>
          <w:sz w:val="24"/>
          <w:szCs w:val="24"/>
        </w:rPr>
        <w:t xml:space="preserve">6:13 </w:t>
      </w:r>
      <w:r w:rsidRPr="00E551EB">
        <w:rPr>
          <w:rFonts w:eastAsia="Times New Roman"/>
          <w:b/>
          <w:sz w:val="24"/>
          <w:szCs w:val="24"/>
        </w:rPr>
        <w:tab/>
        <w:t>PERSONAL PROPERTY — LOSS OF USE</w:t>
      </w:r>
    </w:p>
    <w:p w14:paraId="4C4ADF84"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you shall also award an amount which will reasonably compensate the plaintiff for any loss of use of (his) (her) </w:t>
      </w:r>
      <w:r w:rsidRPr="00E551EB">
        <w:rPr>
          <w:rFonts w:eastAsia="Times New Roman"/>
          <w:i/>
          <w:sz w:val="24"/>
          <w:szCs w:val="24"/>
        </w:rPr>
        <w:t>(insert description of property)</w:t>
      </w:r>
      <w:r w:rsidRPr="00E551EB">
        <w:rPr>
          <w:rFonts w:eastAsia="Times New Roman"/>
          <w:b/>
          <w:sz w:val="24"/>
          <w:szCs w:val="24"/>
        </w:rPr>
        <w:t xml:space="preserve"> during the time reasonably required to make the necessary repairs. These damages must be proven by a preponderance of the evidence. The measure of these damages is the </w:t>
      </w:r>
      <w:r w:rsidRPr="00E551EB">
        <w:rPr>
          <w:rFonts w:eastAsia="Times New Roman"/>
          <w:i/>
          <w:sz w:val="24"/>
          <w:szCs w:val="24"/>
        </w:rPr>
        <w:t xml:space="preserve">(the reasonable rental value of the [insert description]) (the reasonable cost of renting or replacing a similar [insert description] for use) (lost profits) </w:t>
      </w:r>
      <w:r w:rsidRPr="00E551EB">
        <w:rPr>
          <w:rFonts w:eastAsia="Times New Roman"/>
          <w:b/>
          <w:sz w:val="24"/>
          <w:szCs w:val="24"/>
        </w:rPr>
        <w:t>while repairs are being made.</w:t>
      </w:r>
    </w:p>
    <w:p w14:paraId="6F6DA58A"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5C749020"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1. Use whichever parenthesized phrase is more appropriate.</w:t>
      </w:r>
    </w:p>
    <w:p w14:paraId="7EC9F22A"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2. This instruction, appropriately modified, also may be used in cases involving the destruction, in contrast to injury or damage, of property with the measure of lost profit damages being the period of time required for locating a suitable replacement.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Duggan v. Bd. of Cty. Comm’rs</w:t>
      </w:r>
      <w:r w:rsidRPr="00E551EB">
        <w:rPr>
          <w:rFonts w:eastAsia="Times New Roman"/>
          <w:sz w:val="24"/>
          <w:szCs w:val="24"/>
        </w:rPr>
        <w:t xml:space="preserve">, 747 P.2d 6 (Colo. App. 1987);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Koenig v. PurCo Fleet Servs., Inc.</w:t>
      </w:r>
      <w:r w:rsidRPr="00E551EB">
        <w:rPr>
          <w:rFonts w:eastAsia="Times New Roman"/>
          <w:sz w:val="24"/>
          <w:szCs w:val="24"/>
        </w:rPr>
        <w:t>, 2012 CO 56, ¶ 3, 285 P.3d 979.</w:t>
      </w:r>
    </w:p>
    <w:p w14:paraId="245C2D98"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7F4DEF44"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Airborne, Inc. v. Denver Air Center, Inc.</w:t>
      </w:r>
      <w:r w:rsidRPr="00E551EB">
        <w:rPr>
          <w:rFonts w:eastAsia="Times New Roman"/>
          <w:sz w:val="24"/>
          <w:szCs w:val="24"/>
        </w:rPr>
        <w:t xml:space="preserve">, 832 P.2d 1086 (Colo. App. 1992). The right to recover damages for loss of use has been expressly or implicitly recognized in </w:t>
      </w:r>
      <w:r w:rsidRPr="00E551EB">
        <w:rPr>
          <w:rFonts w:eastAsia="Times New Roman"/>
          <w:b/>
          <w:sz w:val="24"/>
          <w:szCs w:val="24"/>
        </w:rPr>
        <w:t>Rogers v. Funkhouser</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121 Colo. 13, 212 P.2d 497 (1949) (automobile); </w:t>
      </w:r>
      <w:r w:rsidRPr="00E551EB">
        <w:rPr>
          <w:rFonts w:eastAsia="Times New Roman"/>
          <w:b/>
          <w:sz w:val="24"/>
          <w:szCs w:val="24"/>
        </w:rPr>
        <w:t>Hunter v. Quaintance</w:t>
      </w:r>
      <w:r w:rsidRPr="00E551EB">
        <w:rPr>
          <w:rFonts w:eastAsia="Times New Roman"/>
          <w:sz w:val="24"/>
          <w:szCs w:val="24"/>
        </w:rPr>
        <w:t xml:space="preserve">, 69 Colo. 28, 168 P. 918 (1917) (automobile); and </w:t>
      </w:r>
      <w:r w:rsidRPr="00E551EB">
        <w:rPr>
          <w:rFonts w:eastAsia="Times New Roman"/>
          <w:b/>
          <w:sz w:val="24"/>
          <w:szCs w:val="24"/>
        </w:rPr>
        <w:t>Jackson v. Kiel</w:t>
      </w:r>
      <w:r w:rsidRPr="00E551EB">
        <w:rPr>
          <w:rFonts w:eastAsia="Times New Roman"/>
          <w:sz w:val="24"/>
          <w:szCs w:val="24"/>
        </w:rPr>
        <w:t xml:space="preserve">, 13 Colo. 378, 22 P. 504 (1889) (obstruction by public nuisance of access to real property). </w:t>
      </w:r>
      <w:r w:rsidRPr="00E551EB">
        <w:rPr>
          <w:rFonts w:eastAsia="Times New Roman"/>
          <w:i/>
          <w:sz w:val="24"/>
          <w:szCs w:val="24"/>
        </w:rPr>
        <w:t xml:space="preserve">See also </w:t>
      </w:r>
      <w:r w:rsidRPr="00E551EB">
        <w:rPr>
          <w:rFonts w:eastAsia="Times New Roman"/>
          <w:b/>
          <w:sz w:val="24"/>
          <w:szCs w:val="24"/>
        </w:rPr>
        <w:t>Wagner v. Dan Unfug Motors, Inc.</w:t>
      </w:r>
      <w:r w:rsidRPr="00E551EB">
        <w:rPr>
          <w:rFonts w:eastAsia="Times New Roman"/>
          <w:sz w:val="24"/>
          <w:szCs w:val="24"/>
        </w:rPr>
        <w:t xml:space="preserve">, 35 Colo. App. 102, 529 P.2d 656 (1974) (holding that damages for the loss of personal use of a vehicle were recoverable in fraud and deceit case when they have been pleaded and reduced to a definite rental cost, and distinguishing the contrary dictum in </w:t>
      </w:r>
      <w:r w:rsidRPr="00E551EB">
        <w:rPr>
          <w:rFonts w:eastAsia="Times New Roman"/>
          <w:b/>
          <w:sz w:val="24"/>
          <w:szCs w:val="24"/>
        </w:rPr>
        <w:t>Hunter</w:t>
      </w:r>
      <w:r w:rsidRPr="00E551EB">
        <w:rPr>
          <w:rFonts w:eastAsia="Times New Roman"/>
          <w:sz w:val="24"/>
          <w:szCs w:val="24"/>
        </w:rPr>
        <w:t xml:space="preserve">, 69 Colo. at 30, 168 P. at 919); </w:t>
      </w:r>
      <w:r w:rsidRPr="00E551EB">
        <w:rPr>
          <w:rFonts w:eastAsia="Times New Roman"/>
          <w:b/>
          <w:sz w:val="24"/>
          <w:szCs w:val="24"/>
        </w:rPr>
        <w:t>Francis v. Steve Johnson Pontiac-GMC-Jeep, Inc.</w:t>
      </w:r>
      <w:r w:rsidRPr="00E551EB">
        <w:rPr>
          <w:rFonts w:eastAsia="Times New Roman"/>
          <w:sz w:val="24"/>
          <w:szCs w:val="24"/>
        </w:rPr>
        <w:t>, 724 P.2d 84 (Colo. App. 1986) (same).</w:t>
      </w:r>
    </w:p>
    <w:p w14:paraId="6BE0F5B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2. Loss of use damages can be measured by either lost profits or reasonable rental value incurred during a reasonable repair or replacement period. The property owner is not required to prove that the owner actually lost the chance for income from the rental. Rather, the property owner is entitled to recover because the owner lost the right to earn a profit from the rental. </w:t>
      </w:r>
      <w:r w:rsidRPr="00E551EB">
        <w:rPr>
          <w:rFonts w:eastAsia="Times New Roman"/>
          <w:b/>
          <w:sz w:val="24"/>
          <w:szCs w:val="24"/>
        </w:rPr>
        <w:t>Koenig</w:t>
      </w:r>
      <w:r w:rsidRPr="00E551EB">
        <w:rPr>
          <w:rFonts w:eastAsia="Times New Roman"/>
          <w:sz w:val="24"/>
          <w:szCs w:val="24"/>
        </w:rPr>
        <w:t xml:space="preserve">, 2012 CO 56, ¶ 14. However, in a case involving loss of use of a personal vehicle while it is repaired, damages may be recovered even without an actual loss. </w:t>
      </w:r>
      <w:r w:rsidRPr="00E551EB">
        <w:rPr>
          <w:rFonts w:eastAsia="Times New Roman"/>
          <w:b/>
          <w:sz w:val="24"/>
          <w:szCs w:val="24"/>
        </w:rPr>
        <w:t>Francis</w:t>
      </w:r>
      <w:r w:rsidRPr="00E551EB">
        <w:rPr>
          <w:rFonts w:eastAsia="Times New Roman"/>
          <w:sz w:val="24"/>
          <w:szCs w:val="24"/>
        </w:rPr>
        <w:t>, 724 P.2d at 86 (in tort case, loss is presumed if personal auto is unavailable, even though no replacement auto is rented).</w:t>
      </w:r>
    </w:p>
    <w:p w14:paraId="3040658C" w14:textId="77777777" w:rsidR="00EC3919" w:rsidRDefault="00E551EB" w:rsidP="007A3A0E">
      <w:pPr>
        <w:spacing w:after="240"/>
        <w:ind w:firstLine="720"/>
        <w:rPr>
          <w:rFonts w:eastAsia="Times New Roman"/>
          <w:sz w:val="24"/>
          <w:szCs w:val="24"/>
        </w:rPr>
      </w:pPr>
      <w:r w:rsidRPr="00E551EB">
        <w:rPr>
          <w:rFonts w:eastAsia="Times New Roman"/>
          <w:sz w:val="24"/>
          <w:szCs w:val="24"/>
        </w:rPr>
        <w:t xml:space="preserve">3. “Loss of use” damages must be specially pleaded. </w:t>
      </w:r>
      <w:r w:rsidRPr="00E551EB">
        <w:rPr>
          <w:rFonts w:eastAsia="Times New Roman"/>
          <w:b/>
          <w:sz w:val="24"/>
          <w:szCs w:val="24"/>
        </w:rPr>
        <w:t>Rogers</w:t>
      </w:r>
      <w:r w:rsidRPr="00E551EB">
        <w:rPr>
          <w:rFonts w:eastAsia="Times New Roman"/>
          <w:sz w:val="24"/>
          <w:szCs w:val="24"/>
        </w:rPr>
        <w:t>, 121 Colo. at 24-25, 212 P.2d at 502.</w:t>
      </w:r>
    </w:p>
    <w:p w14:paraId="31847883" w14:textId="77777777" w:rsidR="00E551EB" w:rsidRDefault="00E551EB">
      <w:pPr>
        <w:rPr>
          <w:rFonts w:eastAsia="Times New Roman"/>
          <w:sz w:val="24"/>
          <w:szCs w:val="24"/>
        </w:rPr>
      </w:pPr>
      <w:r>
        <w:rPr>
          <w:rFonts w:eastAsia="Times New Roman"/>
          <w:sz w:val="24"/>
          <w:szCs w:val="24"/>
        </w:rPr>
        <w:br w:type="page"/>
      </w:r>
    </w:p>
    <w:p w14:paraId="42100C76" w14:textId="77777777" w:rsidR="00E551EB" w:rsidRDefault="00E551EB" w:rsidP="00E551EB">
      <w:pPr>
        <w:spacing w:after="240"/>
        <w:jc w:val="center"/>
        <w:rPr>
          <w:rFonts w:eastAsia="Times New Roman"/>
          <w:b/>
          <w:sz w:val="24"/>
          <w:szCs w:val="24"/>
        </w:rPr>
      </w:pPr>
      <w:r w:rsidRPr="00E551EB">
        <w:rPr>
          <w:rFonts w:eastAsia="Times New Roman"/>
          <w:b/>
          <w:sz w:val="24"/>
          <w:szCs w:val="24"/>
        </w:rPr>
        <w:t>C. MULTIPLE RECOVERY</w:t>
      </w:r>
    </w:p>
    <w:p w14:paraId="7CBAE0A8" w14:textId="77777777" w:rsidR="00E551EB" w:rsidRPr="009E3DA4" w:rsidRDefault="00E551EB" w:rsidP="00E551EB">
      <w:pPr>
        <w:spacing w:after="240"/>
        <w:ind w:left="720" w:hanging="720"/>
        <w:rPr>
          <w:rFonts w:eastAsia="Times New Roman"/>
          <w:b/>
          <w:sz w:val="24"/>
          <w:szCs w:val="24"/>
        </w:rPr>
      </w:pPr>
      <w:bookmarkStart w:id="17" w:name="a6_14"/>
      <w:bookmarkEnd w:id="17"/>
      <w:r w:rsidRPr="00E551EB">
        <w:rPr>
          <w:rFonts w:eastAsia="Times New Roman"/>
          <w:b/>
          <w:sz w:val="24"/>
          <w:szCs w:val="24"/>
        </w:rPr>
        <w:t xml:space="preserve">6:14 </w:t>
      </w:r>
      <w:r w:rsidRPr="00E551EB">
        <w:rPr>
          <w:rFonts w:eastAsia="Times New Roman"/>
          <w:b/>
          <w:sz w:val="24"/>
          <w:szCs w:val="24"/>
        </w:rPr>
        <w:tab/>
        <w:t>MULTIPLE RECOVERY PROHIBITED (WHEN PLAINTIFF SUING ON ALTERNATIVE BUT DUPLICATIVE CLAIMS FOR RELIEF)</w:t>
      </w:r>
    </w:p>
    <w:p w14:paraId="28498C69"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The plaintiff, </w:t>
      </w:r>
      <w:r w:rsidRPr="00E551EB">
        <w:rPr>
          <w:rFonts w:eastAsia="Times New Roman"/>
          <w:i/>
          <w:sz w:val="24"/>
          <w:szCs w:val="24"/>
        </w:rPr>
        <w:t>(name)</w:t>
      </w:r>
      <w:r w:rsidRPr="00E551EB">
        <w:rPr>
          <w:rFonts w:eastAsia="Times New Roman"/>
          <w:b/>
          <w:sz w:val="24"/>
          <w:szCs w:val="24"/>
        </w:rPr>
        <w:t xml:space="preserve">, has sued for the same (injuries) (damages) (losses) on </w:t>
      </w:r>
      <w:r w:rsidRPr="00E551EB">
        <w:rPr>
          <w:rFonts w:eastAsia="Times New Roman"/>
          <w:i/>
          <w:sz w:val="24"/>
          <w:szCs w:val="24"/>
        </w:rPr>
        <w:t>(number)</w:t>
      </w:r>
      <w:r w:rsidRPr="00E551EB">
        <w:rPr>
          <w:rFonts w:eastAsia="Times New Roman"/>
          <w:b/>
          <w:sz w:val="24"/>
          <w:szCs w:val="24"/>
        </w:rPr>
        <w:t xml:space="preserve"> different claims for relief. The claims for relief on which the plaintiff has sued and on which you have been instructed are: </w:t>
      </w:r>
      <w:r w:rsidRPr="00E551EB">
        <w:rPr>
          <w:rFonts w:eastAsia="Times New Roman"/>
          <w:i/>
          <w:sz w:val="24"/>
          <w:szCs w:val="24"/>
        </w:rPr>
        <w:t>(insert appropriate description of each of the plaintiff’s claims)</w:t>
      </w:r>
      <w:r w:rsidRPr="00E551EB">
        <w:rPr>
          <w:rFonts w:eastAsia="Times New Roman"/>
          <w:b/>
          <w:sz w:val="24"/>
          <w:szCs w:val="24"/>
        </w:rPr>
        <w:t>.</w:t>
      </w:r>
    </w:p>
    <w:p w14:paraId="289C69E5"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you find for the plaintiff on more than one claim for relief, you may award (him) (her) damages only once for the same (injuries) (damages) (losses).</w:t>
      </w:r>
    </w:p>
    <w:p w14:paraId="13973030"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2A206B8B"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applies only to multiple claims that are duplicative in terms of their recoverable damages. The court should instruct the jury on each claim for relief, provided there is sufficient evidence on each such theory in the case. In such circumstances, however, this instruction must be given. </w:t>
      </w:r>
      <w:r w:rsidRPr="00E551EB">
        <w:rPr>
          <w:rFonts w:eastAsia="Times New Roman"/>
          <w:b/>
          <w:sz w:val="24"/>
          <w:szCs w:val="24"/>
        </w:rPr>
        <w:t>Schuessler v. Wolter</w:t>
      </w:r>
      <w:r w:rsidRPr="00E551EB">
        <w:rPr>
          <w:rFonts w:eastAsia="Times New Roman"/>
          <w:sz w:val="24"/>
          <w:szCs w:val="24"/>
        </w:rPr>
        <w:t>, 2012 COA 86,</w:t>
      </w:r>
      <w:r w:rsidRPr="00E551EB">
        <w:rPr>
          <w:rFonts w:eastAsia="Times New Roman"/>
          <w:b/>
          <w:sz w:val="24"/>
          <w:szCs w:val="24"/>
        </w:rPr>
        <w:t xml:space="preserve"> </w:t>
      </w:r>
      <w:r w:rsidRPr="00E551EB">
        <w:rPr>
          <w:rFonts w:eastAsia="Times New Roman"/>
          <w:sz w:val="24"/>
          <w:szCs w:val="24"/>
        </w:rPr>
        <w:t xml:space="preserve">¶ 64, 310 P.3d 151; </w:t>
      </w:r>
      <w:r w:rsidRPr="00E551EB">
        <w:rPr>
          <w:rFonts w:eastAsia="Times New Roman"/>
          <w:b/>
          <w:sz w:val="24"/>
          <w:szCs w:val="24"/>
        </w:rPr>
        <w:t>Rusch v. Lincoln-Devore Testing Lab., Inc.</w:t>
      </w:r>
      <w:r w:rsidRPr="00E551EB">
        <w:rPr>
          <w:rFonts w:eastAsia="Times New Roman"/>
          <w:sz w:val="24"/>
          <w:szCs w:val="24"/>
        </w:rPr>
        <w:t xml:space="preserve">, 698 P.2d 832 (Colo. App. 1984). Also, the verdict forms submitted to the jury should be so phrased that the jury is not misled.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Am. Furniture Co. v. Veazie</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131 Colo. 340, 281 P.2d 803 (1955);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Andrews v. Picard</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199 P.3d 6 (Colo. App. 2007); </w:t>
      </w:r>
      <w:r w:rsidRPr="00E551EB">
        <w:rPr>
          <w:rFonts w:eastAsia="Times New Roman"/>
          <w:b/>
          <w:sz w:val="24"/>
          <w:szCs w:val="24"/>
        </w:rPr>
        <w:t>Colo. Homes, Ltd. v. Loerch-Wilson</w:t>
      </w:r>
      <w:r w:rsidRPr="00E551EB">
        <w:rPr>
          <w:rFonts w:eastAsia="Times New Roman"/>
          <w:sz w:val="24"/>
          <w:szCs w:val="24"/>
        </w:rPr>
        <w:t xml:space="preserve">, 43 P.3d 718 (Colo. App. 2001); </w:t>
      </w:r>
      <w:r w:rsidRPr="00E551EB">
        <w:rPr>
          <w:rFonts w:eastAsia="Times New Roman"/>
          <w:b/>
          <w:sz w:val="24"/>
          <w:szCs w:val="24"/>
        </w:rPr>
        <w:t>DeBose v. Bear Valley Church of Christ</w:t>
      </w:r>
      <w:r w:rsidRPr="00E551EB">
        <w:rPr>
          <w:rFonts w:eastAsia="Times New Roman"/>
          <w:sz w:val="24"/>
          <w:szCs w:val="24"/>
        </w:rPr>
        <w:t xml:space="preserve">, 890 P.2d 214 (Colo. App. 1994), </w:t>
      </w:r>
      <w:r w:rsidRPr="00E551EB">
        <w:rPr>
          <w:rFonts w:eastAsia="Times New Roman"/>
          <w:i/>
          <w:sz w:val="24"/>
          <w:szCs w:val="24"/>
        </w:rPr>
        <w:t>rev’d on other grounds</w:t>
      </w:r>
      <w:r w:rsidRPr="00E551EB">
        <w:rPr>
          <w:rFonts w:eastAsia="Times New Roman"/>
          <w:sz w:val="24"/>
          <w:szCs w:val="24"/>
        </w:rPr>
        <w:t>, 928 P.2d 1315 (Colo. 1996).</w:t>
      </w:r>
    </w:p>
    <w:p w14:paraId="38CA7FA0"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2. When the plaintiff is suing for the same physical injuries to person or property and basing his or her claims on alternative theories of relief (for example, breach of implied warranty of merchantability and strict liability in tort), but is also suing for other or additional damages based on one of these or yet a different theory (for example, commercial damages caused by breach of express warranty), this instruction must be appropriately modified.</w:t>
      </w:r>
    </w:p>
    <w:p w14:paraId="4B8EE595"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3. Where damages are the same for each of multiple claims for relief, clarifying instructions and a special verdict form should be used so that the jury will award the same damages only once for all successful claims. </w:t>
      </w:r>
      <w:r w:rsidRPr="00E551EB">
        <w:rPr>
          <w:rFonts w:eastAsia="Times New Roman"/>
          <w:b/>
          <w:sz w:val="24"/>
          <w:szCs w:val="24"/>
        </w:rPr>
        <w:t>Steward Software Co. v. Kopcho</w:t>
      </w:r>
      <w:r w:rsidRPr="00E551EB">
        <w:rPr>
          <w:rFonts w:eastAsia="Times New Roman"/>
          <w:sz w:val="24"/>
          <w:szCs w:val="24"/>
        </w:rPr>
        <w:t xml:space="preserve">, 275 P.3d 702 (Colo. App. 2010), </w:t>
      </w:r>
      <w:r w:rsidRPr="00E551EB">
        <w:rPr>
          <w:rFonts w:eastAsia="Times New Roman"/>
          <w:i/>
          <w:sz w:val="24"/>
          <w:szCs w:val="24"/>
        </w:rPr>
        <w:t>rev’d on other grounds</w:t>
      </w:r>
      <w:r w:rsidRPr="00E551EB">
        <w:rPr>
          <w:rFonts w:eastAsia="Times New Roman"/>
          <w:sz w:val="24"/>
          <w:szCs w:val="24"/>
        </w:rPr>
        <w:t>, 266 P.3d 1085 (Colo. 2011).</w:t>
      </w:r>
    </w:p>
    <w:p w14:paraId="440A5168"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4. For a verdict form addressing multiple claims and parties, see Instruction 4:20, the model unified verdict form.</w:t>
      </w:r>
    </w:p>
    <w:p w14:paraId="5AE1D92C"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5555762"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American Furniture Co.</w:t>
      </w:r>
      <w:r w:rsidRPr="00E551EB">
        <w:rPr>
          <w:rFonts w:eastAsia="Times New Roman"/>
          <w:sz w:val="24"/>
          <w:szCs w:val="24"/>
        </w:rPr>
        <w:t xml:space="preserve">, 131 Colo. at 346, 281 P.2d at 806. In that case, the court noted in dictum that the confusion of the verdict forms could have been avoided by requiring the plaintiff to elect his remedy before the case was submitted to the jury. However, the court did not state that such necessarily should have been done, and other authority clearly indicates that in the absence of unusual circumstances, the plaintiff is entitled to go to the jury on alternative theories, if there is sufficient evidence supporting each theory.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Carpenter v. Donohoe</w:t>
      </w:r>
      <w:r w:rsidRPr="00E551EB">
        <w:rPr>
          <w:rFonts w:eastAsia="Times New Roman"/>
          <w:sz w:val="24"/>
          <w:szCs w:val="24"/>
        </w:rPr>
        <w:t xml:space="preserve">, 154 Colo. 78, 388 P.2d 399 (1964) (when remedies are consistent, a party is entitled to pursue either or both until satisfaction of one is obtained); </w:t>
      </w:r>
      <w:r w:rsidRPr="00E551EB">
        <w:rPr>
          <w:rFonts w:eastAsia="Times New Roman"/>
          <w:i/>
          <w:sz w:val="24"/>
          <w:szCs w:val="24"/>
        </w:rPr>
        <w:t>see also</w:t>
      </w:r>
      <w:r w:rsidRPr="00E551EB">
        <w:rPr>
          <w:rFonts w:eastAsia="Times New Roman"/>
          <w:sz w:val="24"/>
          <w:szCs w:val="24"/>
        </w:rPr>
        <w:t xml:space="preserve"> C.R.C.P. 18(a), 318(a); </w:t>
      </w:r>
      <w:r w:rsidRPr="00E551EB">
        <w:rPr>
          <w:rFonts w:eastAsia="Times New Roman"/>
          <w:b/>
          <w:sz w:val="24"/>
          <w:szCs w:val="24"/>
        </w:rPr>
        <w:t>Stewart v. Blanning</w:t>
      </w:r>
      <w:r w:rsidRPr="00E551EB">
        <w:rPr>
          <w:rFonts w:eastAsia="Times New Roman"/>
          <w:sz w:val="24"/>
          <w:szCs w:val="24"/>
        </w:rPr>
        <w:t>, 677 P.2d 1382, 1384 (Colo. App. 1984) (requiring election of remedies not appropriate unless the “remedial rights sought in a given situation are so inconsistent that the assertion of one necessarily repudiates the assertion of the other”).</w:t>
      </w:r>
    </w:p>
    <w:p w14:paraId="560621BE" w14:textId="77777777" w:rsidR="00E551EB" w:rsidRDefault="00E551EB" w:rsidP="007A3A0E">
      <w:pPr>
        <w:spacing w:after="240"/>
        <w:ind w:firstLine="720"/>
        <w:rPr>
          <w:rFonts w:eastAsia="Times New Roman"/>
          <w:sz w:val="24"/>
          <w:szCs w:val="24"/>
        </w:rPr>
      </w:pPr>
      <w:r w:rsidRPr="00E551EB">
        <w:rPr>
          <w:rFonts w:eastAsia="Times New Roman"/>
          <w:sz w:val="24"/>
          <w:szCs w:val="24"/>
        </w:rPr>
        <w:t xml:space="preserve">2. The rule prohibiting double recovery for the same injury on multiple claims for relief also applies in cases involving multiple defendants. </w:t>
      </w:r>
      <w:r w:rsidRPr="00E551EB">
        <w:rPr>
          <w:rFonts w:eastAsia="Times New Roman"/>
          <w:b/>
          <w:sz w:val="24"/>
          <w:szCs w:val="24"/>
        </w:rPr>
        <w:t>Quist v. Specialties Supply Co.</w:t>
      </w:r>
      <w:r w:rsidRPr="00E551EB">
        <w:rPr>
          <w:rFonts w:eastAsia="Times New Roman"/>
          <w:sz w:val="24"/>
          <w:szCs w:val="24"/>
        </w:rPr>
        <w:t>, 12 P.3d 863 (Colo. App. 2000).</w:t>
      </w:r>
    </w:p>
    <w:sectPr w:rsidR="00E551EB"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2BF282" w15:done="0"/>
  <w15:commentEx w15:paraId="44033C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2BF282" w16cid:durableId="1F72F6F0"/>
  <w16cid:commentId w16cid:paraId="44033CAB" w16cid:durableId="1F72F9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58FDA" w14:textId="77777777" w:rsidR="007563B8" w:rsidRDefault="007563B8" w:rsidP="0054263B">
      <w:r>
        <w:separator/>
      </w:r>
    </w:p>
    <w:p w14:paraId="379C4C80" w14:textId="77777777" w:rsidR="007563B8" w:rsidRDefault="007563B8"/>
  </w:endnote>
  <w:endnote w:type="continuationSeparator" w:id="0">
    <w:p w14:paraId="7A361E76" w14:textId="77777777" w:rsidR="007563B8" w:rsidRDefault="007563B8" w:rsidP="0054263B">
      <w:r>
        <w:continuationSeparator/>
      </w:r>
    </w:p>
    <w:p w14:paraId="093B95FA" w14:textId="77777777" w:rsidR="007563B8" w:rsidRDefault="00756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13063A27" w14:textId="77777777" w:rsidR="00AA606D" w:rsidRDefault="00E97FB8">
        <w:pPr>
          <w:pStyle w:val="Footer"/>
          <w:jc w:val="center"/>
        </w:pPr>
        <w:r>
          <w:fldChar w:fldCharType="begin"/>
        </w:r>
        <w:r>
          <w:instrText xml:space="preserve"> PAGE   \* MERGEFORMAT </w:instrText>
        </w:r>
        <w:r>
          <w:fldChar w:fldCharType="separate"/>
        </w:r>
        <w:r w:rsidR="00361BB0">
          <w:rPr>
            <w:noProof/>
          </w:rPr>
          <w:t>12</w:t>
        </w:r>
        <w:r>
          <w:rPr>
            <w:noProof/>
          </w:rPr>
          <w:fldChar w:fldCharType="end"/>
        </w:r>
      </w:p>
    </w:sdtContent>
  </w:sdt>
  <w:p w14:paraId="70F197F2" w14:textId="77777777" w:rsidR="00AA606D" w:rsidRDefault="00AA606D">
    <w:pPr>
      <w:pStyle w:val="Footer"/>
    </w:pPr>
  </w:p>
  <w:p w14:paraId="7F5F1E70" w14:textId="77777777" w:rsidR="00AA606D" w:rsidRDefault="00AA60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75436" w14:textId="77777777" w:rsidR="007563B8" w:rsidRDefault="007563B8" w:rsidP="0054263B">
      <w:r>
        <w:separator/>
      </w:r>
    </w:p>
    <w:p w14:paraId="5226736F" w14:textId="77777777" w:rsidR="007563B8" w:rsidRDefault="007563B8"/>
  </w:footnote>
  <w:footnote w:type="continuationSeparator" w:id="0">
    <w:p w14:paraId="049BFBB1" w14:textId="77777777" w:rsidR="007563B8" w:rsidRDefault="007563B8" w:rsidP="0054263B">
      <w:r>
        <w:continuationSeparator/>
      </w:r>
    </w:p>
    <w:p w14:paraId="6F137968" w14:textId="77777777" w:rsidR="007563B8" w:rsidRDefault="007563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16142"/>
    <w:rsid w:val="00037111"/>
    <w:rsid w:val="00067F64"/>
    <w:rsid w:val="00085495"/>
    <w:rsid w:val="000921F1"/>
    <w:rsid w:val="000962C8"/>
    <w:rsid w:val="000C6F97"/>
    <w:rsid w:val="000C7496"/>
    <w:rsid w:val="001024A2"/>
    <w:rsid w:val="001117D9"/>
    <w:rsid w:val="001246C3"/>
    <w:rsid w:val="00172674"/>
    <w:rsid w:val="001903CB"/>
    <w:rsid w:val="001913B1"/>
    <w:rsid w:val="00191498"/>
    <w:rsid w:val="001A2648"/>
    <w:rsid w:val="001A3389"/>
    <w:rsid w:val="00200BA5"/>
    <w:rsid w:val="002065D8"/>
    <w:rsid w:val="0021368F"/>
    <w:rsid w:val="0022134E"/>
    <w:rsid w:val="00223286"/>
    <w:rsid w:val="00291B13"/>
    <w:rsid w:val="002A23B0"/>
    <w:rsid w:val="002B6D2C"/>
    <w:rsid w:val="002E0970"/>
    <w:rsid w:val="002F48D6"/>
    <w:rsid w:val="00320613"/>
    <w:rsid w:val="003247EA"/>
    <w:rsid w:val="00334049"/>
    <w:rsid w:val="00336CE4"/>
    <w:rsid w:val="00352111"/>
    <w:rsid w:val="003613FE"/>
    <w:rsid w:val="00361BB0"/>
    <w:rsid w:val="003937B8"/>
    <w:rsid w:val="003F108C"/>
    <w:rsid w:val="00412186"/>
    <w:rsid w:val="00421670"/>
    <w:rsid w:val="00434371"/>
    <w:rsid w:val="004425AA"/>
    <w:rsid w:val="00456038"/>
    <w:rsid w:val="00467B80"/>
    <w:rsid w:val="00471618"/>
    <w:rsid w:val="004C62F9"/>
    <w:rsid w:val="004C723A"/>
    <w:rsid w:val="004E7EF1"/>
    <w:rsid w:val="00505377"/>
    <w:rsid w:val="00531F87"/>
    <w:rsid w:val="0054263B"/>
    <w:rsid w:val="00557FCC"/>
    <w:rsid w:val="0056459F"/>
    <w:rsid w:val="005B3A78"/>
    <w:rsid w:val="005D3156"/>
    <w:rsid w:val="005E712D"/>
    <w:rsid w:val="005F6FC8"/>
    <w:rsid w:val="00602F87"/>
    <w:rsid w:val="006272FE"/>
    <w:rsid w:val="006312C6"/>
    <w:rsid w:val="00661D05"/>
    <w:rsid w:val="00675252"/>
    <w:rsid w:val="00682B93"/>
    <w:rsid w:val="0068336D"/>
    <w:rsid w:val="00683FA1"/>
    <w:rsid w:val="006A0F62"/>
    <w:rsid w:val="006A74B6"/>
    <w:rsid w:val="006B0DB1"/>
    <w:rsid w:val="006E0D06"/>
    <w:rsid w:val="006E3575"/>
    <w:rsid w:val="006E62F0"/>
    <w:rsid w:val="0070333F"/>
    <w:rsid w:val="0070752A"/>
    <w:rsid w:val="007119D8"/>
    <w:rsid w:val="007303EC"/>
    <w:rsid w:val="007532AB"/>
    <w:rsid w:val="007563B8"/>
    <w:rsid w:val="007A3A0E"/>
    <w:rsid w:val="007A612E"/>
    <w:rsid w:val="007C3712"/>
    <w:rsid w:val="007D2BCE"/>
    <w:rsid w:val="007E1675"/>
    <w:rsid w:val="007F7129"/>
    <w:rsid w:val="00801691"/>
    <w:rsid w:val="00810A39"/>
    <w:rsid w:val="0082168C"/>
    <w:rsid w:val="0083264A"/>
    <w:rsid w:val="00832DB4"/>
    <w:rsid w:val="0083763B"/>
    <w:rsid w:val="00837F81"/>
    <w:rsid w:val="00845F81"/>
    <w:rsid w:val="00850A48"/>
    <w:rsid w:val="00853ECF"/>
    <w:rsid w:val="008557E1"/>
    <w:rsid w:val="00875064"/>
    <w:rsid w:val="008A6339"/>
    <w:rsid w:val="008A637B"/>
    <w:rsid w:val="008B1617"/>
    <w:rsid w:val="008E41F1"/>
    <w:rsid w:val="008F4C42"/>
    <w:rsid w:val="00902A25"/>
    <w:rsid w:val="00914128"/>
    <w:rsid w:val="00925459"/>
    <w:rsid w:val="00935DA8"/>
    <w:rsid w:val="0095709A"/>
    <w:rsid w:val="00960E95"/>
    <w:rsid w:val="0096521C"/>
    <w:rsid w:val="00973884"/>
    <w:rsid w:val="009902F2"/>
    <w:rsid w:val="009A5ACD"/>
    <w:rsid w:val="009B6746"/>
    <w:rsid w:val="009B70E6"/>
    <w:rsid w:val="009E20C7"/>
    <w:rsid w:val="009E3DA4"/>
    <w:rsid w:val="00A36457"/>
    <w:rsid w:val="00A73AE6"/>
    <w:rsid w:val="00A80C10"/>
    <w:rsid w:val="00A85AAA"/>
    <w:rsid w:val="00AA606D"/>
    <w:rsid w:val="00AC78F7"/>
    <w:rsid w:val="00AD39B2"/>
    <w:rsid w:val="00AF7D47"/>
    <w:rsid w:val="00B0264D"/>
    <w:rsid w:val="00B37722"/>
    <w:rsid w:val="00B567C1"/>
    <w:rsid w:val="00B579DF"/>
    <w:rsid w:val="00B6275E"/>
    <w:rsid w:val="00B70D68"/>
    <w:rsid w:val="00B72D6B"/>
    <w:rsid w:val="00B937E4"/>
    <w:rsid w:val="00B972E4"/>
    <w:rsid w:val="00BA4966"/>
    <w:rsid w:val="00BC49BF"/>
    <w:rsid w:val="00BE2B09"/>
    <w:rsid w:val="00BE654D"/>
    <w:rsid w:val="00C40968"/>
    <w:rsid w:val="00C473A2"/>
    <w:rsid w:val="00C60E95"/>
    <w:rsid w:val="00C84E71"/>
    <w:rsid w:val="00C8797B"/>
    <w:rsid w:val="00CA41CC"/>
    <w:rsid w:val="00CA4F46"/>
    <w:rsid w:val="00CC0502"/>
    <w:rsid w:val="00CC1AC8"/>
    <w:rsid w:val="00CC6A95"/>
    <w:rsid w:val="00CC7E17"/>
    <w:rsid w:val="00CD4A7D"/>
    <w:rsid w:val="00CE593D"/>
    <w:rsid w:val="00D05926"/>
    <w:rsid w:val="00D06D8D"/>
    <w:rsid w:val="00D333AA"/>
    <w:rsid w:val="00D57BA1"/>
    <w:rsid w:val="00DB2C90"/>
    <w:rsid w:val="00DC63A9"/>
    <w:rsid w:val="00DC66A6"/>
    <w:rsid w:val="00DE2930"/>
    <w:rsid w:val="00DF2CB7"/>
    <w:rsid w:val="00DF3BF1"/>
    <w:rsid w:val="00E058BA"/>
    <w:rsid w:val="00E172C8"/>
    <w:rsid w:val="00E551EB"/>
    <w:rsid w:val="00E8031C"/>
    <w:rsid w:val="00E87C31"/>
    <w:rsid w:val="00E91DC9"/>
    <w:rsid w:val="00E92A63"/>
    <w:rsid w:val="00E970B9"/>
    <w:rsid w:val="00E97FB8"/>
    <w:rsid w:val="00EA6F5A"/>
    <w:rsid w:val="00EC17E3"/>
    <w:rsid w:val="00EC3919"/>
    <w:rsid w:val="00EC7C98"/>
    <w:rsid w:val="00ED5E52"/>
    <w:rsid w:val="00ED7176"/>
    <w:rsid w:val="00EE72B5"/>
    <w:rsid w:val="00EF37D7"/>
    <w:rsid w:val="00EF4043"/>
    <w:rsid w:val="00EF7890"/>
    <w:rsid w:val="00F32AA4"/>
    <w:rsid w:val="00F764F4"/>
    <w:rsid w:val="00FA7B76"/>
    <w:rsid w:val="00FE00D7"/>
    <w:rsid w:val="00FF1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12113</Words>
  <Characters>69050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2018-12-15T20:12:00Z</dcterms:created>
  <dcterms:modified xsi:type="dcterms:W3CDTF">2018-12-15T20:12:00Z</dcterms:modified>
</cp:coreProperties>
</file>