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09A35" w14:textId="069553BA" w:rsidR="00CA41CC" w:rsidRPr="00914128" w:rsidRDefault="0068336D" w:rsidP="00914128">
      <w:pPr>
        <w:pStyle w:val="Heading1"/>
      </w:pPr>
      <w:bookmarkStart w:id="0" w:name="_GoBack"/>
      <w:bookmarkEnd w:id="0"/>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D7327C" w:rsidP="00AE1C04">
      <w:pPr>
        <w:pStyle w:val="Heading1"/>
        <w:jc w:val="left"/>
        <w:rPr>
          <w:b w:val="0"/>
          <w:caps w:val="0"/>
        </w:rPr>
      </w:pPr>
      <w:hyperlink w:anchor="IntroNote" w:history="1">
        <w:r w:rsidR="00AE1C04"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D7327C" w:rsidP="00914128">
      <w:pPr>
        <w:pStyle w:val="ToC"/>
      </w:pPr>
      <w:hyperlink w:anchor="a30_01" w:history="1">
        <w:r w:rsidR="00770AB7" w:rsidRPr="00AE1C04">
          <w:rPr>
            <w:rStyle w:val="Hyperlink"/>
          </w:rPr>
          <w:t>30:1</w:t>
        </w:r>
      </w:hyperlink>
      <w:r w:rsidR="00770AB7" w:rsidRPr="00AE1C04">
        <w:tab/>
        <w:t>Contract Formation ― In Dispute</w:t>
      </w:r>
    </w:p>
    <w:p w14:paraId="13A6BC2F" w14:textId="77777777" w:rsidR="00AE1C04" w:rsidRDefault="00D7327C" w:rsidP="00914128">
      <w:pPr>
        <w:pStyle w:val="ToC"/>
      </w:pPr>
      <w:hyperlink w:anchor="a30_02" w:history="1">
        <w:r w:rsidR="00770AB7" w:rsidRPr="00AE1C04">
          <w:rPr>
            <w:rStyle w:val="Hyperlink"/>
          </w:rPr>
          <w:t>30:2</w:t>
        </w:r>
      </w:hyperlink>
      <w:r w:rsidR="00770AB7">
        <w:tab/>
      </w:r>
      <w:r w:rsidR="00770AB7" w:rsidRPr="00AE1C04">
        <w:t xml:space="preserve">Contract Formation ― Need Not Be </w:t>
      </w:r>
      <w:r w:rsidR="00770AB7">
        <w:t xml:space="preserve">in </w:t>
      </w:r>
      <w:r w:rsidR="00770AB7" w:rsidRPr="00AE1C04">
        <w:t>Writing</w:t>
      </w:r>
    </w:p>
    <w:p w14:paraId="7E8E0CF2" w14:textId="77777777" w:rsidR="00AE1C04" w:rsidRDefault="00D7327C" w:rsidP="00914128">
      <w:pPr>
        <w:pStyle w:val="ToC"/>
      </w:pPr>
      <w:hyperlink w:anchor="a30_03" w:history="1">
        <w:r w:rsidR="00770AB7" w:rsidRPr="00AE1C04">
          <w:rPr>
            <w:rStyle w:val="Hyperlink"/>
          </w:rPr>
          <w:t>30:3</w:t>
        </w:r>
      </w:hyperlink>
      <w:r w:rsidR="00770AB7" w:rsidRPr="00AE1C04">
        <w:t xml:space="preserve"> </w:t>
      </w:r>
      <w:r w:rsidR="00770AB7" w:rsidRPr="00AE1C04">
        <w:tab/>
        <w:t>Contract Formation ― Offer</w:t>
      </w:r>
    </w:p>
    <w:p w14:paraId="2A9390C2" w14:textId="77777777" w:rsidR="00AE1C04" w:rsidRDefault="00D7327C" w:rsidP="00914128">
      <w:pPr>
        <w:pStyle w:val="ToC"/>
      </w:pPr>
      <w:hyperlink w:anchor="a30_04" w:history="1">
        <w:r w:rsidR="00770AB7" w:rsidRPr="00AE1C04">
          <w:rPr>
            <w:rStyle w:val="Hyperlink"/>
          </w:rPr>
          <w:t>30:4</w:t>
        </w:r>
      </w:hyperlink>
      <w:r w:rsidR="00770AB7" w:rsidRPr="00AE1C04">
        <w:tab/>
        <w:t xml:space="preserve">Contract Formation ― Revocation </w:t>
      </w:r>
      <w:r w:rsidR="00770AB7">
        <w:t xml:space="preserve">of </w:t>
      </w:r>
      <w:r w:rsidR="00770AB7" w:rsidRPr="00AE1C04">
        <w:t>Offer</w:t>
      </w:r>
    </w:p>
    <w:p w14:paraId="7A252B3B" w14:textId="77777777" w:rsidR="00AE1C04" w:rsidRDefault="00D7327C" w:rsidP="00914128">
      <w:pPr>
        <w:pStyle w:val="ToC"/>
      </w:pPr>
      <w:hyperlink w:anchor="a30_05" w:history="1">
        <w:r w:rsidR="00770AB7" w:rsidRPr="00AE1C04">
          <w:rPr>
            <w:rStyle w:val="Hyperlink"/>
          </w:rPr>
          <w:t>30:5</w:t>
        </w:r>
      </w:hyperlink>
      <w:r w:rsidR="00770AB7" w:rsidRPr="00AE1C04">
        <w:tab/>
        <w:t>Contract Formation ― Counteroffer</w:t>
      </w:r>
    </w:p>
    <w:p w14:paraId="7EF85E95" w14:textId="77777777" w:rsidR="00AE1C04" w:rsidRDefault="00D7327C" w:rsidP="00914128">
      <w:pPr>
        <w:pStyle w:val="ToC"/>
      </w:pPr>
      <w:hyperlink w:anchor="a30_06" w:history="1">
        <w:r w:rsidR="00770AB7" w:rsidRPr="00AE1C04">
          <w:rPr>
            <w:rStyle w:val="Hyperlink"/>
          </w:rPr>
          <w:t>30:6</w:t>
        </w:r>
      </w:hyperlink>
      <w:r w:rsidR="00770AB7" w:rsidRPr="00AE1C04">
        <w:t xml:space="preserve"> </w:t>
      </w:r>
      <w:r w:rsidR="00770AB7" w:rsidRPr="00AE1C04">
        <w:tab/>
        <w:t>Contract Formation ― Acceptance</w:t>
      </w:r>
    </w:p>
    <w:p w14:paraId="1951668E" w14:textId="77777777" w:rsidR="00AE1C04" w:rsidRDefault="00D7327C" w:rsidP="00914128">
      <w:pPr>
        <w:pStyle w:val="ToC"/>
      </w:pPr>
      <w:hyperlink w:anchor="a30_07" w:history="1">
        <w:r w:rsidR="00770AB7" w:rsidRPr="00AE1C04">
          <w:rPr>
            <w:rStyle w:val="Hyperlink"/>
          </w:rPr>
          <w:t>30:7</w:t>
        </w:r>
      </w:hyperlink>
      <w:r w:rsidR="00770AB7" w:rsidRPr="00AE1C04">
        <w:t xml:space="preserve"> </w:t>
      </w:r>
      <w:r w:rsidR="00770AB7" w:rsidRPr="00AE1C04">
        <w:tab/>
        <w:t>Contract Formation ― Consideration</w:t>
      </w:r>
    </w:p>
    <w:p w14:paraId="62D802C4" w14:textId="77777777" w:rsidR="00AE1C04" w:rsidRDefault="00D7327C" w:rsidP="00914128">
      <w:pPr>
        <w:pStyle w:val="ToC"/>
      </w:pPr>
      <w:hyperlink w:anchor="a30_08" w:history="1">
        <w:r w:rsidR="00770AB7" w:rsidRPr="00AE1C04">
          <w:rPr>
            <w:rStyle w:val="Hyperlink"/>
          </w:rPr>
          <w:t>30:8</w:t>
        </w:r>
      </w:hyperlink>
      <w:r w:rsidR="00770AB7" w:rsidRPr="00AE1C04">
        <w:t xml:space="preserve"> </w:t>
      </w:r>
      <w:r w:rsidR="00770AB7" w:rsidRPr="00AE1C04">
        <w:tab/>
        <w:t>Contract Formation ― Modification</w:t>
      </w:r>
    </w:p>
    <w:p w14:paraId="13EF075A" w14:textId="77777777" w:rsidR="00AE1C04" w:rsidRDefault="00D7327C" w:rsidP="00914128">
      <w:pPr>
        <w:pStyle w:val="ToC"/>
      </w:pPr>
      <w:hyperlink w:anchor="a30_09" w:history="1">
        <w:r w:rsidR="00770AB7" w:rsidRPr="00AE1C04">
          <w:rPr>
            <w:rStyle w:val="Hyperlink"/>
          </w:rPr>
          <w:t>30:9</w:t>
        </w:r>
      </w:hyperlink>
      <w:r w:rsidR="00770AB7" w:rsidRPr="00AE1C04">
        <w:t xml:space="preserve"> </w:t>
      </w:r>
      <w:r w:rsidR="00770AB7"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D7327C" w:rsidP="00A73FC9">
      <w:pPr>
        <w:pStyle w:val="ToC"/>
      </w:pPr>
      <w:hyperlink w:anchor="a30_10" w:history="1">
        <w:r w:rsidR="00770AB7" w:rsidRPr="00AE1C04">
          <w:rPr>
            <w:rStyle w:val="Hyperlink"/>
          </w:rPr>
          <w:t>30:10</w:t>
        </w:r>
      </w:hyperlink>
      <w:r w:rsidR="00770AB7" w:rsidRPr="00AE1C04">
        <w:t xml:space="preserve"> </w:t>
      </w:r>
      <w:r w:rsidR="00770AB7" w:rsidRPr="00AE1C04">
        <w:tab/>
        <w:t xml:space="preserve">Contract Performance — Breach </w:t>
      </w:r>
      <w:r w:rsidR="00770AB7">
        <w:t xml:space="preserve">of </w:t>
      </w:r>
      <w:r w:rsidR="00770AB7" w:rsidRPr="00AE1C04">
        <w:t xml:space="preserve">Contract — Elements </w:t>
      </w:r>
      <w:r w:rsidR="00770AB7">
        <w:t xml:space="preserve">of </w:t>
      </w:r>
      <w:r w:rsidR="00770AB7" w:rsidRPr="00AE1C04">
        <w:t>Liability</w:t>
      </w:r>
    </w:p>
    <w:p w14:paraId="7D5624AC" w14:textId="77777777" w:rsidR="00AE1C04" w:rsidRDefault="00D7327C" w:rsidP="00A73FC9">
      <w:pPr>
        <w:pStyle w:val="ToC"/>
      </w:pPr>
      <w:hyperlink w:anchor="a30_11" w:history="1">
        <w:r w:rsidR="00770AB7" w:rsidRPr="00AE1C04">
          <w:rPr>
            <w:rStyle w:val="Hyperlink"/>
          </w:rPr>
          <w:t>30:11</w:t>
        </w:r>
      </w:hyperlink>
      <w:r w:rsidR="00770AB7" w:rsidRPr="00AE1C04">
        <w:tab/>
        <w:t xml:space="preserve">Contract Performance — Breach </w:t>
      </w:r>
      <w:r w:rsidR="00770AB7">
        <w:t xml:space="preserve">of </w:t>
      </w:r>
      <w:r w:rsidR="00770AB7" w:rsidRPr="00AE1C04">
        <w:t>Contract Defined</w:t>
      </w:r>
    </w:p>
    <w:p w14:paraId="6CC9DDD5" w14:textId="77777777" w:rsidR="00AE1C04" w:rsidRDefault="00D7327C" w:rsidP="00A73FC9">
      <w:pPr>
        <w:pStyle w:val="ToC"/>
      </w:pPr>
      <w:hyperlink w:anchor="a30_12" w:history="1">
        <w:r w:rsidR="00770AB7" w:rsidRPr="00AE1C04">
          <w:rPr>
            <w:rStyle w:val="Hyperlink"/>
          </w:rPr>
          <w:t>30:12</w:t>
        </w:r>
      </w:hyperlink>
      <w:r w:rsidR="00770AB7">
        <w:tab/>
      </w:r>
      <w:r w:rsidR="00770AB7" w:rsidRPr="00AE1C04">
        <w:t>Contract Performance — Substantial Performance</w:t>
      </w:r>
    </w:p>
    <w:p w14:paraId="17501E41" w14:textId="77777777" w:rsidR="00AE1C04" w:rsidRDefault="00D7327C" w:rsidP="00A73FC9">
      <w:pPr>
        <w:pStyle w:val="ToC"/>
      </w:pPr>
      <w:hyperlink w:anchor="a30_13" w:history="1">
        <w:r w:rsidR="00770AB7" w:rsidRPr="00AE1C04">
          <w:rPr>
            <w:rStyle w:val="Hyperlink"/>
          </w:rPr>
          <w:t>30:13</w:t>
        </w:r>
      </w:hyperlink>
      <w:r w:rsidR="00770AB7" w:rsidRPr="00AE1C04">
        <w:t xml:space="preserve"> </w:t>
      </w:r>
      <w:r w:rsidR="00770AB7" w:rsidRPr="00AE1C04">
        <w:tab/>
        <w:t>Contract Performance — Anticipatory Breach</w:t>
      </w:r>
    </w:p>
    <w:p w14:paraId="77A57069" w14:textId="77777777" w:rsidR="00AE1C04" w:rsidRDefault="00D7327C" w:rsidP="00A73FC9">
      <w:pPr>
        <w:pStyle w:val="ToC"/>
      </w:pPr>
      <w:hyperlink w:anchor="a30_14" w:history="1">
        <w:r w:rsidR="00770AB7" w:rsidRPr="00AE1C04">
          <w:rPr>
            <w:rStyle w:val="Hyperlink"/>
          </w:rPr>
          <w:t>30:14</w:t>
        </w:r>
      </w:hyperlink>
      <w:r w:rsidR="00770AB7" w:rsidRPr="00AE1C04">
        <w:tab/>
        <w:t xml:space="preserve">Contract Performance — Time </w:t>
      </w:r>
      <w:r w:rsidR="00770AB7">
        <w:t xml:space="preserve">of </w:t>
      </w:r>
      <w:r w:rsidR="00770AB7" w:rsidRPr="00AE1C04">
        <w:t>Performance</w:t>
      </w:r>
    </w:p>
    <w:p w14:paraId="20D67351" w14:textId="77777777" w:rsidR="00AE1C04" w:rsidRDefault="00D7327C" w:rsidP="00A73FC9">
      <w:pPr>
        <w:pStyle w:val="ToC"/>
      </w:pPr>
      <w:hyperlink w:anchor="a30_15" w:history="1">
        <w:r w:rsidR="00770AB7" w:rsidRPr="00AE1C04">
          <w:rPr>
            <w:rStyle w:val="Hyperlink"/>
          </w:rPr>
          <w:t>30:15</w:t>
        </w:r>
      </w:hyperlink>
      <w:r w:rsidR="00770AB7" w:rsidRPr="00AE1C04">
        <w:t xml:space="preserve"> </w:t>
      </w:r>
      <w:r w:rsidR="00770AB7" w:rsidRPr="00AE1C04">
        <w:tab/>
        <w:t>Contract Performance — Conditions Precedent</w:t>
      </w:r>
    </w:p>
    <w:p w14:paraId="5E12B7FA" w14:textId="77777777" w:rsidR="00AE1C04" w:rsidRDefault="00D7327C" w:rsidP="00A73FC9">
      <w:pPr>
        <w:pStyle w:val="ToC"/>
      </w:pPr>
      <w:hyperlink w:anchor="a30_16" w:history="1">
        <w:r w:rsidR="00770AB7" w:rsidRPr="00AE1C04">
          <w:rPr>
            <w:rStyle w:val="Hyperlink"/>
          </w:rPr>
          <w:t>30:16</w:t>
        </w:r>
      </w:hyperlink>
      <w:r w:rsidR="00770AB7" w:rsidRPr="00AE1C04">
        <w:tab/>
        <w:t xml:space="preserve">Contract Performance — Implied Duty </w:t>
      </w:r>
      <w:r w:rsidR="00770AB7">
        <w:t xml:space="preserve">of </w:t>
      </w:r>
      <w:r w:rsidR="00770AB7" w:rsidRPr="00AE1C04">
        <w:t xml:space="preserve">Good Faith </w:t>
      </w:r>
      <w:r w:rsidR="00770AB7">
        <w:t xml:space="preserve">and </w:t>
      </w:r>
      <w:r w:rsidR="00770AB7" w:rsidRPr="00AE1C04">
        <w:t>Fair Dealing — Non-Insurance Contract</w:t>
      </w:r>
    </w:p>
    <w:p w14:paraId="0F28CB96" w14:textId="77777777" w:rsidR="00AE1C04" w:rsidRDefault="00D7327C" w:rsidP="00A73FC9">
      <w:pPr>
        <w:pStyle w:val="ToC"/>
      </w:pPr>
      <w:hyperlink w:anchor="a30_17" w:history="1">
        <w:r w:rsidR="00770AB7" w:rsidRPr="00AE1C04">
          <w:rPr>
            <w:rStyle w:val="Hyperlink"/>
          </w:rPr>
          <w:t>30:17</w:t>
        </w:r>
      </w:hyperlink>
      <w:r w:rsidR="00770AB7"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D7327C" w:rsidP="00A73FC9">
      <w:pPr>
        <w:pStyle w:val="ToC"/>
      </w:pPr>
      <w:hyperlink w:anchor="IntroNoteC" w:history="1">
        <w:r w:rsidR="003F4A7F" w:rsidRPr="006F590D">
          <w:rPr>
            <w:rStyle w:val="Hyperlink"/>
          </w:rPr>
          <w:t>Introductory Note</w:t>
        </w:r>
      </w:hyperlink>
    </w:p>
    <w:p w14:paraId="0592BB4E" w14:textId="77777777" w:rsidR="003F4A7F" w:rsidRDefault="00D7327C" w:rsidP="00A73FC9">
      <w:pPr>
        <w:pStyle w:val="ToC"/>
      </w:pPr>
      <w:hyperlink w:anchor="a30_18" w:history="1">
        <w:r w:rsidR="00770AB7" w:rsidRPr="003F4A7F">
          <w:rPr>
            <w:rStyle w:val="Hyperlink"/>
          </w:rPr>
          <w:t>30:18</w:t>
        </w:r>
      </w:hyperlink>
      <w:r w:rsidR="00770AB7">
        <w:tab/>
      </w:r>
      <w:r w:rsidR="00AB477F">
        <w:t xml:space="preserve">Defense — </w:t>
      </w:r>
      <w:r w:rsidR="00770AB7" w:rsidRPr="003F4A7F">
        <w:t xml:space="preserve">Fraud </w:t>
      </w:r>
      <w:r w:rsidR="00770AB7">
        <w:t>in the</w:t>
      </w:r>
      <w:r w:rsidR="00770AB7" w:rsidRPr="003F4A7F">
        <w:t xml:space="preserve"> Inducement</w:t>
      </w:r>
    </w:p>
    <w:p w14:paraId="6928598E" w14:textId="77777777" w:rsidR="003F4A7F" w:rsidRDefault="00D7327C" w:rsidP="00A73FC9">
      <w:pPr>
        <w:pStyle w:val="ToC"/>
      </w:pPr>
      <w:hyperlink w:anchor="a30_19" w:history="1">
        <w:r w:rsidR="00770AB7" w:rsidRPr="003F4A7F">
          <w:rPr>
            <w:rStyle w:val="Hyperlink"/>
          </w:rPr>
          <w:t>30:19</w:t>
        </w:r>
      </w:hyperlink>
      <w:r w:rsidR="00AB477F">
        <w:tab/>
        <w:t xml:space="preserve">Defense — </w:t>
      </w:r>
      <w:r w:rsidR="00770AB7" w:rsidRPr="003F4A7F">
        <w:t>Undue Influence</w:t>
      </w:r>
    </w:p>
    <w:p w14:paraId="4C007B98" w14:textId="77777777" w:rsidR="00AC646C" w:rsidRDefault="00D7327C" w:rsidP="00A73FC9">
      <w:pPr>
        <w:pStyle w:val="ToC"/>
      </w:pPr>
      <w:hyperlink w:anchor="a30_20" w:history="1">
        <w:r w:rsidR="00770AB7" w:rsidRPr="00AC646C">
          <w:rPr>
            <w:rStyle w:val="Hyperlink"/>
          </w:rPr>
          <w:t>30:20</w:t>
        </w:r>
      </w:hyperlink>
      <w:r w:rsidR="00AB477F">
        <w:t xml:space="preserve"> </w:t>
      </w:r>
      <w:r w:rsidR="00AB477F">
        <w:tab/>
        <w:t xml:space="preserve">Defense — </w:t>
      </w:r>
      <w:r w:rsidR="00770AB7" w:rsidRPr="00AC646C">
        <w:t>Duress</w:t>
      </w:r>
    </w:p>
    <w:p w14:paraId="49925C59" w14:textId="77777777" w:rsidR="00AC646C" w:rsidRDefault="00D7327C" w:rsidP="00A73FC9">
      <w:pPr>
        <w:pStyle w:val="ToC"/>
      </w:pPr>
      <w:hyperlink w:anchor="a30_21" w:history="1">
        <w:r w:rsidR="00770AB7" w:rsidRPr="00AC646C">
          <w:rPr>
            <w:rStyle w:val="Hyperlink"/>
          </w:rPr>
          <w:t>30:21</w:t>
        </w:r>
      </w:hyperlink>
      <w:r w:rsidR="00AB477F">
        <w:tab/>
        <w:t xml:space="preserve">Defense — </w:t>
      </w:r>
      <w:r w:rsidR="00770AB7" w:rsidRPr="00AC646C">
        <w:t>Minority</w:t>
      </w:r>
    </w:p>
    <w:p w14:paraId="0EED8BEA" w14:textId="77777777" w:rsidR="00AC646C" w:rsidRDefault="00D7327C" w:rsidP="00A73FC9">
      <w:pPr>
        <w:pStyle w:val="ToC"/>
      </w:pPr>
      <w:hyperlink w:anchor="a30_22" w:history="1">
        <w:r w:rsidR="00770AB7" w:rsidRPr="00AC646C">
          <w:rPr>
            <w:rStyle w:val="Hyperlink"/>
          </w:rPr>
          <w:t>30:22</w:t>
        </w:r>
      </w:hyperlink>
      <w:r w:rsidR="00AB477F">
        <w:tab/>
        <w:t xml:space="preserve">Defense — </w:t>
      </w:r>
      <w:r w:rsidR="00770AB7" w:rsidRPr="00AC646C">
        <w:t>Mental Incapacity</w:t>
      </w:r>
    </w:p>
    <w:p w14:paraId="4A1D51B8" w14:textId="77777777" w:rsidR="00AC646C" w:rsidRDefault="00D7327C" w:rsidP="00A73FC9">
      <w:pPr>
        <w:pStyle w:val="ToC"/>
      </w:pPr>
      <w:hyperlink w:anchor="a30_23" w:history="1">
        <w:r w:rsidR="00770AB7" w:rsidRPr="00AC646C">
          <w:rPr>
            <w:rStyle w:val="Hyperlink"/>
          </w:rPr>
          <w:t>30:23</w:t>
        </w:r>
      </w:hyperlink>
      <w:r w:rsidR="00AB477F">
        <w:tab/>
        <w:t xml:space="preserve">Defense — </w:t>
      </w:r>
      <w:r w:rsidR="00770AB7" w:rsidRPr="00AC646C">
        <w:t xml:space="preserve">Impossibility </w:t>
      </w:r>
      <w:r w:rsidR="00770AB7">
        <w:t xml:space="preserve">of </w:t>
      </w:r>
      <w:r w:rsidR="00770AB7" w:rsidRPr="00AC646C">
        <w:t>Performance</w:t>
      </w:r>
    </w:p>
    <w:p w14:paraId="61D4E525" w14:textId="77777777" w:rsidR="00AC646C" w:rsidRDefault="00D7327C" w:rsidP="00A73FC9">
      <w:pPr>
        <w:pStyle w:val="ToC"/>
      </w:pPr>
      <w:hyperlink w:anchor="a30_24" w:history="1">
        <w:r w:rsidR="00770AB7" w:rsidRPr="00AC646C">
          <w:rPr>
            <w:rStyle w:val="Hyperlink"/>
          </w:rPr>
          <w:t>30:24</w:t>
        </w:r>
      </w:hyperlink>
      <w:r w:rsidR="00AB477F">
        <w:tab/>
        <w:t xml:space="preserve">Defense — </w:t>
      </w:r>
      <w:r w:rsidR="00770AB7" w:rsidRPr="00AC646C">
        <w:t>Inducing</w:t>
      </w:r>
      <w:r w:rsidR="00770AB7">
        <w:t xml:space="preserve"> a </w:t>
      </w:r>
      <w:r w:rsidR="00770AB7" w:rsidRPr="00AC646C">
        <w:t xml:space="preserve">Breach </w:t>
      </w:r>
      <w:r w:rsidR="00770AB7">
        <w:t>by</w:t>
      </w:r>
      <w:r w:rsidR="00770AB7" w:rsidRPr="00AC646C">
        <w:t xml:space="preserve"> Words </w:t>
      </w:r>
      <w:r w:rsidR="00770AB7">
        <w:t>or</w:t>
      </w:r>
      <w:r w:rsidR="00770AB7" w:rsidRPr="00AC646C">
        <w:t xml:space="preserve"> Conduct</w:t>
      </w:r>
    </w:p>
    <w:p w14:paraId="3F67AC76" w14:textId="77777777" w:rsidR="00AC646C" w:rsidRDefault="00D7327C" w:rsidP="00A73FC9">
      <w:pPr>
        <w:pStyle w:val="ToC"/>
      </w:pPr>
      <w:hyperlink w:anchor="a30_25" w:history="1">
        <w:r w:rsidR="00770AB7" w:rsidRPr="00AC646C">
          <w:rPr>
            <w:rStyle w:val="Hyperlink"/>
          </w:rPr>
          <w:t>30:25</w:t>
        </w:r>
      </w:hyperlink>
      <w:r w:rsidR="00AB477F">
        <w:tab/>
        <w:t xml:space="preserve">Defense — </w:t>
      </w:r>
      <w:r w:rsidR="00770AB7" w:rsidRPr="00AC646C">
        <w:t>Waiver</w:t>
      </w:r>
    </w:p>
    <w:p w14:paraId="074FF38D" w14:textId="77777777" w:rsidR="00AC646C" w:rsidRDefault="00D7327C" w:rsidP="00A73FC9">
      <w:pPr>
        <w:pStyle w:val="ToC"/>
      </w:pPr>
      <w:hyperlink w:anchor="a30_26" w:history="1">
        <w:r w:rsidR="00770AB7" w:rsidRPr="00AC646C">
          <w:rPr>
            <w:rStyle w:val="Hyperlink"/>
          </w:rPr>
          <w:t>30:26</w:t>
        </w:r>
      </w:hyperlink>
      <w:r w:rsidR="00AB477F">
        <w:tab/>
        <w:t xml:space="preserve">Defense — </w:t>
      </w:r>
      <w:r w:rsidR="00770AB7" w:rsidRPr="00AC646C">
        <w:t xml:space="preserve">Statute </w:t>
      </w:r>
      <w:r w:rsidR="00770AB7">
        <w:t xml:space="preserve">of </w:t>
      </w:r>
      <w:r w:rsidR="00770AB7" w:rsidRPr="00AC646C">
        <w:t>Limitations</w:t>
      </w:r>
    </w:p>
    <w:p w14:paraId="213F230B" w14:textId="77777777" w:rsidR="00AC646C" w:rsidRDefault="00D7327C" w:rsidP="00A73FC9">
      <w:pPr>
        <w:pStyle w:val="ToC"/>
      </w:pPr>
      <w:hyperlink w:anchor="a30_27" w:history="1">
        <w:r w:rsidR="00770AB7" w:rsidRPr="00AC646C">
          <w:rPr>
            <w:rStyle w:val="Hyperlink"/>
          </w:rPr>
          <w:t>30:27</w:t>
        </w:r>
      </w:hyperlink>
      <w:r w:rsidR="00AB477F">
        <w:tab/>
        <w:t xml:space="preserve">Defense — </w:t>
      </w:r>
      <w:r w:rsidR="00770AB7" w:rsidRPr="00AC646C">
        <w:t xml:space="preserve">Cancellation </w:t>
      </w:r>
      <w:r w:rsidR="00770AB7">
        <w:t>by</w:t>
      </w:r>
      <w:r w:rsidR="00770AB7" w:rsidRPr="00AC646C">
        <w:t xml:space="preserve"> Agreement</w:t>
      </w:r>
    </w:p>
    <w:p w14:paraId="0E302707" w14:textId="77777777" w:rsidR="00AC646C" w:rsidRDefault="00D7327C" w:rsidP="00A73FC9">
      <w:pPr>
        <w:pStyle w:val="ToC"/>
      </w:pPr>
      <w:hyperlink w:anchor="a30_28" w:history="1">
        <w:r w:rsidR="00770AB7" w:rsidRPr="00AC646C">
          <w:rPr>
            <w:rStyle w:val="Hyperlink"/>
          </w:rPr>
          <w:t>30:28</w:t>
        </w:r>
      </w:hyperlink>
      <w:r w:rsidR="00AB477F">
        <w:tab/>
        <w:t xml:space="preserve">Defense — </w:t>
      </w:r>
      <w:r w:rsidR="00770AB7" w:rsidRPr="00AC646C">
        <w:t xml:space="preserve">Accord </w:t>
      </w:r>
      <w:r w:rsidR="00770AB7">
        <w:t xml:space="preserve">and </w:t>
      </w:r>
      <w:r w:rsidR="00770AB7" w:rsidRPr="00AC646C">
        <w:t>Satisfaction (Later Contract)</w:t>
      </w:r>
    </w:p>
    <w:p w14:paraId="6855FCB3" w14:textId="77777777" w:rsidR="00AC646C" w:rsidRDefault="00D7327C" w:rsidP="00A73FC9">
      <w:pPr>
        <w:pStyle w:val="ToC"/>
      </w:pPr>
      <w:hyperlink w:anchor="a30_29" w:history="1">
        <w:r w:rsidR="00770AB7" w:rsidRPr="00AC646C">
          <w:rPr>
            <w:rStyle w:val="Hyperlink"/>
          </w:rPr>
          <w:t>30:29</w:t>
        </w:r>
      </w:hyperlink>
      <w:r w:rsidR="00AB477F">
        <w:tab/>
        <w:t xml:space="preserve">Defense — </w:t>
      </w:r>
      <w:r w:rsidR="00770AB7"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D7327C" w:rsidP="00A73FC9">
      <w:pPr>
        <w:pStyle w:val="ToC"/>
      </w:pPr>
      <w:hyperlink w:anchor="IntroNoteD" w:history="1">
        <w:r w:rsidR="00AC646C" w:rsidRPr="006F590D">
          <w:rPr>
            <w:rStyle w:val="Hyperlink"/>
          </w:rPr>
          <w:t>Introductory Note</w:t>
        </w:r>
      </w:hyperlink>
    </w:p>
    <w:p w14:paraId="576EBBDD" w14:textId="77777777" w:rsidR="00AC646C" w:rsidRDefault="00D7327C" w:rsidP="00A73FC9">
      <w:pPr>
        <w:pStyle w:val="ToC"/>
      </w:pPr>
      <w:hyperlink w:anchor="a30_30" w:history="1">
        <w:r w:rsidR="00770AB7" w:rsidRPr="00AC646C">
          <w:rPr>
            <w:rStyle w:val="Hyperlink"/>
          </w:rPr>
          <w:t>30:30</w:t>
        </w:r>
      </w:hyperlink>
      <w:r w:rsidR="00770AB7" w:rsidRPr="00AC646C">
        <w:tab/>
        <w:t>Contract Interpretation — Disputed Term</w:t>
      </w:r>
    </w:p>
    <w:p w14:paraId="4E29E2A1" w14:textId="77777777" w:rsidR="00AC646C" w:rsidRDefault="00D7327C" w:rsidP="00A73FC9">
      <w:pPr>
        <w:pStyle w:val="ToC"/>
      </w:pPr>
      <w:hyperlink w:anchor="a30_31" w:history="1">
        <w:r w:rsidR="00770AB7" w:rsidRPr="00AC646C">
          <w:rPr>
            <w:rStyle w:val="Hyperlink"/>
          </w:rPr>
          <w:t>30:31</w:t>
        </w:r>
      </w:hyperlink>
      <w:r w:rsidR="00770AB7" w:rsidRPr="00AC646C">
        <w:tab/>
        <w:t>Contract Interpretation — Parties’ Intent</w:t>
      </w:r>
    </w:p>
    <w:p w14:paraId="37E8100F" w14:textId="77777777" w:rsidR="00AC646C" w:rsidRDefault="00D7327C" w:rsidP="00A73FC9">
      <w:pPr>
        <w:pStyle w:val="ToC"/>
      </w:pPr>
      <w:hyperlink w:anchor="a30_32" w:history="1">
        <w:r w:rsidR="00770AB7" w:rsidRPr="00AC646C">
          <w:rPr>
            <w:rStyle w:val="Hyperlink"/>
          </w:rPr>
          <w:t>30:32</w:t>
        </w:r>
      </w:hyperlink>
      <w:r w:rsidR="00770AB7" w:rsidRPr="00AC646C">
        <w:tab/>
        <w:t xml:space="preserve">Contract Interpretation — Contract </w:t>
      </w:r>
      <w:r w:rsidR="00C70560">
        <w:t xml:space="preserve">as </w:t>
      </w:r>
      <w:r w:rsidR="00770AB7">
        <w:t xml:space="preserve">a </w:t>
      </w:r>
      <w:r w:rsidR="00770AB7" w:rsidRPr="00AC646C">
        <w:t>Whole</w:t>
      </w:r>
    </w:p>
    <w:p w14:paraId="5CBCD38F" w14:textId="77777777" w:rsidR="00AC646C" w:rsidRDefault="00D7327C" w:rsidP="00A73FC9">
      <w:pPr>
        <w:pStyle w:val="ToC"/>
      </w:pPr>
      <w:hyperlink w:anchor="a30_33" w:history="1">
        <w:r w:rsidR="00770AB7" w:rsidRPr="00AC646C">
          <w:rPr>
            <w:rStyle w:val="Hyperlink"/>
          </w:rPr>
          <w:t>30:33</w:t>
        </w:r>
      </w:hyperlink>
      <w:r w:rsidR="00770AB7" w:rsidRPr="00AC646C">
        <w:tab/>
        <w:t>Contract Interpretation — Ordinary Meaning</w:t>
      </w:r>
    </w:p>
    <w:p w14:paraId="530CF30F" w14:textId="77777777" w:rsidR="00AC646C" w:rsidRDefault="00D7327C" w:rsidP="00A73FC9">
      <w:pPr>
        <w:pStyle w:val="ToC"/>
      </w:pPr>
      <w:hyperlink w:anchor="a30_34" w:history="1">
        <w:r w:rsidR="00770AB7" w:rsidRPr="00AC646C">
          <w:rPr>
            <w:rStyle w:val="Hyperlink"/>
          </w:rPr>
          <w:t>30:34</w:t>
        </w:r>
      </w:hyperlink>
      <w:r w:rsidR="00770AB7" w:rsidRPr="00AC646C">
        <w:tab/>
        <w:t xml:space="preserve">Contract Interpretation — Use </w:t>
      </w:r>
      <w:r w:rsidR="00770AB7">
        <w:t xml:space="preserve">of </w:t>
      </w:r>
      <w:r w:rsidR="00770AB7" w:rsidRPr="00AC646C">
        <w:t xml:space="preserve">Technical Words </w:t>
      </w:r>
      <w:r w:rsidR="00770AB7">
        <w:t xml:space="preserve">in a </w:t>
      </w:r>
      <w:r w:rsidR="00770AB7" w:rsidRPr="00AC646C">
        <w:t>Contract</w:t>
      </w:r>
    </w:p>
    <w:p w14:paraId="32D565AF" w14:textId="77777777" w:rsidR="00AC646C" w:rsidRDefault="00D7327C" w:rsidP="00A73FC9">
      <w:pPr>
        <w:pStyle w:val="ToC"/>
      </w:pPr>
      <w:hyperlink w:anchor="a30_35" w:history="1">
        <w:r w:rsidR="00770AB7" w:rsidRPr="00AC646C">
          <w:rPr>
            <w:rStyle w:val="Hyperlink"/>
          </w:rPr>
          <w:t>30:35</w:t>
        </w:r>
      </w:hyperlink>
      <w:r w:rsidR="00770AB7" w:rsidRPr="00AC646C">
        <w:tab/>
        <w:t>Contract Interpretation — Construction Against Drafter</w:t>
      </w:r>
    </w:p>
    <w:p w14:paraId="3FAABF3E" w14:textId="77777777" w:rsidR="00AC646C" w:rsidRDefault="00D7327C" w:rsidP="00A73FC9">
      <w:pPr>
        <w:pStyle w:val="ToC"/>
      </w:pPr>
      <w:hyperlink w:anchor="a30_36" w:history="1">
        <w:r w:rsidR="00770AB7" w:rsidRPr="00AC646C">
          <w:rPr>
            <w:rStyle w:val="Hyperlink"/>
          </w:rPr>
          <w:t>30:36</w:t>
        </w:r>
      </w:hyperlink>
      <w:r w:rsidR="00770AB7" w:rsidRPr="00AC646C">
        <w:tab/>
        <w:t xml:space="preserve">Contract Interpretation — Specific </w:t>
      </w:r>
      <w:r w:rsidR="00770AB7">
        <w:t xml:space="preserve">and </w:t>
      </w:r>
      <w:r w:rsidR="00770AB7"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D7327C" w:rsidP="00A73FC9">
      <w:pPr>
        <w:pStyle w:val="ToC"/>
      </w:pPr>
      <w:hyperlink w:anchor="IntroNoteE" w:history="1">
        <w:r w:rsidR="00AC646C" w:rsidRPr="006F590D">
          <w:rPr>
            <w:rStyle w:val="Hyperlink"/>
          </w:rPr>
          <w:t>Introductory Note</w:t>
        </w:r>
      </w:hyperlink>
    </w:p>
    <w:p w14:paraId="38AB42C7" w14:textId="77777777" w:rsidR="00AC646C" w:rsidRDefault="00D7327C" w:rsidP="00A73FC9">
      <w:pPr>
        <w:pStyle w:val="ToC"/>
      </w:pPr>
      <w:hyperlink w:anchor="a30_37" w:history="1">
        <w:r w:rsidR="00770AB7" w:rsidRPr="00AC646C">
          <w:rPr>
            <w:rStyle w:val="Hyperlink"/>
          </w:rPr>
          <w:t>30:37</w:t>
        </w:r>
      </w:hyperlink>
      <w:r w:rsidR="00AB477F">
        <w:tab/>
        <w:t xml:space="preserve">Damages — </w:t>
      </w:r>
      <w:r w:rsidR="00770AB7" w:rsidRPr="00AC646C">
        <w:t>Introduction</w:t>
      </w:r>
    </w:p>
    <w:p w14:paraId="1D2D9ABF" w14:textId="77777777" w:rsidR="00AC646C" w:rsidRDefault="00D7327C" w:rsidP="00A73FC9">
      <w:pPr>
        <w:pStyle w:val="ToC"/>
      </w:pPr>
      <w:hyperlink w:anchor="a30_38" w:history="1">
        <w:r w:rsidR="00770AB7" w:rsidRPr="00AC646C">
          <w:rPr>
            <w:rStyle w:val="Hyperlink"/>
          </w:rPr>
          <w:t>30:38</w:t>
        </w:r>
      </w:hyperlink>
      <w:r w:rsidR="00AB477F">
        <w:tab/>
        <w:t xml:space="preserve">Damages — </w:t>
      </w:r>
      <w:r w:rsidR="00770AB7" w:rsidRPr="00AC646C">
        <w:t>General</w:t>
      </w:r>
    </w:p>
    <w:p w14:paraId="79964BAE" w14:textId="77777777" w:rsidR="00AC646C" w:rsidRDefault="00D7327C" w:rsidP="00A73FC9">
      <w:pPr>
        <w:pStyle w:val="ToC"/>
      </w:pPr>
      <w:hyperlink w:anchor="a30_39" w:history="1">
        <w:r w:rsidR="00770AB7" w:rsidRPr="00AC646C">
          <w:rPr>
            <w:rStyle w:val="Hyperlink"/>
          </w:rPr>
          <w:t>30:39</w:t>
        </w:r>
      </w:hyperlink>
      <w:r w:rsidR="00AB477F">
        <w:tab/>
        <w:t xml:space="preserve">Damages — </w:t>
      </w:r>
      <w:r w:rsidR="00770AB7" w:rsidRPr="00AC646C">
        <w:t>Special</w:t>
      </w:r>
    </w:p>
    <w:p w14:paraId="15E23831" w14:textId="77777777" w:rsidR="00AC646C" w:rsidRDefault="00D7327C" w:rsidP="00A73FC9">
      <w:pPr>
        <w:pStyle w:val="ToC"/>
      </w:pPr>
      <w:hyperlink w:anchor="a30_40" w:history="1">
        <w:r w:rsidR="00770AB7" w:rsidRPr="00AC646C">
          <w:rPr>
            <w:rStyle w:val="Hyperlink"/>
          </w:rPr>
          <w:t>30:40</w:t>
        </w:r>
      </w:hyperlink>
      <w:r w:rsidR="00AB477F">
        <w:tab/>
        <w:t xml:space="preserve">Damages — </w:t>
      </w:r>
      <w:r w:rsidR="00770AB7" w:rsidRPr="00AC646C">
        <w:t>Liquidated</w:t>
      </w:r>
    </w:p>
    <w:p w14:paraId="22926B85" w14:textId="77777777" w:rsidR="00AC646C" w:rsidRDefault="00D7327C" w:rsidP="00A73FC9">
      <w:pPr>
        <w:pStyle w:val="ToC"/>
      </w:pPr>
      <w:hyperlink w:anchor="a30_41" w:history="1">
        <w:r w:rsidR="00770AB7" w:rsidRPr="00AC646C">
          <w:rPr>
            <w:rStyle w:val="Hyperlink"/>
          </w:rPr>
          <w:t>30:41</w:t>
        </w:r>
      </w:hyperlink>
      <w:r w:rsidR="00AB477F">
        <w:tab/>
        <w:t xml:space="preserve">Damages — </w:t>
      </w:r>
      <w:r w:rsidR="00770AB7" w:rsidRPr="00AC646C">
        <w:t>Nominal</w:t>
      </w:r>
    </w:p>
    <w:p w14:paraId="66339E3D" w14:textId="77777777" w:rsidR="00AC646C" w:rsidRDefault="00D7327C" w:rsidP="00A73FC9">
      <w:pPr>
        <w:pStyle w:val="ToC"/>
      </w:pPr>
      <w:hyperlink w:anchor="a30_42" w:history="1">
        <w:r w:rsidR="00770AB7" w:rsidRPr="00AC646C">
          <w:rPr>
            <w:rStyle w:val="Hyperlink"/>
          </w:rPr>
          <w:t>30:42</w:t>
        </w:r>
      </w:hyperlink>
      <w:r w:rsidR="00AB477F">
        <w:tab/>
        <w:t xml:space="preserve">Damages — </w:t>
      </w:r>
      <w:r w:rsidR="00770AB7" w:rsidRPr="00AC646C">
        <w:t xml:space="preserve">Purchaser’s </w:t>
      </w:r>
      <w:r w:rsidR="00C70560">
        <w:t>for</w:t>
      </w:r>
      <w:r w:rsidR="00770AB7" w:rsidRPr="00AC646C">
        <w:t xml:space="preserve"> Breach </w:t>
      </w:r>
      <w:r w:rsidR="00770AB7">
        <w:t xml:space="preserve">of </w:t>
      </w:r>
      <w:r w:rsidR="00770AB7" w:rsidRPr="00AC646C">
        <w:t>Land Purchase Contract</w:t>
      </w:r>
    </w:p>
    <w:p w14:paraId="654A6A97" w14:textId="77777777" w:rsidR="00AC646C" w:rsidRDefault="00D7327C" w:rsidP="00A73FC9">
      <w:pPr>
        <w:pStyle w:val="ToC"/>
      </w:pPr>
      <w:hyperlink w:anchor="a30_43" w:history="1">
        <w:r w:rsidR="00770AB7" w:rsidRPr="00AC646C">
          <w:rPr>
            <w:rStyle w:val="Hyperlink"/>
          </w:rPr>
          <w:t>30:43</w:t>
        </w:r>
      </w:hyperlink>
      <w:r w:rsidR="00AB477F">
        <w:t xml:space="preserve"> </w:t>
      </w:r>
      <w:r w:rsidR="00AB477F">
        <w:tab/>
        <w:t xml:space="preserve">Damages — </w:t>
      </w:r>
      <w:r w:rsidR="00770AB7" w:rsidRPr="00AC646C">
        <w:t xml:space="preserve">Seller’s </w:t>
      </w:r>
      <w:r w:rsidR="00C70560">
        <w:t>for</w:t>
      </w:r>
      <w:r w:rsidR="00770AB7" w:rsidRPr="00AC646C">
        <w:t xml:space="preserve"> Breach </w:t>
      </w:r>
      <w:r w:rsidR="00770AB7">
        <w:t xml:space="preserve">of </w:t>
      </w:r>
      <w:r w:rsidR="00770AB7" w:rsidRPr="00AC646C">
        <w:t>Land Purchase Contract</w:t>
      </w:r>
    </w:p>
    <w:p w14:paraId="72E81A4A" w14:textId="77777777" w:rsidR="00AC646C" w:rsidRDefault="00D7327C" w:rsidP="00A73FC9">
      <w:pPr>
        <w:pStyle w:val="ToC"/>
      </w:pPr>
      <w:hyperlink w:anchor="a30_44" w:history="1">
        <w:r w:rsidR="00770AB7" w:rsidRPr="00AC646C">
          <w:rPr>
            <w:rStyle w:val="Hyperlink"/>
          </w:rPr>
          <w:t>30:44</w:t>
        </w:r>
      </w:hyperlink>
      <w:r w:rsidR="00AB477F">
        <w:t xml:space="preserve"> </w:t>
      </w:r>
      <w:r w:rsidR="00AB477F">
        <w:tab/>
        <w:t xml:space="preserve">Damages — </w:t>
      </w:r>
      <w:r w:rsidR="00770AB7" w:rsidRPr="00AC646C">
        <w:t xml:space="preserve">Employer’s </w:t>
      </w:r>
      <w:r w:rsidR="00C70560">
        <w:t>for</w:t>
      </w:r>
      <w:r w:rsidR="00770AB7" w:rsidRPr="00AC646C">
        <w:t xml:space="preserve"> Employee’s Breach </w:t>
      </w:r>
      <w:r w:rsidR="00770AB7">
        <w:t xml:space="preserve">of </w:t>
      </w:r>
      <w:r w:rsidR="00770AB7" w:rsidRPr="00AC646C">
        <w:t>Personal Service Contract</w:t>
      </w:r>
    </w:p>
    <w:p w14:paraId="4D457740" w14:textId="77777777" w:rsidR="00AC646C" w:rsidRDefault="00D7327C" w:rsidP="00A73FC9">
      <w:pPr>
        <w:pStyle w:val="ToC"/>
      </w:pPr>
      <w:hyperlink w:anchor="a30_45" w:history="1">
        <w:r w:rsidR="00770AB7" w:rsidRPr="00AC646C">
          <w:rPr>
            <w:rStyle w:val="Hyperlink"/>
          </w:rPr>
          <w:t>30:45</w:t>
        </w:r>
      </w:hyperlink>
      <w:r w:rsidR="00AB477F">
        <w:t xml:space="preserve"> </w:t>
      </w:r>
      <w:r w:rsidR="00AB477F">
        <w:tab/>
        <w:t xml:space="preserve">Damages — </w:t>
      </w:r>
      <w:r w:rsidR="00770AB7" w:rsidRPr="00AC646C">
        <w:t xml:space="preserve">Builder’s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Owner Prior </w:t>
      </w:r>
      <w:r w:rsidR="00C70560">
        <w:t xml:space="preserve">to </w:t>
      </w:r>
      <w:r w:rsidR="00770AB7" w:rsidRPr="00AC646C">
        <w:t>Completion</w:t>
      </w:r>
    </w:p>
    <w:p w14:paraId="7CFCC184" w14:textId="77777777" w:rsidR="00AC646C" w:rsidRDefault="00D7327C" w:rsidP="00A73FC9">
      <w:pPr>
        <w:pStyle w:val="ToC"/>
      </w:pPr>
      <w:hyperlink w:anchor="a30_46" w:history="1">
        <w:r w:rsidR="00770AB7" w:rsidRPr="00AC646C">
          <w:rPr>
            <w:rStyle w:val="Hyperlink"/>
          </w:rPr>
          <w:t>30:46</w:t>
        </w:r>
      </w:hyperlink>
      <w:r w:rsidR="00AB477F">
        <w:tab/>
        <w:t xml:space="preserve">Damages — </w:t>
      </w:r>
      <w:r w:rsidR="00770AB7" w:rsidRPr="00AC646C">
        <w:t xml:space="preserve">Builder’s </w:t>
      </w:r>
      <w:r w:rsidR="00C70560">
        <w:t>for</w:t>
      </w:r>
      <w:r w:rsidR="00770AB7" w:rsidRPr="00AC646C">
        <w:t xml:space="preserve"> Substantial Though Not Complete Performance </w:t>
      </w:r>
      <w:r w:rsidR="00770AB7">
        <w:t xml:space="preserve">of </w:t>
      </w:r>
      <w:r w:rsidR="00770AB7" w:rsidRPr="00AC646C">
        <w:t>Construction Contract</w:t>
      </w:r>
    </w:p>
    <w:p w14:paraId="0798DB0B" w14:textId="6FB56603" w:rsidR="00AC646C" w:rsidRDefault="00D7327C" w:rsidP="00A73FC9">
      <w:pPr>
        <w:pStyle w:val="ToC"/>
      </w:pPr>
      <w:hyperlink w:anchor="a30_47" w:history="1">
        <w:r w:rsidR="00770AB7" w:rsidRPr="00AC646C">
          <w:rPr>
            <w:rStyle w:val="Hyperlink"/>
          </w:rPr>
          <w:t>30:47</w:t>
        </w:r>
      </w:hyperlink>
      <w:r w:rsidR="00AB477F">
        <w:tab/>
        <w:t xml:space="preserve">Definition — </w:t>
      </w:r>
      <w:r w:rsidR="00770AB7" w:rsidRPr="00AC646C">
        <w:t>Contract Price Agreed Upon</w:t>
      </w:r>
    </w:p>
    <w:p w14:paraId="0E17F2AA" w14:textId="28A878ED" w:rsidR="00AC646C" w:rsidRDefault="00D7327C" w:rsidP="00A73FC9">
      <w:pPr>
        <w:pStyle w:val="ToC"/>
      </w:pPr>
      <w:hyperlink w:anchor="a30_48" w:history="1">
        <w:r w:rsidR="00770AB7" w:rsidRPr="00AC646C">
          <w:rPr>
            <w:rStyle w:val="Hyperlink"/>
          </w:rPr>
          <w:t>30:48</w:t>
        </w:r>
      </w:hyperlink>
      <w:r w:rsidR="00AB477F">
        <w:tab/>
        <w:t xml:space="preserve">Damages — </w:t>
      </w:r>
      <w:r w:rsidR="00770AB7" w:rsidRPr="00AC646C">
        <w:t xml:space="preserve">Builder’s </w:t>
      </w:r>
      <w:r w:rsidR="00C70560">
        <w:t>for</w:t>
      </w:r>
      <w:r w:rsidR="00AB477F">
        <w:t xml:space="preserve"> Owner’s Partial Breach — </w:t>
      </w:r>
      <w:r w:rsidR="00770AB7" w:rsidRPr="00AC646C">
        <w:t xml:space="preserve">Failure </w:t>
      </w:r>
      <w:r w:rsidR="00C70560">
        <w:t xml:space="preserve">to </w:t>
      </w:r>
      <w:r w:rsidR="00770AB7" w:rsidRPr="00AC646C">
        <w:t>Make Installment Payment</w:t>
      </w:r>
    </w:p>
    <w:p w14:paraId="47C52A0A" w14:textId="7DED6FAD" w:rsidR="00AC646C" w:rsidRDefault="00D7327C" w:rsidP="00A73FC9">
      <w:pPr>
        <w:pStyle w:val="ToC"/>
      </w:pPr>
      <w:hyperlink w:anchor="a30_49" w:history="1">
        <w:r w:rsidR="00770AB7" w:rsidRPr="00AC646C">
          <w:rPr>
            <w:rStyle w:val="Hyperlink"/>
          </w:rPr>
          <w:t>30:49</w:t>
        </w:r>
      </w:hyperlink>
      <w:r w:rsidR="00AB477F">
        <w:tab/>
        <w:t xml:space="preserve">Damages — </w:t>
      </w:r>
      <w:r w:rsidR="00770AB7" w:rsidRPr="00AC646C">
        <w:t xml:space="preserve">Owner’s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Builder</w:t>
      </w:r>
    </w:p>
    <w:p w14:paraId="71EAAA01" w14:textId="39BA702A" w:rsidR="00AC646C" w:rsidRDefault="00D7327C" w:rsidP="00A73FC9">
      <w:pPr>
        <w:pStyle w:val="ToC"/>
      </w:pPr>
      <w:hyperlink w:anchor="a30_50" w:history="1">
        <w:r w:rsidR="00770AB7" w:rsidRPr="00AC646C">
          <w:rPr>
            <w:rStyle w:val="Hyperlink"/>
          </w:rPr>
          <w:t>30:50</w:t>
        </w:r>
      </w:hyperlink>
      <w:r w:rsidR="00AB477F">
        <w:tab/>
        <w:t xml:space="preserve">Damages — </w:t>
      </w:r>
      <w:r w:rsidR="00770AB7" w:rsidRPr="00AC646C">
        <w:t xml:space="preserve">Owner’s </w:t>
      </w:r>
      <w:r w:rsidR="00C70560">
        <w:t>for</w:t>
      </w:r>
      <w:r w:rsidR="00770AB7" w:rsidRPr="00AC646C">
        <w:t xml:space="preserve"> Delay </w:t>
      </w:r>
      <w:r w:rsidR="00770AB7">
        <w:t xml:space="preserve">in </w:t>
      </w:r>
      <w:r w:rsidR="00770AB7" w:rsidRPr="00AC646C">
        <w:t xml:space="preserve">Completion </w:t>
      </w:r>
      <w:r w:rsidR="00770AB7">
        <w:t xml:space="preserve">of </w:t>
      </w:r>
      <w:r w:rsidR="00770AB7" w:rsidRPr="00AC646C">
        <w:t>Construction Contract</w:t>
      </w:r>
    </w:p>
    <w:p w14:paraId="5288E98A" w14:textId="4F392167" w:rsidR="00AC646C" w:rsidRDefault="00D7327C" w:rsidP="00A73FC9">
      <w:pPr>
        <w:pStyle w:val="ToC"/>
      </w:pPr>
      <w:hyperlink w:anchor="a30_51" w:history="1">
        <w:r w:rsidR="00770AB7" w:rsidRPr="00AC646C">
          <w:rPr>
            <w:rStyle w:val="Hyperlink"/>
          </w:rPr>
          <w:t>30:51</w:t>
        </w:r>
      </w:hyperlink>
      <w:r w:rsidR="00AB477F">
        <w:tab/>
        <w:t xml:space="preserve">Damages — </w:t>
      </w:r>
      <w:r w:rsidR="00770AB7" w:rsidRPr="00AC646C">
        <w:t xml:space="preserve">Broker’s </w:t>
      </w:r>
      <w:r w:rsidR="00C70560">
        <w:t>for</w:t>
      </w:r>
      <w:r w:rsidR="00770AB7" w:rsidRPr="00AC646C">
        <w:t xml:space="preserve"> Breach </w:t>
      </w:r>
      <w:r w:rsidR="00770AB7">
        <w:t xml:space="preserve">of </w:t>
      </w:r>
      <w:r w:rsidR="00770AB7" w:rsidRPr="00AC646C">
        <w:t>Real Estate Commission Contract</w:t>
      </w:r>
    </w:p>
    <w:p w14:paraId="697432AA" w14:textId="2330F979" w:rsidR="00AC646C" w:rsidRDefault="00D7327C" w:rsidP="00A73FC9">
      <w:pPr>
        <w:pStyle w:val="ToC"/>
      </w:pPr>
      <w:hyperlink w:anchor="a30_52" w:history="1">
        <w:r w:rsidR="00770AB7" w:rsidRPr="00AC646C">
          <w:rPr>
            <w:rStyle w:val="Hyperlink"/>
          </w:rPr>
          <w:t>30:52</w:t>
        </w:r>
      </w:hyperlink>
      <w:r w:rsidR="00AB477F">
        <w:tab/>
        <w:t xml:space="preserve">Damages — </w:t>
      </w:r>
      <w:r w:rsidR="00770AB7" w:rsidRPr="00AC646C">
        <w:t xml:space="preserve">Owner’s </w:t>
      </w:r>
      <w:r w:rsidR="00C70560">
        <w:t>for</w:t>
      </w:r>
      <w:r w:rsidR="00770AB7" w:rsidRPr="00AC646C">
        <w:t xml:space="preserve"> Wrongful Deprivation </w:t>
      </w:r>
      <w:r w:rsidR="00770AB7">
        <w:t xml:space="preserve">of </w:t>
      </w:r>
      <w:r w:rsidR="00770AB7" w:rsidRPr="00AC646C">
        <w:t xml:space="preserve">Use </w:t>
      </w:r>
      <w:r w:rsidR="00770AB7">
        <w:t xml:space="preserve">of a </w:t>
      </w:r>
      <w:r w:rsidR="00770AB7" w:rsidRPr="00AC646C">
        <w:t>Chattel</w:t>
      </w:r>
    </w:p>
    <w:p w14:paraId="29C8944D" w14:textId="77777777" w:rsidR="00AC646C" w:rsidRDefault="00D7327C" w:rsidP="00A73FC9">
      <w:pPr>
        <w:pStyle w:val="ToC"/>
      </w:pPr>
      <w:hyperlink w:anchor="a30_53" w:history="1">
        <w:r w:rsidR="00770AB7" w:rsidRPr="00AC646C">
          <w:rPr>
            <w:rStyle w:val="Hyperlink"/>
          </w:rPr>
          <w:t>30:53</w:t>
        </w:r>
      </w:hyperlink>
      <w:r w:rsidR="00AB477F">
        <w:tab/>
        <w:t xml:space="preserve">Damages — </w:t>
      </w:r>
      <w:r w:rsidR="00770AB7" w:rsidRPr="00AC646C">
        <w:t xml:space="preserve">Owner’s </w:t>
      </w:r>
      <w:r w:rsidR="00C70560">
        <w:t>for</w:t>
      </w:r>
      <w:r w:rsidR="00770AB7" w:rsidRPr="00AC646C">
        <w:t xml:space="preserve"> Breach </w:t>
      </w:r>
      <w:r w:rsidR="00770AB7">
        <w:t xml:space="preserve">of a </w:t>
      </w:r>
      <w:r w:rsidR="00770AB7" w:rsidRPr="00AC646C">
        <w:t>Covenant Against Encumbrances</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77777777" w:rsidR="002B5FCF" w:rsidRDefault="00D7327C" w:rsidP="002B5FCF">
      <w:pPr>
        <w:pStyle w:val="ToC"/>
      </w:pPr>
      <w:hyperlink w:anchor="a30_54" w:history="1">
        <w:r w:rsidR="00770AB7" w:rsidRPr="00AC646C">
          <w:rPr>
            <w:rStyle w:val="Hyperlink"/>
          </w:rPr>
          <w:t>30:54</w:t>
        </w:r>
      </w:hyperlink>
      <w:r w:rsidR="00AB477F">
        <w:t xml:space="preserve"> </w:t>
      </w:r>
      <w:r w:rsidR="00AB477F">
        <w:tab/>
        <w:t xml:space="preserve">Claim — </w:t>
      </w:r>
      <w:r w:rsidR="00770AB7" w:rsidRPr="00AC646C">
        <w:t xml:space="preserve">Building Contractor’s Breach </w:t>
      </w:r>
      <w:r w:rsidR="00770AB7">
        <w:t xml:space="preserve">of </w:t>
      </w:r>
      <w:r w:rsidR="00AB477F">
        <w:t xml:space="preserve">Implied Warranty — </w:t>
      </w:r>
      <w:r w:rsidR="00770AB7" w:rsidRPr="00AC646C">
        <w:t xml:space="preserve">Elements </w:t>
      </w:r>
      <w:r w:rsidR="00770AB7">
        <w:t xml:space="preserve">of </w:t>
      </w:r>
      <w:r w:rsidR="00770AB7" w:rsidRPr="00AC646C">
        <w:t>Liability</w:t>
      </w:r>
    </w:p>
    <w:p w14:paraId="178A506B" w14:textId="77777777" w:rsidR="00AC646C" w:rsidRDefault="00D7327C" w:rsidP="002B5FCF">
      <w:pPr>
        <w:pStyle w:val="ToC"/>
      </w:pPr>
      <w:hyperlink w:anchor="a30_55" w:history="1">
        <w:r w:rsidR="00770AB7" w:rsidRPr="00AC646C">
          <w:rPr>
            <w:rStyle w:val="Hyperlink"/>
          </w:rPr>
          <w:t>30:55</w:t>
        </w:r>
      </w:hyperlink>
      <w:r w:rsidR="00AB477F">
        <w:tab/>
        <w:t xml:space="preserve">Definition — </w:t>
      </w:r>
      <w:r w:rsidR="00770AB7" w:rsidRPr="00AC646C">
        <w:t>Building Contractor’s Implied Warranties</w:t>
      </w:r>
    </w:p>
    <w:p w14:paraId="303BC84D" w14:textId="77777777" w:rsidR="00AC646C" w:rsidRDefault="00D7327C" w:rsidP="002B5FCF">
      <w:pPr>
        <w:pStyle w:val="ToC"/>
      </w:pPr>
      <w:hyperlink w:anchor="a30_56" w:history="1">
        <w:r w:rsidR="00770AB7" w:rsidRPr="00AC646C">
          <w:rPr>
            <w:rStyle w:val="Hyperlink"/>
          </w:rPr>
          <w:t>30:56</w:t>
        </w:r>
      </w:hyperlink>
      <w:r w:rsidR="00AB477F">
        <w:tab/>
        <w:t xml:space="preserve">Claim — Real Estate Commission — </w:t>
      </w:r>
      <w:r w:rsidR="00770AB7" w:rsidRPr="00AC646C">
        <w:t xml:space="preserve">Elements </w:t>
      </w:r>
      <w:r w:rsidR="00770AB7">
        <w:t xml:space="preserve">of </w:t>
      </w:r>
      <w:r w:rsidR="00770AB7" w:rsidRPr="00AC646C">
        <w:t>Liability</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1" w:name="IntroNote"/>
      <w:bookmarkEnd w:id="1"/>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with the U.C.C.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lastRenderedPageBreak/>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2" w:name="a30_01"/>
      <w:bookmarkEnd w:id="2"/>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7777777"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Stice v. Peterson</w:t>
      </w:r>
      <w:r w:rsidRPr="008F3AE7">
        <w:rPr>
          <w:rFonts w:eastAsia="Times New Roman"/>
          <w:sz w:val="24"/>
          <w:szCs w:val="24"/>
        </w:rPr>
        <w:t>, 144 Colo. 219, 355 P.2d 948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Indus. Prods. Int’l, Inc. v. Emo Trans, Inc.</w:t>
      </w:r>
      <w:r w:rsidRPr="008F3AE7">
        <w:rPr>
          <w:rFonts w:eastAsia="Times New Roman"/>
          <w:sz w:val="24"/>
          <w:szCs w:val="24"/>
        </w:rPr>
        <w:t xml:space="preserve">, 962 P.2d 983 (Colo. App. 1997). </w:t>
      </w:r>
    </w:p>
    <w:p w14:paraId="4B1C4FF4"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r w:rsidRPr="008F3AE7">
        <w:rPr>
          <w:rFonts w:eastAsia="Times New Roman"/>
          <w:b/>
          <w:sz w:val="24"/>
          <w:szCs w:val="24"/>
        </w:rPr>
        <w:t>Sunshine v. M. R. Mansfield Realty, Inc.</w:t>
      </w:r>
      <w:r w:rsidRPr="008F3AE7">
        <w:rPr>
          <w:rFonts w:eastAsia="Times New Roman"/>
          <w:sz w:val="24"/>
          <w:szCs w:val="24"/>
        </w:rPr>
        <w:t xml:space="preserve">, 195 Colo. 95, 98, 575 P.2d 847, 849 (1978) (citation omitted). Moreover, when the parties to a bargain, sufficiently defined to be a contract, have not agreed to an essential term, the court may supply a term that is reasonable under the circumstances. </w:t>
      </w:r>
      <w:r w:rsidRPr="008F3AE7">
        <w:rPr>
          <w:rFonts w:eastAsia="Times New Roman"/>
          <w:b/>
          <w:sz w:val="24"/>
          <w:szCs w:val="24"/>
        </w:rPr>
        <w:t>Costello v. Cook</w:t>
      </w:r>
      <w:r w:rsidRPr="008F3AE7">
        <w:rPr>
          <w:rFonts w:eastAsia="Times New Roman"/>
          <w:sz w:val="24"/>
          <w:szCs w:val="24"/>
        </w:rPr>
        <w:t>,</w:t>
      </w:r>
      <w:r w:rsidRPr="008F3AE7">
        <w:rPr>
          <w:rFonts w:eastAsia="Times New Roman"/>
          <w:b/>
          <w:sz w:val="24"/>
          <w:szCs w:val="24"/>
        </w:rPr>
        <w:t xml:space="preserve"> </w:t>
      </w:r>
      <w:r w:rsidRPr="008F3AE7">
        <w:rPr>
          <w:rFonts w:eastAsia="Times New Roman"/>
          <w:sz w:val="24"/>
          <w:szCs w:val="24"/>
        </w:rPr>
        <w:t xml:space="preserve">852 P.2d 1330 (Colo. App. 1993). Also, a contract will not fail for indefiniteness if missing terms can be supplied by law, presumption, or custom. </w:t>
      </w:r>
      <w:r w:rsidRPr="008F3AE7">
        <w:rPr>
          <w:rFonts w:eastAsia="Times New Roman"/>
          <w:b/>
          <w:sz w:val="24"/>
          <w:szCs w:val="24"/>
        </w:rPr>
        <w:t>Winston Fin. Group, Inc. v. Fults Mgmt. Inc.</w:t>
      </w:r>
      <w:r w:rsidRPr="008F3AE7">
        <w:rPr>
          <w:rFonts w:eastAsia="Times New Roman"/>
          <w:sz w:val="24"/>
          <w:szCs w:val="24"/>
        </w:rPr>
        <w:t xml:space="preserve">, 872 P.2d 1356 (Colo. App. 1994). And, a contract is not fatally vague or indefinite simply because the parties disagree as to its meaning. </w:t>
      </w:r>
      <w:r w:rsidRPr="008F3AE7">
        <w:rPr>
          <w:rFonts w:eastAsia="Times New Roman"/>
          <w:b/>
          <w:sz w:val="24"/>
          <w:szCs w:val="24"/>
        </w:rPr>
        <w:t>Hauser v. Rose Health Care Sys.</w:t>
      </w:r>
      <w:r w:rsidRPr="008F3AE7">
        <w:rPr>
          <w:rFonts w:eastAsia="Times New Roman"/>
          <w:sz w:val="24"/>
          <w:szCs w:val="24"/>
        </w:rPr>
        <w:t xml:space="preserve">, 857 P.2d 524 (Colo. App. 1993);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In re May</w:t>
      </w:r>
      <w:r w:rsidRPr="008F3AE7">
        <w:rPr>
          <w:rFonts w:eastAsia="Times New Roman"/>
          <w:sz w:val="24"/>
          <w:szCs w:val="24"/>
        </w:rPr>
        <w:t xml:space="preserve">, 756 P.2d 362, 369 (Colo. 1988) (“The fact that the parties have different opinions about the interpretation of the contract does not of itself create an ambiguity.”). However, where a mistake is made by one party on the basic nature of a material contract provision, a resulting unconscionable contract may be avoided. </w:t>
      </w:r>
      <w:r w:rsidRPr="008F3AE7">
        <w:rPr>
          <w:rFonts w:eastAsia="Times New Roman"/>
          <w:b/>
          <w:sz w:val="24"/>
          <w:szCs w:val="24"/>
        </w:rPr>
        <w:t xml:space="preserve">Sumerel v. Goodyear </w:t>
      </w:r>
      <w:r w:rsidRPr="008F3AE7">
        <w:rPr>
          <w:rFonts w:eastAsia="Times New Roman"/>
          <w:b/>
          <w:sz w:val="24"/>
          <w:szCs w:val="24"/>
        </w:rPr>
        <w:lastRenderedPageBreak/>
        <w:t>Tire &amp; Rubber Co.</w:t>
      </w:r>
      <w:r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8F3AE7">
        <w:rPr>
          <w:rFonts w:eastAsia="Times New Roman"/>
          <w:smallCaps/>
          <w:sz w:val="24"/>
          <w:szCs w:val="24"/>
        </w:rPr>
        <w:t>Restatement (Second) of Contracts</w:t>
      </w:r>
      <w:r w:rsidRPr="008F3AE7">
        <w:rPr>
          <w:rFonts w:eastAsia="Times New Roman"/>
          <w:sz w:val="24"/>
          <w:szCs w:val="24"/>
        </w:rPr>
        <w:t xml:space="preserve"> §§ 153-54 (1981)).</w:t>
      </w:r>
    </w:p>
    <w:p w14:paraId="18342E1E" w14:textId="77777777" w:rsidR="008F3AE7" w:rsidRPr="008F3AE7" w:rsidRDefault="008F3AE7" w:rsidP="008F3AE7">
      <w:pPr>
        <w:spacing w:after="240"/>
        <w:ind w:firstLine="720"/>
        <w:rPr>
          <w:rFonts w:eastAsia="Times New Roman"/>
          <w:b/>
          <w:sz w:val="24"/>
          <w:szCs w:val="24"/>
        </w:rPr>
      </w:pPr>
      <w:r w:rsidRPr="008F3AE7">
        <w:rPr>
          <w:rFonts w:eastAsia="Times New Roman"/>
          <w:sz w:val="24"/>
          <w:szCs w:val="24"/>
        </w:rPr>
        <w:t xml:space="preserve">3. Generally, there can be no binding contract if further negotiations are required to come to an agreement as to important and essential terms of the contract. </w:t>
      </w:r>
      <w:r w:rsidRPr="008F3AE7">
        <w:rPr>
          <w:rFonts w:eastAsia="Times New Roman"/>
          <w:b/>
          <w:sz w:val="24"/>
          <w:szCs w:val="24"/>
        </w:rPr>
        <w:t>Sumerel</w:t>
      </w:r>
      <w:r w:rsidRPr="008F3AE7">
        <w:rPr>
          <w:rFonts w:eastAsia="Times New Roman"/>
          <w:sz w:val="24"/>
          <w:szCs w:val="24"/>
        </w:rPr>
        <w:t xml:space="preserve">, 232 P.3d at 136-37 (discussion to resolve dispute did not include offer sufficiently definite to be capable of acceptance); </w:t>
      </w:r>
      <w:r w:rsidRPr="008F3AE7">
        <w:rPr>
          <w:rFonts w:eastAsia="Times New Roman"/>
          <w:b/>
          <w:sz w:val="24"/>
          <w:szCs w:val="24"/>
        </w:rPr>
        <w:t>DiFrancesco v. Particle Interconnect Corp.</w:t>
      </w:r>
      <w:r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7E77A33F" w:rsidR="008F3AE7" w:rsidRDefault="008F3AE7" w:rsidP="008F3AE7">
      <w:pPr>
        <w:spacing w:after="240"/>
        <w:ind w:firstLine="720"/>
        <w:rPr>
          <w:rFonts w:eastAsia="Times New Roman"/>
          <w:sz w:val="24"/>
          <w:szCs w:val="24"/>
        </w:rPr>
      </w:pPr>
      <w:r w:rsidRPr="008F3AE7">
        <w:rPr>
          <w:rFonts w:eastAsia="Times New Roman"/>
          <w:sz w:val="24"/>
          <w:szCs w:val="24"/>
        </w:rPr>
        <w:t xml:space="preserve">4. Where extrinsic evidence shows that parties did not intend the contract to be a binding agreement, and where they have previously agreed that their written promises would not bind them, such contract is a mere sham and lacks any legal effect. </w:t>
      </w:r>
      <w:r w:rsidRPr="008F3AE7">
        <w:rPr>
          <w:rFonts w:eastAsia="Times New Roman"/>
          <w:b/>
          <w:sz w:val="24"/>
          <w:szCs w:val="24"/>
        </w:rPr>
        <w:t>Landmark Towers Ass’n, Inc. v. UMB Bank, N.A</w:t>
      </w:r>
      <w:r w:rsidRPr="008F3AE7">
        <w:rPr>
          <w:rFonts w:eastAsia="Times New Roman"/>
          <w:sz w:val="24"/>
          <w:szCs w:val="24"/>
        </w:rPr>
        <w:t>, 2016 COA 61, ¶ 63</w:t>
      </w:r>
      <w:r w:rsidR="00676566">
        <w:rPr>
          <w:rFonts w:eastAsia="Times New Roman"/>
          <w:sz w:val="24"/>
          <w:szCs w:val="24"/>
        </w:rPr>
        <w:t>, 436 P.3d 1126</w:t>
      </w:r>
      <w:r w:rsidRPr="008F3AE7">
        <w:rPr>
          <w:rFonts w:eastAsia="Times New Roman"/>
          <w:sz w:val="24"/>
          <w:szCs w:val="24"/>
        </w:rPr>
        <w:t xml:space="preserve"> (organizers options to purchase property to make them eligible voters were void and unenforceable sham agreements)</w:t>
      </w:r>
      <w:r w:rsidR="00A575BC">
        <w:rPr>
          <w:rFonts w:eastAsia="Times New Roman"/>
          <w:sz w:val="24"/>
          <w:szCs w:val="24"/>
        </w:rPr>
        <w:t xml:space="preserve">, </w:t>
      </w:r>
      <w:r w:rsidR="00A575BC" w:rsidRPr="00A575BC">
        <w:rPr>
          <w:rFonts w:eastAsia="Times New Roman"/>
          <w:i/>
          <w:sz w:val="24"/>
          <w:szCs w:val="24"/>
        </w:rPr>
        <w:t>rev’d on other grounds</w:t>
      </w:r>
      <w:r w:rsidR="00A575BC">
        <w:rPr>
          <w:rFonts w:eastAsia="Times New Roman"/>
          <w:sz w:val="24"/>
          <w:szCs w:val="24"/>
        </w:rPr>
        <w:t>, 2017 CO 107, 408 P.3d 836</w:t>
      </w:r>
      <w:r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3" w:name="a30_02"/>
      <w:bookmarkEnd w:id="3"/>
      <w:r>
        <w:rPr>
          <w:rFonts w:eastAsia="Times New Roman"/>
          <w:b/>
          <w:sz w:val="24"/>
          <w:szCs w:val="24"/>
        </w:rPr>
        <w:lastRenderedPageBreak/>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1ACCA3C4"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A contract does not have to be in writing. If written, it does not have to be signed by either party or dated. A contract may be partly oral and partly in writing</w:t>
      </w:r>
      <w:r w:rsidR="00474A7E">
        <w:rPr>
          <w:rFonts w:eastAsia="Times New Roman"/>
          <w:b/>
          <w:sz w:val="24"/>
          <w:szCs w:val="24"/>
        </w:rPr>
        <w:t>.</w:t>
      </w:r>
      <w:r w:rsidRPr="00EF5096">
        <w:rPr>
          <w:rFonts w:eastAsia="Times New Roman"/>
          <w:b/>
          <w:sz w:val="24"/>
          <w:szCs w:val="24"/>
        </w:rPr>
        <w:t xml:space="preserve">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77777777" w:rsidR="00EF5096" w:rsidRDefault="00EF5096" w:rsidP="00EF5096">
      <w:pPr>
        <w:spacing w:after="240"/>
        <w:ind w:firstLine="720"/>
        <w:rPr>
          <w:rFonts w:eastAsia="Times New Roman"/>
          <w:sz w:val="24"/>
          <w:szCs w:val="24"/>
        </w:rPr>
      </w:pPr>
      <w:r w:rsidRPr="00EF5096">
        <w:rPr>
          <w:rFonts w:eastAsia="Times New Roman"/>
          <w:sz w:val="24"/>
          <w:szCs w:val="24"/>
        </w:rPr>
        <w:t xml:space="preserve">This instruction is supported by </w:t>
      </w:r>
      <w:r w:rsidRPr="00EF5096">
        <w:rPr>
          <w:rFonts w:eastAsia="Times New Roman"/>
          <w:b/>
          <w:sz w:val="24"/>
          <w:szCs w:val="24"/>
        </w:rPr>
        <w:t>E-21 Engineering v. Steve Stock &amp; Associates, Inc.</w:t>
      </w:r>
      <w:r w:rsidRPr="00EF5096">
        <w:rPr>
          <w:rFonts w:eastAsia="Times New Roman"/>
          <w:sz w:val="24"/>
          <w:szCs w:val="24"/>
        </w:rPr>
        <w:t xml:space="preserve">, 252 P.3d 36 (Colo. App. 2010) (contracts may be formed without signatures of the parties bound by them). </w:t>
      </w:r>
      <w:r w:rsidRPr="00EF5096">
        <w:rPr>
          <w:rFonts w:eastAsia="Times New Roman"/>
          <w:i/>
          <w:sz w:val="24"/>
          <w:szCs w:val="24"/>
        </w:rPr>
        <w:t>See also</w:t>
      </w:r>
      <w:r w:rsidRPr="00EF5096">
        <w:rPr>
          <w:rFonts w:eastAsia="Times New Roman"/>
          <w:sz w:val="24"/>
          <w:szCs w:val="24"/>
        </w:rPr>
        <w:t xml:space="preserve"> </w:t>
      </w:r>
      <w:r w:rsidRPr="00EF5096">
        <w:rPr>
          <w:rFonts w:eastAsia="Times New Roman"/>
          <w:b/>
          <w:sz w:val="24"/>
          <w:szCs w:val="24"/>
        </w:rPr>
        <w:t>Lee v. Great Empire Broad., Inc.</w:t>
      </w:r>
      <w:r w:rsidRPr="00EF5096">
        <w:rPr>
          <w:rFonts w:eastAsia="Times New Roman"/>
          <w:sz w:val="24"/>
          <w:szCs w:val="24"/>
        </w:rPr>
        <w:t xml:space="preserve">, 794 P.2d 1032 (Colo. App. 1989) (employment agreement); </w:t>
      </w:r>
      <w:r w:rsidRPr="00EF5096">
        <w:rPr>
          <w:rFonts w:eastAsia="Times New Roman"/>
          <w:smallCaps/>
          <w:sz w:val="24"/>
          <w:szCs w:val="24"/>
        </w:rPr>
        <w:t>Restatement (Second) of Contracts</w:t>
      </w:r>
      <w:r w:rsidRPr="00EF5096">
        <w:rPr>
          <w:rFonts w:eastAsia="Times New Roman"/>
          <w:sz w:val="24"/>
          <w:szCs w:val="24"/>
        </w:rPr>
        <w:t xml:space="preserve"> § 4 (1981) (“A promise may be stated in words either oral or written, or may be inferred wholly or partly from conduct.”).</w:t>
      </w:r>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4" w:name="a30_03"/>
      <w:bookmarkEnd w:id="4"/>
      <w:r w:rsidRPr="005D1F16">
        <w:rPr>
          <w:rFonts w:eastAsia="Times New Roman"/>
          <w:b/>
          <w:sz w:val="24"/>
          <w:szCs w:val="24"/>
        </w:rPr>
        <w:lastRenderedPageBreak/>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in conjunction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r w:rsidRPr="005D1F16">
        <w:rPr>
          <w:rFonts w:eastAsia="Times New Roman"/>
          <w:b/>
          <w:sz w:val="24"/>
          <w:szCs w:val="24"/>
        </w:rPr>
        <w:t>Central Inv. Corp. v. Container Advert. Co.</w:t>
      </w:r>
      <w:r w:rsidRPr="005D1F16">
        <w:rPr>
          <w:rFonts w:eastAsia="Times New Roman"/>
          <w:sz w:val="24"/>
          <w:szCs w:val="24"/>
        </w:rPr>
        <w:t>, 28 Colo. App. 184, 187, 471 P.2d 647, 648 (1970).</w:t>
      </w:r>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r w:rsidRPr="005D1F16">
        <w:rPr>
          <w:rFonts w:eastAsia="Times New Roman"/>
          <w:b/>
          <w:sz w:val="24"/>
          <w:szCs w:val="24"/>
        </w:rPr>
        <w:t>Kuta v. Joint Dist. No. 50(J)</w:t>
      </w:r>
      <w:r w:rsidRPr="005D1F16">
        <w:rPr>
          <w:rFonts w:eastAsia="Times New Roman"/>
          <w:sz w:val="24"/>
          <w:szCs w:val="24"/>
        </w:rPr>
        <w:t>, 799 P.2d 379 (Colo. 1990).</w:t>
      </w:r>
    </w:p>
    <w:p w14:paraId="33DCF3AD" w14:textId="6099E41E" w:rsidR="005D1F16" w:rsidRPr="005D1F16" w:rsidRDefault="003333C4" w:rsidP="005D1F16">
      <w:pPr>
        <w:spacing w:after="240"/>
        <w:ind w:firstLine="720"/>
        <w:rPr>
          <w:rFonts w:eastAsia="Times New Roman"/>
          <w:sz w:val="24"/>
          <w:szCs w:val="24"/>
        </w:rPr>
      </w:pPr>
      <w:r>
        <w:rPr>
          <w:rFonts w:eastAsia="Times New Roman"/>
          <w:sz w:val="24"/>
          <w:szCs w:val="24"/>
        </w:rPr>
        <w:t xml:space="preserve">4. </w:t>
      </w:r>
      <w:r w:rsidR="005D1F16" w:rsidRPr="005D1F16">
        <w:rPr>
          <w:rFonts w:eastAsia="Times New Roman"/>
          <w:sz w:val="24"/>
          <w:szCs w:val="24"/>
        </w:rPr>
        <w:t xml:space="preserve">Generally, the delivery of an insurance application by an insurer to a prospective customer does not constitute an offer of insurance; instead it is an invitation for an offer of insurance. </w:t>
      </w:r>
      <w:r w:rsidR="005D1F16" w:rsidRPr="005D1F16">
        <w:rPr>
          <w:rFonts w:eastAsia="Times New Roman"/>
          <w:b/>
          <w:sz w:val="24"/>
          <w:szCs w:val="24"/>
        </w:rPr>
        <w:t>Griffin v. State Farm Fire &amp; Cas. Co.</w:t>
      </w:r>
      <w:r w:rsidR="005D1F16" w:rsidRPr="005D1F16">
        <w:rPr>
          <w:rFonts w:eastAsia="Times New Roman"/>
          <w:sz w:val="24"/>
          <w:szCs w:val="24"/>
        </w:rPr>
        <w:t>, 104 P.3d 283 (Colo. App. 2004).</w:t>
      </w:r>
    </w:p>
    <w:p w14:paraId="3E7CF0B1" w14:textId="5D73CFE6"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r w:rsidRPr="005D1F16">
        <w:rPr>
          <w:rFonts w:eastAsia="Times New Roman"/>
          <w:b/>
          <w:sz w:val="24"/>
          <w:szCs w:val="24"/>
        </w:rPr>
        <w:t>Sumerel v. Goodyear Tire &amp; Rubber Co.</w:t>
      </w:r>
      <w:r w:rsidRPr="005D1F16">
        <w:rPr>
          <w:rFonts w:eastAsia="Times New Roman"/>
          <w:sz w:val="24"/>
          <w:szCs w:val="24"/>
        </w:rPr>
        <w:t>, 232 P.3d 128 (Colo. App. 2009).</w:t>
      </w:r>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5" w:name="a30_04"/>
      <w:bookmarkEnd w:id="5"/>
      <w:r w:rsidRPr="003E773D">
        <w:rPr>
          <w:rFonts w:eastAsia="Times New Roman"/>
          <w:b/>
          <w:sz w:val="24"/>
          <w:szCs w:val="24"/>
        </w:rPr>
        <w:lastRenderedPageBreak/>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r w:rsidRPr="003E773D">
        <w:rPr>
          <w:rFonts w:eastAsia="Times New Roman"/>
          <w:bCs/>
          <w:sz w:val="24"/>
          <w:szCs w:val="24"/>
        </w:rPr>
        <w:t>None.</w:t>
      </w:r>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r w:rsidRPr="003E773D">
        <w:rPr>
          <w:rFonts w:eastAsia="Times New Roman"/>
          <w:b/>
          <w:sz w:val="24"/>
          <w:szCs w:val="24"/>
        </w:rPr>
        <w:t>Stortroen v. Beneficial Finance Co.</w:t>
      </w:r>
      <w:r w:rsidRPr="003E773D">
        <w:rPr>
          <w:rFonts w:eastAsia="Times New Roman"/>
          <w:sz w:val="24"/>
          <w:szCs w:val="24"/>
        </w:rPr>
        <w:t xml:space="preserve">, 736 P.2d 391 (Colo. 1987); </w:t>
      </w:r>
      <w:r w:rsidRPr="003E773D">
        <w:rPr>
          <w:rFonts w:eastAsia="Times New Roman"/>
          <w:b/>
          <w:sz w:val="24"/>
          <w:szCs w:val="24"/>
        </w:rPr>
        <w:t>Carlsen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Sigrist v. Century 21 Corp.</w:t>
      </w:r>
      <w:r w:rsidRPr="003E773D">
        <w:rPr>
          <w:rFonts w:eastAsia="Times New Roman"/>
          <w:sz w:val="24"/>
          <w:szCs w:val="24"/>
        </w:rPr>
        <w:t xml:space="preserve">, 519 P.2d 362 (Colo. App. 1973) (not published pursuant to C.A.R.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(4th ed. 1999).</w:t>
      </w:r>
    </w:p>
    <w:p w14:paraId="666D4204" w14:textId="77777777"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Minneapolis &amp; St. Louis Ry. v.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(10th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r w:rsidRPr="003E773D">
        <w:rPr>
          <w:rFonts w:eastAsia="Times New Roman"/>
          <w:b/>
          <w:iCs/>
          <w:sz w:val="24"/>
          <w:szCs w:val="24"/>
        </w:rPr>
        <w:t>Sigrist</w:t>
      </w:r>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Central Inv. Corp. v. Container Adver.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6" w:name="a30_05"/>
      <w:bookmarkEnd w:id="6"/>
      <w:r w:rsidRPr="00C018F8">
        <w:rPr>
          <w:rFonts w:eastAsia="Times New Roman"/>
          <w:b/>
          <w:sz w:val="24"/>
          <w:szCs w:val="24"/>
        </w:rPr>
        <w:lastRenderedPageBreak/>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If the person to whom an offer is made changes the offer in any way, that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r w:rsidRPr="00C018F8">
        <w:rPr>
          <w:rFonts w:eastAsia="Times New Roman"/>
          <w:b/>
          <w:bCs/>
          <w:sz w:val="24"/>
          <w:szCs w:val="24"/>
        </w:rPr>
        <w:t>Stortroen v. Beneficial Fin. Co.</w:t>
      </w:r>
      <w:r w:rsidRPr="00C018F8">
        <w:rPr>
          <w:rFonts w:eastAsia="Times New Roman"/>
          <w:bCs/>
          <w:sz w:val="24"/>
          <w:szCs w:val="24"/>
        </w:rPr>
        <w:t>, 736 P.2d 391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Hall v. Gehrke</w:t>
      </w:r>
      <w:r w:rsidRPr="00C018F8">
        <w:rPr>
          <w:rFonts w:eastAsia="Times New Roman"/>
          <w:bCs/>
          <w:sz w:val="24"/>
          <w:szCs w:val="24"/>
        </w:rPr>
        <w:t xml:space="preserve">, 117 Colo. 223, 185 P.2d 1016 (1947); and </w:t>
      </w:r>
      <w:r w:rsidRPr="00C018F8">
        <w:rPr>
          <w:rFonts w:eastAsia="Times New Roman"/>
          <w:b/>
          <w:bCs/>
          <w:sz w:val="24"/>
          <w:szCs w:val="24"/>
        </w:rPr>
        <w:t>Yorty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Centric-Jones Co. v. Hufnagel</w:t>
      </w:r>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7" w:name="a30_06"/>
      <w:bookmarkEnd w:id="7"/>
      <w:r w:rsidRPr="00C018F8">
        <w:rPr>
          <w:rFonts w:eastAsia="Times New Roman"/>
          <w:b/>
          <w:sz w:val="24"/>
          <w:szCs w:val="24"/>
        </w:rPr>
        <w:lastRenderedPageBreak/>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r w:rsidRPr="00C018F8">
        <w:rPr>
          <w:rFonts w:eastAsia="Times New Roman"/>
          <w:b/>
          <w:bCs/>
          <w:sz w:val="24"/>
          <w:szCs w:val="24"/>
        </w:rPr>
        <w:t>Nucla Sanitation District v. Rippy</w:t>
      </w:r>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Superior Distrib. Corp. v. Points</w:t>
      </w:r>
      <w:r w:rsidRPr="00C018F8">
        <w:rPr>
          <w:rFonts w:eastAsia="Times New Roman"/>
          <w:bCs/>
          <w:sz w:val="24"/>
          <w:szCs w:val="24"/>
        </w:rPr>
        <w:t xml:space="preserve">, 141 Colo. 113, 347 P.2d 140 (1959); </w:t>
      </w:r>
      <w:r w:rsidRPr="00C018F8">
        <w:rPr>
          <w:rFonts w:eastAsia="Times New Roman"/>
          <w:b/>
          <w:bCs/>
          <w:sz w:val="24"/>
          <w:szCs w:val="24"/>
        </w:rPr>
        <w:t>Van Hall v. Gehrke</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r w:rsidRPr="00C018F8">
        <w:rPr>
          <w:rFonts w:eastAsia="Times New Roman"/>
          <w:b/>
          <w:bCs/>
          <w:sz w:val="24"/>
          <w:szCs w:val="24"/>
        </w:rPr>
        <w:t>Yorty v. Mortgage Fin., Inc.</w:t>
      </w:r>
      <w:r w:rsidRPr="00C018F8">
        <w:rPr>
          <w:rFonts w:eastAsia="Times New Roman"/>
          <w:bCs/>
          <w:sz w:val="24"/>
          <w:szCs w:val="24"/>
        </w:rPr>
        <w:t>, 29 Colo. App. 398, 485 P.2d 915 (1971).</w:t>
      </w:r>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8" w:name="a30_07"/>
      <w:bookmarkEnd w:id="8"/>
      <w:r w:rsidRPr="00317364">
        <w:rPr>
          <w:rFonts w:eastAsia="Times New Roman"/>
          <w:b/>
          <w:sz w:val="24"/>
          <w:szCs w:val="24"/>
        </w:rPr>
        <w:lastRenderedPageBreak/>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promisee,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“[d]etriment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60C2FCD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Compass Bank v. Kone</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w:t>
      </w:r>
      <w:r w:rsidR="003333C4">
        <w:rPr>
          <w:rFonts w:eastAsia="Times New Roman"/>
          <w:bCs/>
          <w:sz w:val="24"/>
          <w:szCs w:val="24"/>
        </w:rPr>
        <w:t>34 P.3d 500 (Colo. App. 2006).</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r w:rsidRPr="00317364">
        <w:rPr>
          <w:rFonts w:eastAsia="Times New Roman"/>
          <w:bCs/>
          <w:i/>
          <w:sz w:val="24"/>
          <w:szCs w:val="24"/>
        </w:rPr>
        <w:t>See, e.g</w:t>
      </w:r>
      <w:r w:rsidRPr="00317364">
        <w:rPr>
          <w:rFonts w:eastAsia="Times New Roman"/>
          <w:bCs/>
          <w:sz w:val="24"/>
          <w:szCs w:val="24"/>
        </w:rPr>
        <w:t xml:space="preserve">., </w:t>
      </w:r>
      <w:r w:rsidRPr="00317364">
        <w:rPr>
          <w:rFonts w:eastAsia="Times New Roman"/>
          <w:b/>
          <w:bCs/>
          <w:sz w:val="24"/>
          <w:szCs w:val="24"/>
        </w:rPr>
        <w:t>Gertner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r w:rsidRPr="00317364">
        <w:rPr>
          <w:rFonts w:eastAsia="Times New Roman"/>
          <w:b/>
          <w:bCs/>
          <w:sz w:val="24"/>
          <w:szCs w:val="24"/>
        </w:rPr>
        <w:t>Luby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r w:rsidRPr="00317364">
        <w:rPr>
          <w:rFonts w:eastAsia="Times New Roman"/>
          <w:b/>
          <w:bCs/>
          <w:sz w:val="24"/>
          <w:szCs w:val="24"/>
        </w:rPr>
        <w:t>Fearnley v. De Mainville</w:t>
      </w:r>
      <w:r w:rsidRPr="00317364">
        <w:rPr>
          <w:rFonts w:eastAsia="Times New Roman"/>
          <w:bCs/>
          <w:sz w:val="24"/>
          <w:szCs w:val="24"/>
        </w:rPr>
        <w:t>, 5 Colo. App. 441, 39 P. 73 (1895).</w:t>
      </w:r>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Grimes v. Barndollar</w:t>
      </w:r>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r w:rsidRPr="00317364">
        <w:rPr>
          <w:rFonts w:eastAsia="Times New Roman"/>
          <w:b/>
          <w:bCs/>
          <w:sz w:val="24"/>
          <w:szCs w:val="24"/>
        </w:rPr>
        <w:t>Burch v. Burch</w:t>
      </w:r>
      <w:r w:rsidRPr="00317364">
        <w:rPr>
          <w:rFonts w:eastAsia="Times New Roman"/>
          <w:bCs/>
          <w:sz w:val="24"/>
          <w:szCs w:val="24"/>
        </w:rPr>
        <w:t>, 145 Colo. 125, 358 P.2d 1011 (1960).</w:t>
      </w:r>
    </w:p>
    <w:p w14:paraId="72EA56CE" w14:textId="6153A9C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Winter v. Goebner</w:t>
      </w:r>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xml:space="preserve">, 5 Colo. App. 224, 37 P. 726 (1894).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w:t>
      </w:r>
      <w:r w:rsidRPr="00317364">
        <w:rPr>
          <w:rFonts w:eastAsia="Times New Roman"/>
          <w:bCs/>
          <w:sz w:val="24"/>
          <w:szCs w:val="24"/>
        </w:rPr>
        <w:lastRenderedPageBreak/>
        <w:t xml:space="preserve">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W. T. Rawleigh Co. v. Dickneite</w:t>
      </w:r>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promisee, supported by consideration, to pay employees additional compensation as third-party beneficiaries, also provides consideration for that promise). Continued employment, without more, is not consideration for a later noncompete agreement. The continuation of an at-will employment arrangement by the employer is sufficient consideration for a noncompetition agreement presented to the employee after his or her initial hire. </w:t>
      </w:r>
      <w:r w:rsidRPr="00317364">
        <w:rPr>
          <w:rFonts w:eastAsia="Times New Roman"/>
          <w:b/>
          <w:bCs/>
          <w:sz w:val="24"/>
          <w:szCs w:val="24"/>
        </w:rPr>
        <w:t>Lucht’s Concrete Pumping, Inc. v. Horner</w:t>
      </w:r>
      <w:r w:rsidRPr="00317364">
        <w:rPr>
          <w:rFonts w:eastAsia="Times New Roman"/>
          <w:bCs/>
          <w:sz w:val="24"/>
          <w:szCs w:val="24"/>
        </w:rPr>
        <w:t>, 255 P.3d 1058 (Colo. 2011). And consideration is not insufficient merely beca</w:t>
      </w:r>
      <w:r w:rsidR="003333C4">
        <w:rPr>
          <w:rFonts w:eastAsia="Times New Roman"/>
          <w:bCs/>
          <w:sz w:val="24"/>
          <w:szCs w:val="24"/>
        </w:rPr>
        <w:t xml:space="preserve">use it comes from a third party. </w:t>
      </w:r>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r w:rsidRPr="00317364">
        <w:rPr>
          <w:rFonts w:eastAsia="Times New Roman"/>
          <w:b/>
          <w:bCs/>
          <w:sz w:val="24"/>
          <w:szCs w:val="24"/>
        </w:rPr>
        <w:t>Dawley v. Dawley’s Estate</w:t>
      </w:r>
      <w:r w:rsidRPr="00317364">
        <w:rPr>
          <w:rFonts w:eastAsia="Times New Roman"/>
          <w:bCs/>
          <w:sz w:val="24"/>
          <w:szCs w:val="24"/>
        </w:rPr>
        <w:t xml:space="preserve">, 60 Colo. 73, 152 P. 1171 (1915).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Plains Iron Works Co. v. Haggott</w:t>
      </w:r>
      <w:r w:rsidRPr="00317364">
        <w:rPr>
          <w:rFonts w:eastAsia="Times New Roman"/>
          <w:bCs/>
          <w:sz w:val="24"/>
          <w:szCs w:val="24"/>
        </w:rPr>
        <w:t xml:space="preserve">, 68 Colo. 121, 188 P. 735 (1920) (agreement was </w:t>
      </w:r>
      <w:r w:rsidRPr="00317364">
        <w:rPr>
          <w:rFonts w:eastAsia="Times New Roman"/>
          <w:bCs/>
          <w:i/>
          <w:sz w:val="24"/>
          <w:szCs w:val="24"/>
        </w:rPr>
        <w:t>nudum pactum</w:t>
      </w:r>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r w:rsidRPr="00317364">
        <w:rPr>
          <w:rFonts w:eastAsia="Times New Roman"/>
          <w:b/>
          <w:bCs/>
          <w:sz w:val="24"/>
          <w:szCs w:val="24"/>
        </w:rPr>
        <w:t>Rains v. Found. Health Sys. Life &amp; Health</w:t>
      </w:r>
      <w:r w:rsidRPr="00317364">
        <w:rPr>
          <w:rFonts w:eastAsia="Times New Roman"/>
          <w:bCs/>
          <w:sz w:val="24"/>
          <w:szCs w:val="24"/>
        </w:rPr>
        <w:t>, 23 P.3d 1249 (Colo. App. 2001) (arbitration provision not unenforceable simply because it did not require both parties to contract to arbitrate).</w:t>
      </w:r>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14648C28"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Kiely v. St. Germain</w:t>
      </w:r>
      <w:r w:rsidRPr="00317364">
        <w:rPr>
          <w:rFonts w:eastAsia="Times New Roman"/>
          <w:bCs/>
          <w:sz w:val="24"/>
          <w:szCs w:val="24"/>
        </w:rPr>
        <w:t xml:space="preserve">, 670 P.2d 764 (Colo. 1983) (enforceability under the doctrine of a promise not made in compliance with the statute of frauds); </w:t>
      </w:r>
      <w:r w:rsidRPr="00317364">
        <w:rPr>
          <w:rFonts w:eastAsia="Times New Roman"/>
          <w:b/>
          <w:bCs/>
          <w:sz w:val="24"/>
          <w:szCs w:val="24"/>
        </w:rPr>
        <w:t>Vigoda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w:t>
      </w:r>
      <w:r w:rsidRPr="00317364">
        <w:rPr>
          <w:rFonts w:eastAsia="Times New Roman"/>
          <w:bCs/>
          <w:sz w:val="24"/>
          <w:szCs w:val="24"/>
        </w:rPr>
        <w:lastRenderedPageBreak/>
        <w:t xml:space="preserve">claim); </w:t>
      </w:r>
      <w:r w:rsidRPr="00317364">
        <w:rPr>
          <w:rFonts w:eastAsia="Times New Roman"/>
          <w:b/>
          <w:bCs/>
          <w:sz w:val="24"/>
          <w:szCs w:val="24"/>
        </w:rPr>
        <w:t>Lutfi v. Brighton Community Hospital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r w:rsidRPr="00317364">
        <w:rPr>
          <w:rFonts w:eastAsia="Times New Roman"/>
          <w:bCs/>
          <w:i/>
          <w:sz w:val="24"/>
          <w:szCs w:val="24"/>
        </w:rPr>
        <w:t>rev’d on other grounds</w:t>
      </w:r>
      <w:r w:rsidRPr="00317364">
        <w:rPr>
          <w:rFonts w:eastAsia="Times New Roman"/>
          <w:bCs/>
          <w:sz w:val="24"/>
          <w:szCs w:val="24"/>
        </w:rPr>
        <w:t xml:space="preserve">, 978 P.2d 663 (Colo. 1999); </w:t>
      </w:r>
      <w:r w:rsidRPr="00317364">
        <w:rPr>
          <w:rFonts w:eastAsia="Times New Roman"/>
          <w:b/>
          <w:bCs/>
          <w:sz w:val="24"/>
          <w:szCs w:val="24"/>
        </w:rPr>
        <w:t>Zick v. Krob</w:t>
      </w:r>
      <w:r w:rsidRPr="00317364">
        <w:rPr>
          <w:rFonts w:eastAsia="Times New Roman"/>
          <w:bCs/>
          <w:sz w:val="24"/>
          <w:szCs w:val="24"/>
        </w:rPr>
        <w:t>, 872 P.2d 1290 (Colo. App. 1993)</w:t>
      </w:r>
      <w:r w:rsidR="00E82266">
        <w:rPr>
          <w:rFonts w:eastAsia="Times New Roman"/>
          <w:bCs/>
          <w:sz w:val="24"/>
          <w:szCs w:val="24"/>
        </w:rPr>
        <w:t xml:space="preserve">; </w:t>
      </w:r>
      <w:r w:rsidRPr="00317364">
        <w:rPr>
          <w:rFonts w:eastAsia="Times New Roman"/>
          <w:b/>
          <w:bCs/>
          <w:sz w:val="24"/>
          <w:szCs w:val="24"/>
        </w:rPr>
        <w:t>Chidester v. Eastern Gas &amp; Fuel Associates</w:t>
      </w:r>
      <w:r w:rsidRPr="00317364">
        <w:rPr>
          <w:rFonts w:eastAsia="Times New Roman"/>
          <w:bCs/>
          <w:sz w:val="24"/>
          <w:szCs w:val="24"/>
        </w:rPr>
        <w:t xml:space="preserve">, 859 P.2d 222 (Colo. App. 1992);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849 P.2d 887 (Colo. App. 1992)</w:t>
      </w:r>
      <w:r w:rsidR="00891731">
        <w:rPr>
          <w:rFonts w:eastAsia="Times New Roman"/>
          <w:bCs/>
          <w:sz w:val="24"/>
          <w:szCs w:val="24"/>
        </w:rPr>
        <w:t>;</w:t>
      </w:r>
      <w:r w:rsidRPr="00317364">
        <w:rPr>
          <w:rFonts w:eastAsia="Times New Roman"/>
          <w:bCs/>
          <w:sz w:val="24"/>
          <w:szCs w:val="24"/>
        </w:rPr>
        <w:t xml:space="preserve">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Univex Int’l, Inc. v. Orix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r w:rsidRPr="00317364">
        <w:rPr>
          <w:rFonts w:eastAsia="Times New Roman"/>
          <w:b/>
          <w:bCs/>
          <w:sz w:val="24"/>
          <w:szCs w:val="24"/>
        </w:rPr>
        <w:t>Pickell v. Arizona Components Co.</w:t>
      </w:r>
      <w:r w:rsidRPr="00317364">
        <w:rPr>
          <w:rFonts w:eastAsia="Times New Roman"/>
          <w:bCs/>
          <w:sz w:val="24"/>
          <w:szCs w:val="24"/>
        </w:rPr>
        <w:t xml:space="preserve">, 902 P.2d 392 (Colo. App. 1994) (promissory estoppel is not available if there is an enforceable contract between the parties), </w:t>
      </w:r>
      <w:r w:rsidRPr="00317364">
        <w:rPr>
          <w:rFonts w:eastAsia="Times New Roman"/>
          <w:bCs/>
          <w:i/>
          <w:sz w:val="24"/>
          <w:szCs w:val="24"/>
        </w:rPr>
        <w:t>rev’d on other grounds</w:t>
      </w:r>
      <w:r w:rsidRPr="00317364">
        <w:rPr>
          <w:rFonts w:eastAsia="Times New Roman"/>
          <w:bCs/>
          <w:sz w:val="24"/>
          <w:szCs w:val="24"/>
        </w:rPr>
        <w:t xml:space="preserve">, 931 P.2d 1184 (Colo. 1997); </w:t>
      </w:r>
      <w:r w:rsidRPr="00317364">
        <w:rPr>
          <w:rFonts w:eastAsia="Times New Roman"/>
          <w:b/>
          <w:bCs/>
          <w:sz w:val="24"/>
          <w:szCs w:val="24"/>
        </w:rPr>
        <w:t>Cronk v. Intermountain Rural Elec.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765 P.2d 619 (Colo. App. 1988); </w:t>
      </w:r>
      <w:r w:rsidRPr="00317364">
        <w:rPr>
          <w:rFonts w:eastAsia="Times New Roman"/>
          <w:b/>
          <w:bCs/>
          <w:sz w:val="24"/>
          <w:szCs w:val="24"/>
        </w:rPr>
        <w:t>Galie v. RAM Assocs. Mgmt. Servs., Inc.</w:t>
      </w:r>
      <w:r w:rsidRPr="00317364">
        <w:rPr>
          <w:rFonts w:eastAsia="Times New Roman"/>
          <w:bCs/>
          <w:sz w:val="24"/>
          <w:szCs w:val="24"/>
        </w:rPr>
        <w:t xml:space="preserve">, 757 P.2d 176 (Colo. App. 1988); </w:t>
      </w:r>
      <w:r w:rsidRPr="00317364">
        <w:rPr>
          <w:rFonts w:eastAsia="Times New Roman"/>
          <w:b/>
          <w:bCs/>
          <w:sz w:val="24"/>
          <w:szCs w:val="24"/>
        </w:rPr>
        <w:t>Mead Assocs., Inc. v. Antonsen</w:t>
      </w:r>
      <w:r w:rsidRPr="00317364">
        <w:rPr>
          <w:rFonts w:eastAsia="Times New Roman"/>
          <w:bCs/>
          <w:sz w:val="24"/>
          <w:szCs w:val="24"/>
        </w:rPr>
        <w:t xml:space="preserve">, 677 P.2d 434 (Colo. App. 1984); </w:t>
      </w:r>
      <w:r w:rsidRPr="00317364">
        <w:rPr>
          <w:rFonts w:eastAsia="Times New Roman"/>
          <w:b/>
          <w:bCs/>
          <w:sz w:val="24"/>
          <w:szCs w:val="24"/>
        </w:rPr>
        <w:t>Haselden-Langley Constructors, Inc. v. D.E. Farr &amp; Assocs., Inc.</w:t>
      </w:r>
      <w:r w:rsidRPr="00317364">
        <w:rPr>
          <w:rFonts w:eastAsia="Times New Roman"/>
          <w:bCs/>
          <w:sz w:val="24"/>
          <w:szCs w:val="24"/>
        </w:rPr>
        <w:t>, 676 P.2d 709 (Colo. App. 1983).</w:t>
      </w:r>
    </w:p>
    <w:p w14:paraId="7F9DFB14"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r w:rsidRPr="00317364">
        <w:rPr>
          <w:rFonts w:eastAsia="Times New Roman"/>
          <w:b/>
          <w:bCs/>
          <w:sz w:val="24"/>
          <w:szCs w:val="24"/>
        </w:rPr>
        <w:t>Dep’t of Transp. v. 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261 (Colo. App. 2006). A claim based on promissory estoppel lies in contract rather than tort and, therefore, is not barred by the Governmental Immunity Act. </w:t>
      </w:r>
      <w:r w:rsidRPr="00317364">
        <w:rPr>
          <w:rFonts w:eastAsia="Times New Roman"/>
          <w:b/>
          <w:bCs/>
          <w:sz w:val="24"/>
          <w:szCs w:val="24"/>
        </w:rPr>
        <w:t>Bd. of Cty. Comm’rs v. DeLozier</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917 P.2d 714 (Colo. 1996).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9" w:name="a30_08"/>
      <w:bookmarkEnd w:id="9"/>
      <w:r w:rsidRPr="00317364">
        <w:rPr>
          <w:rFonts w:eastAsia="Times New Roman"/>
          <w:b/>
          <w:sz w:val="24"/>
          <w:szCs w:val="24"/>
        </w:rPr>
        <w:lastRenderedPageBreak/>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Arkansas Valley Bank v. Esser</w:t>
      </w:r>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Joseph M. Perillo, Corbin on Contracts</w:t>
      </w:r>
      <w:r w:rsidRPr="00317364">
        <w:rPr>
          <w:rFonts w:eastAsia="Times New Roman"/>
          <w:bCs/>
          <w:sz w:val="24"/>
          <w:szCs w:val="24"/>
        </w:rPr>
        <w:t xml:space="preserve"> § 7.14 (rev. ed. 1995).</w:t>
      </w:r>
    </w:p>
    <w:p w14:paraId="0E7187FA"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Colorado Inv. Servs.,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r w:rsidRPr="00317364">
        <w:rPr>
          <w:rFonts w:eastAsia="Times New Roman"/>
          <w:b/>
          <w:bCs/>
          <w:sz w:val="24"/>
          <w:szCs w:val="24"/>
        </w:rPr>
        <w:t>Agritrack, Inc. v. DeJohn Housemoving,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r w:rsidRPr="00317364">
        <w:rPr>
          <w:rFonts w:eastAsia="Times New Roman"/>
          <w:b/>
          <w:bCs/>
          <w:sz w:val="24"/>
          <w:szCs w:val="24"/>
        </w:rPr>
        <w:t>Burnford v. Blanning</w:t>
      </w:r>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10" w:name="a30_09"/>
      <w:bookmarkEnd w:id="10"/>
      <w:r w:rsidRPr="00427199">
        <w:rPr>
          <w:rFonts w:eastAsia="Times New Roman"/>
          <w:b/>
          <w:sz w:val="24"/>
          <w:szCs w:val="24"/>
        </w:rPr>
        <w:lastRenderedPageBreak/>
        <w:t xml:space="preserve">30:9 </w:t>
      </w:r>
      <w:r w:rsidRPr="00427199">
        <w:rPr>
          <w:rFonts w:eastAsia="Times New Roman"/>
          <w:b/>
          <w:sz w:val="24"/>
          <w:szCs w:val="24"/>
        </w:rPr>
        <w:tab/>
        <w:t>CONTRACT FORMATION ― THIRD-PARTY BENEFICIARY</w:t>
      </w:r>
    </w:p>
    <w:p w14:paraId="3F9DD42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(he) (she) (it)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None.</w:t>
      </w:r>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Jefferson County School Dist. No. R-1 v. Shorey</w:t>
      </w:r>
      <w:r w:rsidRPr="00427199">
        <w:rPr>
          <w:rFonts w:eastAsia="Times New Roman"/>
          <w:bCs/>
          <w:sz w:val="24"/>
          <w:szCs w:val="24"/>
        </w:rPr>
        <w:t xml:space="preserve">, 826 P.2d 830 (Colo. 1992); </w:t>
      </w:r>
      <w:r w:rsidRPr="00427199">
        <w:rPr>
          <w:rFonts w:eastAsia="Times New Roman"/>
          <w:b/>
          <w:bCs/>
          <w:sz w:val="24"/>
          <w:szCs w:val="24"/>
        </w:rPr>
        <w:t>Chandler-McPhail v. Duffey</w:t>
      </w:r>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Parrish Chiropractic Ctrs., P.C. v. Progressive Cas.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r w:rsidRPr="00427199">
        <w:rPr>
          <w:rFonts w:eastAsia="Times New Roman"/>
          <w:b/>
          <w:bCs/>
          <w:sz w:val="24"/>
          <w:szCs w:val="24"/>
        </w:rPr>
        <w:t>Smith v. TCI Commc’ns, Inc.</w:t>
      </w:r>
      <w:r w:rsidRPr="00427199">
        <w:rPr>
          <w:rFonts w:eastAsia="Times New Roman"/>
          <w:bCs/>
          <w:sz w:val="24"/>
          <w:szCs w:val="24"/>
        </w:rPr>
        <w:t>, 981 P.2d 690 (Colo. App. 1999).</w:t>
      </w:r>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r w:rsidRPr="00427199">
        <w:rPr>
          <w:rFonts w:eastAsia="Times New Roman"/>
          <w:b/>
          <w:bCs/>
          <w:sz w:val="24"/>
          <w:szCs w:val="24"/>
        </w:rPr>
        <w:t>E.B. Roberts Constr. Co. v. Concrete Contractors, Inc.</w:t>
      </w:r>
      <w:r w:rsidRPr="00427199">
        <w:rPr>
          <w:rFonts w:eastAsia="Times New Roman"/>
          <w:bCs/>
          <w:sz w:val="24"/>
          <w:szCs w:val="24"/>
        </w:rPr>
        <w:t>, 704 P.2d 859 (Colo. 1985).</w:t>
      </w:r>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Cody Park Property Owners’ Ass’n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Chandler-McPhail v. Duffey</w:t>
      </w:r>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r w:rsidRPr="00427199">
        <w:rPr>
          <w:rFonts w:eastAsia="Times New Roman"/>
          <w:b/>
          <w:bCs/>
          <w:sz w:val="24"/>
          <w:szCs w:val="24"/>
        </w:rPr>
        <w:t>Harwig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r w:rsidRPr="00427199">
        <w:rPr>
          <w:rFonts w:eastAsia="Times New Roman"/>
          <w:b/>
          <w:bCs/>
          <w:sz w:val="24"/>
          <w:szCs w:val="24"/>
        </w:rPr>
        <w:t>Frisone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w:t>
      </w:r>
      <w:r w:rsidRPr="00427199">
        <w:rPr>
          <w:rFonts w:eastAsia="Times New Roman"/>
          <w:bCs/>
          <w:sz w:val="24"/>
          <w:szCs w:val="24"/>
        </w:rPr>
        <w:lastRenderedPageBreak/>
        <w:t xml:space="preserve">broker agreements); </w:t>
      </w:r>
      <w:r w:rsidRPr="00427199">
        <w:rPr>
          <w:rFonts w:eastAsia="Times New Roman"/>
          <w:b/>
          <w:bCs/>
          <w:sz w:val="24"/>
          <w:szCs w:val="24"/>
        </w:rPr>
        <w:t>State Farm Fire &amp; Casualty Co. v. Nikitow</w:t>
      </w:r>
      <w:r w:rsidRPr="00427199">
        <w:rPr>
          <w:rFonts w:eastAsia="Times New Roman"/>
          <w:bCs/>
          <w:sz w:val="24"/>
          <w:szCs w:val="24"/>
        </w:rPr>
        <w:t xml:space="preserve">, 924 P.2d 1084 (Colo. App. 1995); </w:t>
      </w:r>
      <w:r w:rsidRPr="00427199">
        <w:rPr>
          <w:rFonts w:eastAsia="Times New Roman"/>
          <w:b/>
          <w:bCs/>
          <w:sz w:val="24"/>
          <w:szCs w:val="24"/>
        </w:rPr>
        <w:t>Bain v. Pioneer Plaza Shopping Center. Ltd. Liability Co.</w:t>
      </w:r>
      <w:r w:rsidRPr="00427199">
        <w:rPr>
          <w:rFonts w:eastAsia="Times New Roman"/>
          <w:bCs/>
          <w:sz w:val="24"/>
          <w:szCs w:val="24"/>
        </w:rPr>
        <w:t xml:space="preserve">, 894 P.2d 47 (Colo. App. 1995); </w:t>
      </w:r>
      <w:r w:rsidRPr="00427199">
        <w:rPr>
          <w:rFonts w:eastAsia="Times New Roman"/>
          <w:b/>
          <w:bCs/>
          <w:sz w:val="24"/>
          <w:szCs w:val="24"/>
        </w:rPr>
        <w:t>Villa Sierra Condominium Ass’n v. Field Corp.</w:t>
      </w:r>
      <w:r w:rsidRPr="00427199">
        <w:rPr>
          <w:rFonts w:eastAsia="Times New Roman"/>
          <w:bCs/>
          <w:sz w:val="24"/>
          <w:szCs w:val="24"/>
        </w:rPr>
        <w:t xml:space="preserve">, 878 P.2d 161 (Colo. App. 1994); and </w:t>
      </w:r>
      <w:r w:rsidRPr="00427199">
        <w:rPr>
          <w:rFonts w:eastAsia="Times New Roman"/>
          <w:b/>
          <w:bCs/>
          <w:sz w:val="24"/>
          <w:szCs w:val="24"/>
        </w:rPr>
        <w:t>Quigley v. Jobe</w:t>
      </w:r>
      <w:r w:rsidRPr="00427199">
        <w:rPr>
          <w:rFonts w:eastAsia="Times New Roman"/>
          <w:bCs/>
          <w:sz w:val="24"/>
          <w:szCs w:val="24"/>
        </w:rPr>
        <w:t xml:space="preserve">, 851 P.2d 236 (Colo. App. 1992) (plaintiff only an incidental beneficiary). If a contract is annulled, rescinded, or canceled by the parties to the contract before it is accepted by a third-party beneficiary, the contract may not be enforced by the third-party beneficiary. </w:t>
      </w:r>
      <w:r w:rsidRPr="00427199">
        <w:rPr>
          <w:rFonts w:eastAsia="Times New Roman"/>
          <w:b/>
          <w:bCs/>
          <w:sz w:val="24"/>
          <w:szCs w:val="24"/>
        </w:rPr>
        <w:t>Jardel Enters., Inc. v. Triconsultants, Inc.</w:t>
      </w:r>
      <w:r w:rsidRPr="00427199">
        <w:rPr>
          <w:rFonts w:eastAsia="Times New Roman"/>
          <w:bCs/>
          <w:sz w:val="24"/>
          <w:szCs w:val="24"/>
        </w:rPr>
        <w:t xml:space="preserve">, 770 P.2d 1301 (Colo. App. 1988); </w:t>
      </w:r>
      <w:r w:rsidRPr="00427199">
        <w:rPr>
          <w:rFonts w:eastAsia="Times New Roman"/>
          <w:b/>
          <w:bCs/>
          <w:sz w:val="24"/>
          <w:szCs w:val="24"/>
        </w:rPr>
        <w:t>Galie v. RAM Assocs. Mgmt. Servs., Inc.</w:t>
      </w:r>
      <w:r w:rsidRPr="00427199">
        <w:rPr>
          <w:rFonts w:eastAsia="Times New Roman"/>
          <w:bCs/>
          <w:sz w:val="24"/>
          <w:szCs w:val="24"/>
        </w:rPr>
        <w:t>, 757 P.2d 176 (Colo. App. 1988) (third-party beneficiary need not be in privity).</w:t>
      </w:r>
    </w:p>
    <w:p w14:paraId="41CB2A85" w14:textId="565674B5" w:rsidR="00753103" w:rsidRPr="00A10C0F" w:rsidRDefault="00753103" w:rsidP="00753103">
      <w:pPr>
        <w:spacing w:after="240"/>
        <w:ind w:firstLine="720"/>
        <w:rPr>
          <w:rFonts w:eastAsia="Times New Roman"/>
          <w:bCs/>
          <w:sz w:val="24"/>
          <w:szCs w:val="24"/>
        </w:rPr>
      </w:pPr>
      <w:r w:rsidRPr="00A10C0F">
        <w:rPr>
          <w:rFonts w:eastAsia="Times New Roman"/>
          <w:bCs/>
          <w:sz w:val="24"/>
          <w:szCs w:val="24"/>
        </w:rPr>
        <w:t xml:space="preserve">5. The strict privity rule bars third-party beneficiary actions against attorneys absent </w:t>
      </w:r>
      <w:r w:rsidRPr="002B39A3">
        <w:rPr>
          <w:rFonts w:eastAsia="Times New Roman"/>
          <w:bCs/>
          <w:sz w:val="24"/>
          <w:szCs w:val="24"/>
        </w:rPr>
        <w:t xml:space="preserve">allegations of </w:t>
      </w:r>
      <w:r w:rsidRPr="00A10C0F">
        <w:rPr>
          <w:rFonts w:eastAsia="Times New Roman"/>
          <w:bCs/>
          <w:sz w:val="24"/>
          <w:szCs w:val="24"/>
        </w:rPr>
        <w:t xml:space="preserve">fraud, malicious conduct, or negligent misrepresentation. </w:t>
      </w:r>
      <w:r w:rsidRPr="00A10C0F">
        <w:rPr>
          <w:rFonts w:eastAsia="Times New Roman"/>
          <w:b/>
          <w:bCs/>
          <w:sz w:val="24"/>
          <w:szCs w:val="24"/>
        </w:rPr>
        <w:t>Bewley v. Semler</w:t>
      </w:r>
      <w:r w:rsidRPr="00A10C0F">
        <w:rPr>
          <w:rFonts w:eastAsia="Times New Roman"/>
          <w:bCs/>
          <w:sz w:val="24"/>
          <w:szCs w:val="24"/>
        </w:rPr>
        <w:t>, 2018 CO 79, ¶ 27, 432 P.3d 582, 589 (“</w:t>
      </w:r>
      <w:r w:rsidRPr="00A10C0F">
        <w:rPr>
          <w:color w:val="1E1E1E"/>
          <w:sz w:val="24"/>
          <w:szCs w:val="24"/>
          <w:shd w:val="clear" w:color="auto" w:fill="FFFFFF"/>
        </w:rPr>
        <w:t>The strict privity rule, as we defined it in </w:t>
      </w:r>
      <w:r w:rsidRPr="0098468C">
        <w:rPr>
          <w:b/>
          <w:sz w:val="24"/>
          <w:szCs w:val="24"/>
        </w:rPr>
        <w:t>Baker</w:t>
      </w:r>
      <w:r w:rsidRPr="00A10C0F">
        <w:rPr>
          <w:color w:val="1E1E1E"/>
          <w:sz w:val="24"/>
          <w:szCs w:val="24"/>
          <w:shd w:val="clear" w:color="auto" w:fill="FFFFFF"/>
        </w:rPr>
        <w:t xml:space="preserve">, is not as restricted as Semler contends; it ‘precludes attorney liability to non-clients absent fraud, malicious conduct, or negligent misrepresentation.’” (quoting </w:t>
      </w:r>
      <w:r w:rsidRPr="00A10C0F">
        <w:rPr>
          <w:b/>
          <w:sz w:val="24"/>
          <w:szCs w:val="24"/>
        </w:rPr>
        <w:t>Baker v. Wood, Ris &amp; Hames, P.C</w:t>
      </w:r>
      <w:r w:rsidRPr="00A10C0F">
        <w:rPr>
          <w:sz w:val="24"/>
          <w:szCs w:val="24"/>
        </w:rPr>
        <w:t>.</w:t>
      </w:r>
      <w:r w:rsidRPr="00A10C0F">
        <w:rPr>
          <w:color w:val="1E1E1E"/>
          <w:sz w:val="24"/>
          <w:szCs w:val="24"/>
          <w:shd w:val="clear" w:color="auto" w:fill="FFFFFF"/>
        </w:rPr>
        <w:t xml:space="preserve">, 2016 CO 5, ¶ 1, 364 P.3d </w:t>
      </w:r>
      <w:r>
        <w:rPr>
          <w:color w:val="1E1E1E"/>
          <w:sz w:val="24"/>
          <w:szCs w:val="24"/>
          <w:shd w:val="clear" w:color="auto" w:fill="FFFFFF"/>
        </w:rPr>
        <w:t xml:space="preserve">872, </w:t>
      </w:r>
      <w:r w:rsidRPr="00A10C0F">
        <w:rPr>
          <w:color w:val="1E1E1E"/>
          <w:sz w:val="24"/>
          <w:szCs w:val="24"/>
          <w:shd w:val="clear" w:color="auto" w:fill="FFFFFF"/>
        </w:rPr>
        <w:t>874</w:t>
      </w:r>
      <w:r w:rsidR="00A61589">
        <w:rPr>
          <w:color w:val="1E1E1E"/>
          <w:sz w:val="24"/>
          <w:szCs w:val="24"/>
          <w:shd w:val="clear" w:color="auto" w:fill="FFFFFF"/>
        </w:rPr>
        <w:t>))</w:t>
      </w:r>
      <w:r w:rsidRPr="00A10C0F">
        <w:rPr>
          <w:color w:val="1E1E1E"/>
          <w:sz w:val="24"/>
          <w:szCs w:val="24"/>
          <w:shd w:val="clear" w:color="auto" w:fill="FFFFFF"/>
        </w:rPr>
        <w:t>.</w:t>
      </w:r>
    </w:p>
    <w:p w14:paraId="76554F2B" w14:textId="77777777" w:rsidR="00753103" w:rsidRDefault="00753103" w:rsidP="00427199">
      <w:pPr>
        <w:spacing w:after="240"/>
        <w:ind w:firstLine="720"/>
        <w:rPr>
          <w:rFonts w:eastAsia="Times New Roman"/>
          <w:bCs/>
          <w:sz w:val="24"/>
          <w:szCs w:val="24"/>
        </w:rPr>
      </w:pP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lastRenderedPageBreak/>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1" w:name="a30_10"/>
      <w:bookmarkEnd w:id="11"/>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on (his) (her) (its)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[his] [her] [its] part of the contract) (or) (Plaintiff is excused from performance. Plaintiff is excused from performance of [his] [her] [its]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A50708C"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 and counter-defendant in the case.</w:t>
      </w:r>
    </w:p>
    <w:p w14:paraId="6A50FB36"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lastRenderedPageBreak/>
        <w:t xml:space="preserve">3. Paragraph 3 of this instruction should be used only if the plaintiff’s performance or substantial performance of the contract is a condition precedent to plaintiff’s right to recover under the contract. </w:t>
      </w:r>
    </w:p>
    <w:p w14:paraId="3FC2337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This instruction may be appropriately modified in cases involving particular kinds of contracts, e.g., a suit on a promissory note, to set forth in terms more relevant to the case the facts that are in dispute and that the plaintiff must prove in order to recover. For cases involving performance of construction contracts, see Instruction 30:49 and the Notes on Use and Source and Authority to that Instruction. See Part F of this chapter for other contracts. For instructions dealing with breach of employment contract claims, see Chapter 31.</w:t>
      </w:r>
    </w:p>
    <w:p w14:paraId="183E1954"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5. Depending on the facts in dispute, e.g., third party beneficiary, other paragraphs should be included which will properly present the factual issues in dispute to the jury.</w:t>
      </w:r>
    </w:p>
    <w:p w14:paraId="215E79F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6. If the defendant has put no affirmative defense in issue or there is insufficient evidence to support a defense, the last two paragraphs should be omitted.</w:t>
      </w:r>
    </w:p>
    <w:p w14:paraId="4079D963"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7.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1D9590F2"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8. For other affirmative defenses, see Instructions in Part C of this chapter.</w:t>
      </w:r>
    </w:p>
    <w:p w14:paraId="0DE64F8F"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9. In cases involving issues of the duty of good faith and fair dealing implied in every contract, see Instruction 30:16 (non-insurance contract) and Chapter 25, Bad Faith Breach of Insurance Contract. </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McDonald v. Zions First Nat’l Bank, N.A.,</w:t>
      </w:r>
      <w:r w:rsidRPr="00427199">
        <w:rPr>
          <w:rFonts w:eastAsia="Times New Roman"/>
          <w:bCs/>
          <w:sz w:val="24"/>
          <w:szCs w:val="24"/>
        </w:rPr>
        <w:t xml:space="preserve"> 2015 COA 29, ¶ 48, 348 P.3d 957; and </w:t>
      </w:r>
      <w:r w:rsidRPr="00427199">
        <w:rPr>
          <w:rFonts w:eastAsia="Times New Roman"/>
          <w:b/>
          <w:bCs/>
          <w:sz w:val="24"/>
          <w:szCs w:val="24"/>
        </w:rPr>
        <w:t>Long v. Cordain</w:t>
      </w:r>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aff’d in part, rev’d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Catherine A. McCauliff, Corbin on Contracts</w:t>
      </w:r>
      <w:r w:rsidRPr="00427199">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427199">
        <w:rPr>
          <w:rFonts w:eastAsia="Times New Roman"/>
          <w:b/>
          <w:bCs/>
          <w:sz w:val="24"/>
          <w:szCs w:val="24"/>
        </w:rPr>
        <w:t>Western Distributing Co. v. Diodosio</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w:t>
      </w:r>
      <w:r w:rsidRPr="00427199">
        <w:rPr>
          <w:rFonts w:eastAsia="Times New Roman"/>
          <w:bCs/>
          <w:sz w:val="24"/>
          <w:szCs w:val="24"/>
        </w:rPr>
        <w:lastRenderedPageBreak/>
        <w:t xml:space="preserve">defendant, even though not every obligation was performed); and </w:t>
      </w:r>
      <w:r w:rsidRPr="00427199">
        <w:rPr>
          <w:rFonts w:eastAsia="Times New Roman"/>
          <w:b/>
          <w:bCs/>
          <w:sz w:val="24"/>
          <w:szCs w:val="24"/>
        </w:rPr>
        <w:t>D.R. Horton, Inc.-Denver v. Bischof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Daybreak Constr. Specialties, Inc. v. Saghatoleslami</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r w:rsidRPr="00427199">
        <w:rPr>
          <w:rFonts w:eastAsia="Times New Roman"/>
          <w:b/>
          <w:bCs/>
          <w:sz w:val="24"/>
          <w:szCs w:val="24"/>
        </w:rPr>
        <w:t>Blood v. Qwest Servs.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Morris v. Belfor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696C5614"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r w:rsidRPr="00427199">
        <w:rPr>
          <w:rFonts w:eastAsia="Times New Roman"/>
          <w:b/>
          <w:bCs/>
          <w:sz w:val="24"/>
          <w:szCs w:val="24"/>
        </w:rPr>
        <w:t>I.M.A.,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Command Commc’ns,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Tuttle v. ANR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Interbank Invs.,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r w:rsidRPr="00427199">
        <w:rPr>
          <w:rFonts w:eastAsia="Times New Roman"/>
          <w:b/>
          <w:bCs/>
          <w:sz w:val="24"/>
          <w:szCs w:val="24"/>
        </w:rPr>
        <w:t>Diodosio</w:t>
      </w:r>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r w:rsidRPr="00427199">
        <w:rPr>
          <w:rFonts w:eastAsia="Times New Roman"/>
          <w:b/>
          <w:bCs/>
          <w:sz w:val="24"/>
          <w:szCs w:val="24"/>
        </w:rPr>
        <w:t>Montemayor v. Jacor Commc’ns,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4F907972"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5. Claims for breach of contract may be made against state and municipal governmental entities. The Colorado Governmental Immunity Act (CGIA)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CAMAS Colorado, Inc. v. Bd. of Cty. Comm’rs</w:t>
      </w:r>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CGIA for damages arising in contract). The issue under the CGIA is not whether a contract claim was properly pleaded but, instead, whether the claim could have been brought as a tort. </w:t>
      </w:r>
      <w:r w:rsidR="00F06ADD" w:rsidRPr="00F06ADD">
        <w:rPr>
          <w:rFonts w:eastAsia="Times New Roman"/>
          <w:b/>
          <w:bCs/>
          <w:sz w:val="24"/>
          <w:szCs w:val="24"/>
        </w:rPr>
        <w:t xml:space="preserve">City of </w:t>
      </w:r>
      <w:r w:rsidR="00F06ADD" w:rsidRPr="00F06ADD">
        <w:rPr>
          <w:rFonts w:eastAsia="Times New Roman"/>
          <w:b/>
          <w:bCs/>
          <w:sz w:val="24"/>
          <w:szCs w:val="24"/>
        </w:rPr>
        <w:lastRenderedPageBreak/>
        <w:t>Arvada v. Denver Health &amp; Hosp. Auth.</w:t>
      </w:r>
      <w:r w:rsidR="00F06ADD">
        <w:rPr>
          <w:rFonts w:eastAsia="Times New Roman"/>
          <w:bCs/>
          <w:sz w:val="24"/>
          <w:szCs w:val="24"/>
        </w:rPr>
        <w:t>, 2017 CO 97, ¶ 42, 403 P.3d 609</w:t>
      </w:r>
      <w:r w:rsidR="001333F4">
        <w:rPr>
          <w:rFonts w:eastAsia="Times New Roman"/>
          <w:bCs/>
          <w:sz w:val="24"/>
          <w:szCs w:val="24"/>
        </w:rPr>
        <w:t>, 617 (equitable claim for recovery of medical expenses “resembles one sounding in contract and cannot lie in tort”)</w:t>
      </w:r>
      <w:r w:rsidR="00F06ADD">
        <w:rPr>
          <w:rFonts w:eastAsia="Times New Roman"/>
          <w:bCs/>
          <w:sz w:val="24"/>
          <w:szCs w:val="24"/>
        </w:rPr>
        <w:t xml:space="preserve">; </w:t>
      </w:r>
      <w:r w:rsidR="00753103" w:rsidRPr="00A10C0F">
        <w:rPr>
          <w:rFonts w:eastAsia="Times New Roman"/>
          <w:b/>
          <w:bCs/>
          <w:sz w:val="24"/>
          <w:szCs w:val="24"/>
        </w:rPr>
        <w:t>Falcon Broadband, Inc. v. Banning Lewis Ranch Metro</w:t>
      </w:r>
      <w:r w:rsidR="00753103">
        <w:rPr>
          <w:rFonts w:eastAsia="Times New Roman"/>
          <w:b/>
          <w:bCs/>
          <w:sz w:val="24"/>
          <w:szCs w:val="24"/>
        </w:rPr>
        <w:t>.</w:t>
      </w:r>
      <w:r w:rsidR="00753103" w:rsidRPr="00A10C0F">
        <w:rPr>
          <w:rFonts w:eastAsia="Times New Roman"/>
          <w:b/>
          <w:bCs/>
          <w:sz w:val="24"/>
          <w:szCs w:val="24"/>
        </w:rPr>
        <w:t xml:space="preserve"> Dist. No. 1</w:t>
      </w:r>
      <w:r w:rsidR="00753103">
        <w:rPr>
          <w:rFonts w:eastAsia="Times New Roman"/>
          <w:bCs/>
          <w:sz w:val="24"/>
          <w:szCs w:val="24"/>
        </w:rPr>
        <w:t xml:space="preserve">, 2018 COA 92, </w:t>
      </w:r>
      <w:r w:rsidR="00753103" w:rsidRPr="00B11D2B">
        <w:rPr>
          <w:rFonts w:eastAsia="Times New Roman"/>
          <w:bCs/>
          <w:sz w:val="24"/>
          <w:szCs w:val="24"/>
        </w:rPr>
        <w:t>¶</w:t>
      </w:r>
      <w:r w:rsidR="00753103">
        <w:rPr>
          <w:rFonts w:eastAsia="Times New Roman"/>
          <w:bCs/>
          <w:sz w:val="24"/>
          <w:szCs w:val="24"/>
        </w:rPr>
        <w:t xml:space="preserve"> 17 (“enforcement of contractual promises through the quasi-contractual theory of promissory estoppel and the restitution theory of unjust enrichment . . . sound firmly in contract” and are not barred by the CGIA);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Casey v. Colo. Higher Ed. Ins. Benefits All. Trust</w:t>
      </w:r>
      <w:r w:rsidRPr="00427199">
        <w:rPr>
          <w:rFonts w:eastAsia="Times New Roman"/>
          <w:bCs/>
          <w:sz w:val="24"/>
          <w:szCs w:val="24"/>
        </w:rPr>
        <w:t>, 2012 COA 134, ¶ 30, 310 P.3d 196 (same).</w:t>
      </w:r>
    </w:p>
    <w:p w14:paraId="2B1E1F31" w14:textId="77777777"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itney LLP v. RegScan, Inc</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2" w:name="a30_11"/>
      <w:bookmarkEnd w:id="12"/>
      <w:r w:rsidRPr="00DD5492">
        <w:rPr>
          <w:rFonts w:eastAsia="Times New Roman"/>
          <w:b/>
          <w:sz w:val="24"/>
          <w:szCs w:val="24"/>
        </w:rPr>
        <w:lastRenderedPageBreak/>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breach is not material if the other party received substantially what (he) (she) (it)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Western Distributing Co. v. Diodosio</w:t>
      </w:r>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xml:space="preserve">, 2013 COA 7, ¶ 9, 297 P.3d 1042 (“A party has substantially performed when the other party has substantially received the expected benefit from the contract” and “[d]eviation from contract duties in trifling particulars . . . does not constitute a material breach”); and </w:t>
      </w:r>
      <w:r w:rsidRPr="00A725B4">
        <w:rPr>
          <w:rFonts w:eastAsia="Times New Roman"/>
          <w:b/>
          <w:bCs/>
          <w:sz w:val="24"/>
          <w:szCs w:val="24"/>
        </w:rPr>
        <w:t>Coors v. Security Life of Denver Ins. Co.</w:t>
      </w:r>
      <w:r w:rsidRPr="00A725B4">
        <w:rPr>
          <w:rFonts w:eastAsia="Times New Roman"/>
          <w:bCs/>
          <w:sz w:val="24"/>
          <w:szCs w:val="24"/>
        </w:rPr>
        <w:t xml:space="preserve">, 91 P.3d 393 (Colo. App. 2003) (to prevail on claim for breach of contract, party must show existence of contract and failure to perform some term of contract by other party), </w:t>
      </w:r>
      <w:r w:rsidRPr="00A725B4">
        <w:rPr>
          <w:rFonts w:eastAsia="Times New Roman"/>
          <w:bCs/>
          <w:i/>
          <w:sz w:val="24"/>
          <w:szCs w:val="24"/>
        </w:rPr>
        <w:t>aff’d in part, rev’d in part on other grounds</w:t>
      </w:r>
      <w:r w:rsidRPr="00A725B4">
        <w:rPr>
          <w:rFonts w:eastAsia="Times New Roman"/>
          <w:bCs/>
          <w:sz w:val="24"/>
          <w:szCs w:val="24"/>
        </w:rPr>
        <w:t>, 112 P.3d 59 (Colo. 2005).</w:t>
      </w:r>
    </w:p>
    <w:p w14:paraId="2F4FA74C" w14:textId="77777777" w:rsidR="00527AD3" w:rsidRDefault="00527AD3">
      <w:pPr>
        <w:rPr>
          <w:rFonts w:eastAsia="Times New Roman"/>
          <w:bCs/>
          <w:sz w:val="24"/>
          <w:szCs w:val="24"/>
        </w:rPr>
      </w:pPr>
      <w:r>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3" w:name="a30_12"/>
      <w:bookmarkEnd w:id="13"/>
      <w:r>
        <w:rPr>
          <w:rFonts w:eastAsia="Times New Roman"/>
          <w:b/>
          <w:sz w:val="24"/>
          <w:szCs w:val="24"/>
        </w:rPr>
        <w:lastRenderedPageBreak/>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(substantially performs) (or) (substantially complies with) the terms of a contract when the party performs the essential obligations under the contract, and the other party receives substantially what (he) (she) (it)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To determine whether the party has (substantially performed) (or) (substantially complied with) the essential obligations under the contract, you may consider the nature of the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C.R.C.P.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Newcomb v. Schaeffler</w:t>
      </w:r>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W. Distrib. Co. v. Diodosio</w:t>
      </w:r>
      <w:r w:rsidRPr="00527AD3">
        <w:rPr>
          <w:rFonts w:eastAsia="Times New Roman"/>
          <w:bCs/>
          <w:sz w:val="24"/>
          <w:szCs w:val="24"/>
        </w:rPr>
        <w:t xml:space="preserve">, 841 P.2d 1053 (Colo. 1992); </w:t>
      </w:r>
      <w:r w:rsidRPr="00527AD3">
        <w:rPr>
          <w:rFonts w:eastAsia="Times New Roman"/>
          <w:b/>
          <w:bCs/>
          <w:sz w:val="24"/>
          <w:szCs w:val="24"/>
        </w:rPr>
        <w:t>Rohauer v. Little</w:t>
      </w:r>
      <w:r w:rsidRPr="00527AD3">
        <w:rPr>
          <w:rFonts w:eastAsia="Times New Roman"/>
          <w:bCs/>
          <w:sz w:val="24"/>
          <w:szCs w:val="24"/>
        </w:rPr>
        <w:t xml:space="preserve">, 736 P.2d 403 (Colo. 1987); </w:t>
      </w:r>
      <w:r w:rsidRPr="00527AD3">
        <w:rPr>
          <w:rFonts w:eastAsia="Times New Roman"/>
          <w:b/>
          <w:bCs/>
          <w:sz w:val="24"/>
          <w:szCs w:val="24"/>
        </w:rPr>
        <w:t>I.M.A.,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McDonald v. Zions First Nat’l Bank, N.A.,</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527AD3">
        <w:rPr>
          <w:rFonts w:eastAsia="Times New Roman"/>
          <w:b/>
          <w:bCs/>
          <w:sz w:val="24"/>
          <w:szCs w:val="24"/>
          <w:lang w:val="es-US"/>
        </w:rPr>
        <w:t xml:space="preserve">Stan Clauson Assocs. Inc. v. Coleman Bros. </w:t>
      </w:r>
      <w:r w:rsidRPr="00527AD3">
        <w:rPr>
          <w:rFonts w:eastAsia="Times New Roman"/>
          <w:b/>
          <w:bCs/>
          <w:sz w:val="24"/>
          <w:szCs w:val="24"/>
        </w:rPr>
        <w:t>Constr., LLC</w:t>
      </w:r>
      <w:r w:rsidRPr="00527AD3">
        <w:rPr>
          <w:rFonts w:eastAsia="Times New Roman"/>
          <w:bCs/>
          <w:sz w:val="24"/>
          <w:szCs w:val="24"/>
        </w:rPr>
        <w:t xml:space="preserve">, 2013 COA 7, ¶ 9, 297 P.3d 1042)); </w:t>
      </w:r>
      <w:r w:rsidRPr="00527AD3">
        <w:rPr>
          <w:rFonts w:eastAsia="Times New Roman"/>
          <w:b/>
          <w:bCs/>
          <w:sz w:val="24"/>
          <w:szCs w:val="24"/>
        </w:rPr>
        <w:t>R.F.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r w:rsidRPr="00527AD3">
        <w:rPr>
          <w:rFonts w:eastAsia="Times New Roman"/>
          <w:b/>
          <w:bCs/>
          <w:sz w:val="24"/>
          <w:szCs w:val="24"/>
        </w:rPr>
        <w:t>Interbank Invs.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rev’d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4D0E536E"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r w:rsidRPr="00527AD3">
        <w:rPr>
          <w:rFonts w:eastAsia="Times New Roman"/>
          <w:b/>
          <w:bCs/>
          <w:sz w:val="24"/>
          <w:szCs w:val="24"/>
        </w:rPr>
        <w:t>Diodosio</w:t>
      </w:r>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00753103" w:rsidRPr="002B39A3">
        <w:rPr>
          <w:rFonts w:eastAsia="Times New Roman"/>
          <w:b/>
          <w:bCs/>
          <w:sz w:val="24"/>
          <w:szCs w:val="24"/>
        </w:rPr>
        <w:t xml:space="preserve">Whiting-Turner </w:t>
      </w:r>
      <w:r w:rsidR="00753103">
        <w:rPr>
          <w:rFonts w:eastAsia="Times New Roman"/>
          <w:b/>
          <w:bCs/>
          <w:sz w:val="24"/>
          <w:szCs w:val="24"/>
        </w:rPr>
        <w:t xml:space="preserve">Contracting Co. </w:t>
      </w:r>
      <w:r w:rsidR="00753103" w:rsidRPr="002B39A3">
        <w:rPr>
          <w:rFonts w:eastAsia="Times New Roman"/>
          <w:b/>
          <w:bCs/>
          <w:sz w:val="24"/>
          <w:szCs w:val="24"/>
        </w:rPr>
        <w:t>v. Guar</w:t>
      </w:r>
      <w:r w:rsidR="00753103">
        <w:rPr>
          <w:rFonts w:eastAsia="Times New Roman"/>
          <w:b/>
          <w:bCs/>
          <w:sz w:val="24"/>
          <w:szCs w:val="24"/>
        </w:rPr>
        <w:t>.</w:t>
      </w:r>
      <w:r w:rsidR="00753103" w:rsidRPr="002B39A3">
        <w:rPr>
          <w:rFonts w:eastAsia="Times New Roman"/>
          <w:b/>
          <w:bCs/>
          <w:sz w:val="24"/>
          <w:szCs w:val="24"/>
        </w:rPr>
        <w:t xml:space="preserve"> Co. of N. Am</w:t>
      </w:r>
      <w:r w:rsidR="00753103">
        <w:rPr>
          <w:rFonts w:eastAsia="Times New Roman"/>
          <w:b/>
          <w:bCs/>
          <w:sz w:val="24"/>
          <w:szCs w:val="24"/>
        </w:rPr>
        <w:t>.</w:t>
      </w:r>
      <w:r w:rsidR="00753103" w:rsidRPr="002B39A3">
        <w:rPr>
          <w:rFonts w:eastAsia="Times New Roman"/>
          <w:bCs/>
          <w:sz w:val="24"/>
          <w:szCs w:val="24"/>
        </w:rPr>
        <w:t>,</w:t>
      </w:r>
      <w:r w:rsidR="00753103">
        <w:rPr>
          <w:rFonts w:eastAsia="Times New Roman"/>
          <w:bCs/>
          <w:sz w:val="24"/>
          <w:szCs w:val="24"/>
        </w:rPr>
        <w:t xml:space="preserve"> 2019 COA 44</w:t>
      </w:r>
      <w:r w:rsidR="00891A22">
        <w:rPr>
          <w:rFonts w:eastAsia="Times New Roman"/>
          <w:bCs/>
          <w:sz w:val="24"/>
          <w:szCs w:val="24"/>
        </w:rPr>
        <w:t>,</w:t>
      </w:r>
      <w:r w:rsidR="00753103">
        <w:rPr>
          <w:rFonts w:eastAsia="Times New Roman"/>
          <w:bCs/>
          <w:sz w:val="24"/>
          <w:szCs w:val="24"/>
        </w:rPr>
        <w:t xml:space="preserve"> </w:t>
      </w:r>
      <w:r w:rsidR="00753103" w:rsidRPr="005F2349">
        <w:rPr>
          <w:rFonts w:eastAsia="Times New Roman"/>
          <w:bCs/>
          <w:sz w:val="24"/>
          <w:szCs w:val="24"/>
        </w:rPr>
        <w:t>¶</w:t>
      </w:r>
      <w:r w:rsidR="00753103">
        <w:rPr>
          <w:rFonts w:eastAsia="Times New Roman"/>
          <w:bCs/>
          <w:sz w:val="24"/>
          <w:szCs w:val="24"/>
        </w:rPr>
        <w:t xml:space="preserve">¶ 27-28, 440 P.3d 1282 (only substantial performance with bond notice requirements is necessary to recover on a surety bond); </w:t>
      </w:r>
      <w:r w:rsidRPr="00527AD3">
        <w:rPr>
          <w:rFonts w:eastAsia="Times New Roman"/>
          <w:b/>
          <w:bCs/>
          <w:sz w:val="24"/>
          <w:szCs w:val="24"/>
        </w:rPr>
        <w:t>D.R. Horton, Inc.-Denver v. Bischof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 xml:space="preserve">Blood v. </w:t>
      </w:r>
      <w:r w:rsidRPr="00527AD3">
        <w:rPr>
          <w:rFonts w:eastAsia="Times New Roman"/>
          <w:b/>
          <w:bCs/>
          <w:sz w:val="24"/>
          <w:szCs w:val="24"/>
        </w:rPr>
        <w:lastRenderedPageBreak/>
        <w:t>Qwest Servs. Corp.</w:t>
      </w:r>
      <w:r w:rsidRPr="00527AD3">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r w:rsidRPr="00527AD3">
        <w:rPr>
          <w:rFonts w:eastAsia="Times New Roman"/>
          <w:b/>
          <w:bCs/>
          <w:sz w:val="24"/>
          <w:szCs w:val="24"/>
        </w:rPr>
        <w:t>Morris v. Belfor USA Group, Inc.</w:t>
      </w:r>
      <w:r w:rsidRPr="00527AD3">
        <w:rPr>
          <w:rFonts w:eastAsia="Times New Roman"/>
          <w:bCs/>
          <w:sz w:val="24"/>
          <w:szCs w:val="24"/>
        </w:rPr>
        <w:t xml:space="preserve">, 201 P.3d 1253 (Colo. App. 2008); </w:t>
      </w:r>
      <w:r w:rsidRPr="00527AD3">
        <w:rPr>
          <w:rFonts w:eastAsia="Times New Roman"/>
          <w:b/>
          <w:bCs/>
          <w:sz w:val="24"/>
          <w:szCs w:val="24"/>
        </w:rPr>
        <w:t>Kaiser v. Market Square Disc.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Zambakian v. Leson</w:t>
      </w:r>
      <w:r w:rsidRPr="00527AD3">
        <w:rPr>
          <w:rFonts w:eastAsia="Times New Roman"/>
          <w:bCs/>
          <w:sz w:val="24"/>
          <w:szCs w:val="24"/>
        </w:rPr>
        <w:t xml:space="preserve">, 77 Colo. 183, 234 P. 1065 (1925); 8 </w:t>
      </w:r>
      <w:r w:rsidRPr="00527AD3">
        <w:rPr>
          <w:rFonts w:eastAsia="Times New Roman"/>
          <w:bCs/>
          <w:smallCaps/>
          <w:sz w:val="24"/>
          <w:szCs w:val="24"/>
        </w:rPr>
        <w:t>Catherine A. McCauliff, Corbin on Contracts</w:t>
      </w:r>
      <w:r w:rsidRPr="00527AD3">
        <w:rPr>
          <w:rFonts w:eastAsia="Times New Roman"/>
          <w:bCs/>
          <w:sz w:val="24"/>
          <w:szCs w:val="24"/>
        </w:rPr>
        <w:t xml:space="preserve"> § 36.3 (Joseph M. Perillo ed., rev. ed. 1999). Rather, it means that the other party is not entitled to regard the breach as giving him or her a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Converse v. Zinke</w:t>
      </w:r>
      <w:r w:rsidRPr="00527AD3">
        <w:rPr>
          <w:rFonts w:eastAsia="Times New Roman"/>
          <w:bCs/>
          <w:sz w:val="24"/>
          <w:szCs w:val="24"/>
        </w:rPr>
        <w:t xml:space="preserve">, 635 P.2d 882 (Colo. 1981); </w:t>
      </w:r>
      <w:r w:rsidRPr="00527AD3">
        <w:rPr>
          <w:rFonts w:eastAsia="Times New Roman"/>
          <w:b/>
          <w:bCs/>
          <w:sz w:val="24"/>
          <w:szCs w:val="24"/>
        </w:rPr>
        <w:t>Little Thompson Water Ass’n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quantum meruit</w:t>
      </w:r>
      <w:r w:rsidRPr="00527AD3">
        <w:rPr>
          <w:rFonts w:eastAsia="Times New Roman"/>
          <w:bCs/>
          <w:sz w:val="24"/>
          <w:szCs w:val="24"/>
        </w:rPr>
        <w:t xml:space="preserve"> for the value of the benefits conferred to the extent those benefits exceed the loss caused by the party’s breach. </w:t>
      </w:r>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R.F. Carle Co.</w:t>
      </w:r>
      <w:r w:rsidRPr="00527AD3">
        <w:rPr>
          <w:rFonts w:eastAsia="Times New Roman"/>
          <w:bCs/>
          <w:sz w:val="24"/>
          <w:szCs w:val="24"/>
        </w:rPr>
        <w:t>, 616 P.2d at 991-92.</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4" w:name="a30_13"/>
      <w:bookmarkEnd w:id="14"/>
      <w:r w:rsidRPr="00527AD3">
        <w:rPr>
          <w:rFonts w:eastAsia="Times New Roman"/>
          <w:b/>
          <w:sz w:val="24"/>
          <w:szCs w:val="24"/>
        </w:rPr>
        <w:lastRenderedPageBreak/>
        <w:t xml:space="preserve">30:13 </w:t>
      </w:r>
      <w:r w:rsidRPr="00527AD3">
        <w:rPr>
          <w:rFonts w:eastAsia="Times New Roman"/>
          <w:b/>
          <w:sz w:val="24"/>
          <w:szCs w:val="24"/>
        </w:rPr>
        <w:tab/>
        <w:t>CONTRACT PERFORMANCE — ANTICIPATORY BREACH</w:t>
      </w:r>
    </w:p>
    <w:p w14:paraId="33B42EA8"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to a contract who shows a clear and definite intention not to perform the contract before the time when (his) (her) (its)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r w:rsidRPr="00527AD3">
        <w:rPr>
          <w:rFonts w:eastAsia="Times New Roman"/>
          <w:b/>
          <w:bCs/>
          <w:sz w:val="24"/>
          <w:szCs w:val="24"/>
        </w:rPr>
        <w:t>Mulford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r w:rsidRPr="00527AD3">
        <w:rPr>
          <w:rFonts w:eastAsia="Times New Roman"/>
          <w:b/>
          <w:bCs/>
          <w:sz w:val="24"/>
          <w:szCs w:val="24"/>
        </w:rPr>
        <w:t>Saxonia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r w:rsidRPr="00527AD3">
        <w:rPr>
          <w:rFonts w:eastAsia="Times New Roman"/>
          <w:bCs/>
          <w:i/>
          <w:sz w:val="24"/>
          <w:szCs w:val="24"/>
        </w:rPr>
        <w:t>rev’d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Perillo ed., rev. ed. 2014).</w:t>
      </w:r>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nonrepudiating party to terminate the contract. </w:t>
      </w:r>
      <w:r w:rsidRPr="00527AD3">
        <w:rPr>
          <w:rFonts w:eastAsia="Times New Roman"/>
          <w:b/>
          <w:bCs/>
          <w:sz w:val="24"/>
          <w:szCs w:val="24"/>
        </w:rPr>
        <w:t>Interbank Invs. LLC v. Vail Valley Consol. Water Dist.</w:t>
      </w:r>
      <w:r w:rsidRPr="00527AD3">
        <w:rPr>
          <w:rFonts w:eastAsia="Times New Roman"/>
          <w:bCs/>
          <w:sz w:val="24"/>
          <w:szCs w:val="24"/>
        </w:rPr>
        <w:t>, 12 P.3d 1224 (Colo. App. 2000).</w:t>
      </w:r>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5" w:name="a30_14"/>
      <w:bookmarkEnd w:id="15"/>
      <w:r w:rsidRPr="00527AD3">
        <w:rPr>
          <w:rFonts w:eastAsia="Times New Roman"/>
          <w:b/>
          <w:bCs/>
          <w:sz w:val="24"/>
          <w:szCs w:val="24"/>
        </w:rPr>
        <w:lastRenderedPageBreak/>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Boggs v. McMickle</w:t>
      </w:r>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r w:rsidRPr="00527AD3">
        <w:rPr>
          <w:rFonts w:eastAsia="Times New Roman"/>
          <w:b/>
          <w:bCs/>
          <w:sz w:val="24"/>
          <w:szCs w:val="24"/>
        </w:rPr>
        <w:t>Ranta Const., Inc. v. Anderson</w:t>
      </w:r>
      <w:r w:rsidRPr="00527AD3">
        <w:rPr>
          <w:rFonts w:eastAsia="Times New Roman"/>
          <w:bCs/>
          <w:sz w:val="24"/>
          <w:szCs w:val="24"/>
        </w:rPr>
        <w:t>, 190 P.3d 835 (Colo. App. 2008).</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r w:rsidRPr="00527AD3">
        <w:rPr>
          <w:rFonts w:eastAsia="Times New Roman"/>
          <w:b/>
          <w:bCs/>
          <w:sz w:val="24"/>
          <w:szCs w:val="24"/>
        </w:rPr>
        <w:t>Larimer v. Salida Granite Corp.</w:t>
      </w:r>
      <w:r w:rsidRPr="00527AD3">
        <w:rPr>
          <w:rFonts w:eastAsia="Times New Roman"/>
          <w:bCs/>
          <w:sz w:val="24"/>
          <w:szCs w:val="24"/>
        </w:rPr>
        <w:t xml:space="preserve">, 112 Colo. 598, 153 P.2d 998 (1944).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6" w:name="a30_15"/>
      <w:bookmarkEnd w:id="16"/>
      <w:r w:rsidRPr="00F57A28">
        <w:rPr>
          <w:rFonts w:eastAsia="Times New Roman"/>
          <w:b/>
          <w:bCs/>
          <w:sz w:val="24"/>
          <w:szCs w:val="24"/>
        </w:rPr>
        <w:lastRenderedPageBreak/>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r w:rsidRPr="00F57A28">
        <w:rPr>
          <w:rFonts w:eastAsia="Times New Roman"/>
          <w:bCs/>
          <w:smallCaps/>
          <w:sz w:val="24"/>
          <w:szCs w:val="24"/>
        </w:rPr>
        <w:t>Restatement (Second) of Contracts</w:t>
      </w:r>
      <w:r w:rsidRPr="00F57A28">
        <w:rPr>
          <w:rFonts w:eastAsia="Times New Roman"/>
          <w:bCs/>
          <w:sz w:val="24"/>
          <w:szCs w:val="24"/>
        </w:rPr>
        <w:t xml:space="preserve"> § 224 (1981).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Daybreak Constr. Specialties, Inc. v. Saghatoleslami</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Catherine A. McCauliff, Corbin on Contracts</w:t>
      </w:r>
      <w:r w:rsidRPr="00F57A28">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F57A28">
        <w:rPr>
          <w:rFonts w:eastAsia="Times New Roman"/>
          <w:b/>
          <w:bCs/>
          <w:sz w:val="24"/>
          <w:szCs w:val="24"/>
        </w:rPr>
        <w:t>Western Distributing Co. v. Diodosio</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F57A28">
        <w:rPr>
          <w:rFonts w:eastAsia="Times New Roman"/>
          <w:b/>
          <w:bCs/>
          <w:sz w:val="24"/>
          <w:szCs w:val="24"/>
        </w:rPr>
        <w:t>D.R. Horton, Inc.-Denver v. Bischof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r w:rsidRPr="00F57A28">
        <w:rPr>
          <w:rFonts w:eastAsia="Times New Roman"/>
          <w:b/>
          <w:bCs/>
          <w:sz w:val="24"/>
          <w:szCs w:val="24"/>
        </w:rPr>
        <w:t>Blood v. Qwest Servs.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Morris v. Belfor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77777777"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Main Elec., Ltd. v. Printz Servs. Corp.</w:t>
      </w:r>
      <w:r w:rsidRPr="00F57A28">
        <w:rPr>
          <w:rFonts w:eastAsia="Times New Roman"/>
          <w:bCs/>
          <w:sz w:val="24"/>
          <w:szCs w:val="24"/>
        </w:rPr>
        <w:t>, 980 P.2d 522 (Colo. 1999).</w:t>
      </w:r>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77777777" w:rsidR="00B96786" w:rsidRPr="009E3DA4" w:rsidRDefault="00B96786" w:rsidP="00B96786">
      <w:pPr>
        <w:spacing w:after="240"/>
        <w:ind w:left="720" w:hanging="720"/>
        <w:rPr>
          <w:rFonts w:eastAsia="Times New Roman"/>
          <w:b/>
          <w:sz w:val="24"/>
          <w:szCs w:val="24"/>
        </w:rPr>
      </w:pPr>
      <w:bookmarkStart w:id="17" w:name="a30_16"/>
      <w:bookmarkEnd w:id="17"/>
      <w:r w:rsidRPr="00B96786">
        <w:rPr>
          <w:rFonts w:eastAsia="Times New Roman"/>
          <w:b/>
          <w:bCs/>
          <w:sz w:val="24"/>
          <w:szCs w:val="24"/>
        </w:rPr>
        <w:lastRenderedPageBreak/>
        <w:t>30:16</w:t>
      </w:r>
      <w:r w:rsidRPr="00B96786">
        <w:rPr>
          <w:rFonts w:eastAsia="Times New Roman"/>
          <w:b/>
          <w:bCs/>
          <w:sz w:val="24"/>
          <w:szCs w:val="24"/>
        </w:rPr>
        <w:tab/>
        <w:t>CONTRACT PERFORMANCE — IMPLIED DUTY OF GOOD FAITH AND FAIR DEALING — NON-INSURANCE CONTRACT</w:t>
      </w:r>
    </w:p>
    <w:p w14:paraId="0322E3B9"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Every contract requires the parties to act in good faith and to deal fairly with each other in performing or enforcing the express terms of the contract.</w:t>
      </w:r>
    </w:p>
    <w:p w14:paraId="6C86D9DD"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A party performs a contract in good faith when (his) (her) (its) actions are consistent with the agreed common purpose and with the reasonable expectations of the parties. The duty of good faith and fair dealing is breached when a party acts contrary to that agreed common purpose and the parties’ reasonable expectations.</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77777777" w:rsidR="00B96786" w:rsidRPr="00B96786" w:rsidRDefault="00B96786" w:rsidP="00B96786">
      <w:pPr>
        <w:spacing w:after="240"/>
        <w:ind w:firstLine="720"/>
        <w:rPr>
          <w:rFonts w:eastAsia="Times New Roman"/>
          <w:bCs/>
          <w:sz w:val="24"/>
          <w:szCs w:val="24"/>
        </w:rPr>
      </w:pPr>
      <w:r w:rsidRPr="00B96786">
        <w:rPr>
          <w:rFonts w:eastAsia="Times New Roman"/>
          <w:bCs/>
          <w:sz w:val="24"/>
          <w:szCs w:val="24"/>
        </w:rPr>
        <w:t>None.</w:t>
      </w:r>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77777777"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 (Colo. 1995).</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McDonald v. Zions First Nat’l Bank, N.A.</w:t>
      </w:r>
      <w:r w:rsidRPr="00EA3B32">
        <w:rPr>
          <w:rFonts w:eastAsia="Times New Roman"/>
          <w:bCs/>
          <w:sz w:val="24"/>
          <w:szCs w:val="24"/>
        </w:rPr>
        <w:t xml:space="preserve">, 2015 COA 29, ¶ 66, 348 P.3d 957; </w:t>
      </w:r>
      <w:r w:rsidRPr="00EA3B32">
        <w:rPr>
          <w:rFonts w:eastAsia="Times New Roman"/>
          <w:b/>
          <w:bCs/>
          <w:sz w:val="24"/>
          <w:szCs w:val="24"/>
        </w:rPr>
        <w:t>Platt v. Aspenwood Condo. Ass’n, Inc.</w:t>
      </w:r>
      <w:r w:rsidRPr="00EA3B32">
        <w:rPr>
          <w:rFonts w:eastAsia="Times New Roman"/>
          <w:bCs/>
          <w:sz w:val="24"/>
          <w:szCs w:val="24"/>
        </w:rPr>
        <w:t xml:space="preserve">, 214 P.3d 1060 (Colo. App. 2009). For a discussion as to the existence and scope of the duty of good faith and fair dealing implied in every contract, see </w:t>
      </w:r>
      <w:r w:rsidRPr="00EA3B32">
        <w:rPr>
          <w:rFonts w:eastAsia="Times New Roman"/>
          <w:b/>
          <w:bCs/>
          <w:sz w:val="24"/>
          <w:szCs w:val="24"/>
        </w:rPr>
        <w:t>Wells Fargo Realty Advisors Funding, Inc. v. Uioli,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r w:rsidRPr="00EA3B32">
        <w:rPr>
          <w:rFonts w:eastAsia="Times New Roman"/>
          <w:b/>
          <w:bCs/>
          <w:sz w:val="24"/>
          <w:szCs w:val="24"/>
        </w:rPr>
        <w:t>Newflower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New Design Constr. Co., Inc. v. Hamon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r w:rsidRPr="00EA3B32">
        <w:rPr>
          <w:rFonts w:eastAsia="Times New Roman"/>
          <w:b/>
          <w:bCs/>
          <w:sz w:val="24"/>
          <w:szCs w:val="24"/>
        </w:rPr>
        <w:t>Lutfi v. Brighton Cmty. Hosp. Ass’n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O’Reilly v. Physicians Mut. Ins. Co.</w:t>
      </w:r>
      <w:r w:rsidRPr="00EA3B32">
        <w:rPr>
          <w:rFonts w:eastAsia="Times New Roman"/>
          <w:bCs/>
          <w:sz w:val="24"/>
          <w:szCs w:val="24"/>
        </w:rPr>
        <w:t xml:space="preserve">, 992 P.2d 644 (Colo. App. 1999); </w:t>
      </w:r>
      <w:r w:rsidRPr="00EA3B32">
        <w:rPr>
          <w:rFonts w:eastAsia="Times New Roman"/>
          <w:b/>
          <w:bCs/>
          <w:sz w:val="24"/>
          <w:szCs w:val="24"/>
        </w:rPr>
        <w:t>Crown Life Ins. Co. v. Haag Ltd. P’ship</w:t>
      </w:r>
      <w:r w:rsidRPr="00EA3B32">
        <w:rPr>
          <w:rFonts w:eastAsia="Times New Roman"/>
          <w:bCs/>
          <w:sz w:val="24"/>
          <w:szCs w:val="24"/>
        </w:rPr>
        <w:t xml:space="preserve">, 929 P.2d 42 (Colo. App. 1996).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r w:rsidRPr="00EA3B32">
        <w:rPr>
          <w:rFonts w:eastAsia="Times New Roman"/>
          <w:b/>
          <w:bCs/>
          <w:sz w:val="24"/>
          <w:szCs w:val="24"/>
        </w:rPr>
        <w:t>Beal Corp. Liquidating Trust v. Valleylab,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 A party, therefore, cannot rely on the implied covenant of good faith and fair dealing as a basis for claiming that another party has wrongfully failed or refused to enter into a contract.</w:t>
      </w:r>
    </w:p>
    <w:p w14:paraId="7A2E554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4. The good faith performance doctrine serves to effectuate the intentions of the parties or to honor their reasonable expectations. </w:t>
      </w:r>
      <w:r w:rsidRPr="00EA3B32">
        <w:rPr>
          <w:rFonts w:eastAsia="Times New Roman"/>
          <w:b/>
          <w:bCs/>
          <w:sz w:val="24"/>
          <w:szCs w:val="24"/>
        </w:rPr>
        <w:t>Bayou Land Co. v. Talley</w:t>
      </w:r>
      <w:r w:rsidRPr="00EA3B32">
        <w:rPr>
          <w:rFonts w:eastAsia="Times New Roman"/>
          <w:bCs/>
          <w:sz w:val="24"/>
          <w:szCs w:val="24"/>
        </w:rPr>
        <w:t xml:space="preserve">, 924 P.2d 136 (Colo. 1996); </w:t>
      </w:r>
      <w:r w:rsidRPr="00EA3B32">
        <w:rPr>
          <w:rFonts w:eastAsia="Times New Roman"/>
          <w:b/>
          <w:bCs/>
          <w:sz w:val="24"/>
          <w:szCs w:val="24"/>
        </w:rPr>
        <w:lastRenderedPageBreak/>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State Farm Mut. Auto. Ins. Co. v. Nissen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851 P.2d 165 (Colo. 1993); </w:t>
      </w:r>
      <w:r w:rsidRPr="00EA3B32">
        <w:rPr>
          <w:rFonts w:eastAsia="Times New Roman"/>
          <w:b/>
          <w:bCs/>
          <w:sz w:val="24"/>
          <w:szCs w:val="24"/>
        </w:rPr>
        <w:t>Davis v. M.L.G. Corp.</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712 P.2d 985 (Colo. 1986); </w:t>
      </w:r>
      <w:r w:rsidRPr="00EA3B32">
        <w:rPr>
          <w:rFonts w:eastAsia="Times New Roman"/>
          <w:b/>
          <w:bCs/>
          <w:sz w:val="24"/>
          <w:szCs w:val="24"/>
        </w:rPr>
        <w:t>ADT Sec. Servs., Inc</w:t>
      </w:r>
      <w:r w:rsidR="00A725B4">
        <w:rPr>
          <w:rFonts w:eastAsia="Times New Roman"/>
          <w:b/>
          <w:bCs/>
          <w:sz w:val="24"/>
          <w:szCs w:val="24"/>
        </w:rPr>
        <w:t>.</w:t>
      </w:r>
      <w:r w:rsidRPr="00EA3B32">
        <w:rPr>
          <w:rFonts w:eastAsia="Times New Roman"/>
          <w:b/>
          <w:bCs/>
          <w:sz w:val="24"/>
          <w:szCs w:val="24"/>
        </w:rPr>
        <w:t xml:space="preserve"> v. Premier Home Prot.,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181 P.3d 288 (Colo. App. 2007) (no breach of duty of good faith and fair dealing where other party’s conduct was not contrary to claimant’s justified expectations).</w:t>
      </w:r>
    </w:p>
    <w:p w14:paraId="5E89902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5. The reasonable expectations doctrine applies to all contracts, including those free from ambiguity, in order to effectuate the parties’ intentions.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Nissen</w:t>
      </w:r>
      <w:r w:rsidRPr="00EA3B32">
        <w:rPr>
          <w:rFonts w:eastAsia="Times New Roman"/>
          <w:bCs/>
          <w:sz w:val="24"/>
          <w:szCs w:val="24"/>
        </w:rPr>
        <w:t xml:space="preserve">, 851 P.2d 166-67; </w:t>
      </w:r>
      <w:r w:rsidRPr="00EA3B32">
        <w:rPr>
          <w:rFonts w:eastAsia="Times New Roman"/>
          <w:b/>
          <w:bCs/>
          <w:sz w:val="24"/>
          <w:szCs w:val="24"/>
        </w:rPr>
        <w:t>Simon v. Shelter Gen. Ins. Co.</w:t>
      </w:r>
      <w:r w:rsidRPr="00EA3B32">
        <w:rPr>
          <w:rFonts w:eastAsia="Times New Roman"/>
          <w:bCs/>
          <w:sz w:val="24"/>
          <w:szCs w:val="24"/>
        </w:rPr>
        <w:t>, 842 P.2d 236 (Colo. 1992);</w:t>
      </w:r>
      <w:r w:rsidRPr="00EA3B32">
        <w:rPr>
          <w:rFonts w:eastAsia="Times New Roman"/>
          <w:b/>
          <w:bCs/>
          <w:sz w:val="24"/>
          <w:szCs w:val="24"/>
        </w:rPr>
        <w:t xml:space="preserve"> Davis</w:t>
      </w:r>
      <w:r w:rsidRPr="00EA3B32">
        <w:rPr>
          <w:rFonts w:eastAsia="Times New Roman"/>
          <w:bCs/>
          <w:sz w:val="24"/>
          <w:szCs w:val="24"/>
        </w:rPr>
        <w:t xml:space="preserve">, 712 P.2d at 988-90;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Dupre v. Allstate Ins.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62 P.3d 1024 (Colo. App. 2002); </w:t>
      </w:r>
      <w:r w:rsidRPr="00EA3B32">
        <w:rPr>
          <w:rFonts w:eastAsia="Times New Roman"/>
          <w:b/>
          <w:bCs/>
          <w:sz w:val="24"/>
          <w:szCs w:val="24"/>
        </w:rPr>
        <w:t>Spaur v. Allstate Ins. Co.</w:t>
      </w:r>
      <w:r w:rsidRPr="00EA3B32">
        <w:rPr>
          <w:rFonts w:eastAsia="Times New Roman"/>
          <w:bCs/>
          <w:sz w:val="24"/>
          <w:szCs w:val="24"/>
        </w:rPr>
        <w:t xml:space="preserve">, 942 P.2d 1261 (Colo. App. 1996); </w:t>
      </w:r>
      <w:r w:rsidRPr="00EA3B32">
        <w:rPr>
          <w:rFonts w:eastAsia="Times New Roman"/>
          <w:b/>
          <w:bCs/>
          <w:sz w:val="24"/>
          <w:szCs w:val="24"/>
        </w:rPr>
        <w:t>Shean v. Farmers Ins. Exch.</w:t>
      </w:r>
      <w:r w:rsidRPr="00EA3B32">
        <w:rPr>
          <w:rFonts w:eastAsia="Times New Roman"/>
          <w:bCs/>
          <w:sz w:val="24"/>
          <w:szCs w:val="24"/>
        </w:rPr>
        <w:t>, 934 P.2d 835 (Colo. App. 1996) (doctrine of reasonable expectations applies only if the contract is ambiguous).</w:t>
      </w:r>
    </w:p>
    <w:p w14:paraId="5E6B230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6. Public policy considerations favor the honoring of the reasonable expectations of the parties to a contract. Honoring those expectations is consistent with numerous other interpretive rules pertaining to contracts, including: words are given effect according to their ordinary or popular meaning; the scope of the agreement is not determined in a vacuum, but instead with reference to extrinsic circumstances; the interpretation which makes a contract fair and reasonable is selected over that which yields a harsh or unreasonable result; and contracts are to be construed so as to effectuate the parties’ intentions. </w:t>
      </w:r>
      <w:r w:rsidRPr="00EA3B32">
        <w:rPr>
          <w:rFonts w:eastAsia="Times New Roman"/>
          <w:b/>
          <w:bCs/>
          <w:sz w:val="24"/>
          <w:szCs w:val="24"/>
        </w:rPr>
        <w:t>Davis</w:t>
      </w:r>
      <w:r w:rsidRPr="00EA3B32">
        <w:rPr>
          <w:rFonts w:eastAsia="Times New Roman"/>
          <w:bCs/>
          <w:sz w:val="24"/>
          <w:szCs w:val="24"/>
        </w:rPr>
        <w:t>, 712 P.2d 990-91.</w:t>
      </w:r>
    </w:p>
    <w:p w14:paraId="4F2B5946"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7. Application of the reasonable expectation doctrine often fails to give effect to some hornbook rules governing the construction of contracts, including the tenets that a party is presumed to know the content of a contract signed by him, that contracts free from ambiguity are to be enforced as written, and that specific clauses control the effect of general clauses.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w:t>
      </w:r>
      <w:r w:rsidRPr="00EA3B32">
        <w:rPr>
          <w:rFonts w:eastAsia="Times New Roman"/>
          <w:b/>
          <w:bCs/>
          <w:sz w:val="24"/>
          <w:szCs w:val="24"/>
        </w:rPr>
        <w:t>Davis</w:t>
      </w:r>
      <w:r w:rsidRPr="00EA3B32">
        <w:rPr>
          <w:rFonts w:eastAsia="Times New Roman"/>
          <w:bCs/>
          <w:sz w:val="24"/>
          <w:szCs w:val="24"/>
        </w:rPr>
        <w:t xml:space="preserve">, 712 P.2d at 990;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Spaur</w:t>
      </w:r>
      <w:r w:rsidRPr="00EA3B32">
        <w:rPr>
          <w:rFonts w:eastAsia="Times New Roman"/>
          <w:bCs/>
          <w:sz w:val="24"/>
          <w:szCs w:val="24"/>
        </w:rPr>
        <w:t xml:space="preserve">, 942 P.2d 1265; </w:t>
      </w:r>
      <w:r w:rsidRPr="00EA3B32">
        <w:rPr>
          <w:rFonts w:eastAsia="Times New Roman"/>
          <w:b/>
          <w:bCs/>
          <w:sz w:val="24"/>
          <w:szCs w:val="24"/>
        </w:rPr>
        <w:t>Shelter Mut. Ins. Co. v. Breit</w:t>
      </w:r>
      <w:r w:rsidRPr="00EA3B32">
        <w:rPr>
          <w:rFonts w:eastAsia="Times New Roman"/>
          <w:bCs/>
          <w:sz w:val="24"/>
          <w:szCs w:val="24"/>
        </w:rPr>
        <w:t>, 908 P.2d 1149 (Colo. App. 1995) (doctrine of reasonable expectations supplements, but does not substitute for, the rule that insurance policies are to be construed according to well-settled principles of contract construction).</w:t>
      </w:r>
    </w:p>
    <w:p w14:paraId="4D0C9FD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8. The test of the meaning of a word or phrase under the reasonable expectations doctrine is what an ordinary lay person would have understood it to mean. </w:t>
      </w:r>
      <w:r w:rsidRPr="00EA3B32">
        <w:rPr>
          <w:rFonts w:eastAsia="Times New Roman"/>
          <w:b/>
          <w:bCs/>
          <w:sz w:val="24"/>
          <w:szCs w:val="24"/>
        </w:rPr>
        <w:t>Breit</w:t>
      </w:r>
      <w:r w:rsidRPr="00EA3B32">
        <w:rPr>
          <w:rFonts w:eastAsia="Times New Roman"/>
          <w:bCs/>
          <w:sz w:val="24"/>
          <w:szCs w:val="24"/>
        </w:rPr>
        <w:t>, 908 P.2d at 1152.</w:t>
      </w:r>
    </w:p>
    <w:p w14:paraId="785C7A34" w14:textId="49CC3C0A"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9. The implied duty of good faith and fair dealing does not inject new substantive terms or conditions into a contract. </w:t>
      </w:r>
      <w:r w:rsidRPr="00EA3B32">
        <w:rPr>
          <w:rFonts w:eastAsia="Times New Roman"/>
          <w:b/>
          <w:bCs/>
          <w:sz w:val="24"/>
          <w:szCs w:val="24"/>
        </w:rPr>
        <w:t>City of Boulder v. Pub. Serv. Co.</w:t>
      </w:r>
      <w:r w:rsidRPr="00EA3B32">
        <w:rPr>
          <w:rFonts w:eastAsia="Times New Roman"/>
          <w:bCs/>
          <w:sz w:val="24"/>
          <w:szCs w:val="24"/>
        </w:rPr>
        <w:t xml:space="preserve">, 996 P.2d 198 (Colo. App. 1999); </w:t>
      </w:r>
      <w:r w:rsidRPr="00EA3B32">
        <w:rPr>
          <w:rFonts w:eastAsia="Times New Roman"/>
          <w:b/>
          <w:bCs/>
          <w:sz w:val="24"/>
          <w:szCs w:val="24"/>
        </w:rPr>
        <w:t>Soderlun v. Pub. Serv.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944 P.2d 616 (Colo. App. 1997);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(“[The covenant] will not contradict terms or conditions for which a party has bargained.”); </w:t>
      </w:r>
      <w:r w:rsidRPr="00EA3B32">
        <w:rPr>
          <w:rFonts w:eastAsia="Times New Roman"/>
          <w:b/>
          <w:bCs/>
          <w:sz w:val="24"/>
          <w:szCs w:val="24"/>
        </w:rPr>
        <w:t>Miller v. Bank of N.Y. Mellon,</w:t>
      </w:r>
      <w:r w:rsidRPr="00EA3B32">
        <w:rPr>
          <w:rFonts w:eastAsia="Times New Roman"/>
          <w:bCs/>
          <w:sz w:val="24"/>
          <w:szCs w:val="24"/>
        </w:rPr>
        <w:t xml:space="preserve"> 2016 COA 95, ¶ 46</w:t>
      </w:r>
      <w:r w:rsidR="004C330E">
        <w:rPr>
          <w:rFonts w:eastAsia="Times New Roman"/>
          <w:bCs/>
          <w:sz w:val="24"/>
          <w:szCs w:val="24"/>
        </w:rPr>
        <w:t>, 379 P.3d 342</w:t>
      </w:r>
      <w:r w:rsidRPr="00EA3B32">
        <w:rPr>
          <w:rFonts w:eastAsia="Times New Roman"/>
          <w:bCs/>
          <w:sz w:val="24"/>
          <w:szCs w:val="24"/>
        </w:rPr>
        <w:t xml:space="preserve"> (implied duty of good faith and fair dealing could not be used to require bank to negotiate changes to loan agreement.).</w:t>
      </w:r>
    </w:p>
    <w:p w14:paraId="0EC91634"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10.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recoverable for breach of an ordinary contract. </w:t>
      </w:r>
      <w:r w:rsidRPr="00EA3B32">
        <w:rPr>
          <w:rFonts w:eastAsia="Times New Roman"/>
          <w:b/>
          <w:bCs/>
          <w:sz w:val="24"/>
          <w:szCs w:val="24"/>
        </w:rPr>
        <w:t>Mortg. Fin., Inc. v. Podleski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742 P.2d 900 (Colo. 1987). See, generally, the instructions on damages set forth in Part E of this chapter.</w:t>
      </w:r>
    </w:p>
    <w:p w14:paraId="53657F5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lastRenderedPageBreak/>
        <w:t xml:space="preserve">11.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Newflower Mkt., Inc.</w:t>
      </w:r>
      <w:r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Pr="00EA3B32">
        <w:rPr>
          <w:rFonts w:eastAsia="Times New Roman"/>
          <w:b/>
          <w:bCs/>
          <w:sz w:val="24"/>
          <w:szCs w:val="24"/>
        </w:rPr>
        <w:t>New Design Constr. Co., Inc.</w:t>
      </w:r>
      <w:r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Pr="00EA3B32">
        <w:rPr>
          <w:rFonts w:eastAsia="Times New Roman"/>
          <w:b/>
          <w:bCs/>
          <w:sz w:val="24"/>
          <w:szCs w:val="24"/>
        </w:rPr>
        <w:t>Amoco Oil Co.</w:t>
      </w:r>
      <w:r w:rsidRPr="00EA3B32">
        <w:rPr>
          <w:rFonts w:eastAsia="Times New Roman"/>
          <w:bCs/>
          <w:sz w:val="24"/>
          <w:szCs w:val="24"/>
        </w:rPr>
        <w:t xml:space="preserve">, 908 P.2d at 499; </w:t>
      </w:r>
      <w:r w:rsidRPr="00EA3B32">
        <w:rPr>
          <w:rFonts w:eastAsia="Times New Roman"/>
          <w:bCs/>
          <w:i/>
          <w:sz w:val="24"/>
          <w:szCs w:val="24"/>
        </w:rPr>
        <w:t xml:space="preserve">accord </w:t>
      </w:r>
      <w:r w:rsidRPr="00EA3B32">
        <w:rPr>
          <w:rFonts w:eastAsia="Times New Roman"/>
          <w:b/>
          <w:bCs/>
          <w:sz w:val="24"/>
          <w:szCs w:val="24"/>
        </w:rPr>
        <w:t>City of Golden v. Parker</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285 (Colo. 2006); </w:t>
      </w:r>
      <w:r w:rsidRPr="00EA3B32">
        <w:rPr>
          <w:rFonts w:eastAsia="Times New Roman"/>
          <w:b/>
          <w:bCs/>
          <w:sz w:val="24"/>
          <w:szCs w:val="24"/>
        </w:rPr>
        <w:t>Lutfi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at 59; </w:t>
      </w:r>
      <w:r w:rsidRPr="00EA3B32">
        <w:rPr>
          <w:rFonts w:eastAsia="Times New Roman"/>
          <w:b/>
          <w:bCs/>
          <w:sz w:val="24"/>
          <w:szCs w:val="24"/>
        </w:rPr>
        <w:t>O’Reilly</w:t>
      </w:r>
      <w:r w:rsidRPr="00EA3B32">
        <w:rPr>
          <w:rFonts w:eastAsia="Times New Roman"/>
          <w:bCs/>
          <w:sz w:val="24"/>
          <w:szCs w:val="24"/>
        </w:rPr>
        <w:t>, 992 P.2d at 646.</w:t>
      </w:r>
    </w:p>
    <w:p w14:paraId="77D3EEA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12.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r w:rsidRPr="00EA3B32">
        <w:rPr>
          <w:rFonts w:eastAsia="Times New Roman"/>
          <w:bCs/>
          <w:i/>
          <w:sz w:val="24"/>
          <w:szCs w:val="24"/>
        </w:rPr>
        <w:t>See, e.g.</w:t>
      </w:r>
      <w:r w:rsidRPr="00EA3B32">
        <w:rPr>
          <w:rFonts w:eastAsia="Times New Roman"/>
          <w:bCs/>
          <w:sz w:val="24"/>
          <w:szCs w:val="24"/>
        </w:rPr>
        <w:t>,</w:t>
      </w:r>
      <w:r w:rsidRPr="00EA3B32">
        <w:rPr>
          <w:rFonts w:eastAsia="Times New Roman"/>
          <w:b/>
          <w:bCs/>
          <w:sz w:val="24"/>
          <w:szCs w:val="24"/>
        </w:rPr>
        <w:t xml:space="preserve"> City of Golden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292-93; </w:t>
      </w:r>
      <w:r w:rsidRPr="00EA3B32">
        <w:rPr>
          <w:rFonts w:eastAsia="Times New Roman"/>
          <w:b/>
          <w:bCs/>
          <w:sz w:val="24"/>
          <w:szCs w:val="24"/>
        </w:rPr>
        <w:t>Mahan v. Capitol Hill Internal Med., P.C.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151 P.3d 685 (Colo. App. 2006). The dependent party must then rely on the party in control to exercise good faith in the exercise of its discretion.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908 P.2d at 498-99.</w:t>
      </w:r>
    </w:p>
    <w:p w14:paraId="1877244F"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13.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924 P.2d at 155 n.28 (citing </w:t>
      </w:r>
      <w:r w:rsidRPr="00EA3B32">
        <w:rPr>
          <w:rFonts w:eastAsia="Times New Roman"/>
          <w:bCs/>
          <w:smallCaps/>
          <w:sz w:val="24"/>
          <w:szCs w:val="24"/>
        </w:rPr>
        <w:t>Restatement (Second) of Contracts</w:t>
      </w:r>
      <w:r w:rsidRPr="00EA3B32">
        <w:rPr>
          <w:rFonts w:eastAsia="Times New Roman"/>
          <w:bCs/>
          <w:sz w:val="24"/>
          <w:szCs w:val="24"/>
        </w:rPr>
        <w:t xml:space="preserve"> § 205 cmt. e (1981));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Ranta Constr., Inc. v. Anderson</w:t>
      </w:r>
      <w:r w:rsidRPr="00EA3B32">
        <w:rPr>
          <w:rFonts w:eastAsia="Times New Roman"/>
          <w:bCs/>
          <w:sz w:val="24"/>
          <w:szCs w:val="24"/>
        </w:rPr>
        <w:t>, 190 P.3d 835 (Colo. App. 2008) (in case decided under UCC’s good faith and fair dealing provision, buyer had no claim for breach of warranty when seller of product has right to cure defects and buyer interferes with that right by foreclosing it prematurely).</w:t>
      </w:r>
    </w:p>
    <w:p w14:paraId="2DB8A1A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14. The implied covenant of good faith and fair dealing cannot be invoked to bar a party from bringing a claim based on a disagreement regarding contract terms.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924 P.2d at 154.</w:t>
      </w:r>
    </w:p>
    <w:p w14:paraId="1F1D301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15. The implied duty of good faith and fair dealing does not apply to the termination of an at-will employment contract. </w:t>
      </w:r>
      <w:r w:rsidRPr="00EA3B32">
        <w:rPr>
          <w:rFonts w:eastAsia="Times New Roman"/>
          <w:b/>
          <w:bCs/>
          <w:sz w:val="24"/>
          <w:szCs w:val="24"/>
        </w:rPr>
        <w:t>Soderlun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944 P.2d at 623.</w:t>
      </w:r>
    </w:p>
    <w:p w14:paraId="3DC9FE2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16. While an implied duty of good faith and fair dealing is inherent in every contract, the parties to a contract may also include an express covenant of good faith and fair dealing as a contract term. </w:t>
      </w:r>
      <w:r w:rsidRPr="00EA3B32">
        <w:rPr>
          <w:rFonts w:eastAsia="Times New Roman"/>
          <w:b/>
          <w:bCs/>
          <w:sz w:val="24"/>
          <w:szCs w:val="24"/>
        </w:rPr>
        <w:t>Decker v. Browning-Ferris Indus. of Colo., Inc.</w:t>
      </w:r>
      <w:r w:rsidRPr="00EA3B32">
        <w:rPr>
          <w:rFonts w:eastAsia="Times New Roman"/>
          <w:bCs/>
          <w:sz w:val="24"/>
          <w:szCs w:val="24"/>
        </w:rPr>
        <w:t xml:space="preserve">, 931 P.2d 436 (Colo. 1997). However, absent an agreement by the parties, no industry-specific standard will be implied into a contract. </w:t>
      </w:r>
      <w:r w:rsidRPr="00EA3B32">
        <w:rPr>
          <w:rFonts w:eastAsia="Times New Roman"/>
          <w:b/>
          <w:bCs/>
          <w:sz w:val="24"/>
          <w:szCs w:val="24"/>
        </w:rPr>
        <w:t>BSLNI, Inc. v. Russ T. Diamonds, Inc.</w:t>
      </w:r>
      <w:r w:rsidRPr="00EA3B32">
        <w:rPr>
          <w:rFonts w:eastAsia="Times New Roman"/>
          <w:bCs/>
          <w:sz w:val="24"/>
          <w:szCs w:val="24"/>
        </w:rPr>
        <w:t>, 2012 COA 214, ¶ 22, 293 P.3d 598.</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8" w:name="a30_17"/>
      <w:bookmarkEnd w:id="18"/>
      <w:r>
        <w:rPr>
          <w:rFonts w:eastAsia="Times New Roman"/>
          <w:b/>
          <w:bCs/>
          <w:sz w:val="24"/>
          <w:szCs w:val="24"/>
        </w:rPr>
        <w:lastRenderedPageBreak/>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(him) (her) (it)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Temple Hoyne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r w:rsidRPr="00F755B7">
        <w:rPr>
          <w:rFonts w:eastAsia="Times New Roman"/>
          <w:bCs/>
          <w:smallCaps/>
          <w:sz w:val="24"/>
          <w:szCs w:val="24"/>
        </w:rPr>
        <w:t>Restatement (Second) of Contracts</w:t>
      </w:r>
      <w:r w:rsidRPr="00F755B7">
        <w:rPr>
          <w:rFonts w:eastAsia="Times New Roman"/>
          <w:bCs/>
          <w:sz w:val="24"/>
          <w:szCs w:val="24"/>
        </w:rPr>
        <w:t xml:space="preserve"> § 317(1) (1981).</w:t>
      </w:r>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lastRenderedPageBreak/>
        <w:t>C. DEFENSES</w:t>
      </w:r>
    </w:p>
    <w:p w14:paraId="30EF67A7" w14:textId="77777777" w:rsidR="00F755B7" w:rsidRPr="0054263B" w:rsidRDefault="00F755B7" w:rsidP="00F755B7">
      <w:pPr>
        <w:keepNext/>
        <w:spacing w:after="240"/>
        <w:jc w:val="center"/>
        <w:rPr>
          <w:rFonts w:eastAsia="Times New Roman"/>
          <w:b/>
          <w:sz w:val="24"/>
          <w:szCs w:val="24"/>
        </w:rPr>
      </w:pPr>
      <w:bookmarkStart w:id="19" w:name="IntroNoteC"/>
      <w:bookmarkEnd w:id="19"/>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England v. Amerigas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Casey v. Colo. Higher Educ. Ins. Benefits All. 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Kuper v. Scroggins</w:t>
      </w:r>
      <w:r w:rsidRPr="00F755B7">
        <w:rPr>
          <w:rFonts w:eastAsia="Times New Roman"/>
          <w:bCs/>
          <w:sz w:val="24"/>
          <w:szCs w:val="24"/>
        </w:rPr>
        <w:t>, 127 Colo. 416, 257 P.2d 412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r w:rsidRPr="00F755B7">
        <w:rPr>
          <w:rFonts w:eastAsia="Times New Roman"/>
          <w:b/>
          <w:bCs/>
          <w:sz w:val="24"/>
          <w:szCs w:val="24"/>
        </w:rPr>
        <w:t>Sumerel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Mabray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Barker v. Jeremiasen</w:t>
      </w:r>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r w:rsidRPr="00F755B7">
        <w:rPr>
          <w:rFonts w:eastAsia="Times New Roman"/>
          <w:b/>
          <w:bCs/>
          <w:sz w:val="24"/>
          <w:szCs w:val="24"/>
        </w:rPr>
        <w:t>Cont’l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Manor Vail Condominium Ass’n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Lookout Mountain Paradise Hills Homeowners’ Ass’n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Construction Co. v. RCG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6. Generally, contracts in contravention of public policy are void and unenforceable.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Pierce v. St. Vrain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 xml:space="preserve">Bailey v. </w:t>
      </w:r>
      <w:r w:rsidRPr="00F755B7">
        <w:rPr>
          <w:rFonts w:eastAsia="Times New Roman"/>
          <w:b/>
          <w:bCs/>
          <w:sz w:val="24"/>
          <w:szCs w:val="24"/>
        </w:rPr>
        <w:lastRenderedPageBreak/>
        <w:t>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Wheat Ridge Urban Renewal Auth. v. Cornerstone Group XXII, L.L.C.</w:t>
      </w:r>
      <w:r w:rsidRPr="00F755B7">
        <w:rPr>
          <w:rFonts w:eastAsia="Times New Roman"/>
          <w:bCs/>
          <w:sz w:val="24"/>
          <w:szCs w:val="24"/>
        </w:rPr>
        <w:t xml:space="preserve">, 176 P.3d 737 (Colo. 2007) (contract for renewal authority to acquire certain property by eminent domain condemnation if necessary not void); </w:t>
      </w:r>
      <w:r w:rsidRPr="00F755B7">
        <w:rPr>
          <w:rFonts w:eastAsia="Times New Roman"/>
          <w:b/>
          <w:bCs/>
          <w:sz w:val="24"/>
          <w:szCs w:val="24"/>
        </w:rPr>
        <w:t>Grippin v. State Farm Mut.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r w:rsidRPr="00F755B7">
        <w:rPr>
          <w:rFonts w:eastAsia="Times New Roman"/>
          <w:b/>
          <w:bCs/>
          <w:sz w:val="24"/>
          <w:szCs w:val="24"/>
        </w:rPr>
        <w:t>Weize Co. v. Colo. Reg’l Constr., Inc.</w:t>
      </w:r>
      <w:r w:rsidRPr="00F755B7">
        <w:rPr>
          <w:rFonts w:eastAsia="Times New Roman"/>
          <w:bCs/>
          <w:sz w:val="24"/>
          <w:szCs w:val="24"/>
        </w:rPr>
        <w:t xml:space="preserve">, 251 P.3d 489 (Colo. App. 2010) (affirmative defense of illegality of contract with unlicensed plumber); </w:t>
      </w:r>
      <w:r w:rsidRPr="00F755B7">
        <w:rPr>
          <w:rFonts w:eastAsia="Times New Roman"/>
          <w:b/>
          <w:bCs/>
          <w:sz w:val="24"/>
          <w:szCs w:val="24"/>
        </w:rPr>
        <w:t>Amedeus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Platt v. Aspenwood Condo. Ass’n</w:t>
      </w:r>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Dinosaur Park Invs. L.L.C. v. Tello</w:t>
      </w:r>
      <w:r w:rsidRPr="00F755B7">
        <w:rPr>
          <w:rFonts w:eastAsia="Times New Roman"/>
          <w:bCs/>
          <w:sz w:val="24"/>
          <w:szCs w:val="24"/>
        </w:rPr>
        <w:t xml:space="preserve">, 192 P.3d 513 (Colo. App. 2008) (contract for installment sale was illegal for failure to name public trustee, and issue properly raised as affirmative defense); </w:t>
      </w:r>
      <w:r w:rsidRPr="00F755B7">
        <w:rPr>
          <w:rFonts w:eastAsia="Times New Roman"/>
          <w:b/>
          <w:bCs/>
          <w:sz w:val="24"/>
          <w:szCs w:val="24"/>
        </w:rPr>
        <w:t>Shotkoski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r w:rsidRPr="00F755B7">
        <w:rPr>
          <w:rFonts w:eastAsia="Times New Roman"/>
          <w:b/>
          <w:bCs/>
          <w:sz w:val="24"/>
          <w:szCs w:val="24"/>
        </w:rPr>
        <w:t>Equitex, Inc. v. Ungar</w:t>
      </w:r>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r w:rsidRPr="00F755B7">
        <w:rPr>
          <w:rFonts w:eastAsia="Times New Roman"/>
          <w:b/>
          <w:bCs/>
          <w:sz w:val="24"/>
          <w:szCs w:val="24"/>
        </w:rPr>
        <w:t>Bebo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
    <w:p w14:paraId="70CD4F95" w14:textId="3B9EAF65" w:rsidR="00753103" w:rsidRPr="00A84688" w:rsidRDefault="00753103" w:rsidP="00753103">
      <w:pPr>
        <w:spacing w:after="240"/>
        <w:ind w:firstLine="720"/>
        <w:rPr>
          <w:rFonts w:eastAsia="Times New Roman"/>
          <w:bCs/>
          <w:sz w:val="24"/>
          <w:szCs w:val="24"/>
        </w:rPr>
      </w:pPr>
      <w:r w:rsidRPr="00A84688">
        <w:rPr>
          <w:rFonts w:eastAsia="Times New Roman"/>
          <w:bCs/>
          <w:sz w:val="24"/>
          <w:szCs w:val="24"/>
        </w:rPr>
        <w:t xml:space="preserve">7. </w:t>
      </w:r>
      <w:r>
        <w:rPr>
          <w:rFonts w:eastAsia="Times New Roman"/>
          <w:bCs/>
          <w:sz w:val="24"/>
          <w:szCs w:val="24"/>
        </w:rPr>
        <w:t xml:space="preserve">Colorado Rule of Professional Conduct 1.8 is an expression of public policy, the violation of which may render an agreement unenforceable. </w:t>
      </w:r>
      <w:r w:rsidRPr="002B39A3">
        <w:rPr>
          <w:rFonts w:eastAsia="Times New Roman"/>
          <w:b/>
          <w:bCs/>
          <w:sz w:val="24"/>
          <w:szCs w:val="24"/>
        </w:rPr>
        <w:t>Calvert v. Mayberry</w:t>
      </w:r>
      <w:r w:rsidRPr="00A84688">
        <w:rPr>
          <w:rFonts w:eastAsia="Times New Roman"/>
          <w:bCs/>
          <w:sz w:val="24"/>
          <w:szCs w:val="24"/>
        </w:rPr>
        <w:t>, 2019 CO 23, ¶ 49</w:t>
      </w:r>
      <w:r>
        <w:rPr>
          <w:rFonts w:eastAsia="Times New Roman"/>
          <w:bCs/>
          <w:sz w:val="24"/>
          <w:szCs w:val="24"/>
        </w:rPr>
        <w:t>, 440 P.3d 424, 435</w:t>
      </w:r>
      <w:r w:rsidRPr="00A84688">
        <w:rPr>
          <w:rFonts w:eastAsia="Times New Roman"/>
          <w:bCs/>
          <w:sz w:val="24"/>
          <w:szCs w:val="24"/>
        </w:rPr>
        <w:t xml:space="preserve"> (“</w:t>
      </w:r>
      <w:r w:rsidR="00891A22">
        <w:rPr>
          <w:rFonts w:eastAsia="Times New Roman"/>
          <w:bCs/>
          <w:sz w:val="24"/>
          <w:szCs w:val="24"/>
        </w:rPr>
        <w:t>[W]</w:t>
      </w:r>
      <w:r w:rsidRPr="002B39A3">
        <w:rPr>
          <w:sz w:val="24"/>
          <w:szCs w:val="24"/>
        </w:rPr>
        <w:t xml:space="preserve">e hold that when an attorney </w:t>
      </w:r>
      <w:r w:rsidRPr="00891A22">
        <w:rPr>
          <w:sz w:val="24"/>
          <w:szCs w:val="24"/>
        </w:rPr>
        <w:t>enters in a</w:t>
      </w:r>
      <w:r w:rsidRPr="002B39A3">
        <w:rPr>
          <w:sz w:val="24"/>
          <w:szCs w:val="24"/>
        </w:rPr>
        <w:t xml:space="preserve"> contract without complying with Rule 1.8(a), the contract is presumptively void as against public policy; however, the attorney may rebut that presumption by showing that, under the circumstances, the contract does not contravene the public policy underlying Rule 1.8(a)</w:t>
      </w:r>
      <w:r w:rsidR="00891A22">
        <w:rPr>
          <w:sz w:val="24"/>
          <w:szCs w:val="24"/>
        </w:rPr>
        <w:t>.</w:t>
      </w:r>
      <w:r w:rsidRPr="002B39A3">
        <w:rPr>
          <w:sz w:val="24"/>
          <w:szCs w:val="24"/>
        </w:rPr>
        <w:t>”)</w:t>
      </w:r>
      <w:r>
        <w:rPr>
          <w:sz w:val="24"/>
          <w:szCs w:val="24"/>
        </w:rPr>
        <w:t>.</w:t>
      </w:r>
      <w:r w:rsidRPr="00A84688">
        <w:rPr>
          <w:rFonts w:eastAsia="Times New Roman"/>
          <w:bCs/>
          <w:sz w:val="24"/>
          <w:szCs w:val="24"/>
        </w:rPr>
        <w:t xml:space="preserve"> </w:t>
      </w:r>
    </w:p>
    <w:p w14:paraId="7F791D4C" w14:textId="3B283129" w:rsidR="00F755B7" w:rsidRDefault="00753103" w:rsidP="00F755B7">
      <w:pPr>
        <w:spacing w:after="240"/>
        <w:ind w:firstLine="720"/>
        <w:rPr>
          <w:rFonts w:eastAsia="Times New Roman"/>
          <w:bCs/>
          <w:sz w:val="24"/>
          <w:szCs w:val="24"/>
        </w:rPr>
      </w:pPr>
      <w:r>
        <w:rPr>
          <w:rFonts w:eastAsia="Times New Roman"/>
          <w:bCs/>
          <w:sz w:val="24"/>
          <w:szCs w:val="24"/>
        </w:rPr>
        <w:t>8</w:t>
      </w:r>
      <w:r w:rsidR="00F755B7" w:rsidRPr="00F755B7">
        <w:rPr>
          <w:rFonts w:eastAsia="Times New Roman"/>
          <w:bCs/>
          <w:sz w:val="24"/>
          <w:szCs w:val="24"/>
        </w:rPr>
        <w:t xml:space="preserve">. Whether exculpatory clauses are sufficient and valid is a question of law for the court. Four factors are considered by courts when evaluating the enforceability of exculpatory clauses: (1) the existence of a duty to the public; (2) the nature of the service performed; (3) whether the contract was fairly entered into; and (4) whether the intention of the parties was expressed in clear and unambiguous language. </w:t>
      </w:r>
      <w:r w:rsidR="00F755B7" w:rsidRPr="00F755B7">
        <w:rPr>
          <w:rFonts w:eastAsia="Times New Roman"/>
          <w:b/>
          <w:bCs/>
          <w:sz w:val="24"/>
          <w:szCs w:val="24"/>
        </w:rPr>
        <w:t>McShane v. Stirling Ranch Prop. Owners Ass’n, Inc</w:t>
      </w:r>
      <w:r w:rsidR="00F755B7" w:rsidRPr="00F755B7">
        <w:rPr>
          <w:rFonts w:eastAsia="Times New Roman"/>
          <w:bCs/>
          <w:sz w:val="24"/>
          <w:szCs w:val="24"/>
        </w:rPr>
        <w:t xml:space="preserve">., 2017 CO 38, ¶ 13, 393 P.3d 978; </w:t>
      </w:r>
      <w:r w:rsidR="00F755B7" w:rsidRPr="00F755B7">
        <w:rPr>
          <w:rFonts w:eastAsia="Times New Roman"/>
          <w:bCs/>
          <w:i/>
          <w:sz w:val="24"/>
          <w:szCs w:val="24"/>
        </w:rPr>
        <w:t>see also</w:t>
      </w:r>
      <w:r w:rsidR="00F755B7" w:rsidRPr="00F755B7">
        <w:rPr>
          <w:rFonts w:eastAsia="Times New Roman"/>
          <w:bCs/>
          <w:sz w:val="24"/>
          <w:szCs w:val="24"/>
        </w:rPr>
        <w:t xml:space="preserve"> </w:t>
      </w:r>
      <w:r w:rsidR="00F755B7" w:rsidRPr="00F755B7">
        <w:rPr>
          <w:rFonts w:eastAsia="Times New Roman"/>
          <w:b/>
          <w:bCs/>
          <w:sz w:val="24"/>
          <w:szCs w:val="24"/>
        </w:rPr>
        <w:t>Stone v. Life Time Fitness, Inc</w:t>
      </w:r>
      <w:r w:rsidR="00F755B7" w:rsidRPr="00F755B7">
        <w:rPr>
          <w:rFonts w:eastAsia="Times New Roman"/>
          <w:bCs/>
          <w:sz w:val="24"/>
          <w:szCs w:val="24"/>
        </w:rPr>
        <w:t>., 2016 COA 189M, ¶ 35</w:t>
      </w:r>
      <w:r w:rsidR="004C330E">
        <w:rPr>
          <w:rFonts w:eastAsia="Times New Roman"/>
          <w:bCs/>
          <w:sz w:val="24"/>
          <w:szCs w:val="24"/>
        </w:rPr>
        <w:t>, 411 P.3d 225</w:t>
      </w:r>
      <w:r w:rsidR="00F755B7" w:rsidRPr="00F755B7">
        <w:rPr>
          <w:rFonts w:eastAsia="Times New Roman"/>
          <w:bCs/>
          <w:sz w:val="24"/>
          <w:szCs w:val="24"/>
        </w:rPr>
        <w:t xml:space="preserve"> (release language in membership agreement was ambiguous and accordingly did not bar claim for injury sustained while washing hands in restroom).</w:t>
      </w:r>
    </w:p>
    <w:p w14:paraId="6630CA06" w14:textId="6B81F56D" w:rsidR="00753103" w:rsidRPr="00F755B7" w:rsidRDefault="00753103" w:rsidP="00F755B7">
      <w:pPr>
        <w:spacing w:after="240"/>
        <w:ind w:firstLine="720"/>
        <w:rPr>
          <w:rFonts w:eastAsia="Times New Roman"/>
          <w:bCs/>
          <w:sz w:val="24"/>
          <w:szCs w:val="24"/>
        </w:rPr>
      </w:pPr>
      <w:r>
        <w:rPr>
          <w:rFonts w:eastAsia="Times New Roman"/>
          <w:bCs/>
          <w:sz w:val="24"/>
          <w:szCs w:val="24"/>
        </w:rPr>
        <w:lastRenderedPageBreak/>
        <w:t>9</w:t>
      </w:r>
      <w:r w:rsidRPr="002612AD">
        <w:rPr>
          <w:rFonts w:eastAsia="Times New Roman"/>
          <w:bCs/>
          <w:sz w:val="24"/>
          <w:szCs w:val="24"/>
        </w:rPr>
        <w:t xml:space="preserve">. </w:t>
      </w:r>
      <w:r w:rsidRPr="00A6332F">
        <w:rPr>
          <w:color w:val="1E1E1E"/>
          <w:sz w:val="24"/>
          <w:szCs w:val="24"/>
          <w:shd w:val="clear" w:color="auto" w:fill="FFFFFF"/>
        </w:rPr>
        <w:t xml:space="preserve">Whether a contract disclaimer is clear and conspicuous is a question of law for the court. </w:t>
      </w:r>
      <w:r w:rsidRPr="00A6332F">
        <w:rPr>
          <w:b/>
          <w:color w:val="1E1E1E"/>
          <w:sz w:val="24"/>
          <w:szCs w:val="24"/>
          <w:shd w:val="clear" w:color="auto" w:fill="FFFFFF"/>
        </w:rPr>
        <w:t>Cummings v. Arapahoe Cty</w:t>
      </w:r>
      <w:r>
        <w:rPr>
          <w:b/>
          <w:color w:val="1E1E1E"/>
          <w:sz w:val="24"/>
          <w:szCs w:val="24"/>
          <w:shd w:val="clear" w:color="auto" w:fill="FFFFFF"/>
        </w:rPr>
        <w:t>.</w:t>
      </w:r>
      <w:r w:rsidRPr="00A6332F">
        <w:rPr>
          <w:b/>
          <w:color w:val="1E1E1E"/>
          <w:sz w:val="24"/>
          <w:szCs w:val="24"/>
          <w:shd w:val="clear" w:color="auto" w:fill="FFFFFF"/>
        </w:rPr>
        <w:t xml:space="preserve"> Sheriff’s Dep</w:t>
      </w:r>
      <w:r>
        <w:rPr>
          <w:b/>
          <w:color w:val="1E1E1E"/>
          <w:sz w:val="24"/>
          <w:szCs w:val="24"/>
          <w:shd w:val="clear" w:color="auto" w:fill="FFFFFF"/>
        </w:rPr>
        <w:t>’</w:t>
      </w:r>
      <w:r w:rsidRPr="00A6332F">
        <w:rPr>
          <w:b/>
          <w:color w:val="1E1E1E"/>
          <w:sz w:val="24"/>
          <w:szCs w:val="24"/>
          <w:shd w:val="clear" w:color="auto" w:fill="FFFFFF"/>
        </w:rPr>
        <w:t>t</w:t>
      </w:r>
      <w:r w:rsidRPr="00A6332F">
        <w:rPr>
          <w:color w:val="1E1E1E"/>
          <w:sz w:val="24"/>
          <w:szCs w:val="24"/>
          <w:shd w:val="clear" w:color="auto" w:fill="FFFFFF"/>
        </w:rPr>
        <w:t>, 20</w:t>
      </w:r>
      <w:r>
        <w:rPr>
          <w:color w:val="1E1E1E"/>
          <w:sz w:val="24"/>
          <w:szCs w:val="24"/>
          <w:shd w:val="clear" w:color="auto" w:fill="FFFFFF"/>
        </w:rPr>
        <w:t>1</w:t>
      </w:r>
      <w:r w:rsidRPr="00A6332F">
        <w:rPr>
          <w:color w:val="1E1E1E"/>
          <w:sz w:val="24"/>
          <w:szCs w:val="24"/>
          <w:shd w:val="clear" w:color="auto" w:fill="FFFFFF"/>
        </w:rPr>
        <w:t>8 COA 136</w:t>
      </w:r>
      <w:r w:rsidR="00891A22">
        <w:rPr>
          <w:color w:val="1E1E1E"/>
          <w:sz w:val="24"/>
          <w:szCs w:val="24"/>
          <w:shd w:val="clear" w:color="auto" w:fill="FFFFFF"/>
        </w:rPr>
        <w:t>,</w:t>
      </w:r>
      <w:r w:rsidRPr="00A6332F">
        <w:rPr>
          <w:color w:val="1E1E1E"/>
          <w:sz w:val="24"/>
          <w:szCs w:val="24"/>
          <w:shd w:val="clear" w:color="auto" w:fill="FFFFFF"/>
        </w:rPr>
        <w:t xml:space="preserve"> ¶ 56</w:t>
      </w:r>
      <w:r>
        <w:rPr>
          <w:color w:val="1E1E1E"/>
          <w:sz w:val="24"/>
          <w:szCs w:val="24"/>
          <w:shd w:val="clear" w:color="auto" w:fill="FFFFFF"/>
        </w:rPr>
        <w:t>, 440 P.3d 1179</w:t>
      </w:r>
      <w:r w:rsidRPr="00A6332F">
        <w:rPr>
          <w:color w:val="1E1E1E"/>
          <w:sz w:val="24"/>
          <w:szCs w:val="24"/>
          <w:shd w:val="clear" w:color="auto" w:fill="FFFFFF"/>
        </w:rPr>
        <w:t xml:space="preserve"> (“when a clear and conspicuous disclaimer informs an employee that he or she cannot reasonably rely on termination procedures or substantive restrictions on termination contained in an employee manual, a claim based on an implied contract claim ordinarily fails as a matter of law”)</w:t>
      </w:r>
      <w:r>
        <w:rPr>
          <w:color w:val="1E1E1E"/>
          <w:sz w:val="24"/>
          <w:szCs w:val="24"/>
          <w:shd w:val="clear" w:color="auto" w:fill="FFFFFF"/>
        </w:rPr>
        <w:t>.</w:t>
      </w:r>
    </w:p>
    <w:p w14:paraId="6465F7F9" w14:textId="6C9A4780" w:rsidR="00F755B7" w:rsidRPr="00F755B7" w:rsidRDefault="00753103" w:rsidP="00F755B7">
      <w:pPr>
        <w:spacing w:after="240"/>
        <w:ind w:firstLine="720"/>
        <w:rPr>
          <w:rFonts w:eastAsia="Times New Roman"/>
          <w:bCs/>
          <w:sz w:val="24"/>
          <w:szCs w:val="24"/>
        </w:rPr>
      </w:pPr>
      <w:r>
        <w:rPr>
          <w:rFonts w:eastAsia="Times New Roman"/>
          <w:bCs/>
          <w:sz w:val="24"/>
          <w:szCs w:val="24"/>
        </w:rPr>
        <w:t>10</w:t>
      </w:r>
      <w:r w:rsidR="00F755B7" w:rsidRPr="00F755B7">
        <w:rPr>
          <w:rFonts w:eastAsia="Times New Roman"/>
          <w:bCs/>
          <w:sz w:val="24"/>
          <w:szCs w:val="24"/>
        </w:rPr>
        <w:t xml:space="preserve">. A contract may be unenforceable in some circumstances when it is so unfair as to be unconscionable. </w:t>
      </w:r>
      <w:r w:rsidR="00F755B7" w:rsidRPr="00F755B7">
        <w:rPr>
          <w:rFonts w:eastAsia="Times New Roman"/>
          <w:b/>
          <w:bCs/>
          <w:sz w:val="24"/>
          <w:szCs w:val="24"/>
        </w:rPr>
        <w:t>Davis v. M.L.G. Corp.</w:t>
      </w:r>
      <w:r w:rsidR="00F755B7"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00F755B7" w:rsidRPr="00F755B7">
        <w:rPr>
          <w:rFonts w:eastAsia="Times New Roman"/>
          <w:b/>
          <w:bCs/>
          <w:sz w:val="24"/>
          <w:szCs w:val="24"/>
        </w:rPr>
        <w:t>Planned Pethood Plus, Inc. v. KeyCorp, Inc.</w:t>
      </w:r>
      <w:r w:rsidR="00F755B7"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00F755B7" w:rsidRPr="00F755B7">
        <w:rPr>
          <w:rFonts w:eastAsia="Times New Roman"/>
          <w:bCs/>
          <w:i/>
          <w:sz w:val="24"/>
          <w:szCs w:val="24"/>
        </w:rPr>
        <w:t>cf.</w:t>
      </w:r>
      <w:r w:rsidR="00F755B7" w:rsidRPr="00F755B7">
        <w:rPr>
          <w:rFonts w:eastAsia="Times New Roman"/>
          <w:bCs/>
          <w:sz w:val="24"/>
          <w:szCs w:val="24"/>
        </w:rPr>
        <w:t xml:space="preserve"> </w:t>
      </w:r>
      <w:r w:rsidR="00F755B7" w:rsidRPr="00F755B7">
        <w:rPr>
          <w:rFonts w:eastAsia="Times New Roman"/>
          <w:b/>
          <w:bCs/>
          <w:sz w:val="24"/>
          <w:szCs w:val="24"/>
        </w:rPr>
        <w:t>Bailey</w:t>
      </w:r>
      <w:r w:rsidR="00F755B7" w:rsidRPr="00F755B7">
        <w:rPr>
          <w:rFonts w:eastAsia="Times New Roman"/>
          <w:bCs/>
          <w:sz w:val="24"/>
          <w:szCs w:val="24"/>
        </w:rPr>
        <w:t>, 255 P.3d at 1057 (provision in widely used standard rental agreement avoiding coverage when car used in commission of a crime not unconscionable and did not violate the reasonable expectations of the insured).</w:t>
      </w:r>
    </w:p>
    <w:p w14:paraId="36E705F7" w14:textId="07D2FEA4" w:rsidR="00F755B7" w:rsidRPr="00F755B7" w:rsidRDefault="00753103" w:rsidP="00F755B7">
      <w:pPr>
        <w:spacing w:after="240"/>
        <w:ind w:firstLine="720"/>
        <w:rPr>
          <w:rFonts w:eastAsia="Times New Roman"/>
          <w:bCs/>
          <w:sz w:val="24"/>
          <w:szCs w:val="24"/>
        </w:rPr>
      </w:pPr>
      <w:r>
        <w:rPr>
          <w:rFonts w:eastAsia="Times New Roman"/>
          <w:bCs/>
          <w:sz w:val="24"/>
          <w:szCs w:val="24"/>
        </w:rPr>
        <w:t>11</w:t>
      </w:r>
      <w:r w:rsidR="00F755B7" w:rsidRPr="00F755B7">
        <w:rPr>
          <w:rFonts w:eastAsia="Times New Roman"/>
          <w:bCs/>
          <w:sz w:val="24"/>
          <w:szCs w:val="24"/>
        </w:rPr>
        <w:t xml:space="preserve">. A limitation of liability term in a contract is not enforceable where </w:t>
      </w:r>
      <w:r w:rsidR="00716C9E">
        <w:rPr>
          <w:rFonts w:eastAsia="Times New Roman"/>
          <w:bCs/>
          <w:sz w:val="24"/>
          <w:szCs w:val="24"/>
        </w:rPr>
        <w:t>the party seeking to enforce the limitation has willfully and wantonly breached the contract</w:t>
      </w:r>
      <w:r w:rsidR="00F755B7" w:rsidRPr="00F755B7">
        <w:rPr>
          <w:rFonts w:eastAsia="Times New Roman"/>
          <w:bCs/>
          <w:sz w:val="24"/>
          <w:szCs w:val="24"/>
        </w:rPr>
        <w:t xml:space="preserve">. </w:t>
      </w:r>
      <w:r w:rsidR="00F755B7" w:rsidRPr="00F755B7">
        <w:rPr>
          <w:rFonts w:eastAsia="Times New Roman"/>
          <w:b/>
          <w:bCs/>
          <w:sz w:val="24"/>
          <w:szCs w:val="24"/>
        </w:rPr>
        <w:t>Core-Mark Midcontinent, Inc. v. Sonitrol Corp.</w:t>
      </w:r>
      <w:r w:rsidR="00F755B7" w:rsidRPr="00F755B7">
        <w:rPr>
          <w:rFonts w:eastAsia="Times New Roman"/>
          <w:bCs/>
          <w:sz w:val="24"/>
          <w:szCs w:val="24"/>
        </w:rPr>
        <w:t xml:space="preserve">, 2012 COA 120, ¶ 16, 300 P.3d 963 (whether a breach is willful and wanton presents a question of fact for the jury); </w:t>
      </w:r>
      <w:r w:rsidR="00F755B7" w:rsidRPr="00F755B7">
        <w:rPr>
          <w:rFonts w:eastAsia="Times New Roman"/>
          <w:b/>
          <w:bCs/>
          <w:sz w:val="24"/>
          <w:szCs w:val="24"/>
        </w:rPr>
        <w:t>Taylor Morrison of Colo.</w:t>
      </w:r>
      <w:r w:rsidR="00FB29B2">
        <w:rPr>
          <w:rFonts w:eastAsia="Times New Roman"/>
          <w:b/>
          <w:bCs/>
          <w:sz w:val="24"/>
          <w:szCs w:val="24"/>
        </w:rPr>
        <w:t>,</w:t>
      </w:r>
      <w:r w:rsidR="00F755B7" w:rsidRPr="00F755B7">
        <w:rPr>
          <w:rFonts w:eastAsia="Times New Roman"/>
          <w:b/>
          <w:bCs/>
          <w:sz w:val="24"/>
          <w:szCs w:val="24"/>
        </w:rPr>
        <w:t xml:space="preserve"> Inc., v. Terracon Consultants, Inc.</w:t>
      </w:r>
      <w:r w:rsidR="00F755B7" w:rsidRPr="00F755B7">
        <w:rPr>
          <w:rFonts w:eastAsia="Times New Roman"/>
          <w:bCs/>
          <w:sz w:val="24"/>
          <w:szCs w:val="24"/>
        </w:rPr>
        <w:t>, 2017 COA 64, ¶ 10</w:t>
      </w:r>
      <w:r w:rsidR="00F06ADD">
        <w:rPr>
          <w:rFonts w:eastAsia="Times New Roman"/>
          <w:bCs/>
          <w:sz w:val="24"/>
          <w:szCs w:val="24"/>
        </w:rPr>
        <w:t>, 410 P.3d 767</w:t>
      </w:r>
      <w:r w:rsidR="00F755B7" w:rsidRPr="00F755B7">
        <w:rPr>
          <w:rFonts w:eastAsia="Times New Roman"/>
          <w:bCs/>
          <w:sz w:val="24"/>
          <w:szCs w:val="24"/>
        </w:rPr>
        <w:t xml:space="preserve"> (jury concluded that defendant’s conduct was not “willful and wanton” and court enforced clause limiting defendant’s liability for breach).</w:t>
      </w:r>
    </w:p>
    <w:p w14:paraId="57DCADE5" w14:textId="447F83C3"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1</w:t>
      </w:r>
      <w:r w:rsidR="00753103">
        <w:rPr>
          <w:rFonts w:eastAsia="Times New Roman"/>
          <w:bCs/>
          <w:sz w:val="24"/>
          <w:szCs w:val="24"/>
        </w:rPr>
        <w:t>2</w:t>
      </w:r>
      <w:r w:rsidRPr="00F755B7">
        <w:rPr>
          <w:rFonts w:eastAsia="Times New Roman"/>
          <w:bCs/>
          <w:sz w:val="24"/>
          <w:szCs w:val="24"/>
        </w:rPr>
        <w:t xml:space="preserve">. The defense of noncooperation in an insurance context must be pleaded as either an affirmative defense or a failure of condition precedent. </w:t>
      </w:r>
      <w:r w:rsidRPr="00F755B7">
        <w:rPr>
          <w:rFonts w:eastAsia="Times New Roman"/>
          <w:b/>
          <w:bCs/>
          <w:sz w:val="24"/>
          <w:szCs w:val="24"/>
        </w:rPr>
        <w:t>Soicher v. State Farm Mut. Auto. Ins. Co</w:t>
      </w:r>
      <w:r w:rsidRPr="00F755B7">
        <w:rPr>
          <w:rFonts w:eastAsia="Times New Roman"/>
          <w:bCs/>
          <w:sz w:val="24"/>
          <w:szCs w:val="24"/>
        </w:rPr>
        <w:t>., 2015 COA 46, ¶ 2, 351 P.3d 559 (holding that failure to cooperate may not be raised for first time in a proposed verdict form).</w:t>
      </w:r>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20" w:name="a30_18"/>
      <w:bookmarkEnd w:id="20"/>
      <w:r w:rsidRPr="002E1D1B">
        <w:rPr>
          <w:rFonts w:eastAsia="Times New Roman"/>
          <w:b/>
          <w:bCs/>
          <w:sz w:val="24"/>
          <w:szCs w:val="24"/>
        </w:rPr>
        <w:lastRenderedPageBreak/>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5. The defendant’s reliance caused (him) (her)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Restatement (Second) 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797 P.2d </w:t>
      </w:r>
      <w:r w:rsidRPr="002E1D1B">
        <w:rPr>
          <w:rFonts w:eastAsia="Times New Roman"/>
          <w:bCs/>
          <w:sz w:val="24"/>
          <w:szCs w:val="24"/>
        </w:rPr>
        <w:lastRenderedPageBreak/>
        <w:t xml:space="preserve">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may:</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Club Matrix, LLC v. Nassi</w:t>
      </w:r>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he or she may take course a or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Ackmann v. Merchants Mortg. &amp; Trust Corp.</w:t>
      </w:r>
      <w:r w:rsidRPr="002E1D1B">
        <w:rPr>
          <w:rFonts w:eastAsia="Times New Roman"/>
          <w:bCs/>
          <w:sz w:val="24"/>
          <w:szCs w:val="24"/>
        </w:rPr>
        <w:t xml:space="preserve">, 659 P.2d 697 (Colo. App. 1982), </w:t>
      </w:r>
      <w:r w:rsidRPr="002E1D1B">
        <w:rPr>
          <w:rFonts w:eastAsia="Times New Roman"/>
          <w:bCs/>
          <w:i/>
          <w:sz w:val="24"/>
          <w:szCs w:val="24"/>
        </w:rPr>
        <w:t xml:space="preserve">rev’d on other grounds sub nom. </w:t>
      </w:r>
      <w:r w:rsidRPr="002E1D1B">
        <w:rPr>
          <w:rFonts w:eastAsia="Times New Roman"/>
          <w:b/>
          <w:bCs/>
          <w:sz w:val="24"/>
          <w:szCs w:val="24"/>
        </w:rPr>
        <w:t>Kopeikin v. Merchants Mortg.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counterclaim for a or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W. Cities Broad., Inc. v. Schueller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r w:rsidRPr="002E1D1B">
        <w:rPr>
          <w:rFonts w:eastAsia="Times New Roman"/>
          <w:bCs/>
          <w:i/>
          <w:sz w:val="24"/>
          <w:szCs w:val="24"/>
        </w:rPr>
        <w:t>rev’d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Colo. Interstate Gas Co. v. Chemco,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r w:rsidRPr="002E1D1B">
        <w:rPr>
          <w:rFonts w:eastAsia="Times New Roman"/>
          <w:b/>
          <w:bCs/>
          <w:sz w:val="24"/>
          <w:szCs w:val="24"/>
        </w:rPr>
        <w:t>Neiheisel v. Malone</w:t>
      </w:r>
      <w:r w:rsidRPr="002E1D1B">
        <w:rPr>
          <w:rFonts w:eastAsia="Times New Roman"/>
          <w:bCs/>
          <w:sz w:val="24"/>
          <w:szCs w:val="24"/>
        </w:rPr>
        <w:t xml:space="preserve">, 150 Colo. 586, 375 P.2d 197 (1962); </w:t>
      </w:r>
      <w:r w:rsidRPr="002E1D1B">
        <w:rPr>
          <w:rFonts w:eastAsia="Times New Roman"/>
          <w:b/>
          <w:bCs/>
          <w:sz w:val="24"/>
          <w:szCs w:val="24"/>
        </w:rPr>
        <w:t>Aaberg v. H.A. Harman Co.</w:t>
      </w:r>
      <w:r w:rsidRPr="002E1D1B">
        <w:rPr>
          <w:rFonts w:eastAsia="Times New Roman"/>
          <w:bCs/>
          <w:sz w:val="24"/>
          <w:szCs w:val="24"/>
        </w:rPr>
        <w:t xml:space="preserve">, 144 Colo. 579, 358 P.2d 601 (1960). On many occasions, the courts have also stated the rule that the defrauded person, having </w:t>
      </w:r>
      <w:r w:rsidRPr="002E1D1B">
        <w:rPr>
          <w:rFonts w:eastAsia="Times New Roman"/>
          <w:bCs/>
          <w:sz w:val="24"/>
          <w:szCs w:val="24"/>
        </w:rPr>
        <w:lastRenderedPageBreak/>
        <w:t xml:space="preserve">learned of the fraud, must, if that person elects to rescind, give notice promptly of his or her intention to do so.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Gerbaz v. Hulsey</w:t>
      </w:r>
      <w:r w:rsidRPr="002E1D1B">
        <w:rPr>
          <w:rFonts w:eastAsia="Times New Roman"/>
          <w:bCs/>
          <w:sz w:val="24"/>
          <w:szCs w:val="24"/>
        </w:rPr>
        <w:t xml:space="preserve">, 132 Colo. 359, 288 P.2d 357 (1955); </w:t>
      </w:r>
      <w:r w:rsidRPr="002E1D1B">
        <w:rPr>
          <w:rFonts w:eastAsia="Times New Roman"/>
          <w:b/>
          <w:bCs/>
          <w:sz w:val="24"/>
          <w:szCs w:val="24"/>
        </w:rPr>
        <w:t>Tisdel v. Central Sav. Bank &amp; Trust Co.</w:t>
      </w:r>
      <w:r w:rsidRPr="002E1D1B">
        <w:rPr>
          <w:rFonts w:eastAsia="Times New Roman"/>
          <w:bCs/>
          <w:sz w:val="24"/>
          <w:szCs w:val="24"/>
        </w:rPr>
        <w:t xml:space="preserve">, 90 Colo. 114, 6 P.2d 912 (1931); </w:t>
      </w:r>
      <w:r w:rsidRPr="002E1D1B">
        <w:rPr>
          <w:rFonts w:eastAsia="Times New Roman"/>
          <w:b/>
          <w:bCs/>
          <w:sz w:val="24"/>
          <w:szCs w:val="24"/>
        </w:rPr>
        <w:t>Elk River Assocs. v. Huskin</w:t>
      </w:r>
      <w:r w:rsidRPr="002E1D1B">
        <w:rPr>
          <w:rFonts w:eastAsia="Times New Roman"/>
          <w:bCs/>
          <w:sz w:val="24"/>
          <w:szCs w:val="24"/>
        </w:rPr>
        <w:t>, 691 P.2d 1148 (Colo. App. 1984).</w:t>
      </w:r>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r w:rsidRPr="002E1D1B">
        <w:rPr>
          <w:rFonts w:eastAsia="Times New Roman"/>
          <w:b/>
          <w:bCs/>
          <w:sz w:val="24"/>
          <w:szCs w:val="24"/>
        </w:rPr>
        <w:t>Stewart v. Blanning</w:t>
      </w:r>
      <w:r w:rsidRPr="002E1D1B">
        <w:rPr>
          <w:rFonts w:eastAsia="Times New Roman"/>
          <w:bCs/>
          <w:sz w:val="24"/>
          <w:szCs w:val="24"/>
        </w:rPr>
        <w:t>, 677 P.2d 1382 (Colo. App. 1984).</w:t>
      </w:r>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r w:rsidRPr="002E1D1B">
        <w:rPr>
          <w:rFonts w:eastAsia="Times New Roman"/>
          <w:b/>
          <w:bCs/>
          <w:sz w:val="24"/>
          <w:szCs w:val="24"/>
        </w:rPr>
        <w:t>Gerbaz</w:t>
      </w:r>
      <w:r w:rsidRPr="002E1D1B">
        <w:rPr>
          <w:rFonts w:eastAsia="Times New Roman"/>
          <w:bCs/>
          <w:sz w:val="24"/>
          <w:szCs w:val="24"/>
        </w:rPr>
        <w:t xml:space="preserve">, 132 Colo. at 363, 288 P.2d at 359. When one uses fraud in the inducement as a defense to a breach of contract action that person is in effect claiming a right to “rescind” the contract and consider himself or herself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666 P.2d 1122, 1124-25 (Colo. App. 1983).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misrepresentation is sufficient.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Bassford v. Cook</w:t>
      </w:r>
      <w:r w:rsidRPr="002E1D1B">
        <w:rPr>
          <w:rFonts w:eastAsia="Times New Roman"/>
          <w:bCs/>
          <w:sz w:val="24"/>
          <w:szCs w:val="24"/>
        </w:rPr>
        <w:t xml:space="preserve">, 152 Colo. 136, 380 P.2d 907 (1963) </w:t>
      </w:r>
      <w:r w:rsidRPr="002E1D1B">
        <w:rPr>
          <w:rFonts w:eastAsia="Times New Roman"/>
          <w:bCs/>
          <w:sz w:val="24"/>
          <w:szCs w:val="24"/>
        </w:rPr>
        <w:lastRenderedPageBreak/>
        <w:t xml:space="preserve">(dictum,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1" w:name="a30_19"/>
      <w:bookmarkEnd w:id="21"/>
      <w:r w:rsidRPr="002E1D1B">
        <w:rPr>
          <w:rFonts w:eastAsia="Times New Roman"/>
          <w:b/>
          <w:bCs/>
          <w:sz w:val="24"/>
          <w:szCs w:val="24"/>
        </w:rPr>
        <w:lastRenderedPageBreak/>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At the time the defendant entered into the (claimed) contract, the defendant was not acting of (his) (her)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The burdens of pleading and proving undue influence in an arm’s length transaction are on the party asserting it. C.R.C.P. 8(c).</w:t>
      </w:r>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r w:rsidRPr="002E1D1B">
        <w:rPr>
          <w:rFonts w:eastAsia="Times New Roman"/>
          <w:b/>
          <w:bCs/>
          <w:sz w:val="24"/>
          <w:szCs w:val="24"/>
        </w:rPr>
        <w:t>Lighthall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cmt. b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2" w:name="a30_20"/>
      <w:bookmarkEnd w:id="22"/>
      <w:r w:rsidRPr="00BC29F9">
        <w:rPr>
          <w:rFonts w:eastAsia="Times New Roman"/>
          <w:b/>
          <w:bCs/>
          <w:sz w:val="24"/>
          <w:szCs w:val="24"/>
        </w:rPr>
        <w:lastRenderedPageBreak/>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At the time the defendant entered into the (claimed) contract, the defendant was not acting of (his) (her)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burdens of pleading and proving duress in an arm’s length transaction are on the party asserting it. C.R.C.P. 8(c).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Barrows v. McMurtry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DeJean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r w:rsidRPr="00BC29F9">
        <w:rPr>
          <w:rFonts w:eastAsia="Times New Roman"/>
          <w:b/>
          <w:bCs/>
          <w:sz w:val="24"/>
          <w:szCs w:val="24"/>
        </w:rPr>
        <w:t>Heald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r w:rsidRPr="00BC29F9">
        <w:rPr>
          <w:rFonts w:eastAsia="Times New Roman"/>
          <w:b/>
          <w:bCs/>
          <w:sz w:val="24"/>
          <w:szCs w:val="24"/>
        </w:rPr>
        <w:t>McClair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Pittman v. Larson Distrib. Co.</w:t>
      </w:r>
      <w:r w:rsidRPr="00BC29F9">
        <w:rPr>
          <w:rFonts w:eastAsia="Times New Roman"/>
          <w:bCs/>
          <w:sz w:val="24"/>
          <w:szCs w:val="24"/>
        </w:rPr>
        <w:t xml:space="preserve">, 724 P.2d 1379, 1384 (Colo. App. 1986) (“The threat of blacklisting an employee in an industry is a form of coercion that constitutes duress as a matter of law[.]”); </w:t>
      </w:r>
      <w:r w:rsidRPr="00BC29F9">
        <w:rPr>
          <w:rFonts w:eastAsia="Times New Roman"/>
          <w:b/>
          <w:bCs/>
          <w:sz w:val="24"/>
          <w:szCs w:val="24"/>
        </w:rPr>
        <w:t>Wiesen v. Short</w:t>
      </w:r>
      <w:r w:rsidRPr="00BC29F9">
        <w:rPr>
          <w:rFonts w:eastAsia="Times New Roman"/>
          <w:bCs/>
          <w:sz w:val="24"/>
          <w:szCs w:val="24"/>
        </w:rPr>
        <w:t xml:space="preserve">, 43 </w:t>
      </w:r>
      <w:r w:rsidRPr="00BC29F9">
        <w:rPr>
          <w:rFonts w:eastAsia="Times New Roman"/>
          <w:bCs/>
          <w:sz w:val="24"/>
          <w:szCs w:val="24"/>
        </w:rPr>
        <w:lastRenderedPageBreak/>
        <w:t xml:space="preserve">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Premier Farm Credit, PCA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3" w:name="a30_21"/>
      <w:bookmarkEnd w:id="23"/>
      <w:r w:rsidRPr="00BC29F9">
        <w:rPr>
          <w:rFonts w:eastAsia="Times New Roman"/>
          <w:b/>
          <w:bCs/>
          <w:sz w:val="24"/>
          <w:szCs w:val="24"/>
        </w:rPr>
        <w:lastRenderedPageBreak/>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r w:rsidRPr="00BC29F9">
        <w:rPr>
          <w:rFonts w:eastAsia="Times New Roman"/>
          <w:b/>
          <w:bCs/>
          <w:sz w:val="24"/>
          <w:szCs w:val="24"/>
        </w:rPr>
        <w:t>Sipes v. Sipes</w:t>
      </w:r>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Perkins v. Westcoat</w:t>
      </w:r>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r w:rsidRPr="00BC29F9">
        <w:rPr>
          <w:rFonts w:eastAsia="Times New Roman"/>
          <w:b/>
          <w:bCs/>
          <w:sz w:val="24"/>
          <w:szCs w:val="24"/>
        </w:rPr>
        <w:t>Keser v. Chagnon</w:t>
      </w:r>
      <w:r w:rsidRPr="00BC29F9">
        <w:rPr>
          <w:rFonts w:eastAsia="Times New Roman"/>
          <w:bCs/>
          <w:sz w:val="24"/>
          <w:szCs w:val="24"/>
        </w:rPr>
        <w:t xml:space="preserve">, 159 Colo. 209, 410 P.2d 637 (1966); and </w:t>
      </w:r>
      <w:r w:rsidRPr="00BC29F9">
        <w:rPr>
          <w:rFonts w:eastAsia="Times New Roman"/>
          <w:b/>
          <w:bCs/>
          <w:sz w:val="24"/>
          <w:szCs w:val="24"/>
        </w:rPr>
        <w:t>Doenges-Long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r w:rsidRPr="00BC29F9">
        <w:rPr>
          <w:rFonts w:eastAsia="Times New Roman"/>
          <w:b/>
          <w:bCs/>
          <w:sz w:val="24"/>
          <w:szCs w:val="24"/>
        </w:rPr>
        <w:t>Doenges-Long Motors, Inc.</w:t>
      </w:r>
      <w:r w:rsidRPr="00BC29F9">
        <w:rPr>
          <w:rFonts w:eastAsia="Times New Roman"/>
          <w:bCs/>
          <w:sz w:val="24"/>
          <w:szCs w:val="24"/>
        </w:rPr>
        <w:t>, 138 Colo. at 38-39, 328 P.2d at 1081.</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4" w:name="a30_22"/>
      <w:bookmarkEnd w:id="24"/>
      <w:r w:rsidRPr="00BC29F9">
        <w:rPr>
          <w:rFonts w:eastAsia="Times New Roman"/>
          <w:b/>
          <w:bCs/>
          <w:sz w:val="24"/>
          <w:szCs w:val="24"/>
        </w:rPr>
        <w:lastRenderedPageBreak/>
        <w:t>30:22</w:t>
      </w:r>
      <w:r w:rsidRPr="00BC29F9">
        <w:rPr>
          <w:rFonts w:eastAsia="Times New Roman"/>
          <w:b/>
          <w:bCs/>
          <w:sz w:val="24"/>
          <w:szCs w:val="24"/>
        </w:rPr>
        <w:tab/>
        <w:t>DEFENSE ― MENTAL INCAPACITY</w:t>
      </w:r>
    </w:p>
    <w:p w14:paraId="7DF5007C"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(he) (she)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in conjunction with Instruction 34:12, which defines the term “insane delusion.”</w:t>
      </w:r>
    </w:p>
    <w:p w14:paraId="2BC5D6A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in conjunction with Instruction 3:5 regarding presumptions. There is always, in civil as well as criminal actions, a presumption of sanity. </w:t>
      </w:r>
      <w:r w:rsidRPr="00BC29F9">
        <w:rPr>
          <w:rFonts w:eastAsia="Times New Roman"/>
          <w:b/>
          <w:bCs/>
          <w:sz w:val="24"/>
          <w:szCs w:val="24"/>
        </w:rPr>
        <w:t>Hanks v. McNeil Coal Corp</w:t>
      </w:r>
      <w:r w:rsidRPr="00BC29F9">
        <w:rPr>
          <w:rFonts w:eastAsia="Times New Roman"/>
          <w:bCs/>
          <w:sz w:val="24"/>
          <w:szCs w:val="24"/>
        </w:rPr>
        <w:t xml:space="preserve">., 114 Colo. 578, 168 P.2d 256 (1946).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168 P.2d at 261-62. </w:t>
      </w:r>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5" w:name="a30_23"/>
      <w:bookmarkEnd w:id="25"/>
      <w:r w:rsidRPr="00BC29F9">
        <w:rPr>
          <w:rFonts w:eastAsia="Times New Roman"/>
          <w:b/>
          <w:bCs/>
          <w:sz w:val="24"/>
          <w:szCs w:val="24"/>
        </w:rPr>
        <w:lastRenderedPageBreak/>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not be given if the parties in their contract have impliedly or expressly dealt with the contingency giving rise to the claim of impossibility and have allocated the risk of the contingency taking place in a manner that would be inconsistent with paragraph 1 of this instruction. 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with goods that suffer casualty without fault of either party before the risk of loss passes to the buyer; with substitute performance; and with a delay in delivery or nondelivery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w:t>
      </w:r>
      <w:r w:rsidRPr="0000321C">
        <w:rPr>
          <w:rFonts w:eastAsia="Times New Roman"/>
          <w:bCs/>
          <w:sz w:val="24"/>
          <w:szCs w:val="24"/>
        </w:rPr>
        <w:lastRenderedPageBreak/>
        <w:t xml:space="preserve">(impossibility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James P. Nehf, Corbin on Contracts</w:t>
      </w:r>
      <w:r w:rsidRPr="0000321C">
        <w:rPr>
          <w:rFonts w:eastAsia="Times New Roman"/>
          <w:bCs/>
          <w:sz w:val="24"/>
          <w:szCs w:val="24"/>
        </w:rPr>
        <w:t xml:space="preserve"> § 74.1 (Joseph M. Perillo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Magnetic Copy Servs.,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costly, does not constitute impossibility. </w:t>
      </w:r>
      <w:r w:rsidRPr="0000321C">
        <w:rPr>
          <w:rFonts w:eastAsia="Times New Roman"/>
          <w:b/>
          <w:bCs/>
          <w:sz w:val="24"/>
          <w:szCs w:val="24"/>
        </w:rPr>
        <w:t>Seago v. Fellet</w:t>
      </w:r>
      <w:r w:rsidRPr="0000321C">
        <w:rPr>
          <w:rFonts w:eastAsia="Times New Roman"/>
          <w:bCs/>
          <w:sz w:val="24"/>
          <w:szCs w:val="24"/>
        </w:rPr>
        <w:t xml:space="preserve">, 676 P.2d 1224, 1227 (Colo. App. 1983) (“[I]ncreased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r w:rsidRPr="0000321C">
        <w:rPr>
          <w:rFonts w:eastAsia="Times New Roman"/>
          <w:bCs/>
          <w:i/>
          <w:sz w:val="24"/>
          <w:szCs w:val="24"/>
        </w:rPr>
        <w:t>rev’d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26DACDB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Cornerstone Grp. XXII, L.L.C.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r w:rsidRPr="0000321C">
        <w:rPr>
          <w:rFonts w:eastAsia="Times New Roman"/>
          <w:bCs/>
          <w:i/>
          <w:sz w:val="24"/>
          <w:szCs w:val="24"/>
        </w:rPr>
        <w:t>rev’d on other grounds</w:t>
      </w:r>
      <w:r w:rsidRPr="0000321C">
        <w:rPr>
          <w:rFonts w:eastAsia="Times New Roman"/>
          <w:bCs/>
          <w:sz w:val="24"/>
          <w:szCs w:val="24"/>
        </w:rPr>
        <w:t xml:space="preserve">, 176 P.3d 737 (Colo. 2007). </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6" w:name="a30_24"/>
      <w:bookmarkEnd w:id="26"/>
      <w:r w:rsidRPr="0000321C">
        <w:rPr>
          <w:rFonts w:eastAsia="Times New Roman"/>
          <w:b/>
          <w:bCs/>
          <w:sz w:val="24"/>
          <w:szCs w:val="24"/>
        </w:rPr>
        <w:lastRenderedPageBreak/>
        <w:t>30:24</w:t>
      </w:r>
      <w:r w:rsidRPr="0000321C">
        <w:rPr>
          <w:rFonts w:eastAsia="Times New Roman"/>
          <w:b/>
          <w:bCs/>
          <w:sz w:val="24"/>
          <w:szCs w:val="24"/>
        </w:rPr>
        <w:tab/>
        <w:t>DEFENSE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1. By words or conduct, or both, the plaintiff caused the defendant not to perform (his) (her) (its) obligation as required by the (claimed) contract; and</w:t>
      </w:r>
    </w:p>
    <w:p w14:paraId="68F958F6"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2. The plaintiff actually knew, or knew there was a substantial likelihood, (his) (her)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Perillo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7" w:name="a30_25"/>
      <w:bookmarkEnd w:id="27"/>
      <w:r w:rsidRPr="0000321C">
        <w:rPr>
          <w:rFonts w:eastAsia="Times New Roman"/>
          <w:b/>
          <w:bCs/>
          <w:sz w:val="24"/>
          <w:szCs w:val="24"/>
        </w:rPr>
        <w:lastRenderedPageBreak/>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(his) (her) (its)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(him) (her)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6AEEB3CB"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r w:rsidRPr="0000321C">
        <w:rPr>
          <w:rFonts w:eastAsia="Times New Roman"/>
          <w:b/>
          <w:bCs/>
          <w:sz w:val="24"/>
          <w:szCs w:val="24"/>
        </w:rPr>
        <w:t>Melssen v. Auto-Owners Insurance Co.</w:t>
      </w:r>
      <w:r w:rsidRPr="0000321C">
        <w:rPr>
          <w:rFonts w:eastAsia="Times New Roman"/>
          <w:bCs/>
          <w:sz w:val="24"/>
          <w:szCs w:val="24"/>
        </w:rPr>
        <w:t xml:space="preserve">, 2012 COA 102, ¶ 39, 285 P.3d 328; </w:t>
      </w:r>
      <w:r w:rsidRPr="0000321C">
        <w:rPr>
          <w:rFonts w:eastAsia="Times New Roman"/>
          <w:b/>
          <w:bCs/>
          <w:sz w:val="24"/>
          <w:szCs w:val="24"/>
        </w:rPr>
        <w:t>People ex rel. Metzger v. Watrous</w:t>
      </w:r>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r w:rsidRPr="0000321C">
        <w:rPr>
          <w:rFonts w:eastAsia="Times New Roman"/>
          <w:b/>
          <w:bCs/>
          <w:sz w:val="24"/>
          <w:szCs w:val="24"/>
        </w:rPr>
        <w:t>Tarco,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Lookout Mountain Paradise Hills Homeowners’ Ass’n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 xml:space="preserve">Tripp v. </w:t>
      </w:r>
      <w:r w:rsidRPr="0000321C">
        <w:rPr>
          <w:rFonts w:eastAsia="Times New Roman"/>
          <w:b/>
          <w:bCs/>
          <w:sz w:val="24"/>
          <w:szCs w:val="24"/>
        </w:rPr>
        <w:lastRenderedPageBreak/>
        <w:t>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Western Cities Broadcasting, Inc. v. Schueller</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r w:rsidRPr="0000321C">
        <w:rPr>
          <w:rFonts w:eastAsia="Times New Roman"/>
          <w:b/>
          <w:bCs/>
          <w:sz w:val="24"/>
          <w:szCs w:val="24"/>
        </w:rPr>
        <w:t>Ebrahimi v. E.F.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r w:rsidRPr="0000321C">
        <w:rPr>
          <w:rFonts w:eastAsia="Times New Roman"/>
          <w:b/>
          <w:bCs/>
          <w:sz w:val="24"/>
          <w:szCs w:val="24"/>
        </w:rPr>
        <w:t>Magliocco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711 P.2d 708 (Colo. App. 1985) (waiver of right to repossess collateral)</w:t>
      </w:r>
      <w:r w:rsidR="005E7146">
        <w:rPr>
          <w:rFonts w:eastAsia="Times New Roman"/>
          <w:bCs/>
          <w:sz w:val="24"/>
          <w:szCs w:val="24"/>
        </w:rPr>
        <w:t>;</w:t>
      </w:r>
      <w:r w:rsidRPr="0000321C">
        <w:rPr>
          <w:rFonts w:eastAsia="Times New Roman"/>
          <w:bCs/>
          <w:sz w:val="24"/>
          <w:szCs w:val="24"/>
        </w:rPr>
        <w:t xml:space="preserve"> </w:t>
      </w:r>
      <w:r w:rsidRPr="0000321C">
        <w:rPr>
          <w:rFonts w:eastAsia="Times New Roman"/>
          <w:b/>
          <w:bCs/>
          <w:sz w:val="24"/>
          <w:szCs w:val="24"/>
        </w:rPr>
        <w:t>Barker v. Jeremiasen</w:t>
      </w:r>
      <w:r w:rsidRPr="0000321C">
        <w:rPr>
          <w:rFonts w:eastAsia="Times New Roman"/>
          <w:bCs/>
          <w:sz w:val="24"/>
          <w:szCs w:val="24"/>
        </w:rPr>
        <w:t xml:space="preserve">, 676 P.2d 1259 (Colo. App. 1984); and </w:t>
      </w:r>
      <w:r w:rsidRPr="0000321C">
        <w:rPr>
          <w:rFonts w:eastAsia="Times New Roman"/>
          <w:b/>
          <w:bCs/>
          <w:sz w:val="24"/>
          <w:szCs w:val="24"/>
        </w:rPr>
        <w:t>World of Sleep, Inc. v. Seidenfeld</w:t>
      </w:r>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r w:rsidRPr="0000321C">
        <w:rPr>
          <w:rFonts w:eastAsia="Times New Roman"/>
          <w:b/>
          <w:bCs/>
          <w:sz w:val="24"/>
          <w:szCs w:val="24"/>
        </w:rPr>
        <w:t>Widner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If the plaintiff’s claim is for a liquidated sum of money and the alleged waiver goes to the obligation to pay the debt, then, unless the act of waiver also constituted an estoppel by inducing reasonable detrimental reliance on the defendant’s part, it appears necessary for an effective waiver that the plaintiff must also have been relieved of some obligations that he or she still owed under the contract. </w:t>
      </w:r>
      <w:r w:rsidRPr="0000321C">
        <w:rPr>
          <w:rFonts w:eastAsia="Times New Roman"/>
          <w:bCs/>
          <w:i/>
          <w:sz w:val="24"/>
          <w:szCs w:val="24"/>
        </w:rPr>
        <w:t>See</w:t>
      </w:r>
      <w:r w:rsidRPr="0000321C">
        <w:rPr>
          <w:rFonts w:eastAsia="Times New Roman"/>
          <w:bCs/>
          <w:sz w:val="24"/>
          <w:szCs w:val="24"/>
        </w:rPr>
        <w:t xml:space="preserve"> 13 </w:t>
      </w:r>
      <w:r w:rsidRPr="0000321C">
        <w:rPr>
          <w:rFonts w:eastAsia="Times New Roman"/>
          <w:bCs/>
          <w:smallCaps/>
          <w:sz w:val="24"/>
          <w:szCs w:val="24"/>
        </w:rPr>
        <w:t>Sarah Howard Jenkins, Corbin on Contracts</w:t>
      </w:r>
      <w:r w:rsidRPr="0000321C">
        <w:rPr>
          <w:rFonts w:eastAsia="Times New Roman"/>
          <w:bCs/>
          <w:sz w:val="24"/>
          <w:szCs w:val="24"/>
        </w:rPr>
        <w:t xml:space="preserve"> § 67.10 (Joseph M. Perillo ed., rev. ed. 2003).</w:t>
      </w:r>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Armed Forces Bank, N.A. v. Hicks</w:t>
      </w:r>
      <w:r w:rsidRPr="0000321C">
        <w:rPr>
          <w:rFonts w:eastAsia="Times New Roman"/>
          <w:bCs/>
          <w:sz w:val="24"/>
          <w:szCs w:val="24"/>
        </w:rPr>
        <w:t>, 2014 COA 74, ¶ 28, 365 P.3d 378.</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28" w:name="a30_26"/>
      <w:bookmarkEnd w:id="28"/>
      <w:r w:rsidRPr="0000321C">
        <w:rPr>
          <w:rFonts w:eastAsia="Times New Roman"/>
          <w:b/>
          <w:bCs/>
          <w:sz w:val="24"/>
          <w:szCs w:val="24"/>
        </w:rPr>
        <w:lastRenderedPageBreak/>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r w:rsidRPr="0000321C">
        <w:rPr>
          <w:rFonts w:eastAsia="Times New Roman"/>
          <w:b/>
          <w:bCs/>
          <w:sz w:val="24"/>
          <w:szCs w:val="24"/>
        </w:rPr>
        <w:t>Jackson v. Am. Family Mut. Ins. Co.</w:t>
      </w:r>
      <w:r w:rsidRPr="0000321C">
        <w:rPr>
          <w:rFonts w:eastAsia="Times New Roman"/>
          <w:bCs/>
          <w:sz w:val="24"/>
          <w:szCs w:val="24"/>
        </w:rPr>
        <w:t>, 258 P.3d 328 (Colo. App. 2011).</w:t>
      </w:r>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First Interstate Bank of Denver, N.A. v. Berenbaum</w:t>
      </w:r>
      <w:r w:rsidRPr="0000321C">
        <w:rPr>
          <w:rFonts w:eastAsia="Times New Roman"/>
          <w:bCs/>
          <w:sz w:val="24"/>
          <w:szCs w:val="24"/>
        </w:rPr>
        <w:t>, 872 P.2d 1297 (Colo. App. 1993) (burden on plaintiff to show that statute had been tolled).</w:t>
      </w:r>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section 13-80-108, C.R.S.; </w:t>
      </w:r>
      <w:r w:rsidRPr="0000321C">
        <w:rPr>
          <w:rFonts w:eastAsia="Times New Roman"/>
          <w:b/>
          <w:bCs/>
          <w:sz w:val="24"/>
          <w:szCs w:val="24"/>
        </w:rPr>
        <w:t>Stice v. Peterson</w:t>
      </w:r>
      <w:r w:rsidRPr="0000321C">
        <w:rPr>
          <w:rFonts w:eastAsia="Times New Roman"/>
          <w:bCs/>
          <w:sz w:val="24"/>
          <w:szCs w:val="24"/>
        </w:rPr>
        <w:t xml:space="preserve">, 144 Colo. 219, 355 P.2d 948 (1960); and </w:t>
      </w:r>
      <w:r w:rsidRPr="0000321C">
        <w:rPr>
          <w:rFonts w:eastAsia="Times New Roman"/>
          <w:b/>
          <w:bCs/>
          <w:sz w:val="24"/>
          <w:szCs w:val="24"/>
        </w:rPr>
        <w:t>Koon v. Barmettler</w:t>
      </w:r>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r w:rsidRPr="0000321C">
        <w:rPr>
          <w:rFonts w:eastAsia="Times New Roman"/>
          <w:b/>
          <w:bCs/>
          <w:sz w:val="24"/>
          <w:szCs w:val="24"/>
        </w:rPr>
        <w:t>Hersh Cos. Inc. v. Highline Village Assocs.</w:t>
      </w:r>
      <w:r w:rsidRPr="0000321C">
        <w:rPr>
          <w:rFonts w:eastAsia="Times New Roman"/>
          <w:bCs/>
          <w:sz w:val="24"/>
          <w:szCs w:val="24"/>
        </w:rPr>
        <w:t xml:space="preserve">, 30 P.3d 221 (Colo. 2001) (breach of express warranty governed by three year statute for contracts); </w:t>
      </w:r>
      <w:r w:rsidRPr="0000321C">
        <w:rPr>
          <w:rFonts w:eastAsia="Times New Roman"/>
          <w:b/>
          <w:bCs/>
          <w:sz w:val="24"/>
          <w:szCs w:val="24"/>
        </w:rPr>
        <w:t>Neuromonitoring Assocs. v. Centura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CAMAS Colo., Inc. v. Bd. of Cty. Comm’rs</w:t>
      </w:r>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quantum meruit</w:t>
      </w:r>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Portercare Adventist Health Sys. v.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Cs/>
          <w:sz w:val="24"/>
          <w:szCs w:val="24"/>
        </w:rPr>
        <w:lastRenderedPageBreak/>
        <w:t xml:space="preserve">§ 4-2-725(1), C.R.S. (incorporating the period of limitation set out in section 13-80-101(1)(a),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C.R.C.P. 8(c).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Berenbaum</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1EC4431C" w:rsidR="0000321C" w:rsidRPr="0000321C" w:rsidRDefault="003333C4" w:rsidP="0000321C">
      <w:pPr>
        <w:spacing w:after="240"/>
        <w:ind w:firstLine="720"/>
        <w:rPr>
          <w:rFonts w:eastAsia="Times New Roman"/>
          <w:bCs/>
          <w:sz w:val="24"/>
          <w:szCs w:val="24"/>
        </w:rPr>
      </w:pPr>
      <w:r>
        <w:rPr>
          <w:rFonts w:eastAsia="Times New Roman"/>
          <w:bCs/>
          <w:sz w:val="24"/>
          <w:szCs w:val="24"/>
        </w:rPr>
        <w:t xml:space="preserve">4. </w:t>
      </w:r>
      <w:r w:rsidR="0000321C" w:rsidRPr="0000321C">
        <w:rPr>
          <w:rFonts w:eastAsia="Times New Roman"/>
          <w:bCs/>
          <w:sz w:val="24"/>
          <w:szCs w:val="24"/>
        </w:rPr>
        <w:t xml:space="preserve">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0000321C" w:rsidRPr="0000321C">
        <w:rPr>
          <w:rFonts w:eastAsia="Times New Roman"/>
          <w:b/>
          <w:bCs/>
          <w:sz w:val="24"/>
          <w:szCs w:val="24"/>
        </w:rPr>
        <w:t>Hutchins v. La Plata Mountain Res., Inc</w:t>
      </w:r>
      <w:r w:rsidR="0000321C" w:rsidRPr="0000321C">
        <w:rPr>
          <w:rFonts w:eastAsia="Times New Roman"/>
          <w:bCs/>
          <w:sz w:val="24"/>
          <w:szCs w:val="24"/>
        </w:rPr>
        <w:t xml:space="preserve">. 2016 CO 45, ¶ 10, 373 P.3d 582, 585; </w:t>
      </w:r>
      <w:r w:rsidR="0000321C" w:rsidRPr="0000321C">
        <w:rPr>
          <w:rFonts w:eastAsia="Times New Roman"/>
          <w:bCs/>
          <w:i/>
          <w:sz w:val="24"/>
          <w:szCs w:val="24"/>
        </w:rPr>
        <w:t>see also</w:t>
      </w:r>
      <w:r w:rsidR="0000321C" w:rsidRPr="0000321C">
        <w:rPr>
          <w:rFonts w:eastAsia="Times New Roman"/>
          <w:bCs/>
          <w:sz w:val="24"/>
          <w:szCs w:val="24"/>
        </w:rPr>
        <w:t xml:space="preserve"> </w:t>
      </w:r>
      <w:r w:rsidR="0000321C" w:rsidRPr="0000321C">
        <w:rPr>
          <w:rFonts w:eastAsia="Times New Roman"/>
          <w:b/>
          <w:bCs/>
          <w:sz w:val="24"/>
          <w:szCs w:val="24"/>
        </w:rPr>
        <w:t>Van Diest v. Towle</w:t>
      </w:r>
      <w:r w:rsidR="0000321C" w:rsidRPr="0000321C">
        <w:rPr>
          <w:rFonts w:eastAsia="Times New Roman"/>
          <w:bCs/>
          <w:sz w:val="24"/>
          <w:szCs w:val="24"/>
        </w:rPr>
        <w:t>, 116 Colo. 204, 179 P.2d 984 (1947).</w:t>
      </w:r>
    </w:p>
    <w:p w14:paraId="4AA392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In some instances, a demand or notice may be a condition precedent to creating a cause of action for breach of contract.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Stice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144 Colo. at 226-27, 355 P.2d at 953.</w:t>
      </w:r>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29" w:name="a30_27"/>
      <w:bookmarkEnd w:id="29"/>
      <w:r w:rsidRPr="00E43BF9">
        <w:rPr>
          <w:rFonts w:eastAsia="Times New Roman"/>
          <w:b/>
          <w:bCs/>
          <w:sz w:val="24"/>
          <w:szCs w:val="24"/>
        </w:rPr>
        <w:lastRenderedPageBreak/>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Before any party to the contract fully performed all (his) (her) (its)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Perillo ed., rev. ed. 2003).</w:t>
      </w:r>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antenuptial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r w:rsidRPr="00E43BF9">
        <w:rPr>
          <w:rFonts w:eastAsia="Times New Roman"/>
          <w:b/>
          <w:bCs/>
          <w:sz w:val="24"/>
          <w:szCs w:val="24"/>
        </w:rPr>
        <w:t>Wallick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Esecson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w:t>
      </w:r>
      <w:r w:rsidRPr="00E43BF9">
        <w:rPr>
          <w:rFonts w:eastAsia="Times New Roman"/>
          <w:bCs/>
          <w:sz w:val="24"/>
          <w:szCs w:val="24"/>
        </w:rPr>
        <w:lastRenderedPageBreak/>
        <w:t xml:space="preserve">understanding of the parties’. . . . Where mutual rescission is founded on the acts and conduct of the parties, . . . such acts must be ‘inconsistent with the existence of the contract.’” (quoting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r w:rsidRPr="00E43BF9">
        <w:rPr>
          <w:rFonts w:eastAsia="Times New Roman"/>
          <w:b/>
          <w:bCs/>
          <w:sz w:val="24"/>
          <w:szCs w:val="24"/>
        </w:rPr>
        <w:t>Avemco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Equitable Life Ins. Co. of Iowa v. Verploeg</w:t>
      </w:r>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An agreement of rescission is an affirmative defense for which the party asserting it has the burdens of pleading and proof. C.R.C.P. 8(c).</w:t>
      </w:r>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30" w:name="a30_28"/>
      <w:bookmarkEnd w:id="30"/>
      <w:r w:rsidRPr="00E43BF9">
        <w:rPr>
          <w:rFonts w:eastAsia="Times New Roman"/>
          <w:b/>
          <w:bCs/>
          <w:sz w:val="24"/>
          <w:szCs w:val="24"/>
        </w:rPr>
        <w:lastRenderedPageBreak/>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cancelled or changed their remaining rights and duties under the (claimed) earlier contract(s); and</w:t>
      </w:r>
    </w:p>
    <w:p w14:paraId="167E3BC8"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3. The defendant has fully performed the (duty) (duties) (he) (she) (it) agreed to perform under the later contract.</w:t>
      </w:r>
    </w:p>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C.R.C.P. 8(c).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r w:rsidRPr="00E43BF9">
        <w:rPr>
          <w:rFonts w:eastAsia="Times New Roman"/>
          <w:b/>
          <w:bCs/>
          <w:sz w:val="24"/>
          <w:szCs w:val="24"/>
        </w:rPr>
        <w:t>Bakehouse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r w:rsidRPr="00E43BF9">
        <w:rPr>
          <w:rFonts w:eastAsia="Times New Roman"/>
          <w:bCs/>
          <w:i/>
          <w:sz w:val="24"/>
          <w:szCs w:val="24"/>
        </w:rPr>
        <w:t>Id.</w:t>
      </w:r>
      <w:r w:rsidRPr="00E43BF9">
        <w:rPr>
          <w:rFonts w:eastAsia="Times New Roman"/>
          <w:bCs/>
          <w:sz w:val="24"/>
          <w:szCs w:val="24"/>
        </w:rPr>
        <w:t xml:space="preserve"> at 49.</w:t>
      </w:r>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w:t>
      </w:r>
      <w:r w:rsidRPr="00E43BF9">
        <w:rPr>
          <w:rFonts w:eastAsia="Times New Roman"/>
          <w:bCs/>
          <w:sz w:val="24"/>
          <w:szCs w:val="24"/>
        </w:rPr>
        <w:lastRenderedPageBreak/>
        <w:t xml:space="preserve">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Perillo ed., rev. ed. 2003).</w:t>
      </w:r>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r w:rsidRPr="00E43BF9">
        <w:rPr>
          <w:rFonts w:eastAsia="Times New Roman"/>
          <w:b/>
          <w:bCs/>
          <w:sz w:val="24"/>
          <w:szCs w:val="24"/>
        </w:rPr>
        <w:t>Pospicil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Anderson v. Rosebrook</w:t>
      </w:r>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R.A. Reither Constr., Inc. v. Wheatland Rural Elec. Ass’n</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r w:rsidRPr="00E43BF9">
        <w:rPr>
          <w:rFonts w:eastAsia="Times New Roman"/>
          <w:b/>
          <w:bCs/>
          <w:sz w:val="24"/>
          <w:szCs w:val="24"/>
        </w:rPr>
        <w:t>Metro. State Bank v. Cox</w:t>
      </w:r>
      <w:r w:rsidRPr="00E43BF9">
        <w:rPr>
          <w:rFonts w:eastAsia="Times New Roman"/>
          <w:bCs/>
          <w:sz w:val="24"/>
          <w:szCs w:val="24"/>
        </w:rPr>
        <w:t>, 134 Colo. 260, 302 P.2d 188 (1956).</w:t>
      </w:r>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1" w:name="a30_29"/>
      <w:bookmarkEnd w:id="31"/>
      <w:r w:rsidRPr="00E43BF9">
        <w:rPr>
          <w:rFonts w:eastAsia="Times New Roman"/>
          <w:b/>
          <w:bCs/>
          <w:sz w:val="24"/>
          <w:szCs w:val="24"/>
        </w:rPr>
        <w:lastRenderedPageBreak/>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xml:space="preserve">, 952 P.2d 359 (Colo. 1998);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r w:rsidRPr="00E43BF9">
        <w:rPr>
          <w:rFonts w:eastAsia="Times New Roman"/>
          <w:b/>
          <w:bCs/>
          <w:sz w:val="24"/>
          <w:szCs w:val="24"/>
        </w:rPr>
        <w:t>Haan v. Traylor</w:t>
      </w:r>
      <w:r w:rsidRPr="00E43BF9">
        <w:rPr>
          <w:rFonts w:eastAsia="Times New Roman"/>
          <w:bCs/>
          <w:sz w:val="24"/>
          <w:szCs w:val="24"/>
        </w:rPr>
        <w:t>, 79 P.3d 114 (Colo. App. 2003);</w:t>
      </w:r>
      <w:r w:rsidRPr="00E43BF9">
        <w:rPr>
          <w:rFonts w:eastAsia="Times New Roman"/>
          <w:b/>
          <w:bCs/>
          <w:sz w:val="24"/>
          <w:szCs w:val="24"/>
        </w:rPr>
        <w:t xml:space="preserve"> </w:t>
      </w:r>
      <w:r w:rsidRPr="00E43BF9">
        <w:rPr>
          <w:rFonts w:eastAsia="Times New Roman"/>
          <w:bCs/>
          <w:sz w:val="24"/>
          <w:szCs w:val="24"/>
        </w:rPr>
        <w:t xml:space="preserve">and </w:t>
      </w:r>
      <w:r w:rsidRPr="00E43BF9">
        <w:rPr>
          <w:rFonts w:eastAsia="Times New Roman"/>
          <w:b/>
          <w:bCs/>
          <w:sz w:val="24"/>
          <w:szCs w:val="24"/>
        </w:rPr>
        <w:t>In re Buwana</w:t>
      </w:r>
      <w:r w:rsidRPr="00E43BF9">
        <w:rPr>
          <w:rFonts w:eastAsia="Times New Roman"/>
          <w:bCs/>
          <w:sz w:val="24"/>
          <w:szCs w:val="24"/>
        </w:rPr>
        <w:t xml:space="preserve">, 338 B.R. 441 (Bankr. D. Colo. 2004).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800 P.2d at 1323.</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r w:rsidRPr="00E43BF9">
        <w:rPr>
          <w:rFonts w:eastAsia="Times New Roman"/>
          <w:b/>
          <w:bCs/>
          <w:sz w:val="24"/>
          <w:szCs w:val="24"/>
        </w:rPr>
        <w:t>Cardwell Inv. Co. v. United Supply &amp; Mfg. Co.</w:t>
      </w:r>
      <w:r w:rsidRPr="00E43BF9">
        <w:rPr>
          <w:rFonts w:eastAsia="Times New Roman"/>
          <w:bCs/>
          <w:sz w:val="24"/>
          <w:szCs w:val="24"/>
        </w:rPr>
        <w:t>, 268 F.2d 857, 859 (10th Cir. 1959).</w:t>
      </w:r>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lastRenderedPageBreak/>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2" w:name="IntroNoteD"/>
      <w:bookmarkEnd w:id="32"/>
      <w:r w:rsidRPr="00F755B7">
        <w:rPr>
          <w:rFonts w:eastAsia="Times New Roman"/>
          <w:b/>
          <w:sz w:val="24"/>
          <w:szCs w:val="24"/>
        </w:rPr>
        <w:t>Introductory Note</w:t>
      </w:r>
    </w:p>
    <w:p w14:paraId="773B3753" w14:textId="4B5CE44D" w:rsidR="00753103"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r w:rsidR="00753103">
        <w:rPr>
          <w:rFonts w:eastAsia="Times New Roman"/>
          <w:b/>
          <w:bCs/>
          <w:sz w:val="24"/>
          <w:szCs w:val="24"/>
        </w:rPr>
        <w:t xml:space="preserve">Klun v. Klun, </w:t>
      </w:r>
      <w:r w:rsidR="00753103" w:rsidRPr="00A6332F">
        <w:rPr>
          <w:rFonts w:eastAsia="Times New Roman"/>
          <w:bCs/>
          <w:sz w:val="24"/>
          <w:szCs w:val="24"/>
        </w:rPr>
        <w:t>2019 CO 46</w:t>
      </w:r>
      <w:r w:rsidR="00753103">
        <w:rPr>
          <w:rFonts w:eastAsia="Times New Roman"/>
          <w:bCs/>
          <w:sz w:val="24"/>
          <w:szCs w:val="24"/>
        </w:rPr>
        <w:t>,</w:t>
      </w:r>
      <w:r w:rsidR="00753103" w:rsidRPr="00A6332F">
        <w:rPr>
          <w:rFonts w:eastAsia="Times New Roman"/>
          <w:bCs/>
          <w:sz w:val="24"/>
          <w:szCs w:val="24"/>
        </w:rPr>
        <w:t xml:space="preserve"> ¶ 18</w:t>
      </w:r>
      <w:r w:rsidR="00753103">
        <w:rPr>
          <w:rFonts w:eastAsia="Times New Roman"/>
          <w:bCs/>
          <w:sz w:val="24"/>
          <w:szCs w:val="24"/>
        </w:rPr>
        <w:t>, 442 P.3d 88, 92 (“contract interpretation presents a question of law that we review de novo”)</w:t>
      </w:r>
      <w:r w:rsidR="00753103" w:rsidRPr="00E048FF">
        <w:rPr>
          <w:rFonts w:eastAsia="Times New Roman"/>
          <w:bCs/>
          <w:sz w:val="24"/>
          <w:szCs w:val="24"/>
        </w:rPr>
        <w:t xml:space="preserve">; </w:t>
      </w:r>
      <w:r w:rsidR="00753103" w:rsidRPr="002D0621">
        <w:rPr>
          <w:rFonts w:eastAsia="Times New Roman"/>
          <w:b/>
          <w:bCs/>
          <w:sz w:val="24"/>
          <w:szCs w:val="24"/>
        </w:rPr>
        <w:t>Sch. Dist. No. 1</w:t>
      </w:r>
      <w:r w:rsidR="00753103">
        <w:rPr>
          <w:rFonts w:eastAsia="Times New Roman"/>
          <w:b/>
          <w:bCs/>
          <w:sz w:val="24"/>
          <w:szCs w:val="24"/>
        </w:rPr>
        <w:t xml:space="preserve"> v. </w:t>
      </w:r>
      <w:r w:rsidR="00753103" w:rsidRPr="002D0621">
        <w:rPr>
          <w:rFonts w:eastAsia="Times New Roman"/>
          <w:b/>
          <w:bCs/>
          <w:sz w:val="24"/>
          <w:szCs w:val="24"/>
        </w:rPr>
        <w:t>Denver Classroom Teachers Ass’n</w:t>
      </w:r>
      <w:r w:rsidR="00753103" w:rsidRPr="002D0621">
        <w:rPr>
          <w:rFonts w:eastAsia="Times New Roman"/>
          <w:bCs/>
          <w:sz w:val="24"/>
          <w:szCs w:val="24"/>
        </w:rPr>
        <w:t xml:space="preserve">, 2019 CO 5, ¶ </w:t>
      </w:r>
      <w:r w:rsidR="00753103" w:rsidRPr="00A6332F">
        <w:rPr>
          <w:rFonts w:eastAsia="Times New Roman"/>
          <w:bCs/>
          <w:sz w:val="24"/>
          <w:szCs w:val="24"/>
        </w:rPr>
        <w:t>14</w:t>
      </w:r>
      <w:r w:rsidR="00753103">
        <w:rPr>
          <w:rFonts w:eastAsia="Times New Roman"/>
          <w:bCs/>
          <w:sz w:val="24"/>
          <w:szCs w:val="24"/>
        </w:rPr>
        <w:t>, 433 P.3d 38, 41</w:t>
      </w:r>
      <w:r w:rsidR="00753103" w:rsidRPr="00A6332F">
        <w:rPr>
          <w:rFonts w:eastAsia="Times New Roman"/>
          <w:bCs/>
          <w:sz w:val="24"/>
          <w:szCs w:val="24"/>
        </w:rPr>
        <w:t xml:space="preserve"> (</w:t>
      </w:r>
      <w:r w:rsidR="00753103" w:rsidRPr="00695DD0">
        <w:rPr>
          <w:rFonts w:eastAsia="Times New Roman"/>
          <w:bCs/>
          <w:sz w:val="24"/>
          <w:szCs w:val="24"/>
        </w:rPr>
        <w:t>“</w:t>
      </w:r>
      <w:r w:rsidR="00753103" w:rsidRPr="00A6332F">
        <w:rPr>
          <w:color w:val="1E1E1E"/>
          <w:sz w:val="24"/>
          <w:szCs w:val="24"/>
          <w:shd w:val="clear" w:color="auto" w:fill="FFFFFF"/>
        </w:rPr>
        <w:t>If the contract is complete and free from ambiguity, we d</w:t>
      </w:r>
      <w:r w:rsidR="00247DD6">
        <w:rPr>
          <w:color w:val="1E1E1E"/>
          <w:sz w:val="24"/>
          <w:szCs w:val="24"/>
          <w:shd w:val="clear" w:color="auto" w:fill="FFFFFF"/>
        </w:rPr>
        <w:t>eem it to represent the parties’</w:t>
      </w:r>
      <w:r w:rsidR="00753103" w:rsidRPr="00A6332F">
        <w:rPr>
          <w:color w:val="1E1E1E"/>
          <w:sz w:val="24"/>
          <w:szCs w:val="24"/>
          <w:shd w:val="clear" w:color="auto" w:fill="FFFFFF"/>
        </w:rPr>
        <w:t xml:space="preserve"> intent and enforce it based on the plain and generally accepted meaning of the words used</w:t>
      </w:r>
      <w:r w:rsidR="00753103">
        <w:rPr>
          <w:color w:val="1E1E1E"/>
          <w:sz w:val="24"/>
          <w:szCs w:val="24"/>
          <w:shd w:val="clear" w:color="auto" w:fill="FFFFFF"/>
        </w:rPr>
        <w:t>.</w:t>
      </w:r>
      <w:r w:rsidR="00753103" w:rsidRPr="00A6332F">
        <w:rPr>
          <w:color w:val="1E1E1E"/>
          <w:sz w:val="24"/>
          <w:szCs w:val="24"/>
          <w:shd w:val="clear" w:color="auto" w:fill="FFFFFF"/>
        </w:rPr>
        <w:t>”)</w:t>
      </w:r>
      <w:r w:rsidR="00753103" w:rsidRPr="00695DD0">
        <w:rPr>
          <w:rFonts w:eastAsia="Times New Roman"/>
          <w:bCs/>
          <w:sz w:val="24"/>
          <w:szCs w:val="24"/>
        </w:rPr>
        <w:t>;</w:t>
      </w:r>
      <w:r w:rsidR="00753103" w:rsidRPr="00A6332F">
        <w:rPr>
          <w:rFonts w:eastAsia="Times New Roman"/>
          <w:b/>
          <w:bCs/>
          <w:sz w:val="24"/>
          <w:szCs w:val="24"/>
        </w:rPr>
        <w:t xml:space="preserve"> </w:t>
      </w:r>
      <w:r w:rsidR="00753103" w:rsidRPr="00A6332F">
        <w:rPr>
          <w:b/>
          <w:iCs/>
          <w:color w:val="1E1E1E"/>
          <w:sz w:val="24"/>
          <w:szCs w:val="24"/>
          <w:shd w:val="clear" w:color="auto" w:fill="FFFFFF"/>
        </w:rPr>
        <w:t>Rocky Mountain Expl</w:t>
      </w:r>
      <w:r w:rsidR="00753103">
        <w:rPr>
          <w:b/>
          <w:iCs/>
          <w:color w:val="1E1E1E"/>
          <w:sz w:val="24"/>
          <w:szCs w:val="24"/>
          <w:shd w:val="clear" w:color="auto" w:fill="FFFFFF"/>
        </w:rPr>
        <w:t>.</w:t>
      </w:r>
      <w:r w:rsidR="00753103" w:rsidRPr="00A6332F">
        <w:rPr>
          <w:b/>
          <w:iCs/>
          <w:color w:val="1E1E1E"/>
          <w:sz w:val="24"/>
          <w:szCs w:val="24"/>
          <w:shd w:val="clear" w:color="auto" w:fill="FFFFFF"/>
        </w:rPr>
        <w:t>, Inc. v. Davis Graham &amp; Stubbs LLP</w:t>
      </w:r>
      <w:r w:rsidR="00753103" w:rsidRPr="00695DD0">
        <w:rPr>
          <w:iCs/>
          <w:color w:val="1E1E1E"/>
          <w:sz w:val="24"/>
          <w:szCs w:val="24"/>
          <w:shd w:val="clear" w:color="auto" w:fill="FFFFFF"/>
        </w:rPr>
        <w:t>,</w:t>
      </w:r>
      <w:r w:rsidR="00753103">
        <w:rPr>
          <w:iCs/>
          <w:color w:val="1E1E1E"/>
          <w:sz w:val="24"/>
          <w:szCs w:val="24"/>
          <w:shd w:val="clear" w:color="auto" w:fill="FFFFFF"/>
        </w:rPr>
        <w:t xml:space="preserve"> </w:t>
      </w:r>
      <w:r w:rsidR="00753103" w:rsidRPr="00A6332F">
        <w:rPr>
          <w:color w:val="1E1E1E"/>
          <w:sz w:val="24"/>
          <w:szCs w:val="24"/>
          <w:shd w:val="clear" w:color="auto" w:fill="FFFFFF"/>
        </w:rPr>
        <w:t>2018 CO 54, ¶ 59</w:t>
      </w:r>
      <w:r w:rsidR="00753103">
        <w:rPr>
          <w:color w:val="1E1E1E"/>
          <w:sz w:val="24"/>
          <w:szCs w:val="24"/>
          <w:shd w:val="clear" w:color="auto" w:fill="FFFFFF"/>
        </w:rPr>
        <w:t xml:space="preserve">, 420 P.3d 223;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Radiology Prof’l Corp. v. Trinidad Area Health Ass’n</w:t>
      </w:r>
      <w:r w:rsidRPr="00C63547">
        <w:rPr>
          <w:rFonts w:eastAsia="Times New Roman"/>
          <w:bCs/>
          <w:sz w:val="24"/>
          <w:szCs w:val="24"/>
        </w:rPr>
        <w:t xml:space="preserve">, 195 Colo. 253, 577 P.2d 748 (1978). The primary goal of interpreting a contract is to determine and give effect to the intent of the parties. </w:t>
      </w:r>
      <w:r w:rsidRPr="00C63547">
        <w:rPr>
          <w:rFonts w:eastAsia="Times New Roman"/>
          <w:b/>
          <w:bCs/>
          <w:sz w:val="24"/>
          <w:szCs w:val="24"/>
        </w:rPr>
        <w:t>USI Props. 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938 P.2d 168 (Colo. 1997). Where possible, the intent of the parties is to be determined from the language of the written contract itself. </w:t>
      </w:r>
      <w:r w:rsidRPr="00C63547">
        <w:rPr>
          <w:rFonts w:eastAsia="Times New Roman"/>
          <w:bCs/>
          <w:i/>
          <w:sz w:val="24"/>
          <w:szCs w:val="24"/>
        </w:rPr>
        <w:t>Id.</w:t>
      </w:r>
    </w:p>
    <w:p w14:paraId="46B6783B" w14:textId="603090C9" w:rsidR="00753103" w:rsidRDefault="00753103" w:rsidP="00C63547">
      <w:pPr>
        <w:spacing w:after="240"/>
        <w:ind w:firstLine="720"/>
        <w:rPr>
          <w:rFonts w:eastAsia="Times New Roman"/>
          <w:bCs/>
          <w:sz w:val="24"/>
          <w:szCs w:val="24"/>
        </w:rPr>
      </w:pPr>
      <w:r>
        <w:rPr>
          <w:rFonts w:eastAsia="Times New Roman"/>
          <w:bCs/>
          <w:sz w:val="24"/>
          <w:szCs w:val="24"/>
        </w:rPr>
        <w:t xml:space="preserve">2. </w:t>
      </w:r>
      <w:r w:rsidR="00C63547" w:rsidRPr="00C63547">
        <w:rPr>
          <w:rFonts w:eastAsia="Times New Roman"/>
          <w:bCs/>
          <w:sz w:val="24"/>
          <w:szCs w:val="24"/>
        </w:rPr>
        <w:t xml:space="preserve">However, extrinsic evidence may be conditionally admitted to determine whether a contract is ambiguous. </w:t>
      </w:r>
      <w:r w:rsidR="00C63547" w:rsidRPr="00C63547">
        <w:rPr>
          <w:rFonts w:eastAsia="Times New Roman"/>
          <w:b/>
          <w:bCs/>
          <w:sz w:val="24"/>
          <w:szCs w:val="24"/>
        </w:rPr>
        <w:t>Lazy Dog Ranch v. Telluray Ranch Corp.</w:t>
      </w:r>
      <w:r w:rsidR="00C63547" w:rsidRPr="00C63547">
        <w:rPr>
          <w:rFonts w:eastAsia="Times New Roman"/>
          <w:bCs/>
          <w:sz w:val="24"/>
          <w:szCs w:val="24"/>
        </w:rPr>
        <w:t xml:space="preserve">, 965 P.2d 1229 (Colo. 1998) (rejecting rigid application of “four corners” rule); </w:t>
      </w:r>
      <w:r w:rsidR="00C63547" w:rsidRPr="00C63547">
        <w:rPr>
          <w:rFonts w:eastAsia="Times New Roman"/>
          <w:bCs/>
          <w:i/>
          <w:sz w:val="24"/>
          <w:szCs w:val="24"/>
        </w:rPr>
        <w:t>accord</w:t>
      </w:r>
      <w:r w:rsidR="00C63547" w:rsidRPr="00C63547">
        <w:rPr>
          <w:rFonts w:eastAsia="Times New Roman"/>
          <w:bCs/>
          <w:sz w:val="24"/>
          <w:szCs w:val="24"/>
        </w:rPr>
        <w:t xml:space="preserve"> </w:t>
      </w:r>
      <w:r w:rsidR="00C63547" w:rsidRPr="00C63547">
        <w:rPr>
          <w:rFonts w:eastAsia="Times New Roman"/>
          <w:b/>
          <w:bCs/>
          <w:sz w:val="24"/>
          <w:szCs w:val="24"/>
        </w:rPr>
        <w:t>East Ridge of Fort Collins, LLC v. Larimer &amp; Weld Irrigation Co.</w:t>
      </w:r>
      <w:r w:rsidR="00C63547" w:rsidRPr="00C63547">
        <w:rPr>
          <w:rFonts w:eastAsia="Times New Roman"/>
          <w:bCs/>
          <w:sz w:val="24"/>
          <w:szCs w:val="24"/>
        </w:rPr>
        <w:t xml:space="preserve">, 109 P.3d 969 (Colo. 2005); </w:t>
      </w:r>
      <w:r w:rsidR="00C63547" w:rsidRPr="00C63547">
        <w:rPr>
          <w:rFonts w:eastAsia="Times New Roman"/>
          <w:b/>
          <w:bCs/>
          <w:sz w:val="24"/>
          <w:szCs w:val="24"/>
        </w:rPr>
        <w:t>Lobato v. Taylor</w:t>
      </w:r>
      <w:r w:rsidR="00C63547"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r w:rsidR="00C63547" w:rsidRPr="00C63547">
        <w:rPr>
          <w:rFonts w:eastAsia="Times New Roman"/>
          <w:b/>
          <w:bCs/>
          <w:sz w:val="24"/>
          <w:szCs w:val="24"/>
        </w:rPr>
        <w:t>First Christian Assembly of God v. City &amp; County of Denver</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w:t>
      </w:r>
      <w:r w:rsidR="00FA605C">
        <w:rPr>
          <w:rFonts w:eastAsia="Times New Roman"/>
          <w:bCs/>
          <w:sz w:val="24"/>
          <w:szCs w:val="24"/>
        </w:rPr>
        <w:t>22 P.3d 1089 (Colo. App. 2005).</w:t>
      </w:r>
    </w:p>
    <w:p w14:paraId="76586FC0" w14:textId="495D9C62" w:rsidR="00C63547" w:rsidRPr="00C63547" w:rsidRDefault="00753103" w:rsidP="00C63547">
      <w:pPr>
        <w:spacing w:after="240"/>
        <w:ind w:firstLine="720"/>
        <w:rPr>
          <w:rFonts w:eastAsia="Times New Roman"/>
          <w:bCs/>
          <w:sz w:val="24"/>
          <w:szCs w:val="24"/>
        </w:rPr>
      </w:pPr>
      <w:r>
        <w:rPr>
          <w:rFonts w:eastAsia="Times New Roman"/>
          <w:bCs/>
          <w:sz w:val="24"/>
          <w:szCs w:val="24"/>
        </w:rPr>
        <w:t xml:space="preserve">3. </w:t>
      </w:r>
      <w:r w:rsidR="00C63547" w:rsidRPr="00C63547">
        <w:rPr>
          <w:rFonts w:eastAsia="Times New Roman"/>
          <w:bCs/>
          <w:sz w:val="24"/>
          <w:szCs w:val="24"/>
        </w:rPr>
        <w:t xml:space="preserve">An insurance policy is a contract, and courts must enforce the plain language of a policy if it is unambiguous. </w:t>
      </w:r>
      <w:r w:rsidR="00C63547" w:rsidRPr="00C63547">
        <w:rPr>
          <w:rFonts w:eastAsia="Times New Roman"/>
          <w:b/>
          <w:bCs/>
          <w:sz w:val="24"/>
          <w:szCs w:val="24"/>
        </w:rPr>
        <w:t>Craft v. Philadelphia Indem. Ins. Co</w:t>
      </w:r>
      <w:r w:rsidR="00C63547" w:rsidRPr="00C63547">
        <w:rPr>
          <w:rFonts w:eastAsia="Times New Roman"/>
          <w:bCs/>
          <w:sz w:val="24"/>
          <w:szCs w:val="24"/>
        </w:rPr>
        <w:t>., 2015 CO 11, ¶ 34, 343 P.3d 951</w:t>
      </w:r>
      <w:r w:rsidR="006E1A5A">
        <w:rPr>
          <w:rFonts w:eastAsia="Times New Roman"/>
          <w:bCs/>
          <w:sz w:val="24"/>
          <w:szCs w:val="24"/>
        </w:rPr>
        <w:t>.</w:t>
      </w:r>
      <w:r>
        <w:rPr>
          <w:rFonts w:eastAsia="Times New Roman"/>
          <w:bCs/>
          <w:sz w:val="24"/>
          <w:szCs w:val="24"/>
        </w:rPr>
        <w:t xml:space="preserve"> </w:t>
      </w:r>
      <w:r w:rsidR="006E1A5A">
        <w:rPr>
          <w:rFonts w:eastAsia="Times New Roman"/>
          <w:bCs/>
          <w:sz w:val="24"/>
          <w:szCs w:val="24"/>
        </w:rPr>
        <w:t>B</w:t>
      </w:r>
      <w:r>
        <w:rPr>
          <w:rFonts w:eastAsia="Times New Roman"/>
          <w:bCs/>
          <w:sz w:val="24"/>
          <w:szCs w:val="24"/>
        </w:rPr>
        <w:t xml:space="preserve">ut ambiguous language must be construed in favor of the insured. </w:t>
      </w:r>
      <w:r w:rsidRPr="00695DD0">
        <w:rPr>
          <w:rFonts w:eastAsia="Times New Roman"/>
          <w:b/>
          <w:bCs/>
          <w:sz w:val="24"/>
          <w:szCs w:val="24"/>
        </w:rPr>
        <w:t>Renfandt v. N</w:t>
      </w:r>
      <w:r>
        <w:rPr>
          <w:rFonts w:eastAsia="Times New Roman"/>
          <w:b/>
          <w:bCs/>
          <w:sz w:val="24"/>
          <w:szCs w:val="24"/>
        </w:rPr>
        <w:t>.</w:t>
      </w:r>
      <w:r w:rsidRPr="00695DD0">
        <w:rPr>
          <w:rFonts w:eastAsia="Times New Roman"/>
          <w:b/>
          <w:bCs/>
          <w:sz w:val="24"/>
          <w:szCs w:val="24"/>
        </w:rPr>
        <w:t>Y</w:t>
      </w:r>
      <w:r>
        <w:rPr>
          <w:rFonts w:eastAsia="Times New Roman"/>
          <w:b/>
          <w:bCs/>
          <w:sz w:val="24"/>
          <w:szCs w:val="24"/>
        </w:rPr>
        <w:t>.</w:t>
      </w:r>
      <w:r w:rsidRPr="00695DD0">
        <w:rPr>
          <w:rFonts w:eastAsia="Times New Roman"/>
          <w:b/>
          <w:bCs/>
          <w:sz w:val="24"/>
          <w:szCs w:val="24"/>
        </w:rPr>
        <w:t xml:space="preserve"> Life Ins. Co</w:t>
      </w:r>
      <w:r w:rsidRPr="00124328">
        <w:rPr>
          <w:rFonts w:eastAsia="Times New Roman"/>
          <w:b/>
          <w:bCs/>
          <w:sz w:val="24"/>
          <w:szCs w:val="24"/>
        </w:rPr>
        <w:t>.</w:t>
      </w:r>
      <w:r>
        <w:rPr>
          <w:rFonts w:eastAsia="Times New Roman"/>
          <w:bCs/>
          <w:sz w:val="24"/>
          <w:szCs w:val="24"/>
        </w:rPr>
        <w:t xml:space="preserve">, 2018 CO 49, </w:t>
      </w:r>
      <w:r w:rsidRPr="00A6740C">
        <w:rPr>
          <w:rFonts w:eastAsia="Times New Roman"/>
          <w:bCs/>
          <w:sz w:val="24"/>
          <w:szCs w:val="24"/>
        </w:rPr>
        <w:t>¶</w:t>
      </w:r>
      <w:r>
        <w:rPr>
          <w:rFonts w:eastAsia="Times New Roman"/>
          <w:bCs/>
          <w:sz w:val="24"/>
          <w:szCs w:val="24"/>
        </w:rPr>
        <w:t xml:space="preserve"> 18, 419 P.3d 576, 580 (“Where general language in an insurance contract is ambiguous, we construe it against the insurer.”)</w:t>
      </w:r>
      <w:r w:rsidR="00C63547" w:rsidRPr="00C63547">
        <w:rPr>
          <w:rFonts w:eastAsia="Times New Roman"/>
          <w:bCs/>
          <w:sz w:val="24"/>
          <w:szCs w:val="24"/>
        </w:rPr>
        <w:t>.</w:t>
      </w:r>
    </w:p>
    <w:p w14:paraId="39C4010D" w14:textId="61A6B738" w:rsidR="00C63547" w:rsidRPr="00C63547" w:rsidRDefault="00753103"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determination of whether an ambiguity exists in a written contract is also a question of law for the court. </w:t>
      </w:r>
      <w:r w:rsidR="00C63547" w:rsidRPr="00C63547">
        <w:rPr>
          <w:rFonts w:eastAsia="Times New Roman"/>
          <w:b/>
          <w:bCs/>
          <w:sz w:val="24"/>
          <w:szCs w:val="24"/>
        </w:rPr>
        <w:t>Nat’l Cas. Co. v. Great Sw. Fire Ins. Co.</w:t>
      </w:r>
      <w:r w:rsidR="00C63547" w:rsidRPr="00C63547">
        <w:rPr>
          <w:rFonts w:eastAsia="Times New Roman"/>
          <w:bCs/>
          <w:sz w:val="24"/>
          <w:szCs w:val="24"/>
        </w:rPr>
        <w:t xml:space="preserve">, 833 P.2d 741 (Colo. 1992). The provisions of a contract are ambiguous when they are susceptible to more than one reasonable interpretation. </w:t>
      </w:r>
      <w:r w:rsidR="00C63547" w:rsidRPr="00C63547">
        <w:rPr>
          <w:rFonts w:eastAsia="Times New Roman"/>
          <w:b/>
          <w:bCs/>
          <w:sz w:val="24"/>
          <w:szCs w:val="24"/>
        </w:rPr>
        <w:t>Am. Family Mut. Ins. Co. v. Hansen</w:t>
      </w:r>
      <w:r w:rsidR="00C63547" w:rsidRPr="00C63547">
        <w:rPr>
          <w:rFonts w:eastAsia="Times New Roman"/>
          <w:bCs/>
          <w:sz w:val="24"/>
          <w:szCs w:val="24"/>
        </w:rPr>
        <w:t xml:space="preserve">, 2016 CO 46, ¶ 23, 375 P.3d 115 (listing of names of insureds on declarations page was unambiguous); </w:t>
      </w:r>
      <w:r w:rsidR="00C63547" w:rsidRPr="00C63547">
        <w:rPr>
          <w:rFonts w:eastAsia="Times New Roman"/>
          <w:b/>
          <w:bCs/>
          <w:sz w:val="24"/>
          <w:szCs w:val="24"/>
        </w:rPr>
        <w:t>Union Ins. Co. v. Houtz</w:t>
      </w:r>
      <w:r w:rsidR="00C63547" w:rsidRPr="00C63547">
        <w:rPr>
          <w:rFonts w:eastAsia="Times New Roman"/>
          <w:bCs/>
          <w:sz w:val="24"/>
          <w:szCs w:val="24"/>
        </w:rPr>
        <w:t xml:space="preserve">, 883 P.2d 1057 (Colo. 1994); </w:t>
      </w:r>
      <w:r w:rsidR="00C63547" w:rsidRPr="00C63547">
        <w:rPr>
          <w:rFonts w:eastAsia="Times New Roman"/>
          <w:b/>
          <w:bCs/>
          <w:sz w:val="24"/>
          <w:szCs w:val="24"/>
        </w:rPr>
        <w:t>Ballow v. PHICO Ins. Co.</w:t>
      </w:r>
      <w:r w:rsidR="00C63547" w:rsidRPr="00C63547">
        <w:rPr>
          <w:rFonts w:eastAsia="Times New Roman"/>
          <w:bCs/>
          <w:sz w:val="24"/>
          <w:szCs w:val="24"/>
        </w:rPr>
        <w:t xml:space="preserve">, 875 P.2d 1354 (Colo. 1993). The fact that the parties may have different opinions regarding the interpretation of a contract does not itself mean that the contract is ambiguous, </w:t>
      </w:r>
      <w:r w:rsidR="00C63547" w:rsidRPr="00C63547">
        <w:rPr>
          <w:rFonts w:eastAsia="Times New Roman"/>
          <w:bCs/>
          <w:i/>
          <w:sz w:val="24"/>
          <w:szCs w:val="24"/>
        </w:rPr>
        <w:t>see</w:t>
      </w:r>
      <w:r w:rsidR="00C63547" w:rsidRPr="00C63547">
        <w:rPr>
          <w:rFonts w:eastAsia="Times New Roman"/>
          <w:bCs/>
          <w:sz w:val="24"/>
          <w:szCs w:val="24"/>
        </w:rPr>
        <w:t xml:space="preserve"> </w:t>
      </w:r>
      <w:r w:rsidRPr="00B01305">
        <w:rPr>
          <w:b/>
          <w:bCs/>
          <w:sz w:val="24"/>
          <w:szCs w:val="24"/>
        </w:rPr>
        <w:t>Filatov v. Turnage</w:t>
      </w:r>
      <w:r w:rsidRPr="00B01305">
        <w:rPr>
          <w:sz w:val="24"/>
          <w:szCs w:val="24"/>
        </w:rPr>
        <w:t>, 2019 COA 120, ¶ 14 (“While the parties agree that these provisions are unambiguous, they disagree as to how they should be interpreted.”);</w:t>
      </w:r>
      <w:r w:rsidRPr="00B01305">
        <w:t xml:space="preserve"> </w:t>
      </w:r>
      <w:r w:rsidR="00C63547" w:rsidRPr="00C63547">
        <w:rPr>
          <w:rFonts w:eastAsia="Times New Roman"/>
          <w:b/>
          <w:bCs/>
          <w:sz w:val="24"/>
          <w:szCs w:val="24"/>
        </w:rPr>
        <w:t>Mashburn v. Wilson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701 P.2d 67 (Colo. App. 1984), but the court may conclude that a contract is ambiguous even if the parties did not so argue. </w:t>
      </w:r>
      <w:r w:rsidR="00C63547" w:rsidRPr="00C63547">
        <w:rPr>
          <w:rFonts w:eastAsia="Times New Roman"/>
          <w:b/>
          <w:bCs/>
          <w:sz w:val="24"/>
          <w:szCs w:val="24"/>
        </w:rPr>
        <w:t>Gagne v. Gagne</w:t>
      </w:r>
      <w:r w:rsidR="00C63547" w:rsidRPr="00C63547">
        <w:rPr>
          <w:rFonts w:eastAsia="Times New Roman"/>
          <w:bCs/>
          <w:sz w:val="24"/>
          <w:szCs w:val="24"/>
        </w:rPr>
        <w:t xml:space="preserve">, 2014 COA 127, ¶¶ 50, 60, 338 P.3d 1152 (holding that terms in a disputed contract were subject to “a myriad of reasonable interpretations”). The court “should not allow a hyper-technical reading of the language in a contract to defeat the intention of the parties.” </w:t>
      </w:r>
      <w:r w:rsidR="00C63547" w:rsidRPr="00C63547">
        <w:rPr>
          <w:rFonts w:eastAsia="Times New Roman"/>
          <w:b/>
          <w:bCs/>
          <w:sz w:val="24"/>
          <w:szCs w:val="24"/>
        </w:rPr>
        <w:t>Ad Two, Inc.</w:t>
      </w:r>
      <w:r w:rsidR="00C63547" w:rsidRPr="00C63547">
        <w:rPr>
          <w:rFonts w:eastAsia="Times New Roman"/>
          <w:bCs/>
          <w:sz w:val="24"/>
          <w:szCs w:val="24"/>
        </w:rPr>
        <w:t>, 9 P.3d at 377.</w:t>
      </w:r>
    </w:p>
    <w:p w14:paraId="2F692392" w14:textId="05B3CBBD" w:rsidR="00C63547" w:rsidRPr="00C63547" w:rsidRDefault="00753103"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Consequently, the instructions in this Part D apply only in cases involving written contracts that are ambiguous, where reasonable persons might reasonably differ as to how the ambiguity should be resolved, or where the provisions of an oral contract are in dispute. Once a contract term is found to be ambiguous, its meaning is a question of fact to be determined in the same manner as other questions of fact. </w:t>
      </w:r>
      <w:r w:rsidRPr="00812A4B">
        <w:rPr>
          <w:rFonts w:eastAsia="Times New Roman"/>
          <w:b/>
          <w:bCs/>
          <w:sz w:val="24"/>
          <w:szCs w:val="24"/>
        </w:rPr>
        <w:t>Sch. Dist. No. 1</w:t>
      </w:r>
      <w:r w:rsidRPr="00812A4B">
        <w:rPr>
          <w:rFonts w:eastAsia="Times New Roman"/>
          <w:bCs/>
          <w:sz w:val="24"/>
          <w:szCs w:val="24"/>
        </w:rPr>
        <w:t>, 2019 CO 5, ¶ 14 (</w:t>
      </w:r>
      <w:r w:rsidR="00A61589">
        <w:rPr>
          <w:color w:val="1E1E1E"/>
          <w:sz w:val="24"/>
          <w:szCs w:val="24"/>
          <w:shd w:val="clear" w:color="auto" w:fill="FFFFFF"/>
        </w:rPr>
        <w:t>“‘[I]</w:t>
      </w:r>
      <w:r w:rsidRPr="00812A4B">
        <w:rPr>
          <w:color w:val="1E1E1E"/>
          <w:sz w:val="24"/>
          <w:szCs w:val="24"/>
          <w:shd w:val="clear" w:color="auto" w:fill="FFFFFF"/>
        </w:rPr>
        <w:t>f it is fairly susceptible to more than one interpretation,’</w:t>
      </w:r>
      <w:r w:rsidR="00F75F0D">
        <w:rPr>
          <w:color w:val="1E1E1E"/>
          <w:sz w:val="24"/>
          <w:szCs w:val="24"/>
          <w:shd w:val="clear" w:color="auto" w:fill="FFFFFF"/>
        </w:rPr>
        <w:t xml:space="preserve"> </w:t>
      </w:r>
      <w:r w:rsidRPr="00812A4B">
        <w:rPr>
          <w:color w:val="1E1E1E"/>
          <w:sz w:val="24"/>
          <w:szCs w:val="24"/>
          <w:shd w:val="clear" w:color="auto" w:fill="FFFFFF"/>
        </w:rPr>
        <w:t>[a] contract is ambiguous and ‘the meaning of its terms is generally an issue of fact to be determined in the same manner as other disputed factual issues.’</w:t>
      </w:r>
      <w:r>
        <w:rPr>
          <w:color w:val="1E1E1E"/>
          <w:sz w:val="24"/>
          <w:szCs w:val="24"/>
          <w:shd w:val="clear" w:color="auto" w:fill="FFFFFF"/>
        </w:rPr>
        <w:t>”</w:t>
      </w:r>
      <w:r w:rsidR="00A61589">
        <w:rPr>
          <w:color w:val="1E1E1E"/>
          <w:sz w:val="24"/>
          <w:szCs w:val="24"/>
          <w:shd w:val="clear" w:color="auto" w:fill="FFFFFF"/>
        </w:rPr>
        <w:t xml:space="preserve"> </w:t>
      </w:r>
      <w:r w:rsidRPr="00812A4B">
        <w:rPr>
          <w:color w:val="1E1E1E"/>
          <w:sz w:val="24"/>
          <w:szCs w:val="24"/>
          <w:shd w:val="clear" w:color="auto" w:fill="FFFFFF"/>
        </w:rPr>
        <w:t>(quot</w:t>
      </w:r>
      <w:r>
        <w:rPr>
          <w:color w:val="1E1E1E"/>
          <w:sz w:val="24"/>
          <w:szCs w:val="24"/>
          <w:shd w:val="clear" w:color="auto" w:fill="FFFFFF"/>
        </w:rPr>
        <w:t xml:space="preserve">ing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914 P.2d 909</w:t>
      </w:r>
      <w:r>
        <w:rPr>
          <w:rFonts w:eastAsia="Times New Roman"/>
          <w:bCs/>
          <w:sz w:val="24"/>
          <w:szCs w:val="24"/>
        </w:rPr>
        <w:t>, 912</w:t>
      </w:r>
      <w:r w:rsidRPr="00C63547">
        <w:rPr>
          <w:rFonts w:eastAsia="Times New Roman"/>
          <w:bCs/>
          <w:sz w:val="24"/>
          <w:szCs w:val="24"/>
        </w:rPr>
        <w:t xml:space="preserve"> (Colo. 1996)</w:t>
      </w:r>
      <w:r w:rsidR="00A61589">
        <w:rPr>
          <w:rFonts w:eastAsia="Times New Roman"/>
          <w:bCs/>
          <w:sz w:val="24"/>
          <w:szCs w:val="24"/>
        </w:rPr>
        <w:t>)</w:t>
      </w:r>
      <w:r w:rsidRPr="00812A4B">
        <w:rPr>
          <w:color w:val="1E1E1E"/>
          <w:sz w:val="24"/>
          <w:szCs w:val="24"/>
          <w:shd w:val="clear" w:color="auto" w:fill="FFFFFF"/>
        </w:rPr>
        <w:t>)</w:t>
      </w:r>
      <w:r>
        <w:rPr>
          <w:color w:val="1E1E1E"/>
          <w:sz w:val="24"/>
          <w:szCs w:val="24"/>
          <w:shd w:val="clear" w:color="auto" w:fill="FFFFFF"/>
        </w:rPr>
        <w:t>;</w:t>
      </w:r>
      <w:r w:rsidRPr="00C63547">
        <w:rPr>
          <w:rFonts w:eastAsia="Times New Roman"/>
          <w:bCs/>
          <w:sz w:val="24"/>
          <w:szCs w:val="24"/>
        </w:rPr>
        <w:t xml:space="preserve"> </w:t>
      </w:r>
      <w:r w:rsidR="00C63547" w:rsidRPr="00C63547">
        <w:rPr>
          <w:rFonts w:eastAsia="Times New Roman"/>
          <w:b/>
          <w:bCs/>
          <w:sz w:val="24"/>
          <w:szCs w:val="24"/>
        </w:rPr>
        <w:t>Dorman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914 P.2d </w:t>
      </w:r>
      <w:r>
        <w:rPr>
          <w:rFonts w:eastAsia="Times New Roman"/>
          <w:bCs/>
          <w:sz w:val="24"/>
          <w:szCs w:val="24"/>
        </w:rPr>
        <w:t xml:space="preserve">at </w:t>
      </w:r>
      <w:r w:rsidR="00C63547" w:rsidRPr="00C63547">
        <w:rPr>
          <w:rFonts w:eastAsia="Times New Roman"/>
          <w:bCs/>
          <w:sz w:val="24"/>
          <w:szCs w:val="24"/>
        </w:rPr>
        <w:t>9</w:t>
      </w:r>
      <w:r>
        <w:rPr>
          <w:rFonts w:eastAsia="Times New Roman"/>
          <w:bCs/>
          <w:sz w:val="24"/>
          <w:szCs w:val="24"/>
        </w:rPr>
        <w:t>12</w:t>
      </w:r>
      <w:r w:rsidR="00C63547" w:rsidRPr="00C63547">
        <w:rPr>
          <w:rFonts w:eastAsia="Times New Roman"/>
          <w:bCs/>
          <w:sz w:val="24"/>
          <w:szCs w:val="24"/>
        </w:rPr>
        <w:t xml:space="preserve">; </w:t>
      </w:r>
      <w:r w:rsidR="00C63547" w:rsidRPr="00C63547">
        <w:rPr>
          <w:rFonts w:eastAsia="Times New Roman"/>
          <w:b/>
          <w:bCs/>
          <w:sz w:val="24"/>
          <w:szCs w:val="24"/>
        </w:rPr>
        <w:t>Preserve at the Fort, Ltd. v. Prudential Huntoon Paige Assocs.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129 P.3d 1015 (Colo. App. 2004); </w:t>
      </w:r>
      <w:r w:rsidR="00C63547" w:rsidRPr="00C63547">
        <w:rPr>
          <w:rFonts w:eastAsia="Times New Roman"/>
          <w:b/>
          <w:bCs/>
          <w:sz w:val="24"/>
          <w:szCs w:val="24"/>
        </w:rPr>
        <w:t>D.C. Concrete Mgmt., Inc. v. Mid-Century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5D9BC86E" w:rsidR="00C63547" w:rsidRPr="00C63547" w:rsidRDefault="00753103"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The primary aim in contract interpretation is to determine what the parties intended, and every word in an instrument is to be given meaning if at all possible.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0F8467B0" w14:textId="3C651BB2" w:rsidR="00C63547" w:rsidRPr="00C63547" w:rsidRDefault="00753103"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For a discussion as to whether an objective or subjective standard should be applied to a contract that is to be completed to the satisfaction of one of the parties, see </w:t>
      </w:r>
      <w:r w:rsidR="00C63547" w:rsidRPr="00C63547">
        <w:rPr>
          <w:rFonts w:eastAsia="Times New Roman"/>
          <w:b/>
          <w:bCs/>
          <w:sz w:val="24"/>
          <w:szCs w:val="24"/>
        </w:rPr>
        <w:t>Crum v. April Corp.</w:t>
      </w:r>
      <w:r w:rsidR="00C63547" w:rsidRPr="00C63547">
        <w:rPr>
          <w:rFonts w:eastAsia="Times New Roman"/>
          <w:bCs/>
          <w:sz w:val="24"/>
          <w:szCs w:val="24"/>
        </w:rPr>
        <w:t>, 62 P.3d 1039 (Colo. App. 2002).</w:t>
      </w:r>
    </w:p>
    <w:p w14:paraId="658A7B44" w14:textId="0DE45F8C" w:rsidR="00C63547" w:rsidRDefault="00753103"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For a discussion of contractual conditions implied in fact or by law, see </w:t>
      </w:r>
      <w:r w:rsidR="00C63547" w:rsidRPr="00C63547">
        <w:rPr>
          <w:rFonts w:eastAsia="Times New Roman"/>
          <w:b/>
          <w:bCs/>
          <w:sz w:val="24"/>
          <w:szCs w:val="24"/>
        </w:rPr>
        <w:t>Lane v. Urgitis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145 P.3d 672 (Colo. 2006).</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3" w:name="a30_30"/>
      <w:bookmarkEnd w:id="33"/>
      <w:r w:rsidRPr="00C63547">
        <w:rPr>
          <w:rFonts w:eastAsia="Times New Roman"/>
          <w:b/>
          <w:bCs/>
          <w:sz w:val="24"/>
          <w:szCs w:val="24"/>
        </w:rPr>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r w:rsidRPr="00C63547">
        <w:rPr>
          <w:rFonts w:eastAsia="Times New Roman"/>
          <w:bCs/>
          <w:i/>
          <w:iCs/>
          <w:sz w:val="24"/>
          <w:szCs w:val="24"/>
        </w:rPr>
        <w:t>insert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C.R.C.P.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2C57FE48"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Sch</w:t>
      </w:r>
      <w:r w:rsidR="00753103">
        <w:rPr>
          <w:rFonts w:eastAsia="Times New Roman"/>
          <w:b/>
          <w:bCs/>
          <w:sz w:val="24"/>
          <w:szCs w:val="24"/>
        </w:rPr>
        <w:t>ool</w:t>
      </w:r>
      <w:r w:rsidRPr="00C63547">
        <w:rPr>
          <w:rFonts w:eastAsia="Times New Roman"/>
          <w:b/>
          <w:bCs/>
          <w:sz w:val="24"/>
          <w:szCs w:val="24"/>
        </w:rPr>
        <w:t xml:space="preserve"> Dist</w:t>
      </w:r>
      <w:r w:rsidR="00753103">
        <w:rPr>
          <w:rFonts w:eastAsia="Times New Roman"/>
          <w:b/>
          <w:bCs/>
          <w:sz w:val="24"/>
          <w:szCs w:val="24"/>
        </w:rPr>
        <w:t>rict</w:t>
      </w:r>
      <w:r w:rsidRPr="00C63547">
        <w:rPr>
          <w:rFonts w:eastAsia="Times New Roman"/>
          <w:b/>
          <w:bCs/>
          <w:sz w:val="24"/>
          <w:szCs w:val="24"/>
        </w:rPr>
        <w:t xml:space="preserve"> No. 1</w:t>
      </w:r>
      <w:r w:rsidR="00753103">
        <w:rPr>
          <w:rFonts w:eastAsia="Times New Roman"/>
          <w:b/>
          <w:bCs/>
          <w:sz w:val="24"/>
          <w:szCs w:val="24"/>
        </w:rPr>
        <w:t xml:space="preserve"> v. Classroom Teachers Ass’n</w:t>
      </w:r>
      <w:r w:rsidRPr="00C63547">
        <w:rPr>
          <w:rFonts w:eastAsia="Times New Roman"/>
          <w:bCs/>
          <w:sz w:val="24"/>
          <w:szCs w:val="24"/>
        </w:rPr>
        <w:t>, 201</w:t>
      </w:r>
      <w:r w:rsidR="00753103">
        <w:rPr>
          <w:rFonts w:eastAsia="Times New Roman"/>
          <w:bCs/>
          <w:sz w:val="24"/>
          <w:szCs w:val="24"/>
        </w:rPr>
        <w:t>9</w:t>
      </w:r>
      <w:r w:rsidRPr="00C63547">
        <w:rPr>
          <w:rFonts w:eastAsia="Times New Roman"/>
          <w:bCs/>
          <w:sz w:val="24"/>
          <w:szCs w:val="24"/>
        </w:rPr>
        <w:t xml:space="preserve"> CO </w:t>
      </w:r>
      <w:r w:rsidR="00753103">
        <w:rPr>
          <w:rFonts w:eastAsia="Times New Roman"/>
          <w:bCs/>
          <w:sz w:val="24"/>
          <w:szCs w:val="24"/>
        </w:rPr>
        <w:t>5</w:t>
      </w:r>
      <w:r w:rsidRPr="00C63547">
        <w:rPr>
          <w:rFonts w:eastAsia="Times New Roman"/>
          <w:bCs/>
          <w:sz w:val="24"/>
          <w:szCs w:val="24"/>
        </w:rPr>
        <w:t xml:space="preserve">, ¶ </w:t>
      </w:r>
      <w:r w:rsidR="00753103">
        <w:rPr>
          <w:rFonts w:eastAsia="Times New Roman"/>
          <w:bCs/>
          <w:sz w:val="24"/>
          <w:szCs w:val="24"/>
        </w:rPr>
        <w:t>23</w:t>
      </w:r>
      <w:r w:rsidR="00676566">
        <w:rPr>
          <w:rFonts w:eastAsia="Times New Roman"/>
          <w:bCs/>
          <w:sz w:val="24"/>
          <w:szCs w:val="24"/>
        </w:rPr>
        <w:t>, 43</w:t>
      </w:r>
      <w:r w:rsidR="00753103">
        <w:rPr>
          <w:rFonts w:eastAsia="Times New Roman"/>
          <w:bCs/>
          <w:sz w:val="24"/>
          <w:szCs w:val="24"/>
        </w:rPr>
        <w:t>3</w:t>
      </w:r>
      <w:r w:rsidR="00676566">
        <w:rPr>
          <w:rFonts w:eastAsia="Times New Roman"/>
          <w:bCs/>
          <w:sz w:val="24"/>
          <w:szCs w:val="24"/>
        </w:rPr>
        <w:t xml:space="preserve"> P.3d </w:t>
      </w:r>
      <w:r w:rsidR="00753103">
        <w:rPr>
          <w:rFonts w:eastAsia="Times New Roman"/>
          <w:bCs/>
          <w:sz w:val="24"/>
          <w:szCs w:val="24"/>
        </w:rPr>
        <w:t>38, 43</w:t>
      </w:r>
      <w:r w:rsidRPr="00C63547">
        <w:rPr>
          <w:rFonts w:eastAsia="Times New Roman"/>
          <w:bCs/>
          <w:sz w:val="24"/>
          <w:szCs w:val="24"/>
        </w:rPr>
        <w:t xml:space="preserve"> (“We conclude that the </w:t>
      </w:r>
      <w:r w:rsidR="00753103" w:rsidRPr="00EF62AA">
        <w:rPr>
          <w:color w:val="1E1E1E"/>
          <w:sz w:val="24"/>
          <w:szCs w:val="24"/>
          <w:shd w:val="clear" w:color="auto" w:fill="FFFFFF"/>
        </w:rPr>
        <w:t>court of appeals correctly decided that it was proper to submit the interpretation of the CBAs as an issue of fact to the jury because the CBAs are ambiguous reg</w:t>
      </w:r>
      <w:r w:rsidR="00753103">
        <w:rPr>
          <w:color w:val="1E1E1E"/>
          <w:sz w:val="24"/>
          <w:szCs w:val="24"/>
          <w:shd w:val="clear" w:color="auto" w:fill="FFFFFF"/>
        </w:rPr>
        <w:t>arding payment for ELA training</w:t>
      </w:r>
      <w:r w:rsidRPr="00C63547">
        <w:rPr>
          <w:rFonts w:eastAsia="Times New Roman"/>
          <w:bCs/>
          <w:sz w:val="24"/>
          <w:szCs w:val="24"/>
        </w:rPr>
        <w:t>.”)</w:t>
      </w:r>
      <w:r w:rsidR="00753103">
        <w:rPr>
          <w:rFonts w:eastAsia="Times New Roman"/>
          <w:bCs/>
          <w:sz w:val="24"/>
          <w:szCs w:val="24"/>
        </w:rPr>
        <w:t>;</w:t>
      </w:r>
      <w:r w:rsidR="00753103" w:rsidRPr="00753103">
        <w:rPr>
          <w:rFonts w:eastAsia="Times New Roman"/>
          <w:b/>
          <w:bCs/>
          <w:sz w:val="24"/>
          <w:szCs w:val="24"/>
        </w:rPr>
        <w:t xml:space="preserve"> </w:t>
      </w:r>
      <w:r w:rsidR="00753103" w:rsidRPr="00753103">
        <w:rPr>
          <w:rFonts w:eastAsia="Times New Roman"/>
          <w:bCs/>
          <w:sz w:val="24"/>
          <w:szCs w:val="24"/>
        </w:rPr>
        <w:t>and</w:t>
      </w:r>
      <w:r w:rsidR="00753103">
        <w:rPr>
          <w:rFonts w:eastAsia="Times New Roman"/>
          <w:b/>
          <w:bCs/>
          <w:sz w:val="24"/>
          <w:szCs w:val="24"/>
        </w:rPr>
        <w:t xml:space="preserve"> </w:t>
      </w:r>
      <w:r w:rsidR="00753103" w:rsidRPr="00C63547">
        <w:rPr>
          <w:rFonts w:eastAsia="Times New Roman"/>
          <w:b/>
          <w:bCs/>
          <w:sz w:val="24"/>
          <w:szCs w:val="24"/>
        </w:rPr>
        <w:t>Dorman v. Petrol Aspen, Inc.</w:t>
      </w:r>
      <w:r w:rsidR="00753103" w:rsidRPr="002032E9">
        <w:rPr>
          <w:rFonts w:eastAsia="Times New Roman"/>
          <w:bCs/>
          <w:sz w:val="24"/>
          <w:szCs w:val="24"/>
        </w:rPr>
        <w:t>,</w:t>
      </w:r>
      <w:r w:rsidR="00753103" w:rsidRPr="00C63547">
        <w:rPr>
          <w:rFonts w:eastAsia="Times New Roman"/>
          <w:bCs/>
          <w:sz w:val="24"/>
          <w:szCs w:val="24"/>
        </w:rPr>
        <w:t xml:space="preserve"> 914 P.2d 909 (Colo. 1996) (the meaning of ambiguous contractual terms is generally an issue of fact)</w:t>
      </w:r>
      <w:r w:rsidR="00753103">
        <w:rPr>
          <w:rFonts w:eastAsia="Times New Roman"/>
          <w:bCs/>
          <w:sz w:val="24"/>
          <w:szCs w:val="24"/>
        </w:rPr>
        <w:t>.</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4" w:name="a30_31"/>
      <w:bookmarkEnd w:id="34"/>
      <w:r w:rsidRPr="00C63547">
        <w:rPr>
          <w:rFonts w:eastAsia="Times New Roman"/>
          <w:b/>
          <w:bCs/>
          <w:sz w:val="24"/>
          <w:szCs w:val="24"/>
        </w:rPr>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Condo v. Conners</w:t>
      </w:r>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Draper v. DeFrenchi-Gordineer</w:t>
      </w:r>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r w:rsidRPr="00C63547">
        <w:rPr>
          <w:rFonts w:eastAsia="Times New Roman"/>
          <w:b/>
          <w:bCs/>
          <w:sz w:val="24"/>
          <w:szCs w:val="24"/>
        </w:rPr>
        <w:t>Nahring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Hammond v. Caton</w:t>
      </w:r>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r w:rsidRPr="00C63547">
        <w:rPr>
          <w:rFonts w:eastAsia="Times New Roman"/>
          <w:b/>
          <w:bCs/>
          <w:sz w:val="24"/>
          <w:szCs w:val="24"/>
        </w:rPr>
        <w:t>Erdenberger, Inc. v. Partek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Chemco,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r w:rsidRPr="00C63547">
        <w:rPr>
          <w:rFonts w:eastAsia="Times New Roman"/>
          <w:b/>
          <w:bCs/>
          <w:sz w:val="24"/>
          <w:szCs w:val="24"/>
        </w:rPr>
        <w:t>Palipchak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Margaret N. Kniffin, Corbin on Contracts</w:t>
      </w:r>
      <w:r w:rsidRPr="00C63547">
        <w:rPr>
          <w:rFonts w:eastAsia="Times New Roman"/>
          <w:bCs/>
          <w:sz w:val="24"/>
          <w:szCs w:val="24"/>
        </w:rPr>
        <w:t xml:space="preserve"> § 24.16 (Joseph M. Perillo ed., rev. ed. 1998).</w:t>
      </w:r>
    </w:p>
    <w:p w14:paraId="1EBF5CF5" w14:textId="4806B084" w:rsidR="00321DC6" w:rsidRDefault="00321DC6" w:rsidP="00C63547">
      <w:pPr>
        <w:spacing w:after="240"/>
        <w:ind w:firstLine="720"/>
        <w:rPr>
          <w:rFonts w:eastAsia="Times New Roman"/>
          <w:bCs/>
          <w:sz w:val="24"/>
          <w:szCs w:val="24"/>
        </w:rPr>
      </w:pPr>
      <w:r>
        <w:rPr>
          <w:rFonts w:eastAsia="Times New Roman"/>
          <w:bCs/>
          <w:sz w:val="24"/>
          <w:szCs w:val="24"/>
        </w:rPr>
        <w:t xml:space="preserve">2. Extrinsic evidence of the parties’ performance under a contract before any controversy arose is indicative of their intent at the time of contracting. </w:t>
      </w:r>
      <w:r w:rsidRPr="00A6332F">
        <w:rPr>
          <w:rFonts w:eastAsia="Times New Roman"/>
          <w:b/>
          <w:bCs/>
          <w:sz w:val="24"/>
          <w:szCs w:val="24"/>
        </w:rPr>
        <w:t>Klun v. Klun</w:t>
      </w:r>
      <w:r>
        <w:rPr>
          <w:rFonts w:eastAsia="Times New Roman"/>
          <w:bCs/>
          <w:sz w:val="24"/>
          <w:szCs w:val="24"/>
        </w:rPr>
        <w:t xml:space="preserve">, 2019 CO 46, </w:t>
      </w:r>
      <w:r w:rsidRPr="002604F1">
        <w:rPr>
          <w:rFonts w:eastAsia="Times New Roman"/>
          <w:bCs/>
          <w:sz w:val="24"/>
          <w:szCs w:val="24"/>
        </w:rPr>
        <w:t>¶</w:t>
      </w:r>
      <w:r>
        <w:rPr>
          <w:rFonts w:eastAsia="Times New Roman"/>
          <w:bCs/>
          <w:sz w:val="24"/>
          <w:szCs w:val="24"/>
        </w:rPr>
        <w:t xml:space="preserve"> 29, 442 P.3d 88, 94 (“Plaintiffs’ contemporaneous actions and course of performance speak louder than their post-judgment words.”); </w:t>
      </w:r>
      <w:r w:rsidRPr="00EF62AA">
        <w:rPr>
          <w:rFonts w:eastAsia="Times New Roman"/>
          <w:b/>
          <w:bCs/>
          <w:sz w:val="24"/>
          <w:szCs w:val="24"/>
        </w:rPr>
        <w:t>Pepcol Mfg. v. Denver Union Corp.,</w:t>
      </w:r>
      <w:r w:rsidR="00EA32B8">
        <w:rPr>
          <w:rFonts w:eastAsia="Times New Roman"/>
          <w:bCs/>
          <w:sz w:val="24"/>
          <w:szCs w:val="24"/>
        </w:rPr>
        <w:t xml:space="preserve"> 687 P.2d 1310 (Colo. 1984).</w:t>
      </w:r>
    </w:p>
    <w:p w14:paraId="528C3361" w14:textId="2DAFF399" w:rsidR="00C63547" w:rsidRPr="00C63547" w:rsidRDefault="00321DC6" w:rsidP="00C63547">
      <w:pPr>
        <w:spacing w:after="240"/>
        <w:ind w:firstLine="720"/>
        <w:rPr>
          <w:rFonts w:eastAsia="Times New Roman"/>
          <w:bCs/>
          <w:sz w:val="24"/>
          <w:szCs w:val="24"/>
        </w:rPr>
      </w:pPr>
      <w:r>
        <w:rPr>
          <w:rFonts w:eastAsia="Times New Roman"/>
          <w:bCs/>
          <w:sz w:val="24"/>
          <w:szCs w:val="24"/>
        </w:rPr>
        <w:t>3</w:t>
      </w:r>
      <w:r w:rsidR="00C63547" w:rsidRPr="00C63547">
        <w:rPr>
          <w:rFonts w:eastAsia="Times New Roman"/>
          <w:bCs/>
          <w:sz w:val="24"/>
          <w:szCs w:val="24"/>
        </w:rPr>
        <w:t xml:space="preserve">. Where the face of the contract shows a change, such as strike-outs, the terms may be proven by evidence outside the contract. </w:t>
      </w:r>
      <w:r w:rsidR="00C63547" w:rsidRPr="00C63547">
        <w:rPr>
          <w:rFonts w:eastAsia="Times New Roman"/>
          <w:b/>
          <w:bCs/>
          <w:sz w:val="24"/>
          <w:szCs w:val="24"/>
        </w:rPr>
        <w:t>Hildebrand v. New Vista Homes II, LLC</w:t>
      </w:r>
      <w:r w:rsidR="00C63547" w:rsidRPr="00C63547">
        <w:rPr>
          <w:rFonts w:eastAsia="Times New Roman"/>
          <w:bCs/>
          <w:sz w:val="24"/>
          <w:szCs w:val="24"/>
        </w:rPr>
        <w:t xml:space="preserve">, 252 P.3d 1159 (Colo. App. 2010). In cases involving an ambiguity in a written contract, the jury’s function is to determine the intention of the parties as a question of fact. </w:t>
      </w:r>
      <w:r w:rsidR="00C63547" w:rsidRPr="00C63547">
        <w:rPr>
          <w:rFonts w:eastAsia="Times New Roman"/>
          <w:b/>
          <w:bCs/>
          <w:sz w:val="24"/>
          <w:szCs w:val="24"/>
        </w:rPr>
        <w:t>Fire Ins. Exch. v. Rael</w:t>
      </w:r>
      <w:r w:rsidR="00C63547" w:rsidRPr="00C63547">
        <w:rPr>
          <w:rFonts w:eastAsia="Times New Roman"/>
          <w:bCs/>
          <w:sz w:val="24"/>
          <w:szCs w:val="24"/>
        </w:rPr>
        <w:t xml:space="preserve">, 895 P.2d 1139 (Colo. App. 1995). Determining the parties’ intent from the circumstances surrounding the execution of a contract is the primary method for determining the meaning of an ambiguous term. </w:t>
      </w:r>
    </w:p>
    <w:p w14:paraId="679BFC82" w14:textId="43AE9876" w:rsidR="00C63547" w:rsidRPr="00C63547" w:rsidRDefault="00321DC6"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conduct of the parties may not be used to contradict the contract’s plain, unambiguous meaning. </w:t>
      </w:r>
      <w:r w:rsidR="00C63547" w:rsidRPr="00C63547">
        <w:rPr>
          <w:rFonts w:eastAsia="Times New Roman"/>
          <w:b/>
          <w:bCs/>
          <w:sz w:val="24"/>
          <w:szCs w:val="24"/>
        </w:rPr>
        <w:t>Great W. Sugar Co. v. White</w:t>
      </w:r>
      <w:r w:rsidR="00C63547" w:rsidRPr="00C63547">
        <w:rPr>
          <w:rFonts w:eastAsia="Times New Roman"/>
          <w:bCs/>
          <w:sz w:val="24"/>
          <w:szCs w:val="24"/>
        </w:rPr>
        <w:t>, 47 Colo. 547, 108 P. 156 (1910).</w:t>
      </w:r>
    </w:p>
    <w:p w14:paraId="6632F31F" w14:textId="1C1BBEE9" w:rsidR="00C63547" w:rsidRPr="00C63547" w:rsidRDefault="00321DC6"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Insurance policies are contracts, the unambiguous terms of which must be enforced as written, unless doing so would violate public policy. </w:t>
      </w:r>
      <w:r w:rsidR="00C63547" w:rsidRPr="00C63547">
        <w:rPr>
          <w:rFonts w:eastAsia="Times New Roman"/>
          <w:b/>
          <w:bCs/>
          <w:sz w:val="24"/>
          <w:szCs w:val="24"/>
        </w:rPr>
        <w:t>Travelers Prop. Cas. Co. of Am. v. Stresscon Corp</w:t>
      </w:r>
      <w:r w:rsidR="00C63547" w:rsidRPr="00C63547">
        <w:rPr>
          <w:rFonts w:eastAsia="Times New Roman"/>
          <w:bCs/>
          <w:sz w:val="24"/>
          <w:szCs w:val="24"/>
        </w:rPr>
        <w:t xml:space="preserve">., 2016 CO 22M, ¶ 12, 370 P.3d 140; </w:t>
      </w:r>
      <w:r w:rsidR="00C63547" w:rsidRPr="00C63547">
        <w:rPr>
          <w:rFonts w:eastAsia="Times New Roman"/>
          <w:b/>
          <w:bCs/>
          <w:sz w:val="24"/>
          <w:szCs w:val="24"/>
        </w:rPr>
        <w:t>Allstate Ins. Co. v. Huizar</w:t>
      </w:r>
      <w:r w:rsidR="00C63547" w:rsidRPr="00C63547">
        <w:rPr>
          <w:rFonts w:eastAsia="Times New Roman"/>
          <w:bCs/>
          <w:sz w:val="24"/>
          <w:szCs w:val="24"/>
        </w:rPr>
        <w:t xml:space="preserve">, 52 P.3d 816 (Colo. 2002) (insurance contracts must be construed according to well-settled principles of contract interpretation); </w:t>
      </w:r>
      <w:r w:rsidR="00C63547" w:rsidRPr="00C63547">
        <w:rPr>
          <w:rFonts w:eastAsia="Times New Roman"/>
          <w:b/>
          <w:bCs/>
          <w:sz w:val="24"/>
          <w:szCs w:val="24"/>
        </w:rPr>
        <w:t>Novell v. Am. Guar. &amp; Liab.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15 P.3d 775 (Colo. App. 1999); </w:t>
      </w:r>
      <w:r w:rsidR="00C63547" w:rsidRPr="00C63547">
        <w:rPr>
          <w:rFonts w:eastAsia="Times New Roman"/>
          <w:b/>
          <w:bCs/>
          <w:sz w:val="24"/>
          <w:szCs w:val="24"/>
        </w:rPr>
        <w:t>Mt. Hawley Ins. Co. v. Casson Duncan Constr. Inc</w:t>
      </w:r>
      <w:r w:rsidR="00C63547" w:rsidRPr="00C63547">
        <w:rPr>
          <w:rFonts w:eastAsia="Times New Roman"/>
          <w:bCs/>
          <w:sz w:val="24"/>
          <w:szCs w:val="24"/>
        </w:rPr>
        <w:t>., 2016 COA 164, ¶ 15</w:t>
      </w:r>
      <w:r w:rsidR="004C330E">
        <w:rPr>
          <w:rFonts w:eastAsia="Times New Roman"/>
          <w:bCs/>
          <w:sz w:val="24"/>
          <w:szCs w:val="24"/>
        </w:rPr>
        <w:t>, 409 P.3d 619</w:t>
      </w:r>
      <w:r w:rsidR="00C63547"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00C63547" w:rsidRPr="00C63547">
        <w:rPr>
          <w:rFonts w:eastAsia="Times New Roman"/>
          <w:b/>
          <w:bCs/>
          <w:sz w:val="24"/>
          <w:szCs w:val="24"/>
        </w:rPr>
        <w:t>Cary v. United of Omaha Life Ins. Co.</w:t>
      </w:r>
      <w:r w:rsidR="00C63547" w:rsidRPr="00C63547">
        <w:rPr>
          <w:rFonts w:eastAsia="Times New Roman"/>
          <w:bCs/>
          <w:sz w:val="24"/>
          <w:szCs w:val="24"/>
        </w:rPr>
        <w:t xml:space="preserve">, 108 P.3d 288 (Colo. 2005); </w:t>
      </w:r>
      <w:r w:rsidR="00C63547" w:rsidRPr="00C63547">
        <w:rPr>
          <w:rFonts w:eastAsia="Times New Roman"/>
          <w:b/>
          <w:bCs/>
          <w:sz w:val="24"/>
          <w:szCs w:val="24"/>
        </w:rPr>
        <w:t>Cruz v. Farmers Ins. Exch.</w:t>
      </w:r>
      <w:r w:rsidR="00C63547" w:rsidRPr="00C63547">
        <w:rPr>
          <w:rFonts w:eastAsia="Times New Roman"/>
          <w:bCs/>
          <w:sz w:val="24"/>
          <w:szCs w:val="24"/>
        </w:rPr>
        <w:t xml:space="preserve">, 12 P.3d 307 (Colo. App. 2000); </w:t>
      </w:r>
      <w:r w:rsidR="00C63547" w:rsidRPr="00C63547">
        <w:rPr>
          <w:rFonts w:eastAsia="Times New Roman"/>
          <w:b/>
          <w:bCs/>
          <w:sz w:val="24"/>
          <w:szCs w:val="24"/>
        </w:rPr>
        <w:t>Bengtson v. USAA Prop. &amp; Cas. Ins.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 P.3d 1233 (Colo. App. 2000);</w:t>
      </w:r>
      <w:r w:rsidR="00C63547" w:rsidRPr="00C63547">
        <w:rPr>
          <w:rFonts w:eastAsia="Times New Roman"/>
          <w:b/>
          <w:bCs/>
          <w:sz w:val="24"/>
          <w:szCs w:val="24"/>
        </w:rPr>
        <w:t xml:space="preserve"> Novell</w:t>
      </w:r>
      <w:r w:rsidR="00C63547" w:rsidRPr="00C63547">
        <w:rPr>
          <w:rFonts w:eastAsia="Times New Roman"/>
          <w:bCs/>
          <w:sz w:val="24"/>
          <w:szCs w:val="24"/>
        </w:rPr>
        <w:t xml:space="preserve">, 15 P.3d at 778. </w:t>
      </w:r>
      <w:r w:rsidR="00C63547" w:rsidRPr="00C63547">
        <w:rPr>
          <w:rFonts w:eastAsia="Times New Roman"/>
          <w:bCs/>
          <w:i/>
          <w:sz w:val="24"/>
          <w:szCs w:val="24"/>
        </w:rPr>
        <w:t>See</w:t>
      </w:r>
      <w:r w:rsidR="00C63547" w:rsidRPr="00C63547">
        <w:rPr>
          <w:rFonts w:eastAsia="Times New Roman"/>
          <w:bCs/>
          <w:sz w:val="24"/>
          <w:szCs w:val="24"/>
        </w:rPr>
        <w:t xml:space="preserve"> Instruction 30:35 (construction against drafter).</w:t>
      </w:r>
    </w:p>
    <w:p w14:paraId="4BA5DBAE" w14:textId="6F77B487" w:rsidR="00C63547" w:rsidRPr="00C63547" w:rsidRDefault="00321DC6"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Generally, unless unequivocal language mandates otherwise, a contractual clause will be interpreted as a promise rather than as a condition precedent. </w:t>
      </w:r>
      <w:r w:rsidR="00C63547" w:rsidRPr="00C63547">
        <w:rPr>
          <w:rFonts w:eastAsia="Times New Roman"/>
          <w:b/>
          <w:bCs/>
          <w:sz w:val="24"/>
          <w:szCs w:val="24"/>
        </w:rPr>
        <w:t>Main Elec., Ltd. v. Printz Servs. Corp.</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980 P.2d 522 (Colo. 1999).</w:t>
      </w:r>
    </w:p>
    <w:p w14:paraId="34E97FDF" w14:textId="5E558E9C" w:rsidR="00C63547" w:rsidRPr="00C63547" w:rsidRDefault="00321DC6"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A fundamental rule of contract interpretation is that the latest iteration of contractual terms controls. </w:t>
      </w:r>
      <w:r w:rsidR="00C63547" w:rsidRPr="00C63547">
        <w:rPr>
          <w:rFonts w:eastAsia="Times New Roman"/>
          <w:bCs/>
          <w:i/>
          <w:sz w:val="24"/>
          <w:szCs w:val="24"/>
        </w:rPr>
        <w:t>See</w:t>
      </w:r>
      <w:r w:rsidR="00C63547" w:rsidRPr="00C63547">
        <w:rPr>
          <w:rFonts w:eastAsia="Times New Roman"/>
          <w:bCs/>
          <w:sz w:val="24"/>
          <w:szCs w:val="24"/>
        </w:rPr>
        <w:t xml:space="preserve">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5" w:name="a30_32"/>
      <w:bookmarkEnd w:id="35"/>
      <w:r w:rsidRPr="00E32C6D">
        <w:rPr>
          <w:rFonts w:eastAsia="Times New Roman"/>
          <w:b/>
          <w:bCs/>
          <w:sz w:val="24"/>
          <w:szCs w:val="24"/>
        </w:rPr>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Federal Deposit Insurance Corp. v. Fisher</w:t>
      </w:r>
      <w:r w:rsidRPr="00E32C6D">
        <w:rPr>
          <w:rFonts w:eastAsia="Times New Roman"/>
          <w:bCs/>
          <w:sz w:val="24"/>
          <w:szCs w:val="24"/>
        </w:rPr>
        <w:t xml:space="preserve">, 2013 COA 5, ¶ 11, 292 P.3d 934; </w:t>
      </w:r>
      <w:r w:rsidRPr="00E32C6D">
        <w:rPr>
          <w:rFonts w:eastAsia="Times New Roman"/>
          <w:b/>
          <w:bCs/>
          <w:sz w:val="24"/>
          <w:szCs w:val="24"/>
        </w:rPr>
        <w:t>Allstate Insurance Co. v. Huizar</w:t>
      </w:r>
      <w:r w:rsidRPr="00E32C6D">
        <w:rPr>
          <w:rFonts w:eastAsia="Times New Roman"/>
          <w:bCs/>
          <w:sz w:val="24"/>
          <w:szCs w:val="24"/>
        </w:rPr>
        <w:t xml:space="preserve">, 52 P.3d 816, 819 (Colo. 2002) (“[T]he meaning of a contract must be determined by examination of the entire instrument, and not by viewing clauses or phrases in isolation.”); 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(“[D]ocuments executed together as part of a single transaction should be considered together in ascertaining the intent of the parties.”).</w:t>
      </w:r>
    </w:p>
    <w:p w14:paraId="731A3E7B"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r w:rsidR="00FB29B2">
        <w:rPr>
          <w:rFonts w:eastAsia="Times New Roman"/>
          <w:b/>
          <w:bCs/>
          <w:sz w:val="24"/>
          <w:szCs w:val="24"/>
        </w:rPr>
        <w:t>Pulte Home Corp.</w:t>
      </w:r>
      <w:r w:rsidRPr="00E32C6D">
        <w:rPr>
          <w:rFonts w:eastAsia="Times New Roman"/>
          <w:b/>
          <w:bCs/>
          <w:sz w:val="24"/>
          <w:szCs w:val="24"/>
        </w:rPr>
        <w:t xml:space="preserve"> v. Countryside Cmty. Ass’n, Inc.</w:t>
      </w:r>
      <w:r w:rsidRPr="00E32C6D">
        <w:rPr>
          <w:rFonts w:eastAsia="Times New Roman"/>
          <w:bCs/>
          <w:sz w:val="24"/>
          <w:szCs w:val="24"/>
        </w:rPr>
        <w:t>, 2016 CO 64, ¶ 23, 382 P.3d 821, 826.</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36" w:name="a30_33"/>
      <w:bookmarkEnd w:id="36"/>
      <w:r w:rsidRPr="00E32C6D">
        <w:rPr>
          <w:rFonts w:eastAsia="Times New Roman"/>
          <w:b/>
          <w:bCs/>
          <w:sz w:val="24"/>
          <w:szCs w:val="24"/>
        </w:rPr>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This instruction is supported by </w:t>
      </w:r>
      <w:r w:rsidRPr="00E32C6D">
        <w:rPr>
          <w:rFonts w:eastAsia="Times New Roman"/>
          <w:b/>
          <w:bCs/>
          <w:sz w:val="24"/>
          <w:szCs w:val="24"/>
        </w:rPr>
        <w:t>Columbus Investments v. Lewis</w:t>
      </w:r>
      <w:r w:rsidRPr="00E32C6D">
        <w:rPr>
          <w:rFonts w:eastAsia="Times New Roman"/>
          <w:bCs/>
          <w:sz w:val="24"/>
          <w:szCs w:val="24"/>
        </w:rPr>
        <w:t xml:space="preserve">, 48 P.3d 1222 (Colo. 2002); </w:t>
      </w:r>
      <w:r w:rsidRPr="00E32C6D">
        <w:rPr>
          <w:rFonts w:eastAsia="Times New Roman"/>
          <w:b/>
          <w:bCs/>
          <w:sz w:val="24"/>
          <w:szCs w:val="24"/>
        </w:rPr>
        <w:t>Allstate Insurance Co. v. Huizar</w:t>
      </w:r>
      <w:r w:rsidRPr="00E32C6D">
        <w:rPr>
          <w:rFonts w:eastAsia="Times New Roman"/>
          <w:bCs/>
          <w:sz w:val="24"/>
          <w:szCs w:val="24"/>
        </w:rPr>
        <w:t xml:space="preserve">, 52 P.3d 816 (Colo. 2002) (interpretation of insurance contracts); </w:t>
      </w:r>
      <w:r w:rsidRPr="00E32C6D">
        <w:rPr>
          <w:rFonts w:eastAsia="Times New Roman"/>
          <w:b/>
          <w:bCs/>
          <w:sz w:val="24"/>
          <w:szCs w:val="24"/>
        </w:rPr>
        <w:t>Copper Mountain, Inc. v. Industrial Systems, Inc.</w:t>
      </w:r>
      <w:r w:rsidRPr="00E32C6D">
        <w:rPr>
          <w:rFonts w:eastAsia="Times New Roman"/>
          <w:bCs/>
          <w:sz w:val="24"/>
          <w:szCs w:val="24"/>
        </w:rPr>
        <w:t>,</w:t>
      </w:r>
      <w:r w:rsidRPr="00E32C6D">
        <w:rPr>
          <w:rFonts w:eastAsia="Times New Roman"/>
          <w:b/>
          <w:bCs/>
          <w:sz w:val="24"/>
          <w:szCs w:val="24"/>
        </w:rPr>
        <w:t xml:space="preserve"> </w:t>
      </w:r>
      <w:r w:rsidRPr="00E32C6D">
        <w:rPr>
          <w:rFonts w:eastAsia="Times New Roman"/>
          <w:bCs/>
          <w:sz w:val="24"/>
          <w:szCs w:val="24"/>
        </w:rPr>
        <w:t xml:space="preserve">208 P.3d 692 (Colo. 2009); and </w:t>
      </w:r>
      <w:r w:rsidRPr="00E32C6D">
        <w:rPr>
          <w:rFonts w:eastAsia="Times New Roman"/>
          <w:b/>
          <w:bCs/>
          <w:sz w:val="24"/>
          <w:szCs w:val="24"/>
        </w:rPr>
        <w:t>Smith v. State Farm Mutual Automobile Insurance Co</w:t>
      </w:r>
      <w:r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37" w:name="a30_34"/>
      <w:bookmarkEnd w:id="37"/>
      <w:r w:rsidRPr="00FE48F2">
        <w:rPr>
          <w:rFonts w:eastAsia="Times New Roman"/>
          <w:b/>
          <w:bCs/>
          <w:sz w:val="24"/>
          <w:szCs w:val="24"/>
        </w:rPr>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r w:rsidRPr="00FE48F2">
        <w:rPr>
          <w:rFonts w:eastAsia="Times New Roman"/>
          <w:b/>
          <w:bCs/>
          <w:iCs/>
          <w:sz w:val="24"/>
          <w:szCs w:val="24"/>
        </w:rPr>
        <w:t>KN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2. When parties are engaged in a trade or technical field, “[u]nless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Bledsoe Land Co. LLLP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r w:rsidRPr="00FE48F2">
        <w:rPr>
          <w:rFonts w:eastAsia="Times New Roman"/>
          <w:b/>
          <w:bCs/>
          <w:iCs/>
          <w:sz w:val="24"/>
          <w:szCs w:val="24"/>
        </w:rPr>
        <w:t>Armentrout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People v. Macrander</w:t>
      </w:r>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DISH Network Corp. v. Altomari</w:t>
      </w:r>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38" w:name="a30_35"/>
      <w:bookmarkEnd w:id="38"/>
      <w:r w:rsidRPr="008857D3">
        <w:rPr>
          <w:rFonts w:eastAsia="Times New Roman"/>
          <w:b/>
          <w:bCs/>
          <w:sz w:val="24"/>
          <w:szCs w:val="24"/>
        </w:rPr>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r w:rsidRPr="008857D3">
        <w:rPr>
          <w:rFonts w:eastAsia="Times New Roman"/>
          <w:b/>
          <w:bCs/>
          <w:sz w:val="24"/>
          <w:szCs w:val="24"/>
        </w:rPr>
        <w:t>Patterson v. Gage</w:t>
      </w:r>
      <w:r w:rsidRPr="008857D3">
        <w:rPr>
          <w:rFonts w:eastAsia="Times New Roman"/>
          <w:bCs/>
          <w:sz w:val="24"/>
          <w:szCs w:val="24"/>
        </w:rPr>
        <w:t>, 11 Colo. 50, 16 P. 560 (1888).</w:t>
      </w:r>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77777777"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U.S. Fid. &amp; Guar. Co. v. Budget Rent-A-Car Sys., Inc.</w:t>
      </w:r>
      <w:r w:rsidRPr="008857D3">
        <w:rPr>
          <w:rFonts w:eastAsia="Times New Roman"/>
          <w:bCs/>
          <w:sz w:val="24"/>
          <w:szCs w:val="24"/>
        </w:rPr>
        <w:t xml:space="preserve">, 842 P.2d 208 (Colo. 1992); </w:t>
      </w:r>
      <w:r w:rsidRPr="008857D3">
        <w:rPr>
          <w:rFonts w:eastAsia="Times New Roman"/>
          <w:b/>
          <w:bCs/>
          <w:sz w:val="24"/>
          <w:szCs w:val="24"/>
        </w:rPr>
        <w:t>Am. Family Mut.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r w:rsidRPr="008857D3">
        <w:rPr>
          <w:rFonts w:eastAsia="Times New Roman"/>
          <w:b/>
          <w:bCs/>
          <w:sz w:val="24"/>
          <w:szCs w:val="24"/>
        </w:rPr>
        <w:t>Kuta v. Joint Dist. No. 50(J)</w:t>
      </w:r>
      <w:r w:rsidRPr="008857D3">
        <w:rPr>
          <w:rFonts w:eastAsia="Times New Roman"/>
          <w:bCs/>
          <w:sz w:val="24"/>
          <w:szCs w:val="24"/>
        </w:rPr>
        <w:t xml:space="preserve">, 799 P.2d 379 (Colo. 1990); </w:t>
      </w:r>
      <w:r w:rsidRPr="008857D3">
        <w:rPr>
          <w:rFonts w:eastAsia="Times New Roman"/>
          <w:b/>
          <w:bCs/>
          <w:sz w:val="24"/>
          <w:szCs w:val="24"/>
        </w:rPr>
        <w:t>Converse v. Zinke</w:t>
      </w:r>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Sunshine v. M.R.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Perl-Mack Enters. 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00BB32CE" w:rsidRPr="00BB32CE">
        <w:rPr>
          <w:rFonts w:eastAsia="Times New Roman"/>
          <w:b/>
          <w:bCs/>
          <w:sz w:val="24"/>
          <w:szCs w:val="24"/>
        </w:rPr>
        <w:t>Owners Ins. Co. v. Dakota Station II Condo</w:t>
      </w:r>
      <w:r w:rsidR="00BB32CE">
        <w:rPr>
          <w:rFonts w:eastAsia="Times New Roman"/>
          <w:b/>
          <w:bCs/>
          <w:sz w:val="24"/>
          <w:szCs w:val="24"/>
        </w:rPr>
        <w:t xml:space="preserve">. </w:t>
      </w:r>
      <w:r w:rsidR="00BB32CE" w:rsidRPr="00BB32CE">
        <w:rPr>
          <w:rFonts w:eastAsia="Times New Roman"/>
          <w:b/>
          <w:bCs/>
          <w:sz w:val="24"/>
          <w:szCs w:val="24"/>
        </w:rPr>
        <w:t>Ass</w:t>
      </w:r>
      <w:r w:rsidR="00BB32CE">
        <w:rPr>
          <w:rFonts w:eastAsia="Times New Roman"/>
          <w:b/>
          <w:bCs/>
          <w:sz w:val="24"/>
          <w:szCs w:val="24"/>
        </w:rPr>
        <w:t>’n</w:t>
      </w:r>
      <w:r w:rsidR="00BB32CE">
        <w:rPr>
          <w:rFonts w:eastAsia="Times New Roman"/>
          <w:bCs/>
          <w:sz w:val="24"/>
          <w:szCs w:val="24"/>
        </w:rPr>
        <w:t xml:space="preserve">, 2017 COA 103, </w:t>
      </w:r>
      <w:r w:rsidR="00BB32CE" w:rsidRPr="00A55DAC">
        <w:rPr>
          <w:rFonts w:eastAsia="Times New Roman"/>
          <w:bCs/>
          <w:sz w:val="24"/>
          <w:szCs w:val="24"/>
        </w:rPr>
        <w:t>¶</w:t>
      </w:r>
      <w:r w:rsidR="00BB32CE">
        <w:rPr>
          <w:rFonts w:eastAsia="Times New Roman"/>
          <w:bCs/>
          <w:sz w:val="24"/>
          <w:szCs w:val="24"/>
        </w:rPr>
        <w:t xml:space="preserve"> 21</w:t>
      </w:r>
      <w:r w:rsidR="004D5700">
        <w:rPr>
          <w:rFonts w:eastAsia="Times New Roman"/>
          <w:bCs/>
          <w:sz w:val="24"/>
          <w:szCs w:val="24"/>
        </w:rPr>
        <w:t xml:space="preserve"> (</w:t>
      </w:r>
      <w:r w:rsidR="004D5700" w:rsidRPr="009D5D97">
        <w:rPr>
          <w:rFonts w:eastAsia="Times New Roman"/>
          <w:bCs/>
          <w:i/>
          <w:sz w:val="24"/>
          <w:szCs w:val="24"/>
        </w:rPr>
        <w:t>cert. granted</w:t>
      </w:r>
      <w:r w:rsidR="004D5700">
        <w:rPr>
          <w:rFonts w:eastAsia="Times New Roman"/>
          <w:bCs/>
          <w:sz w:val="24"/>
          <w:szCs w:val="24"/>
        </w:rPr>
        <w:t xml:space="preserve"> </w:t>
      </w:r>
      <w:r w:rsidR="009D5D97">
        <w:rPr>
          <w:rFonts w:eastAsia="Times New Roman"/>
          <w:bCs/>
          <w:sz w:val="24"/>
          <w:szCs w:val="24"/>
        </w:rPr>
        <w:t>Feb. 20, 2018</w:t>
      </w:r>
      <w:r w:rsidR="004D5700">
        <w:rPr>
          <w:rFonts w:eastAsia="Times New Roman"/>
          <w:bCs/>
          <w:sz w:val="24"/>
          <w:szCs w:val="24"/>
        </w:rPr>
        <w:t>)</w:t>
      </w:r>
      <w:r w:rsidR="00BB32CE">
        <w:rPr>
          <w:rFonts w:eastAsia="Times New Roman"/>
          <w:bCs/>
          <w:sz w:val="24"/>
          <w:szCs w:val="24"/>
        </w:rPr>
        <w:t xml:space="preserve">;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State Farm Mut. Auto. Ins. Co. v. Bencomo</w:t>
      </w:r>
      <w:r w:rsidRPr="008857D3">
        <w:rPr>
          <w:rFonts w:eastAsia="Times New Roman"/>
          <w:bCs/>
          <w:sz w:val="24"/>
          <w:szCs w:val="24"/>
        </w:rPr>
        <w:t xml:space="preserve">, 873 P.2d 47 (Colo. App. 1994); </w:t>
      </w:r>
      <w:r w:rsidRPr="008857D3">
        <w:rPr>
          <w:rFonts w:eastAsia="Times New Roman"/>
          <w:b/>
          <w:bCs/>
          <w:sz w:val="24"/>
          <w:szCs w:val="24"/>
        </w:rPr>
        <w:t>Bassett v. Eagle Telecomms.,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39" w:name="a30_36"/>
      <w:bookmarkEnd w:id="39"/>
      <w:r w:rsidRPr="00C737F3">
        <w:rPr>
          <w:rFonts w:eastAsia="Times New Roman"/>
          <w:b/>
          <w:bCs/>
          <w:sz w:val="24"/>
          <w:szCs w:val="24"/>
        </w:rPr>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t>E. DAMAGES</w:t>
      </w:r>
    </w:p>
    <w:p w14:paraId="0C46ADBB" w14:textId="77777777" w:rsidR="00A63D35" w:rsidRPr="0054263B" w:rsidRDefault="00A63D35" w:rsidP="00A63D35">
      <w:pPr>
        <w:keepNext/>
        <w:spacing w:after="240"/>
        <w:jc w:val="center"/>
        <w:rPr>
          <w:rFonts w:eastAsia="Times New Roman"/>
          <w:b/>
          <w:sz w:val="24"/>
          <w:szCs w:val="24"/>
        </w:rPr>
      </w:pPr>
      <w:bookmarkStart w:id="40" w:name="IntroNoteE"/>
      <w:bookmarkEnd w:id="40"/>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r w:rsidRPr="00A63D35">
        <w:rPr>
          <w:rFonts w:eastAsia="Times New Roman"/>
          <w:b/>
          <w:bCs/>
          <w:sz w:val="24"/>
          <w:szCs w:val="24"/>
        </w:rPr>
        <w:t>Tull v. Gundersons,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r w:rsidRPr="00A63D35">
        <w:rPr>
          <w:rFonts w:eastAsia="Times New Roman"/>
          <w:b/>
          <w:bCs/>
          <w:sz w:val="24"/>
          <w:szCs w:val="24"/>
        </w:rPr>
        <w:t>Westesen v. Olathe State Bank</w:t>
      </w:r>
      <w:r w:rsidRPr="00A63D35">
        <w:rPr>
          <w:rFonts w:eastAsia="Times New Roman"/>
          <w:bCs/>
          <w:sz w:val="24"/>
          <w:szCs w:val="24"/>
        </w:rPr>
        <w:t xml:space="preserve">, 75 Colo. 340, 225 P. 837 (1924); </w:t>
      </w:r>
      <w:r w:rsidRPr="00A63D35">
        <w:rPr>
          <w:rFonts w:eastAsia="Times New Roman"/>
          <w:b/>
          <w:bCs/>
          <w:sz w:val="24"/>
          <w:szCs w:val="24"/>
        </w:rPr>
        <w:t>Richner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r w:rsidRPr="00A63D35">
        <w:rPr>
          <w:rFonts w:eastAsia="Times New Roman"/>
          <w:b/>
          <w:bCs/>
          <w:sz w:val="24"/>
          <w:szCs w:val="24"/>
        </w:rPr>
        <w:t>Tighe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exists sufficient evidence to provide a reasonable basis for computation. </w:t>
      </w:r>
      <w:r w:rsidRPr="00A63D35">
        <w:rPr>
          <w:rFonts w:eastAsia="Times New Roman"/>
          <w:b/>
          <w:bCs/>
          <w:sz w:val="24"/>
          <w:szCs w:val="24"/>
        </w:rPr>
        <w:t>Pomeranz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Interbank Invs. L.L.C.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Riggs v. McMurtry</w:t>
      </w:r>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HMO Sys., Inc. v. Choicecare Health Servs.,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r w:rsidRPr="00A63D35">
        <w:rPr>
          <w:rFonts w:eastAsia="Times New Roman"/>
          <w:b/>
          <w:bCs/>
          <w:sz w:val="24"/>
          <w:szCs w:val="24"/>
        </w:rPr>
        <w:t>Jasken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Ferrellgas, Inc. v. Yeiser</w:t>
      </w:r>
      <w:r w:rsidRPr="00A63D35">
        <w:rPr>
          <w:rFonts w:eastAsia="Times New Roman"/>
          <w:bCs/>
          <w:sz w:val="24"/>
          <w:szCs w:val="24"/>
        </w:rPr>
        <w:t xml:space="preserve">, 247 P.3d 1022 (Colo. 2011) (analyzing setoff and interest calculation under section 5-12-102); </w:t>
      </w:r>
      <w:r w:rsidRPr="00A63D35">
        <w:rPr>
          <w:rFonts w:eastAsia="Times New Roman"/>
          <w:b/>
          <w:bCs/>
          <w:sz w:val="24"/>
          <w:szCs w:val="24"/>
        </w:rPr>
        <w:t>Ballow v. PHICO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r w:rsidRPr="00A63D35">
        <w:rPr>
          <w:rFonts w:eastAsia="Times New Roman"/>
          <w:b/>
          <w:bCs/>
          <w:sz w:val="24"/>
          <w:szCs w:val="24"/>
        </w:rPr>
        <w:t>Logixx Automation, Inc. v. Lawrence Michels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6. Under section 5-12-102(1)(a)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Butler v. Lembeck</w:t>
      </w:r>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Prospero Assocs. v. Redactron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moratory interest. Moratory interest is an element of damage in itself which is allowed as compensation for the detention and use of money . . . [and its allowance] is a matter committed to the sound discretion of [the] court in consideration of the equities of [the] case.” </w:t>
      </w:r>
      <w:r w:rsidRPr="00A63D35">
        <w:rPr>
          <w:rFonts w:eastAsia="Times New Roman"/>
          <w:b/>
          <w:bCs/>
          <w:sz w:val="24"/>
          <w:szCs w:val="24"/>
        </w:rPr>
        <w:t>E.B. Jones Constr. Co. v. City &amp; County of Denver</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717 P.2d 1009, 1014-15 (Colo. App. 1986). </w:t>
      </w:r>
      <w:r w:rsidRPr="00A63D35">
        <w:rPr>
          <w:rFonts w:eastAsia="Times New Roman"/>
          <w:bCs/>
          <w:i/>
          <w:sz w:val="24"/>
          <w:szCs w:val="24"/>
        </w:rPr>
        <w:t>But see</w:t>
      </w:r>
      <w:r w:rsidRPr="00A63D35">
        <w:rPr>
          <w:rFonts w:eastAsia="Times New Roman"/>
          <w:bCs/>
          <w:sz w:val="24"/>
          <w:szCs w:val="24"/>
        </w:rPr>
        <w:t xml:space="preserve"> § 5-12-102(1)(a)–(b) (appearing to authorize moratory interest, so defined, as statutory interest); </w:t>
      </w:r>
      <w:r w:rsidRPr="00A63D35">
        <w:rPr>
          <w:rFonts w:eastAsia="Times New Roman"/>
          <w:b/>
          <w:bCs/>
          <w:sz w:val="24"/>
          <w:szCs w:val="24"/>
        </w:rPr>
        <w:t>Farmers Reservoir &amp; Irr. Co. v. City of Golden</w:t>
      </w:r>
      <w:r w:rsidRPr="00A63D35">
        <w:rPr>
          <w:rFonts w:eastAsia="Times New Roman"/>
          <w:bCs/>
          <w:sz w:val="24"/>
          <w:szCs w:val="24"/>
        </w:rPr>
        <w:t xml:space="preserve">, 113 P.3d 119 (Colo. 2005) (whether attorney fees are classified as “costs” or “damages” for purpose of awarding moratory interest depends on context of case and rests within discretion of trial court); </w:t>
      </w:r>
      <w:r w:rsidRPr="00A63D35">
        <w:rPr>
          <w:rFonts w:eastAsia="Times New Roman"/>
          <w:b/>
          <w:bCs/>
          <w:sz w:val="24"/>
          <w:szCs w:val="24"/>
        </w:rPr>
        <w:t>Great W. Sugar Co. v. KN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contractor fails to timely pay a subcontractor); </w:t>
      </w:r>
      <w:r w:rsidRPr="00A63D35">
        <w:rPr>
          <w:rFonts w:eastAsia="Times New Roman"/>
          <w:b/>
          <w:bCs/>
          <w:sz w:val="24"/>
          <w:szCs w:val="24"/>
        </w:rPr>
        <w:t>New Design Constr. Co., Inc. v. Hamon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Colo. Law.</w:t>
      </w:r>
      <w:r w:rsidRPr="00A63D35">
        <w:rPr>
          <w:rFonts w:eastAsia="Times New Roman"/>
          <w:bCs/>
          <w:sz w:val="24"/>
          <w:szCs w:val="24"/>
        </w:rPr>
        <w:t xml:space="preserve"> 1307 (1989).</w:t>
      </w:r>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10. Colorado follows the “American Rule” with respect to the award of attorney fees in actions for breach of contract; that is, “[i]n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Allstate Ins. Co. v. Huizar</w:t>
      </w:r>
      <w:r w:rsidRPr="00A63D35">
        <w:rPr>
          <w:rFonts w:eastAsia="Times New Roman"/>
          <w:bCs/>
          <w:sz w:val="24"/>
          <w:szCs w:val="24"/>
        </w:rPr>
        <w:t xml:space="preserve">, 52 P.3d 816 (Colo. 2002); </w:t>
      </w:r>
      <w:r w:rsidRPr="00A63D35">
        <w:rPr>
          <w:rFonts w:eastAsia="Times New Roman"/>
          <w:b/>
          <w:bCs/>
          <w:sz w:val="24"/>
          <w:szCs w:val="24"/>
        </w:rPr>
        <w:t>Agritrack, Inc. v. DeJohn Housemoving,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r w:rsidRPr="00A63D35">
        <w:rPr>
          <w:rFonts w:eastAsia="Times New Roman"/>
          <w:b/>
          <w:bCs/>
          <w:sz w:val="24"/>
          <w:szCs w:val="24"/>
        </w:rPr>
        <w:t>Parker Excavating, Inc. v. City &amp; County of Denver</w:t>
      </w:r>
      <w:r w:rsidRPr="00A63D35">
        <w:rPr>
          <w:rFonts w:eastAsia="Times New Roman"/>
          <w:bCs/>
          <w:sz w:val="24"/>
          <w:szCs w:val="24"/>
        </w:rPr>
        <w:t xml:space="preserve">, 2012 COA 180, ¶ 18, 303 P.3d 1222.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1" w:name="a30_37"/>
      <w:bookmarkEnd w:id="41"/>
      <w:r w:rsidRPr="00E14F99">
        <w:rPr>
          <w:rFonts w:eastAsia="Times New Roman"/>
          <w:b/>
          <w:bCs/>
          <w:sz w:val="24"/>
          <w:szCs w:val="24"/>
        </w:rPr>
        <w:t>30:37</w:t>
      </w:r>
      <w:r w:rsidRPr="00E14F99">
        <w:rPr>
          <w:rFonts w:eastAsia="Times New Roman"/>
          <w:b/>
          <w:bCs/>
          <w:sz w:val="24"/>
          <w:szCs w:val="24"/>
        </w:rPr>
        <w:tab/>
        <w:t>DAMAGES ― INTRODUCTION</w:t>
      </w:r>
    </w:p>
    <w:p w14:paraId="10DAC338"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on (his) (her) (its) claim of breach of contract, then you must award (him) (her) (it)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r w:rsidRPr="00E14F99">
        <w:rPr>
          <w:rFonts w:eastAsia="Times New Roman"/>
          <w:b/>
          <w:bCs/>
          <w:sz w:val="24"/>
          <w:szCs w:val="24"/>
        </w:rPr>
        <w:t>Rodrigue v. Hausman</w:t>
      </w:r>
      <w:r w:rsidRPr="00E14F99">
        <w:rPr>
          <w:rFonts w:eastAsia="Times New Roman"/>
          <w:bCs/>
          <w:sz w:val="24"/>
          <w:szCs w:val="24"/>
        </w:rPr>
        <w:t>, 33 Colo. App. 305, 519 P.2d 1216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Giampapa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2" w:name="a30_38"/>
      <w:bookmarkEnd w:id="42"/>
      <w:r w:rsidRPr="00E14F99">
        <w:rPr>
          <w:rFonts w:eastAsia="Times New Roman"/>
          <w:b/>
          <w:bCs/>
          <w:sz w:val="24"/>
          <w:szCs w:val="24"/>
        </w:rPr>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general damages have been proved, you shall award:</w:t>
      </w:r>
    </w:p>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30:53.</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Pomeranz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Core-Mark Midcontinent Inc., v. Sonitrol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Morris v. Belfor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RMT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Kaiser v. Market Square Disc.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Colo. Interstate Gas Co., Inc. v. Chemco,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r w:rsidRPr="00930778">
        <w:rPr>
          <w:rFonts w:eastAsia="Times New Roman"/>
          <w:bCs/>
          <w:i/>
          <w:sz w:val="24"/>
          <w:szCs w:val="24"/>
        </w:rPr>
        <w:t>rev’d on other grounds</w:t>
      </w:r>
      <w:r w:rsidRPr="00930778">
        <w:rPr>
          <w:rFonts w:eastAsia="Times New Roman"/>
          <w:bCs/>
          <w:sz w:val="24"/>
          <w:szCs w:val="24"/>
        </w:rPr>
        <w:t xml:space="preserve">, 776 P.2d 362 (Colo. 1989); </w:t>
      </w:r>
      <w:r w:rsidRPr="00930778">
        <w:rPr>
          <w:rFonts w:eastAsia="Times New Roman"/>
          <w:b/>
          <w:bCs/>
          <w:sz w:val="24"/>
          <w:szCs w:val="24"/>
        </w:rPr>
        <w:t>Total Condo. 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
    <w:p w14:paraId="34619F0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xml:space="preserve">, 2016 COA 22, ¶ 52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3" w:name="a30_39"/>
      <w:bookmarkEnd w:id="43"/>
      <w:r w:rsidRPr="00930778">
        <w:rPr>
          <w:rFonts w:eastAsia="Times New Roman"/>
          <w:b/>
          <w:bCs/>
          <w:sz w:val="24"/>
          <w:szCs w:val="24"/>
        </w:rPr>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Special damages must be pled with particularity. C.R.C.P. 9(g).</w:t>
      </w:r>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r w:rsidRPr="00930778">
        <w:rPr>
          <w:rFonts w:eastAsia="Times New Roman"/>
          <w:b/>
          <w:bCs/>
          <w:sz w:val="24"/>
          <w:szCs w:val="24"/>
        </w:rPr>
        <w:t>Giampapa v. Am. Family Mut.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Core-Mark Midcontinent Inc. v. Sonitrol Corp</w:t>
      </w:r>
      <w:r w:rsidRPr="00930778">
        <w:rPr>
          <w:rFonts w:eastAsia="Times New Roman"/>
          <w:bCs/>
          <w:sz w:val="24"/>
          <w:szCs w:val="24"/>
        </w:rPr>
        <w:t xml:space="preserve">., 2016 COA 22, ¶ 32, 370 P.3d 353 (“the nonbreaching party may also recover damages for loss that was ‘such as may reasonably be supposed to have 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r w:rsidRPr="00930778">
        <w:rPr>
          <w:rFonts w:eastAsia="Times New Roman"/>
          <w:b/>
          <w:bCs/>
          <w:sz w:val="24"/>
          <w:szCs w:val="24"/>
        </w:rPr>
        <w:t>Belfor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r w:rsidRPr="00930778">
        <w:rPr>
          <w:rFonts w:eastAsia="Times New Roman"/>
          <w:b/>
          <w:bCs/>
          <w:sz w:val="24"/>
          <w:szCs w:val="24"/>
        </w:rPr>
        <w:t>Nevin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Corcoran v. Sanner</w:t>
      </w:r>
      <w:r w:rsidRPr="00930778">
        <w:rPr>
          <w:rFonts w:eastAsia="Times New Roman"/>
          <w:bCs/>
          <w:sz w:val="24"/>
          <w:szCs w:val="24"/>
        </w:rPr>
        <w:t xml:space="preserve">, 854 P.2d 1376 (Colo. App. 1993); </w:t>
      </w:r>
      <w:r w:rsidRPr="00930778">
        <w:rPr>
          <w:rFonts w:eastAsia="Times New Roman"/>
          <w:b/>
          <w:bCs/>
          <w:sz w:val="24"/>
          <w:szCs w:val="24"/>
        </w:rPr>
        <w:t>Denver Publ’g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r w:rsidRPr="00930778">
        <w:rPr>
          <w:rFonts w:eastAsia="Times New Roman"/>
          <w:b/>
          <w:bCs/>
          <w:sz w:val="24"/>
          <w:szCs w:val="24"/>
        </w:rPr>
        <w:t>L.U.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r w:rsidRPr="00930778">
        <w:rPr>
          <w:rFonts w:eastAsia="Times New Roman"/>
          <w:bCs/>
          <w:i/>
          <w:sz w:val="24"/>
          <w:szCs w:val="24"/>
        </w:rPr>
        <w:t xml:space="preserve">rev’d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Stone v. Caroselli</w:t>
      </w:r>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r w:rsidRPr="00930778">
        <w:rPr>
          <w:rFonts w:eastAsia="Times New Roman"/>
          <w:b/>
          <w:bCs/>
          <w:sz w:val="24"/>
          <w:szCs w:val="24"/>
        </w:rPr>
        <w:t>Logixx Automation, Inc. v. Lawrence Michels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r w:rsidRPr="00930778">
        <w:rPr>
          <w:rFonts w:eastAsia="Times New Roman"/>
          <w:bCs/>
          <w:i/>
          <w:sz w:val="24"/>
          <w:szCs w:val="24"/>
        </w:rPr>
        <w:t>rev’d on other grounds</w:t>
      </w:r>
      <w:r w:rsidRPr="00930778">
        <w:rPr>
          <w:rFonts w:eastAsia="Times New Roman"/>
          <w:bCs/>
          <w:sz w:val="24"/>
          <w:szCs w:val="24"/>
        </w:rPr>
        <w:t xml:space="preserve">, 62 P.3d 142 (Colo. 2003); </w:t>
      </w:r>
      <w:r w:rsidRPr="00930778">
        <w:rPr>
          <w:rFonts w:eastAsia="Times New Roman"/>
          <w:b/>
          <w:bCs/>
          <w:sz w:val="24"/>
          <w:szCs w:val="24"/>
        </w:rPr>
        <w:t>Wojtowicz v. Greeley Anesthesia Servs.,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Int’l Tech. Instruments, Inc. v. Eng’g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Terrones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r w:rsidRPr="00930778">
        <w:rPr>
          <w:rFonts w:eastAsia="Times New Roman"/>
          <w:b/>
          <w:bCs/>
          <w:sz w:val="24"/>
          <w:szCs w:val="24"/>
        </w:rPr>
        <w:t>McDonald’s Corp. v. Brentwood Ctr., Ltd.</w:t>
      </w:r>
      <w:r w:rsidRPr="00930778">
        <w:rPr>
          <w:rFonts w:eastAsia="Times New Roman"/>
          <w:bCs/>
          <w:sz w:val="24"/>
          <w:szCs w:val="24"/>
        </w:rPr>
        <w:t>, 942 P.2d 1308 (Colo. App. 1997).</w:t>
      </w:r>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4" w:name="a30_40"/>
      <w:bookmarkEnd w:id="44"/>
      <w:r w:rsidRPr="00930778">
        <w:rPr>
          <w:rFonts w:eastAsia="Times New Roman"/>
          <w:b/>
          <w:bCs/>
          <w:sz w:val="24"/>
          <w:szCs w:val="24"/>
        </w:rPr>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Perino v. Jarvis</w:t>
      </w:r>
      <w:r w:rsidRPr="00930778">
        <w:rPr>
          <w:rFonts w:eastAsia="Times New Roman"/>
          <w:bCs/>
          <w:sz w:val="24"/>
          <w:szCs w:val="24"/>
        </w:rPr>
        <w:t xml:space="preserve">, 135 Colo. 393, 312 P.2d 108 (1957); and </w:t>
      </w:r>
      <w:r w:rsidRPr="00930778">
        <w:rPr>
          <w:rFonts w:eastAsia="Times New Roman"/>
          <w:b/>
          <w:bCs/>
          <w:sz w:val="24"/>
          <w:szCs w:val="24"/>
        </w:rPr>
        <w:t>Bilz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r w:rsidRPr="00930778">
        <w:rPr>
          <w:rFonts w:eastAsia="Times New Roman"/>
          <w:b/>
          <w:bCs/>
          <w:sz w:val="24"/>
          <w:szCs w:val="24"/>
        </w:rPr>
        <w:t>Rohauer v. Little</w:t>
      </w:r>
      <w:r w:rsidRPr="00930778">
        <w:rPr>
          <w:rFonts w:eastAsia="Times New Roman"/>
          <w:bCs/>
          <w:sz w:val="24"/>
          <w:szCs w:val="24"/>
        </w:rPr>
        <w:t xml:space="preserve">, 736 P.2d 403 (Colo. 1987); </w:t>
      </w:r>
      <w:r w:rsidRPr="00930778">
        <w:rPr>
          <w:rFonts w:eastAsia="Times New Roman"/>
          <w:b/>
          <w:bCs/>
          <w:sz w:val="24"/>
          <w:szCs w:val="24"/>
        </w:rPr>
        <w:t>O’Hara Grp. Denver, Ltd. v. Marcor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r w:rsidRPr="00930778">
        <w:rPr>
          <w:rFonts w:eastAsia="Times New Roman"/>
          <w:b/>
          <w:bCs/>
          <w:sz w:val="24"/>
          <w:szCs w:val="24"/>
        </w:rPr>
        <w:t>Yerton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r w:rsidRPr="00930778">
        <w:rPr>
          <w:rFonts w:eastAsia="Times New Roman"/>
          <w:b/>
          <w:bCs/>
          <w:sz w:val="24"/>
          <w:szCs w:val="24"/>
        </w:rPr>
        <w:t>Emrich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r w:rsidRPr="00930778">
        <w:rPr>
          <w:rFonts w:eastAsia="Times New Roman"/>
          <w:b/>
          <w:bCs/>
          <w:sz w:val="24"/>
          <w:szCs w:val="24"/>
        </w:rPr>
        <w:t>Oldis v. N.W. Grosse-Rhode</w:t>
      </w:r>
      <w:r w:rsidRPr="00930778">
        <w:rPr>
          <w:rFonts w:eastAsia="Times New Roman"/>
          <w:bCs/>
          <w:sz w:val="24"/>
          <w:szCs w:val="24"/>
        </w:rPr>
        <w:t>, 35 Colo. App. 46, 528 P.2d 944 (1974).</w:t>
      </w:r>
    </w:p>
    <w:p w14:paraId="4B163D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r w:rsidRPr="00930778">
        <w:rPr>
          <w:rFonts w:eastAsia="Times New Roman"/>
          <w:b/>
          <w:bCs/>
          <w:sz w:val="24"/>
          <w:szCs w:val="24"/>
        </w:rPr>
        <w:t>Klinger v. Adams Cty.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Pr="00930778">
        <w:rPr>
          <w:rFonts w:eastAsia="Times New Roman"/>
          <w:bCs/>
          <w:sz w:val="24"/>
          <w:szCs w:val="24"/>
        </w:rPr>
        <w:t xml:space="preserve">. </w:t>
      </w:r>
    </w:p>
    <w:p w14:paraId="2F3F09FD" w14:textId="47413789" w:rsidR="00930778" w:rsidRPr="00930778" w:rsidRDefault="003333C4" w:rsidP="00930778">
      <w:pPr>
        <w:spacing w:after="240"/>
        <w:ind w:firstLine="720"/>
        <w:rPr>
          <w:rFonts w:eastAsia="Times New Roman"/>
          <w:bCs/>
          <w:sz w:val="24"/>
          <w:szCs w:val="24"/>
        </w:rPr>
      </w:pPr>
      <w:r>
        <w:rPr>
          <w:rFonts w:eastAsia="Times New Roman"/>
          <w:bCs/>
          <w:sz w:val="24"/>
          <w:szCs w:val="24"/>
        </w:rPr>
        <w:t xml:space="preserve">3. </w:t>
      </w:r>
      <w:r w:rsidR="00930778" w:rsidRPr="00930778">
        <w:rPr>
          <w:rFonts w:eastAsia="Times New Roman"/>
          <w:bCs/>
          <w:sz w:val="24"/>
          <w:szCs w:val="24"/>
        </w:rPr>
        <w:t xml:space="preserve">The party contending that a damages clause is an improper penalty carries the burden of proving that contention. </w:t>
      </w:r>
      <w:r w:rsidR="00930778" w:rsidRPr="00930778">
        <w:rPr>
          <w:rFonts w:eastAsia="Times New Roman"/>
          <w:b/>
          <w:bCs/>
          <w:sz w:val="24"/>
          <w:szCs w:val="24"/>
        </w:rPr>
        <w:t>Jobe v. Writer Corp.</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34 Colo. App. 240, 242, 526 P.2d 151, 152 (1974) (“[u]nless it patently appears from the contract itself that the liquidated damages agreed upon are out of proportion to any possible loss . . . the party asserting that the damages clause constitutes a penalty has the burden of proving that contention”); </w:t>
      </w:r>
      <w:r w:rsidR="00930778" w:rsidRPr="00930778">
        <w:rPr>
          <w:rFonts w:eastAsia="Times New Roman"/>
          <w:bCs/>
          <w:i/>
          <w:sz w:val="24"/>
          <w:szCs w:val="24"/>
        </w:rPr>
        <w:t>see also</w:t>
      </w:r>
      <w:r w:rsidR="00930778" w:rsidRPr="00930778">
        <w:rPr>
          <w:rFonts w:eastAsia="Times New Roman"/>
          <w:bCs/>
          <w:sz w:val="24"/>
          <w:szCs w:val="24"/>
        </w:rPr>
        <w:t xml:space="preserve"> </w:t>
      </w:r>
      <w:r w:rsidR="00930778" w:rsidRPr="00930778">
        <w:rPr>
          <w:rFonts w:eastAsia="Times New Roman"/>
          <w:b/>
          <w:bCs/>
          <w:sz w:val="24"/>
          <w:szCs w:val="24"/>
        </w:rPr>
        <w:t>Rohauer</w:t>
      </w:r>
      <w:r w:rsidR="00930778" w:rsidRPr="00930778">
        <w:rPr>
          <w:rFonts w:eastAsia="Times New Roman"/>
          <w:bCs/>
          <w:sz w:val="24"/>
          <w:szCs w:val="24"/>
        </w:rPr>
        <w:t xml:space="preserve">, 736 P.2d at 410; </w:t>
      </w:r>
      <w:r w:rsidR="00930778" w:rsidRPr="00930778">
        <w:rPr>
          <w:rFonts w:eastAsia="Times New Roman"/>
          <w:b/>
          <w:bCs/>
          <w:sz w:val="24"/>
          <w:szCs w:val="24"/>
        </w:rPr>
        <w:t>Yerton</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r w:rsidR="00930778" w:rsidRPr="00930778">
        <w:rPr>
          <w:rFonts w:eastAsia="Times New Roman"/>
          <w:b/>
          <w:bCs/>
          <w:sz w:val="24"/>
          <w:szCs w:val="24"/>
        </w:rPr>
        <w:t>Wojtowicz v. Greeley Anesthesia Servs., P.C.</w:t>
      </w:r>
      <w:r w:rsidR="00930778"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00930778" w:rsidRPr="00930778">
        <w:rPr>
          <w:rFonts w:eastAsia="Times New Roman"/>
          <w:bCs/>
          <w:i/>
          <w:sz w:val="24"/>
          <w:szCs w:val="24"/>
        </w:rPr>
        <w:t xml:space="preserve"> See </w:t>
      </w:r>
      <w:r w:rsidR="00930778" w:rsidRPr="00930778">
        <w:rPr>
          <w:rFonts w:eastAsia="Times New Roman"/>
          <w:b/>
          <w:bCs/>
          <w:sz w:val="24"/>
          <w:szCs w:val="24"/>
        </w:rPr>
        <w:t>Planned Pethood Plus, Inc. v. KeyCorp, Inc.</w:t>
      </w:r>
      <w:r w:rsidR="00930778"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r w:rsidRPr="00930778">
        <w:rPr>
          <w:rFonts w:eastAsia="Times New Roman"/>
          <w:b/>
          <w:bCs/>
          <w:sz w:val="24"/>
          <w:szCs w:val="24"/>
        </w:rPr>
        <w:t>Ravenstar LLC v. One Ski Hill Place LLC</w:t>
      </w:r>
      <w:r w:rsidRPr="00930778">
        <w:rPr>
          <w:rFonts w:eastAsia="Times New Roman"/>
          <w:bCs/>
          <w:sz w:val="24"/>
          <w:szCs w:val="24"/>
        </w:rPr>
        <w:t xml:space="preserve">, 2017 CO 83, ¶ 15, 401 P.3d 552. But the option must be exclusive. If a non-breaching party elects to pursue liquidated damages as allowed by the contract, the non-breaching party may not also seek actual damages. “Otherwise, an election to pursue liquidated damages would function as an invalid penalty.” </w:t>
      </w:r>
      <w:r w:rsidRPr="00930778">
        <w:rPr>
          <w:rFonts w:eastAsia="Times New Roman"/>
          <w:bCs/>
          <w:i/>
          <w:sz w:val="24"/>
          <w:szCs w:val="24"/>
        </w:rPr>
        <w:t>Id.</w:t>
      </w:r>
      <w:r w:rsidRPr="00930778">
        <w:rPr>
          <w:rFonts w:eastAsia="Times New Roman"/>
          <w:bCs/>
          <w:sz w:val="24"/>
          <w:szCs w:val="24"/>
        </w:rPr>
        <w:t xml:space="preserve"> at ¶ 16.</w:t>
      </w:r>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r w:rsidRPr="00930778">
        <w:rPr>
          <w:rFonts w:eastAsia="Times New Roman"/>
          <w:b/>
          <w:bCs/>
          <w:sz w:val="24"/>
          <w:szCs w:val="24"/>
        </w:rPr>
        <w:t>Bd. of Cty. Comm’rs v. City &amp; County of Denver</w:t>
      </w:r>
      <w:r w:rsidRPr="00930778">
        <w:rPr>
          <w:rFonts w:eastAsia="Times New Roman"/>
          <w:bCs/>
          <w:sz w:val="24"/>
          <w:szCs w:val="24"/>
        </w:rPr>
        <w:t xml:space="preserve">, 40 P.3d 25 (Colo. App. 2001).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r w:rsidRPr="00930778">
        <w:rPr>
          <w:rFonts w:eastAsia="Times New Roman"/>
          <w:b/>
          <w:bCs/>
          <w:sz w:val="24"/>
          <w:szCs w:val="24"/>
        </w:rPr>
        <w:t>Butler v. Lembeck</w:t>
      </w:r>
      <w:r w:rsidRPr="00930778">
        <w:rPr>
          <w:rFonts w:eastAsia="Times New Roman"/>
          <w:bCs/>
          <w:sz w:val="24"/>
          <w:szCs w:val="24"/>
        </w:rPr>
        <w:t>, 182 P.3d 1185 (Colo. App. 2007).</w:t>
      </w:r>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r w:rsidRPr="00930778">
        <w:rPr>
          <w:rFonts w:eastAsia="Times New Roman"/>
          <w:b/>
          <w:bCs/>
          <w:sz w:val="24"/>
          <w:szCs w:val="24"/>
        </w:rPr>
        <w:t>Medema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8. A non-competition provision in an employment contract with a physician that provides for liquidated damages in the event of a breach is governed by section 8-2-113(3), C.R.S. </w:t>
      </w:r>
      <w:r w:rsidRPr="00930778">
        <w:rPr>
          <w:rFonts w:eastAsia="Times New Roman"/>
          <w:bCs/>
          <w:i/>
          <w:sz w:val="24"/>
          <w:szCs w:val="24"/>
        </w:rPr>
        <w:t>See, e.g</w:t>
      </w:r>
      <w:r w:rsidRPr="00930778">
        <w:rPr>
          <w:rFonts w:eastAsia="Times New Roman"/>
          <w:bCs/>
          <w:sz w:val="24"/>
          <w:szCs w:val="24"/>
        </w:rPr>
        <w:t xml:space="preserve">., </w:t>
      </w:r>
      <w:r w:rsidRPr="00930778">
        <w:rPr>
          <w:rFonts w:eastAsia="Times New Roman"/>
          <w:b/>
          <w:bCs/>
          <w:sz w:val="24"/>
          <w:szCs w:val="24"/>
        </w:rPr>
        <w:t>Wojtowicz</w:t>
      </w:r>
      <w:r w:rsidRPr="00930778">
        <w:rPr>
          <w:rFonts w:eastAsia="Times New Roman"/>
          <w:bCs/>
          <w:sz w:val="24"/>
          <w:szCs w:val="24"/>
        </w:rPr>
        <w:t>, 961 P.2d 521-22.</w:t>
      </w:r>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45" w:name="a30_41"/>
      <w:bookmarkEnd w:id="45"/>
      <w:r w:rsidRPr="00B538B9">
        <w:rPr>
          <w:rFonts w:eastAsia="Times New Roman"/>
          <w:b/>
          <w:bCs/>
          <w:sz w:val="24"/>
          <w:szCs w:val="24"/>
        </w:rPr>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(special),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Colo. Inv. Servs.,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r w:rsidRPr="00B538B9">
        <w:rPr>
          <w:rFonts w:eastAsia="Times New Roman"/>
          <w:b/>
          <w:bCs/>
          <w:sz w:val="24"/>
          <w:szCs w:val="24"/>
        </w:rPr>
        <w:t>Pomeranz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Interbank Invs. L.L.C.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Riggs v. McMurtry</w:t>
      </w:r>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46" w:name="a30_42"/>
      <w:bookmarkEnd w:id="46"/>
      <w:r w:rsidRPr="00B538B9">
        <w:rPr>
          <w:rFonts w:eastAsia="Times New Roman"/>
          <w:b/>
          <w:bCs/>
          <w:sz w:val="24"/>
          <w:szCs w:val="24"/>
        </w:rPr>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r w:rsidRPr="00B538B9">
        <w:rPr>
          <w:rFonts w:eastAsia="Times New Roman"/>
          <w:b/>
          <w:bCs/>
          <w:sz w:val="24"/>
          <w:szCs w:val="24"/>
        </w:rPr>
        <w:t>Medema Homes, Inc. v. Lynn</w:t>
      </w:r>
      <w:r w:rsidRPr="00B538B9">
        <w:rPr>
          <w:rFonts w:eastAsia="Times New Roman"/>
          <w:bCs/>
          <w:sz w:val="24"/>
          <w:szCs w:val="24"/>
        </w:rPr>
        <w:t xml:space="preserve">, 647 P.2d 664 (Colo. 1982) (citing a former version of this instruction); </w:t>
      </w:r>
      <w:r w:rsidRPr="00B538B9">
        <w:rPr>
          <w:rFonts w:eastAsia="Times New Roman"/>
          <w:b/>
          <w:bCs/>
          <w:sz w:val="24"/>
          <w:szCs w:val="24"/>
        </w:rPr>
        <w:t>Minshall v. Case</w:t>
      </w:r>
      <w:r w:rsidRPr="00B538B9">
        <w:rPr>
          <w:rFonts w:eastAsia="Times New Roman"/>
          <w:bCs/>
          <w:sz w:val="24"/>
          <w:szCs w:val="24"/>
        </w:rPr>
        <w:t xml:space="preserve">, 148 Colo. 12, 364 P.2d 868 (1961); 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47" w:name="a30_43"/>
      <w:bookmarkEnd w:id="47"/>
      <w:r w:rsidRPr="00190BD9">
        <w:rPr>
          <w:rFonts w:eastAsia="Times New Roman"/>
          <w:b/>
          <w:bCs/>
          <w:sz w:val="24"/>
          <w:szCs w:val="24"/>
        </w:rPr>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Watrous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r w:rsidRPr="00190BD9">
        <w:rPr>
          <w:rFonts w:eastAsia="Times New Roman"/>
          <w:b/>
          <w:bCs/>
          <w:sz w:val="24"/>
          <w:szCs w:val="24"/>
        </w:rPr>
        <w:t>Higbie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F. Poss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48" w:name="a30_44"/>
      <w:bookmarkEnd w:id="48"/>
      <w:r w:rsidRPr="00190BD9">
        <w:rPr>
          <w:rFonts w:eastAsia="Times New Roman"/>
          <w:b/>
          <w:bCs/>
          <w:sz w:val="24"/>
          <w:szCs w:val="24"/>
        </w:rPr>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49" w:name="a30_45"/>
      <w:bookmarkEnd w:id="49"/>
      <w:r w:rsidRPr="00190BD9">
        <w:rPr>
          <w:rFonts w:eastAsia="Times New Roman"/>
          <w:b/>
          <w:bCs/>
          <w:sz w:val="24"/>
          <w:szCs w:val="24"/>
        </w:rPr>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on the contract; and</w:t>
      </w:r>
    </w:p>
    <w:p w14:paraId="6D0C50B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what it would have cost the plaintiff if [he] [she]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a repudiation, thereby giving the builder the alternative restitutional remedy of </w:t>
      </w:r>
      <w:r w:rsidRPr="00190BD9">
        <w:rPr>
          <w:rFonts w:eastAsia="Times New Roman"/>
          <w:bCs/>
          <w:i/>
          <w:sz w:val="24"/>
          <w:szCs w:val="24"/>
        </w:rPr>
        <w:t>quantum meruit</w:t>
      </w:r>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Joseph M. Perillo,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r w:rsidRPr="00190BD9">
        <w:rPr>
          <w:rFonts w:eastAsia="Times New Roman"/>
          <w:b/>
          <w:bCs/>
          <w:sz w:val="24"/>
          <w:szCs w:val="24"/>
        </w:rPr>
        <w:t>Gundersons, Inc. v. Tull</w:t>
      </w:r>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r w:rsidRPr="00190BD9">
        <w:rPr>
          <w:rFonts w:eastAsia="Times New Roman"/>
          <w:bCs/>
          <w:i/>
          <w:sz w:val="24"/>
          <w:szCs w:val="24"/>
        </w:rPr>
        <w:t>rev’d on other grounds</w:t>
      </w:r>
      <w:r w:rsidRPr="00190BD9">
        <w:rPr>
          <w:rFonts w:eastAsia="Times New Roman"/>
          <w:bCs/>
          <w:sz w:val="24"/>
          <w:szCs w:val="24"/>
        </w:rPr>
        <w:t xml:space="preserve">, 709 P.2d 940 (Colo. 1985); </w:t>
      </w:r>
      <w:r w:rsidRPr="00190BD9">
        <w:rPr>
          <w:rFonts w:eastAsia="Times New Roman"/>
          <w:b/>
          <w:bCs/>
          <w:sz w:val="24"/>
          <w:szCs w:val="24"/>
        </w:rPr>
        <w:t>Bruce Hughes, Inc. v. Ingels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r w:rsidRPr="00190BD9">
        <w:rPr>
          <w:rFonts w:eastAsia="Times New Roman"/>
          <w:b/>
          <w:bCs/>
          <w:sz w:val="24"/>
          <w:szCs w:val="24"/>
        </w:rPr>
        <w:t>Jasken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50" w:name="a30_46"/>
      <w:bookmarkEnd w:id="50"/>
      <w:r w:rsidRPr="00190BD9">
        <w:rPr>
          <w:rFonts w:eastAsia="Times New Roman"/>
          <w:b/>
          <w:bCs/>
          <w:sz w:val="24"/>
          <w:szCs w:val="24"/>
        </w:rPr>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C.R.C.P.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r w:rsidRPr="00190BD9">
        <w:rPr>
          <w:rFonts w:eastAsia="Times New Roman"/>
          <w:b/>
          <w:bCs/>
          <w:sz w:val="24"/>
          <w:szCs w:val="24"/>
        </w:rPr>
        <w:t>Zambakian v. Leson</w:t>
      </w:r>
      <w:r w:rsidRPr="00190BD9">
        <w:rPr>
          <w:rFonts w:eastAsia="Times New Roman"/>
          <w:bCs/>
          <w:sz w:val="24"/>
          <w:szCs w:val="24"/>
        </w:rPr>
        <w:t xml:space="preserve">, 79 Colo. 350, 246 P. 268 (1926); </w:t>
      </w:r>
      <w:r w:rsidRPr="00190BD9">
        <w:rPr>
          <w:rFonts w:eastAsia="Times New Roman"/>
          <w:b/>
          <w:bCs/>
          <w:sz w:val="24"/>
          <w:szCs w:val="24"/>
        </w:rPr>
        <w:t>Morris v. Hokosona</w:t>
      </w:r>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quantum meruit</w:t>
      </w:r>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Campbell v. Koin</w:t>
      </w:r>
      <w:r w:rsidRPr="00190BD9">
        <w:rPr>
          <w:rFonts w:eastAsia="Times New Roman"/>
          <w:bCs/>
          <w:sz w:val="24"/>
          <w:szCs w:val="24"/>
        </w:rPr>
        <w:t>, 154 Colo. 425, 391 P.2d 365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391 P.2d at 367 (citing several earlier cases). </w:t>
      </w:r>
      <w:r w:rsidRPr="00190BD9">
        <w:rPr>
          <w:rFonts w:eastAsia="Times New Roman"/>
          <w:bCs/>
          <w:i/>
          <w:sz w:val="24"/>
          <w:szCs w:val="24"/>
        </w:rPr>
        <w:t xml:space="preserve">See also </w:t>
      </w:r>
      <w:r w:rsidRPr="00190BD9">
        <w:rPr>
          <w:rFonts w:eastAsia="Times New Roman"/>
          <w:b/>
          <w:bCs/>
          <w:sz w:val="24"/>
          <w:szCs w:val="24"/>
        </w:rPr>
        <w:t>Houy v. Davis Oil Co.</w:t>
      </w:r>
      <w:r w:rsidRPr="00190BD9">
        <w:rPr>
          <w:rFonts w:eastAsia="Times New Roman"/>
          <w:bCs/>
          <w:sz w:val="24"/>
          <w:szCs w:val="24"/>
        </w:rPr>
        <w:t xml:space="preserve">, 175 Colo. 180, 486 P.2d 18 (1971); </w:t>
      </w:r>
      <w:r w:rsidRPr="00190BD9">
        <w:rPr>
          <w:rFonts w:eastAsia="Times New Roman"/>
          <w:b/>
          <w:bCs/>
          <w:sz w:val="24"/>
          <w:szCs w:val="24"/>
        </w:rPr>
        <w:t>Little Thompson Water Ass’n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1" w:name="a30_47"/>
      <w:bookmarkEnd w:id="51"/>
      <w:r w:rsidRPr="00190BD9">
        <w:rPr>
          <w:rFonts w:eastAsia="Times New Roman"/>
          <w:b/>
          <w:bCs/>
          <w:sz w:val="24"/>
          <w:szCs w:val="24"/>
        </w:rPr>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Granberry v. Perlmutter</w:t>
      </w:r>
      <w:r w:rsidRPr="00190BD9">
        <w:rPr>
          <w:rFonts w:eastAsia="Times New Roman"/>
          <w:bCs/>
          <w:sz w:val="24"/>
          <w:szCs w:val="24"/>
        </w:rPr>
        <w:t xml:space="preserve">, 147 Colo. 474, 364 P.2d 211 (1961) (by implication); </w:t>
      </w:r>
      <w:r w:rsidRPr="00190BD9">
        <w:rPr>
          <w:rFonts w:eastAsia="Times New Roman"/>
          <w:b/>
          <w:bCs/>
          <w:sz w:val="24"/>
          <w:szCs w:val="24"/>
        </w:rPr>
        <w:t>Hottel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2" w:name="a30_48"/>
      <w:bookmarkEnd w:id="52"/>
      <w:r w:rsidRPr="008B39B8">
        <w:rPr>
          <w:rFonts w:eastAsia="Times New Roman"/>
          <w:b/>
          <w:bCs/>
          <w:sz w:val="24"/>
          <w:szCs w:val="24"/>
        </w:rPr>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(The amount of any installment payment[s] due the plaintiff under the contract.)</w:t>
      </w:r>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3" w:name="a30_49"/>
      <w:bookmarkEnd w:id="53"/>
      <w:r w:rsidRPr="008B39B8">
        <w:rPr>
          <w:rFonts w:eastAsia="Times New Roman"/>
          <w:b/>
          <w:bCs/>
          <w:sz w:val="24"/>
          <w:szCs w:val="24"/>
        </w:rPr>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Gold Rush Invs., Inc. v. G.E.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Campbell v. Koin</w:t>
      </w:r>
      <w:r w:rsidR="008B39B8" w:rsidRPr="008B39B8">
        <w:rPr>
          <w:rFonts w:eastAsia="Times New Roman"/>
          <w:bCs/>
          <w:sz w:val="24"/>
          <w:szCs w:val="24"/>
        </w:rPr>
        <w:t xml:space="preserve">, 154 Colo. 425, 391 P.2d 365 (1964); </w:t>
      </w:r>
      <w:r w:rsidR="008B39B8" w:rsidRPr="008B39B8">
        <w:rPr>
          <w:rFonts w:eastAsia="Times New Roman"/>
          <w:b/>
          <w:bCs/>
          <w:sz w:val="24"/>
          <w:szCs w:val="24"/>
        </w:rPr>
        <w:t>Sanford v. Kobey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r w:rsidR="008B39B8" w:rsidRPr="008B39B8">
        <w:rPr>
          <w:rFonts w:eastAsia="Times New Roman"/>
          <w:b/>
          <w:bCs/>
          <w:sz w:val="24"/>
          <w:szCs w:val="24"/>
        </w:rPr>
        <w:t>Worthen Bank &amp; Trust Co. v. Silvercool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xml:space="preserve">, 626 P.2d 750, 752 (Colo. App. 1981).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promisee, commonly referred to as ‘off-site’ facilities[,]” the proper measure of damages is “the diminution in value of the property purchased” by the promisee, rather than the cost of completing such off-site work. </w:t>
      </w:r>
      <w:r w:rsidR="008B39B8" w:rsidRPr="008B39B8">
        <w:rPr>
          <w:rFonts w:eastAsia="Times New Roman"/>
          <w:b/>
          <w:bCs/>
          <w:sz w:val="24"/>
          <w:szCs w:val="24"/>
        </w:rPr>
        <w:t>Kniffin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r w:rsidR="008B39B8" w:rsidRPr="008B39B8">
        <w:rPr>
          <w:rFonts w:eastAsia="Times New Roman"/>
          <w:b/>
          <w:bCs/>
          <w:sz w:val="24"/>
          <w:szCs w:val="24"/>
        </w:rPr>
        <w:t>Seago v. Fellet</w:t>
      </w:r>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Instruction 6:11,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Newcomb v. Schaeffler</w:t>
      </w:r>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r w:rsidRPr="008B39B8">
        <w:rPr>
          <w:rFonts w:eastAsia="Times New Roman"/>
          <w:b/>
          <w:bCs/>
          <w:sz w:val="24"/>
          <w:szCs w:val="24"/>
        </w:rPr>
        <w:t>Pomeranz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r w:rsidR="008B39B8" w:rsidRPr="008B39B8">
        <w:rPr>
          <w:rFonts w:eastAsia="Times New Roman"/>
          <w:b/>
          <w:bCs/>
          <w:sz w:val="24"/>
          <w:szCs w:val="24"/>
        </w:rPr>
        <w:t>Hott v. Tillotson-Lewis Constr. Co.</w:t>
      </w:r>
      <w:r w:rsidR="008B39B8" w:rsidRPr="008B39B8">
        <w:rPr>
          <w:rFonts w:eastAsia="Times New Roman"/>
          <w:bCs/>
          <w:sz w:val="24"/>
          <w:szCs w:val="24"/>
        </w:rPr>
        <w:t xml:space="preserve">, 682 P.2d 1220 (Colo. App. 1983). Under section 5-12-102(1)(b), where damages for costs to replace a defective heating system are appropriate, interest accrues from the time of the replacement. </w:t>
      </w:r>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4" w:name="a30_50"/>
      <w:bookmarkEnd w:id="54"/>
      <w:r w:rsidRPr="008B39B8">
        <w:rPr>
          <w:rFonts w:eastAsia="Times New Roman"/>
          <w:b/>
          <w:bCs/>
          <w:sz w:val="24"/>
          <w:szCs w:val="24"/>
        </w:rPr>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r w:rsidRPr="008B39B8">
        <w:rPr>
          <w:rFonts w:eastAsia="Times New Roman"/>
          <w:b/>
          <w:bCs/>
          <w:sz w:val="24"/>
          <w:szCs w:val="24"/>
        </w:rPr>
        <w:t>Tricon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55" w:name="a30_51"/>
      <w:bookmarkEnd w:id="55"/>
      <w:r w:rsidRPr="00A76271">
        <w:rPr>
          <w:rFonts w:eastAsia="Times New Roman"/>
          <w:b/>
          <w:bCs/>
          <w:sz w:val="24"/>
          <w:szCs w:val="24"/>
        </w:rPr>
        <w:t xml:space="preserve">30:51 </w:t>
      </w:r>
      <w:r w:rsidRPr="00A76271">
        <w:rPr>
          <w:rFonts w:eastAsia="Times New Roman"/>
          <w:b/>
          <w:bCs/>
          <w:sz w:val="24"/>
          <w:szCs w:val="24"/>
        </w:rPr>
        <w:tab/>
        <w:t>DAMAGES ― BROKER’S FOR BREACH OF REAL ESTATE COMMISSION CONTRACT</w:t>
      </w:r>
    </w:p>
    <w:p w14:paraId="4CF0B7B9"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(That percentage of the sales price the defendant agreed to pay the plaintiff as [his] [her]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30:56 (listing elements of liability for a real estate commission claim), this instruction should be used as the insertion in Instruction 30:38.</w:t>
      </w:r>
    </w:p>
    <w:p w14:paraId="6E363A2F"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[his] [her]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30:56.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6DB1E72" w:rsidR="00A76271" w:rsidRPr="009E3DA4" w:rsidRDefault="003333C4" w:rsidP="00A76271">
      <w:pPr>
        <w:spacing w:after="240"/>
        <w:ind w:left="720" w:hanging="720"/>
        <w:rPr>
          <w:rFonts w:eastAsia="Times New Roman"/>
          <w:b/>
          <w:sz w:val="24"/>
          <w:szCs w:val="24"/>
        </w:rPr>
      </w:pPr>
      <w:bookmarkStart w:id="56" w:name="a30_52"/>
      <w:bookmarkEnd w:id="56"/>
      <w:r>
        <w:rPr>
          <w:rFonts w:eastAsia="Times New Roman"/>
          <w:b/>
          <w:bCs/>
          <w:sz w:val="24"/>
          <w:szCs w:val="24"/>
        </w:rPr>
        <w:t>30:52</w:t>
      </w:r>
      <w:r w:rsidR="00A76271"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Koenig v. PurCo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57" w:name="a30_53"/>
      <w:bookmarkEnd w:id="57"/>
      <w:r w:rsidRPr="00A76271">
        <w:rPr>
          <w:rFonts w:eastAsia="Times New Roman"/>
          <w:b/>
          <w:bCs/>
          <w:sz w:val="24"/>
          <w:szCs w:val="24"/>
        </w:rPr>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(The difference between the fair market value of the property with and without the encumbrance.)</w:t>
      </w:r>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Loveland Essential Group, LLC v. Grommon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p w14:paraId="3BB169D3" w14:textId="77777777" w:rsidR="00A76271" w:rsidRDefault="00A76271">
      <w:pPr>
        <w:rPr>
          <w:rFonts w:eastAsia="Times New Roman"/>
          <w:bCs/>
          <w:sz w:val="24"/>
          <w:szCs w:val="24"/>
        </w:rPr>
      </w:pPr>
      <w:r>
        <w:rPr>
          <w:rFonts w:eastAsia="Times New Roman"/>
          <w:bCs/>
          <w:sz w:val="24"/>
          <w:szCs w:val="24"/>
        </w:rPr>
        <w:br w:type="page"/>
      </w:r>
    </w:p>
    <w:p w14:paraId="203589CA" w14:textId="77777777" w:rsidR="00A76271" w:rsidRDefault="00A76271" w:rsidP="00A76271">
      <w:pPr>
        <w:spacing w:after="240"/>
        <w:jc w:val="center"/>
        <w:rPr>
          <w:rFonts w:eastAsia="Times New Roman"/>
          <w:b/>
          <w:sz w:val="24"/>
          <w:szCs w:val="24"/>
        </w:rPr>
      </w:pPr>
      <w:r w:rsidRPr="00A76271">
        <w:rPr>
          <w:rFonts w:eastAsia="Times New Roman"/>
          <w:b/>
          <w:sz w:val="24"/>
          <w:szCs w:val="24"/>
        </w:rPr>
        <w:t>F. PARTICULAR CONTRACTS</w:t>
      </w:r>
    </w:p>
    <w:p w14:paraId="40F3BE75" w14:textId="77777777" w:rsidR="00A76271" w:rsidRPr="009E3DA4" w:rsidRDefault="00A76271" w:rsidP="00A76271">
      <w:pPr>
        <w:spacing w:after="240"/>
        <w:ind w:left="720" w:hanging="720"/>
        <w:rPr>
          <w:rFonts w:eastAsia="Times New Roman"/>
          <w:b/>
          <w:sz w:val="24"/>
          <w:szCs w:val="24"/>
        </w:rPr>
      </w:pPr>
      <w:bookmarkStart w:id="58" w:name="a30_54"/>
      <w:bookmarkEnd w:id="58"/>
      <w:r w:rsidRPr="00A76271">
        <w:rPr>
          <w:rFonts w:eastAsia="Times New Roman"/>
          <w:b/>
          <w:bCs/>
          <w:sz w:val="24"/>
          <w:szCs w:val="24"/>
        </w:rPr>
        <w:t xml:space="preserve">30:54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p w14:paraId="61DE718F"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on (his) (her) claim of breach of implied warranty, you must find both of the following have been proved by a preponderance of the evidence:</w:t>
      </w:r>
    </w:p>
    <w:p w14:paraId="2DB759BC"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[he] [she]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either one or both of these statements has not been proved, then your verdict must be for the defendant.</w:t>
      </w:r>
    </w:p>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30:55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Omit either numbered paragraph, the facts of which are not in dispute, and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Mulhern v. Hederich</w:t>
      </w:r>
      <w:r w:rsidRPr="00A76271">
        <w:rPr>
          <w:rFonts w:eastAsia="Times New Roman"/>
          <w:bCs/>
          <w:sz w:val="24"/>
          <w:szCs w:val="24"/>
        </w:rPr>
        <w:t xml:space="preserve">, 163 Colo. 275, 430 P.2d 469 (1967); </w:t>
      </w:r>
      <w:r w:rsidRPr="00A76271">
        <w:rPr>
          <w:rFonts w:eastAsia="Times New Roman"/>
          <w:b/>
          <w:bCs/>
          <w:sz w:val="24"/>
          <w:szCs w:val="24"/>
        </w:rPr>
        <w:t>Glisan v. Smolenske</w:t>
      </w:r>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573A4B65" w14:textId="77777777" w:rsidR="00A76271" w:rsidRPr="00A76271" w:rsidRDefault="00A76271" w:rsidP="00D21951">
      <w:pPr>
        <w:spacing w:after="240"/>
        <w:ind w:firstLine="720"/>
        <w:rPr>
          <w:rFonts w:eastAsia="Times New Roman"/>
          <w:bCs/>
          <w:sz w:val="24"/>
          <w:szCs w:val="24"/>
        </w:rPr>
      </w:pPr>
      <w:r w:rsidRPr="00A76271">
        <w:rPr>
          <w:rFonts w:eastAsia="Times New Roman"/>
          <w:bCs/>
          <w:sz w:val="24"/>
          <w:szCs w:val="24"/>
        </w:rPr>
        <w:t xml:space="preserve">2. The failure to correct defects caused by hazards of soil, weather, labor, and other like conditions that are the responsibility of the builder is a failure to construct the building in a workmanlike manner. </w:t>
      </w:r>
      <w:r w:rsidRPr="00A76271">
        <w:rPr>
          <w:rFonts w:eastAsia="Times New Roman"/>
          <w:b/>
          <w:bCs/>
          <w:sz w:val="24"/>
          <w:szCs w:val="24"/>
        </w:rPr>
        <w:t>Newcomb v. Schaeffler</w:t>
      </w:r>
      <w:r w:rsidRPr="00A76271">
        <w:rPr>
          <w:rFonts w:eastAsia="Times New Roman"/>
          <w:bCs/>
          <w:sz w:val="24"/>
          <w:szCs w:val="24"/>
        </w:rPr>
        <w:t>, 131 Colo. 56, 279 P.2d 409 (1955).</w:t>
      </w:r>
    </w:p>
    <w:p w14:paraId="726B533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3. Privity is an essential element of claims for breach of implied warranties arising from transactions involving real property. </w:t>
      </w:r>
      <w:r w:rsidRPr="00A76271">
        <w:rPr>
          <w:rFonts w:eastAsia="Times New Roman"/>
          <w:b/>
          <w:bCs/>
          <w:sz w:val="24"/>
          <w:szCs w:val="24"/>
        </w:rPr>
        <w:t>Forest City Stapleton Inc. v. Rogers</w:t>
      </w:r>
      <w:r w:rsidRPr="00A76271">
        <w:rPr>
          <w:rFonts w:eastAsia="Times New Roman"/>
          <w:bCs/>
          <w:sz w:val="24"/>
          <w:szCs w:val="24"/>
        </w:rPr>
        <w:t xml:space="preserve">, 2017 CO 23, ¶ 7, 393 P.3d 487, 489 (“We hold that, because breach of the implied warranty of suitability is a contract claim, privity of contract is required to prevail on such a claim.”). The implied warranty of fitness for habitation does not extend to a purchaser against a seller of a house which had previously been occupied. </w:t>
      </w:r>
      <w:r w:rsidRPr="00A76271">
        <w:rPr>
          <w:rFonts w:eastAsia="Times New Roman"/>
          <w:bCs/>
          <w:i/>
          <w:sz w:val="24"/>
          <w:szCs w:val="24"/>
        </w:rPr>
        <w:t>See</w:t>
      </w:r>
      <w:r w:rsidRPr="00A76271">
        <w:rPr>
          <w:rFonts w:eastAsia="Times New Roman"/>
          <w:bCs/>
          <w:sz w:val="24"/>
          <w:szCs w:val="24"/>
        </w:rPr>
        <w:t xml:space="preserve"> </w:t>
      </w:r>
      <w:r w:rsidRPr="00A76271">
        <w:rPr>
          <w:rFonts w:eastAsia="Times New Roman"/>
          <w:b/>
          <w:bCs/>
          <w:sz w:val="24"/>
          <w:szCs w:val="24"/>
        </w:rPr>
        <w:t>H.B. Bolas Enters., Inc. v. Zarlengo</w:t>
      </w:r>
      <w:r w:rsidRPr="00A76271">
        <w:rPr>
          <w:rFonts w:eastAsia="Times New Roman"/>
          <w:bCs/>
          <w:sz w:val="24"/>
          <w:szCs w:val="24"/>
        </w:rPr>
        <w:t xml:space="preserve">, 156 Colo. 530, 400 P.2d 447 (1965); </w:t>
      </w:r>
      <w:r w:rsidRPr="00A76271">
        <w:rPr>
          <w:rFonts w:eastAsia="Times New Roman"/>
          <w:bCs/>
          <w:i/>
          <w:sz w:val="24"/>
          <w:szCs w:val="24"/>
        </w:rPr>
        <w:t xml:space="preserve">see also </w:t>
      </w:r>
      <w:r w:rsidRPr="00A76271">
        <w:rPr>
          <w:rFonts w:eastAsia="Times New Roman"/>
          <w:b/>
          <w:bCs/>
          <w:sz w:val="24"/>
          <w:szCs w:val="24"/>
        </w:rPr>
        <w:t>Gallegos v. Graff</w:t>
      </w:r>
      <w:r w:rsidRPr="00A76271">
        <w:rPr>
          <w:rFonts w:eastAsia="Times New Roman"/>
          <w:bCs/>
          <w:sz w:val="24"/>
          <w:szCs w:val="24"/>
        </w:rPr>
        <w:t>,</w:t>
      </w:r>
      <w:r w:rsidRPr="00A76271">
        <w:rPr>
          <w:rFonts w:eastAsia="Times New Roman"/>
          <w:b/>
          <w:bCs/>
          <w:sz w:val="24"/>
          <w:szCs w:val="24"/>
        </w:rPr>
        <w:t xml:space="preserve"> </w:t>
      </w:r>
      <w:r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r w:rsidRPr="00A76271">
        <w:rPr>
          <w:rFonts w:eastAsia="Times New Roman"/>
          <w:b/>
          <w:bCs/>
          <w:sz w:val="24"/>
          <w:szCs w:val="24"/>
        </w:rPr>
        <w:t>Utz v. Moss</w:t>
      </w:r>
      <w:r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Pr="00A76271">
        <w:rPr>
          <w:rFonts w:eastAsia="Times New Roman"/>
          <w:bCs/>
          <w:i/>
          <w:sz w:val="24"/>
          <w:szCs w:val="24"/>
        </w:rPr>
        <w:t>But see</w:t>
      </w:r>
      <w:r w:rsidRPr="00A76271">
        <w:rPr>
          <w:rFonts w:eastAsia="Times New Roman"/>
          <w:bCs/>
          <w:sz w:val="24"/>
          <w:szCs w:val="24"/>
        </w:rPr>
        <w:t xml:space="preserve"> </w:t>
      </w:r>
      <w:r w:rsidRPr="00A76271">
        <w:rPr>
          <w:rFonts w:eastAsia="Times New Roman"/>
          <w:b/>
          <w:bCs/>
          <w:sz w:val="24"/>
          <w:szCs w:val="24"/>
        </w:rPr>
        <w:t>Duncan v. Schuster-Graham Homes, Inc.</w:t>
      </w:r>
      <w:r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715FA3C3" w:rsidR="00A76271" w:rsidRPr="00A76271" w:rsidRDefault="003333C4" w:rsidP="00A76271">
      <w:pPr>
        <w:spacing w:after="240"/>
        <w:ind w:firstLine="720"/>
        <w:rPr>
          <w:rFonts w:eastAsia="Times New Roman"/>
          <w:bCs/>
          <w:sz w:val="24"/>
          <w:szCs w:val="24"/>
        </w:rPr>
      </w:pPr>
      <w:r>
        <w:rPr>
          <w:rFonts w:eastAsia="Times New Roman"/>
          <w:bCs/>
          <w:sz w:val="24"/>
          <w:szCs w:val="24"/>
        </w:rPr>
        <w:t xml:space="preserve">4. </w:t>
      </w:r>
      <w:r w:rsidR="00A76271" w:rsidRPr="00A76271">
        <w:rPr>
          <w:rFonts w:eastAsia="Times New Roman"/>
          <w:bCs/>
          <w:sz w:val="24"/>
          <w:szCs w:val="24"/>
        </w:rPr>
        <w:t xml:space="preserve">The implied warranty of suitability arises when a commercial developer improves and sells land for the express purpose of residential construction. </w:t>
      </w:r>
      <w:r w:rsidR="00A76271" w:rsidRPr="00A76271">
        <w:rPr>
          <w:rFonts w:eastAsia="Times New Roman"/>
          <w:b/>
          <w:bCs/>
          <w:sz w:val="24"/>
          <w:szCs w:val="24"/>
        </w:rPr>
        <w:t>Rusch v. Lincoln-Devore Testing Lab., Inc</w:t>
      </w:r>
      <w:r w:rsidR="00A76271" w:rsidRPr="00A76271">
        <w:rPr>
          <w:rFonts w:eastAsia="Times New Roman"/>
          <w:bCs/>
          <w:sz w:val="24"/>
          <w:szCs w:val="24"/>
        </w:rPr>
        <w:t>., 698 P.2d 832 (Colo.</w:t>
      </w:r>
      <w:r w:rsidR="00A76271" w:rsidRPr="00D93394">
        <w:rPr>
          <w:rFonts w:eastAsia="Times New Roman"/>
          <w:bCs/>
          <w:sz w:val="24"/>
          <w:szCs w:val="24"/>
        </w:rPr>
        <w:t xml:space="preserve"> App. 1984). The warranty of suitability has three elements: (1) land is improved and sold for a particular</w:t>
      </w:r>
      <w:r w:rsidR="00A76271"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w:t>
      </w:r>
      <w:r>
        <w:rPr>
          <w:rFonts w:eastAsia="Times New Roman"/>
          <w:bCs/>
          <w:sz w:val="24"/>
          <w:szCs w:val="24"/>
        </w:rPr>
        <w:t>.</w:t>
      </w:r>
      <w:r w:rsidR="00A76271" w:rsidRPr="00A76271">
        <w:rPr>
          <w:rFonts w:eastAsia="Times New Roman"/>
          <w:bCs/>
          <w:sz w:val="24"/>
          <w:szCs w:val="24"/>
        </w:rPr>
        <w:t xml:space="preserve"> </w:t>
      </w:r>
    </w:p>
    <w:p w14:paraId="085C6842"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5.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warranty, see section 13-20-807.</w:t>
      </w:r>
    </w:p>
    <w:p w14:paraId="5C186512"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6.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privity of contract,” a remote subsequent purchaser, not in privity of contract with the home builder, may maintain such a negligence action. </w:t>
      </w:r>
      <w:r w:rsidRPr="00A76271">
        <w:rPr>
          <w:rFonts w:eastAsia="Times New Roman"/>
          <w:b/>
          <w:bCs/>
          <w:sz w:val="24"/>
          <w:szCs w:val="24"/>
        </w:rPr>
        <w:t>Weller v. Cosmopolitan Homes, Inc.</w:t>
      </w:r>
      <w:r w:rsidRPr="00A76271">
        <w:rPr>
          <w:rFonts w:eastAsia="Times New Roman"/>
          <w:bCs/>
          <w:sz w:val="24"/>
          <w:szCs w:val="24"/>
        </w:rPr>
        <w:t xml:space="preserve">, 44 Colo. App. 470, 471, 622 P.2d 577, 578 (1980), </w:t>
      </w:r>
      <w:r w:rsidRPr="00A76271">
        <w:rPr>
          <w:rFonts w:eastAsia="Times New Roman"/>
          <w:bCs/>
          <w:i/>
          <w:sz w:val="24"/>
          <w:szCs w:val="24"/>
        </w:rPr>
        <w:t>aff’d</w:t>
      </w:r>
      <w:r w:rsidRPr="00A76271">
        <w:rPr>
          <w:rFonts w:eastAsia="Times New Roman"/>
          <w:bCs/>
          <w:sz w:val="24"/>
          <w:szCs w:val="24"/>
        </w:rPr>
        <w:t xml:space="preserve">, 663 P.2d 1041 (Colo. 1983) (limiting the rule of the case “to latent defects which the purchaser was unable to discover prior to purchase”);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Johnson v. Graham</w:t>
      </w:r>
      <w:r w:rsidRPr="00A76271">
        <w:rPr>
          <w:rFonts w:eastAsia="Times New Roman"/>
          <w:bCs/>
          <w:sz w:val="24"/>
          <w:szCs w:val="24"/>
        </w:rPr>
        <w:t xml:space="preserve">, 679 P.2d 1090 (Colo. App. 1983) (undiscovered failure to install drain or properly compact soil could be considered latent defects), </w:t>
      </w:r>
      <w:r w:rsidRPr="00A76271">
        <w:rPr>
          <w:rFonts w:eastAsia="Times New Roman"/>
          <w:bCs/>
          <w:i/>
          <w:sz w:val="24"/>
          <w:szCs w:val="24"/>
        </w:rPr>
        <w:t>rev’d in part on other grounds sub nom.</w:t>
      </w:r>
      <w:r w:rsidRPr="00A76271">
        <w:rPr>
          <w:rFonts w:eastAsia="Times New Roman"/>
          <w:bCs/>
          <w:sz w:val="24"/>
          <w:szCs w:val="24"/>
        </w:rPr>
        <w:t xml:space="preserve"> </w:t>
      </w:r>
      <w:r w:rsidRPr="00A76271">
        <w:rPr>
          <w:rFonts w:eastAsia="Times New Roman"/>
          <w:b/>
          <w:bCs/>
          <w:sz w:val="24"/>
          <w:szCs w:val="24"/>
        </w:rPr>
        <w:t>Tri-Aspen Constr. Co. v. Johnson</w:t>
      </w:r>
      <w:r w:rsidRPr="00A76271">
        <w:rPr>
          <w:rFonts w:eastAsia="Times New Roman"/>
          <w:bCs/>
          <w:sz w:val="24"/>
          <w:szCs w:val="24"/>
        </w:rPr>
        <w:t>,</w:t>
      </w:r>
      <w:r w:rsidRPr="00A76271">
        <w:rPr>
          <w:rFonts w:eastAsia="Times New Roman"/>
          <w:b/>
          <w:bCs/>
          <w:sz w:val="24"/>
          <w:szCs w:val="24"/>
        </w:rPr>
        <w:t xml:space="preserve"> </w:t>
      </w:r>
      <w:r w:rsidRPr="00A76271">
        <w:rPr>
          <w:rFonts w:eastAsia="Times New Roman"/>
          <w:bCs/>
          <w:sz w:val="24"/>
          <w:szCs w:val="24"/>
        </w:rPr>
        <w:t xml:space="preserve">714 P.2d 484 (Colo. 1986). </w:t>
      </w:r>
    </w:p>
    <w:p w14:paraId="2EEA4D1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7. To be liable as a builder under this instruction the defendant must have been a person regularly engaged in the “business of building” so that the sale is commercial in nature, rather than casual or personal. </w:t>
      </w:r>
      <w:r w:rsidRPr="00A76271">
        <w:rPr>
          <w:rFonts w:eastAsia="Times New Roman"/>
          <w:b/>
          <w:bCs/>
          <w:sz w:val="24"/>
          <w:szCs w:val="24"/>
        </w:rPr>
        <w:t>Mazurek v. Nielsen</w:t>
      </w:r>
      <w:r w:rsidRPr="00A76271">
        <w:rPr>
          <w:rFonts w:eastAsia="Times New Roman"/>
          <w:bCs/>
          <w:sz w:val="24"/>
          <w:szCs w:val="24"/>
        </w:rPr>
        <w:t xml:space="preserve">, 42 Colo. App. 386, 599 P.2d 269; </w:t>
      </w:r>
      <w:r w:rsidRPr="00A76271">
        <w:rPr>
          <w:rFonts w:eastAsia="Times New Roman"/>
          <w:bCs/>
          <w:i/>
          <w:sz w:val="24"/>
          <w:szCs w:val="24"/>
        </w:rPr>
        <w:t>accord</w:t>
      </w:r>
      <w:r w:rsidRPr="00A76271">
        <w:rPr>
          <w:rFonts w:eastAsia="Times New Roman"/>
          <w:bCs/>
          <w:sz w:val="24"/>
          <w:szCs w:val="24"/>
        </w:rPr>
        <w:t xml:space="preserve"> </w:t>
      </w:r>
      <w:r w:rsidRPr="00A76271">
        <w:rPr>
          <w:rFonts w:eastAsia="Times New Roman"/>
          <w:b/>
          <w:bCs/>
          <w:sz w:val="24"/>
          <w:szCs w:val="24"/>
        </w:rPr>
        <w:t>Erickson v. Oberlohr</w:t>
      </w:r>
      <w:r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r w:rsidRPr="00A76271">
        <w:rPr>
          <w:rFonts w:eastAsia="Times New Roman"/>
          <w:b/>
          <w:bCs/>
          <w:sz w:val="24"/>
          <w:szCs w:val="24"/>
        </w:rPr>
        <w:t>Sloat v. Matheny</w:t>
      </w:r>
      <w:r w:rsidRPr="00A76271">
        <w:rPr>
          <w:rFonts w:eastAsia="Times New Roman"/>
          <w:bCs/>
          <w:sz w:val="24"/>
          <w:szCs w:val="24"/>
        </w:rPr>
        <w:t xml:space="preserve">, 625 P.2d 1031 (Colo. 1981);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Davies v. Bradley</w:t>
      </w:r>
      <w:r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8.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Pr="00A76271">
        <w:rPr>
          <w:rFonts w:eastAsia="Times New Roman"/>
          <w:bCs/>
          <w:i/>
          <w:sz w:val="24"/>
          <w:szCs w:val="24"/>
        </w:rPr>
        <w:t>Id</w:t>
      </w:r>
      <w:r w:rsidRPr="00A76271">
        <w:rPr>
          <w:rFonts w:eastAsia="Times New Roman"/>
          <w:bCs/>
          <w:sz w:val="24"/>
          <w:szCs w:val="24"/>
        </w:rPr>
        <w:t>.</w:t>
      </w:r>
    </w:p>
    <w:p w14:paraId="41313813"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9. An implied warranty comparable to the warranties covered by this instruction may arise from the sale of land by a commercial developer who improves land and sells it for an express purpose. </w:t>
      </w:r>
      <w:r w:rsidRPr="00A76271">
        <w:rPr>
          <w:rFonts w:eastAsia="Times New Roman"/>
          <w:bCs/>
          <w:i/>
          <w:sz w:val="24"/>
          <w:szCs w:val="24"/>
        </w:rPr>
        <w:t>See, e.g.</w:t>
      </w:r>
      <w:r w:rsidRPr="00A76271">
        <w:rPr>
          <w:rFonts w:eastAsia="Times New Roman"/>
          <w:bCs/>
          <w:sz w:val="24"/>
          <w:szCs w:val="24"/>
        </w:rPr>
        <w:t xml:space="preserve">, </w:t>
      </w:r>
      <w:r w:rsidRPr="00A76271">
        <w:rPr>
          <w:rFonts w:eastAsia="Times New Roman"/>
          <w:b/>
          <w:bCs/>
          <w:sz w:val="24"/>
          <w:szCs w:val="24"/>
        </w:rPr>
        <w:t>Rusch</w:t>
      </w:r>
      <w:r w:rsidRPr="00A76271">
        <w:rPr>
          <w:rFonts w:eastAsia="Times New Roman"/>
          <w:bCs/>
          <w:sz w:val="24"/>
          <w:szCs w:val="24"/>
        </w:rPr>
        <w:t>, 698 P.2d at 835 (recognizing an implied warranty of fitness for a particular purpose).</w:t>
      </w:r>
    </w:p>
    <w:p w14:paraId="1841012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10. A builder or developer of residential construction must “provide the purchaser with a copy of a summary report of the analysis and the site recommendations” concerning soils and 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77777777" w:rsidR="00D21951" w:rsidRPr="009E3DA4" w:rsidRDefault="00D21951" w:rsidP="00D21951">
      <w:pPr>
        <w:spacing w:after="240"/>
        <w:ind w:left="720" w:hanging="720"/>
        <w:rPr>
          <w:rFonts w:eastAsia="Times New Roman"/>
          <w:b/>
          <w:sz w:val="24"/>
          <w:szCs w:val="24"/>
        </w:rPr>
      </w:pPr>
      <w:bookmarkStart w:id="59" w:name="a30_55"/>
      <w:bookmarkEnd w:id="59"/>
      <w:r w:rsidRPr="00D21951">
        <w:rPr>
          <w:rFonts w:eastAsia="Times New Roman"/>
          <w:b/>
          <w:bCs/>
          <w:sz w:val="24"/>
          <w:szCs w:val="24"/>
        </w:rPr>
        <w:t xml:space="preserve">30:55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30:54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r w:rsidRPr="00D21951">
        <w:rPr>
          <w:rFonts w:eastAsia="Times New Roman"/>
          <w:b/>
          <w:bCs/>
          <w:sz w:val="24"/>
          <w:szCs w:val="24"/>
        </w:rPr>
        <w:t>Shiffers v. Cunningham Shepherd Builders Co.</w:t>
      </w:r>
      <w:r w:rsidRPr="00D21951">
        <w:rPr>
          <w:rFonts w:eastAsia="Times New Roman"/>
          <w:bCs/>
          <w:sz w:val="24"/>
          <w:szCs w:val="24"/>
        </w:rPr>
        <w:t xml:space="preserve">, 28 Colo. App. 29, 470 P.2d 593 (1970). The implied warranty of habitability of a house (i.e., “suitable for its intended use”) also includes a water supply sufficient in quantity and quality for its useful occupancy. </w:t>
      </w:r>
      <w:r w:rsidRPr="00D21951">
        <w:rPr>
          <w:rFonts w:eastAsia="Times New Roman"/>
          <w:b/>
          <w:bCs/>
          <w:sz w:val="24"/>
          <w:szCs w:val="24"/>
        </w:rPr>
        <w:t>Mazurek v. Nielsen</w:t>
      </w:r>
      <w:r w:rsidRPr="00D21951">
        <w:rPr>
          <w:rFonts w:eastAsia="Times New Roman"/>
          <w:bCs/>
          <w:sz w:val="24"/>
          <w:szCs w:val="24"/>
        </w:rPr>
        <w:t>, 42 Colo. App. 386, 599 P.2d 269 (1979). It does not include, “[h]owever,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r w:rsidRPr="00D21951">
        <w:rPr>
          <w:rFonts w:eastAsia="Times New Roman"/>
          <w:b/>
          <w:bCs/>
          <w:sz w:val="24"/>
          <w:szCs w:val="24"/>
        </w:rPr>
        <w:t>Dann v. Perrotti &amp; Hauptman Dev. Co.</w:t>
      </w:r>
      <w:r w:rsidRPr="00D21951">
        <w:rPr>
          <w:rFonts w:eastAsia="Times New Roman"/>
          <w:bCs/>
          <w:sz w:val="24"/>
          <w:szCs w:val="24"/>
        </w:rPr>
        <w:t>, 670 P.2d 448, 451 (Colo. App. 1983).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r w:rsidRPr="00D21951">
        <w:rPr>
          <w:rFonts w:eastAsia="Times New Roman"/>
          <w:b/>
          <w:bCs/>
          <w:sz w:val="24"/>
          <w:szCs w:val="24"/>
        </w:rPr>
        <w:t>Sloat v. Matheny</w:t>
      </w:r>
      <w:r w:rsidRPr="00D21951">
        <w:rPr>
          <w:rFonts w:eastAsia="Times New Roman"/>
          <w:bCs/>
          <w:sz w:val="24"/>
          <w:szCs w:val="24"/>
        </w:rPr>
        <w:t xml:space="preserve">, 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Town of Alma v. AZCO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77777777" w:rsidR="008D41E0" w:rsidRPr="009E3DA4" w:rsidRDefault="008D41E0" w:rsidP="008D41E0">
      <w:pPr>
        <w:spacing w:after="240"/>
        <w:ind w:left="720" w:hanging="720"/>
        <w:rPr>
          <w:rFonts w:eastAsia="Times New Roman"/>
          <w:b/>
          <w:sz w:val="24"/>
          <w:szCs w:val="24"/>
        </w:rPr>
      </w:pPr>
      <w:bookmarkStart w:id="60" w:name="a30_56"/>
      <w:bookmarkEnd w:id="60"/>
      <w:r w:rsidRPr="008D41E0">
        <w:rPr>
          <w:rFonts w:eastAsia="Times New Roman"/>
          <w:b/>
          <w:bCs/>
          <w:sz w:val="24"/>
          <w:szCs w:val="24"/>
        </w:rPr>
        <w:t xml:space="preserve">30:56 </w:t>
      </w:r>
      <w:r w:rsidRPr="008D41E0">
        <w:rPr>
          <w:rFonts w:eastAsia="Times New Roman"/>
          <w:b/>
          <w:bCs/>
          <w:sz w:val="24"/>
          <w:szCs w:val="24"/>
        </w:rPr>
        <w:tab/>
        <w:t>CLAIM ― REAL ESTATE COMMISSION ― ELEMENTS OF LIABILITY</w:t>
      </w:r>
    </w:p>
    <w:p w14:paraId="2C528581"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on (his) (her)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[insert the performance or occurrence of any conditions precedent the defendant has denied under C.R.C.P.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Osborn v. Razatos Realty Co.</w:t>
      </w:r>
      <w:r w:rsidRPr="008D41E0">
        <w:rPr>
          <w:rFonts w:eastAsia="Times New Roman"/>
          <w:bCs/>
          <w:sz w:val="24"/>
          <w:szCs w:val="24"/>
        </w:rPr>
        <w:t xml:space="preserve">, 158 Colo. 446, 407 P.2d 342 (1965) (oral contract of employment as an agent sufficient); </w:t>
      </w:r>
      <w:r w:rsidRPr="008D41E0">
        <w:rPr>
          <w:rFonts w:eastAsia="Times New Roman"/>
          <w:b/>
          <w:bCs/>
          <w:sz w:val="24"/>
          <w:szCs w:val="24"/>
        </w:rPr>
        <w:t>Stavely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r w:rsidRPr="008D41E0">
        <w:rPr>
          <w:rFonts w:eastAsia="Times New Roman"/>
          <w:b/>
          <w:bCs/>
          <w:sz w:val="24"/>
          <w:szCs w:val="24"/>
        </w:rPr>
        <w:t>Hayutin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Benham v. Heyde</w:t>
      </w:r>
      <w:r w:rsidRPr="008D41E0">
        <w:rPr>
          <w:rFonts w:eastAsia="Times New Roman"/>
          <w:bCs/>
          <w:sz w:val="24"/>
          <w:szCs w:val="24"/>
        </w:rPr>
        <w:t xml:space="preserve">, 122 Colo. 233, 221 P.2d 1078 (1950) (supports the requirement set out in numbered paragraph 1); </w:t>
      </w:r>
      <w:r w:rsidRPr="008D41E0">
        <w:rPr>
          <w:rFonts w:eastAsia="Times New Roman"/>
          <w:b/>
          <w:bCs/>
          <w:sz w:val="24"/>
          <w:szCs w:val="24"/>
        </w:rPr>
        <w:t>Dunton v. Stemme</w:t>
      </w:r>
      <w:r w:rsidRPr="008D41E0">
        <w:rPr>
          <w:rFonts w:eastAsia="Times New Roman"/>
          <w:bCs/>
          <w:sz w:val="24"/>
          <w:szCs w:val="24"/>
        </w:rPr>
        <w:t xml:space="preserve">, 117 Colo. 327, 187 P.2d 593 (1947) (proof of one of the statutory conditions set out in numbered paragraph 5 essential to broker’s right to recover commission); </w:t>
      </w:r>
      <w:r w:rsidRPr="008D41E0">
        <w:rPr>
          <w:rFonts w:eastAsia="Times New Roman"/>
          <w:b/>
          <w:bCs/>
          <w:sz w:val="24"/>
          <w:szCs w:val="24"/>
        </w:rPr>
        <w:t>Mapes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aff’d in part, rev’d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Barton v. Sittner</w:t>
      </w:r>
      <w:r w:rsidRPr="008D41E0">
        <w:rPr>
          <w:rFonts w:eastAsia="Times New Roman"/>
          <w:bCs/>
          <w:sz w:val="24"/>
          <w:szCs w:val="24"/>
        </w:rPr>
        <w:t xml:space="preserve">, 723 P.2d 153 (Colo. App. 1986); </w:t>
      </w:r>
      <w:r w:rsidRPr="008D41E0">
        <w:rPr>
          <w:rFonts w:eastAsia="Times New Roman"/>
          <w:b/>
          <w:bCs/>
          <w:sz w:val="24"/>
          <w:szCs w:val="24"/>
        </w:rPr>
        <w:t>Brakhage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Broughall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Lieff v. Medco Prof’l Servs.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r w:rsidRPr="008D41E0">
        <w:rPr>
          <w:rFonts w:eastAsia="Times New Roman"/>
          <w:b/>
          <w:bCs/>
          <w:sz w:val="24"/>
          <w:szCs w:val="24"/>
        </w:rPr>
        <w:t>Backus v. Apishapa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44 Colo. App. 59, 615 P.2d 42 (1980). The fact that a broker, otherwise properly licensed, is operating out of a branch office for which a duplicate license has not been obtained does not render commission contracts entered into through such office void. </w:t>
      </w:r>
      <w:r w:rsidRPr="008D41E0">
        <w:rPr>
          <w:rFonts w:eastAsia="Times New Roman"/>
          <w:b/>
          <w:bCs/>
          <w:sz w:val="24"/>
          <w:szCs w:val="24"/>
        </w:rPr>
        <w:t>Holter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368 P.2d 195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Bradley Realty Inv. Co. v. Shwartz</w:t>
      </w:r>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238, 444 P.2d 404 (1968); </w:t>
      </w:r>
      <w:r w:rsidRPr="008D41E0">
        <w:rPr>
          <w:rFonts w:eastAsia="Times New Roman"/>
          <w:b/>
          <w:bCs/>
          <w:sz w:val="24"/>
          <w:szCs w:val="24"/>
        </w:rPr>
        <w:t>Shands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Real Equity Diversification, Inc. v. Coville</w:t>
      </w:r>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r w:rsidRPr="008D41E0">
        <w:rPr>
          <w:rFonts w:eastAsia="Times New Roman"/>
          <w:b/>
          <w:bCs/>
          <w:sz w:val="24"/>
          <w:szCs w:val="24"/>
        </w:rPr>
        <w:t>Mapes</w:t>
      </w:r>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Mack v. McKanna</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Daybreak Constr. Specialties, Inc. v. Saghatoleslami</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Winston Fin. Grp., Inc. v. Fults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Colo. Inv. Servs., Inc. v. Hager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685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3D747BE" w14:textId="77777777" w:rsidR="00A76271" w:rsidRPr="00A76271" w:rsidRDefault="008D41E0" w:rsidP="00A76271">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Horton-Cavey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Also, the “broker is charged with knowledge that the substantial variation exists when he submits the offer.”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Brady v. Hoeppner</w:t>
      </w:r>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Re/Max Suburban, Inc. v. Widener</w:t>
      </w:r>
      <w:r w:rsidRPr="008D41E0">
        <w:rPr>
          <w:rFonts w:eastAsia="Times New Roman"/>
          <w:bCs/>
          <w:sz w:val="24"/>
          <w:szCs w:val="24"/>
        </w:rPr>
        <w:t>, 633 P.2d 530 (Colo. App. 1981) (broker not entitled to commission when sale failed to close due to fault of broker).</w:t>
      </w:r>
    </w:p>
    <w:sectPr w:rsidR="00A76271" w:rsidRPr="00A76271"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359A" w14:textId="77777777" w:rsidR="00472FB2" w:rsidRDefault="00472FB2" w:rsidP="0054263B">
      <w:r>
        <w:separator/>
      </w:r>
    </w:p>
    <w:p w14:paraId="72CA1D79" w14:textId="77777777" w:rsidR="00472FB2" w:rsidRDefault="00472FB2"/>
  </w:endnote>
  <w:endnote w:type="continuationSeparator" w:id="0">
    <w:p w14:paraId="0E8B2106" w14:textId="77777777" w:rsidR="00472FB2" w:rsidRDefault="00472FB2" w:rsidP="0054263B">
      <w:r>
        <w:continuationSeparator/>
      </w:r>
    </w:p>
    <w:p w14:paraId="0A7EAE90" w14:textId="77777777" w:rsidR="00472FB2" w:rsidRDefault="00472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3505C874" w14:textId="77777777" w:rsidR="00C41692" w:rsidRDefault="00C41692">
        <w:pPr>
          <w:pStyle w:val="Footer"/>
          <w:jc w:val="center"/>
        </w:pPr>
        <w:r>
          <w:fldChar w:fldCharType="begin"/>
        </w:r>
        <w:r>
          <w:instrText xml:space="preserve"> PAGE   \* MERGEFORMAT </w:instrText>
        </w:r>
        <w:r>
          <w:fldChar w:fldCharType="separate"/>
        </w:r>
        <w:r w:rsidR="004A2D52">
          <w:rPr>
            <w:noProof/>
          </w:rPr>
          <w:t>95</w:t>
        </w:r>
        <w:r>
          <w:rPr>
            <w:noProof/>
          </w:rPr>
          <w:fldChar w:fldCharType="end"/>
        </w:r>
      </w:p>
    </w:sdtContent>
  </w:sdt>
  <w:p w14:paraId="39E7E541" w14:textId="77777777" w:rsidR="00C41692" w:rsidRDefault="00C41692">
    <w:pPr>
      <w:pStyle w:val="Footer"/>
    </w:pPr>
  </w:p>
  <w:p w14:paraId="1052C3A9" w14:textId="77777777" w:rsidR="00C41692" w:rsidRDefault="00C416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9E3CF" w14:textId="77777777" w:rsidR="00472FB2" w:rsidRDefault="00472FB2" w:rsidP="0054263B">
      <w:r>
        <w:separator/>
      </w:r>
    </w:p>
    <w:p w14:paraId="6CA56133" w14:textId="77777777" w:rsidR="00472FB2" w:rsidRDefault="00472FB2"/>
  </w:footnote>
  <w:footnote w:type="continuationSeparator" w:id="0">
    <w:p w14:paraId="469C1E82" w14:textId="77777777" w:rsidR="00472FB2" w:rsidRDefault="00472FB2" w:rsidP="0054263B">
      <w:r>
        <w:continuationSeparator/>
      </w:r>
    </w:p>
    <w:p w14:paraId="6E4B47E0" w14:textId="77777777" w:rsidR="00472FB2" w:rsidRDefault="00472F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20CF1"/>
    <w:rsid w:val="00037111"/>
    <w:rsid w:val="0006367C"/>
    <w:rsid w:val="00074558"/>
    <w:rsid w:val="00074E3E"/>
    <w:rsid w:val="000824C8"/>
    <w:rsid w:val="00082B8A"/>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4328"/>
    <w:rsid w:val="00125209"/>
    <w:rsid w:val="00126B7A"/>
    <w:rsid w:val="001333F4"/>
    <w:rsid w:val="001436C0"/>
    <w:rsid w:val="00144917"/>
    <w:rsid w:val="001608FF"/>
    <w:rsid w:val="001671A9"/>
    <w:rsid w:val="00172259"/>
    <w:rsid w:val="00172674"/>
    <w:rsid w:val="00172700"/>
    <w:rsid w:val="00174BB5"/>
    <w:rsid w:val="0018388B"/>
    <w:rsid w:val="00184ADB"/>
    <w:rsid w:val="001903CB"/>
    <w:rsid w:val="00190BD9"/>
    <w:rsid w:val="001913B1"/>
    <w:rsid w:val="00191498"/>
    <w:rsid w:val="00191C86"/>
    <w:rsid w:val="001A2648"/>
    <w:rsid w:val="001A2D0C"/>
    <w:rsid w:val="001C6755"/>
    <w:rsid w:val="001E0F3B"/>
    <w:rsid w:val="001F0193"/>
    <w:rsid w:val="001F1E78"/>
    <w:rsid w:val="00200BA5"/>
    <w:rsid w:val="00202B81"/>
    <w:rsid w:val="002032E9"/>
    <w:rsid w:val="00205E29"/>
    <w:rsid w:val="002065D8"/>
    <w:rsid w:val="0021368F"/>
    <w:rsid w:val="0021730E"/>
    <w:rsid w:val="00217435"/>
    <w:rsid w:val="0022134E"/>
    <w:rsid w:val="00223286"/>
    <w:rsid w:val="00227D3A"/>
    <w:rsid w:val="00234064"/>
    <w:rsid w:val="0024062B"/>
    <w:rsid w:val="0024597C"/>
    <w:rsid w:val="00247DD6"/>
    <w:rsid w:val="002547C3"/>
    <w:rsid w:val="002654B4"/>
    <w:rsid w:val="00266772"/>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1DC6"/>
    <w:rsid w:val="0032367C"/>
    <w:rsid w:val="003247EA"/>
    <w:rsid w:val="00324C57"/>
    <w:rsid w:val="003259EE"/>
    <w:rsid w:val="003333C4"/>
    <w:rsid w:val="00333886"/>
    <w:rsid w:val="00335934"/>
    <w:rsid w:val="00336CE4"/>
    <w:rsid w:val="00345533"/>
    <w:rsid w:val="00351D52"/>
    <w:rsid w:val="00352111"/>
    <w:rsid w:val="00352433"/>
    <w:rsid w:val="00352696"/>
    <w:rsid w:val="00353044"/>
    <w:rsid w:val="003613FE"/>
    <w:rsid w:val="00367D0F"/>
    <w:rsid w:val="00382177"/>
    <w:rsid w:val="003837B6"/>
    <w:rsid w:val="003937B8"/>
    <w:rsid w:val="003A2F1C"/>
    <w:rsid w:val="003A5A75"/>
    <w:rsid w:val="003D027F"/>
    <w:rsid w:val="003D1B54"/>
    <w:rsid w:val="003D370E"/>
    <w:rsid w:val="003E472A"/>
    <w:rsid w:val="003E5B38"/>
    <w:rsid w:val="003E773D"/>
    <w:rsid w:val="003F108C"/>
    <w:rsid w:val="003F4A7F"/>
    <w:rsid w:val="003F6E89"/>
    <w:rsid w:val="00410E6B"/>
    <w:rsid w:val="00416E67"/>
    <w:rsid w:val="0042704F"/>
    <w:rsid w:val="00427199"/>
    <w:rsid w:val="00434371"/>
    <w:rsid w:val="004425AA"/>
    <w:rsid w:val="0044495C"/>
    <w:rsid w:val="0045008E"/>
    <w:rsid w:val="00454EE8"/>
    <w:rsid w:val="00456038"/>
    <w:rsid w:val="00456B2B"/>
    <w:rsid w:val="0046563F"/>
    <w:rsid w:val="00467B80"/>
    <w:rsid w:val="0047120C"/>
    <w:rsid w:val="00471618"/>
    <w:rsid w:val="00472FB2"/>
    <w:rsid w:val="00473B65"/>
    <w:rsid w:val="00474A7E"/>
    <w:rsid w:val="00474B1B"/>
    <w:rsid w:val="0048541F"/>
    <w:rsid w:val="0049313F"/>
    <w:rsid w:val="004978F9"/>
    <w:rsid w:val="004A1210"/>
    <w:rsid w:val="004A2D52"/>
    <w:rsid w:val="004A32E6"/>
    <w:rsid w:val="004B0E7F"/>
    <w:rsid w:val="004B753E"/>
    <w:rsid w:val="004C25F7"/>
    <w:rsid w:val="004C330E"/>
    <w:rsid w:val="004C62F9"/>
    <w:rsid w:val="004C723A"/>
    <w:rsid w:val="004D0F36"/>
    <w:rsid w:val="004D2C99"/>
    <w:rsid w:val="004D5700"/>
    <w:rsid w:val="004E0408"/>
    <w:rsid w:val="004E7EF1"/>
    <w:rsid w:val="004F003D"/>
    <w:rsid w:val="00502D97"/>
    <w:rsid w:val="005065E6"/>
    <w:rsid w:val="0051385E"/>
    <w:rsid w:val="005156F1"/>
    <w:rsid w:val="00516447"/>
    <w:rsid w:val="0052537F"/>
    <w:rsid w:val="00527A18"/>
    <w:rsid w:val="00527AD3"/>
    <w:rsid w:val="00531F87"/>
    <w:rsid w:val="0053544D"/>
    <w:rsid w:val="0054263B"/>
    <w:rsid w:val="00547D97"/>
    <w:rsid w:val="00550AFD"/>
    <w:rsid w:val="00555B52"/>
    <w:rsid w:val="00555BA5"/>
    <w:rsid w:val="00557FCC"/>
    <w:rsid w:val="005648EF"/>
    <w:rsid w:val="0057771F"/>
    <w:rsid w:val="005A22A6"/>
    <w:rsid w:val="005B27FE"/>
    <w:rsid w:val="005B3A78"/>
    <w:rsid w:val="005C56C9"/>
    <w:rsid w:val="005C5CCB"/>
    <w:rsid w:val="005D1AD3"/>
    <w:rsid w:val="005D1F16"/>
    <w:rsid w:val="005D3156"/>
    <w:rsid w:val="005E712D"/>
    <w:rsid w:val="005E7146"/>
    <w:rsid w:val="005F1017"/>
    <w:rsid w:val="005F19FD"/>
    <w:rsid w:val="005F5A94"/>
    <w:rsid w:val="00604F03"/>
    <w:rsid w:val="006053F6"/>
    <w:rsid w:val="006272FE"/>
    <w:rsid w:val="00631BFF"/>
    <w:rsid w:val="006353DF"/>
    <w:rsid w:val="00642649"/>
    <w:rsid w:val="006451C7"/>
    <w:rsid w:val="00647CC5"/>
    <w:rsid w:val="00651A64"/>
    <w:rsid w:val="00661D05"/>
    <w:rsid w:val="00675252"/>
    <w:rsid w:val="00676566"/>
    <w:rsid w:val="00682B93"/>
    <w:rsid w:val="0068336D"/>
    <w:rsid w:val="00683FA1"/>
    <w:rsid w:val="00685E76"/>
    <w:rsid w:val="00687304"/>
    <w:rsid w:val="00697DF2"/>
    <w:rsid w:val="006A74B6"/>
    <w:rsid w:val="006B2457"/>
    <w:rsid w:val="006B26D7"/>
    <w:rsid w:val="006D1D57"/>
    <w:rsid w:val="006E0D06"/>
    <w:rsid w:val="006E1A5A"/>
    <w:rsid w:val="006E3575"/>
    <w:rsid w:val="006E62F0"/>
    <w:rsid w:val="006F590D"/>
    <w:rsid w:val="006F7581"/>
    <w:rsid w:val="006F7DC0"/>
    <w:rsid w:val="00702B5A"/>
    <w:rsid w:val="0070752A"/>
    <w:rsid w:val="007119D8"/>
    <w:rsid w:val="0071225B"/>
    <w:rsid w:val="00713866"/>
    <w:rsid w:val="00716C9E"/>
    <w:rsid w:val="007216DA"/>
    <w:rsid w:val="00724230"/>
    <w:rsid w:val="00726E21"/>
    <w:rsid w:val="007340B5"/>
    <w:rsid w:val="00753103"/>
    <w:rsid w:val="007532AB"/>
    <w:rsid w:val="00766F81"/>
    <w:rsid w:val="00770AB7"/>
    <w:rsid w:val="00770FFC"/>
    <w:rsid w:val="007760D1"/>
    <w:rsid w:val="0077696B"/>
    <w:rsid w:val="00783F23"/>
    <w:rsid w:val="00787065"/>
    <w:rsid w:val="00792028"/>
    <w:rsid w:val="007A3A0E"/>
    <w:rsid w:val="007A612E"/>
    <w:rsid w:val="007B1633"/>
    <w:rsid w:val="007D168F"/>
    <w:rsid w:val="007D198E"/>
    <w:rsid w:val="007D2BCE"/>
    <w:rsid w:val="007D39CC"/>
    <w:rsid w:val="007E1675"/>
    <w:rsid w:val="007E7C7D"/>
    <w:rsid w:val="007F7129"/>
    <w:rsid w:val="00801691"/>
    <w:rsid w:val="00806282"/>
    <w:rsid w:val="00813A6B"/>
    <w:rsid w:val="0082168C"/>
    <w:rsid w:val="00826FD6"/>
    <w:rsid w:val="0083254A"/>
    <w:rsid w:val="0083264A"/>
    <w:rsid w:val="00832DB4"/>
    <w:rsid w:val="0083763B"/>
    <w:rsid w:val="00837F81"/>
    <w:rsid w:val="00845F81"/>
    <w:rsid w:val="00846B11"/>
    <w:rsid w:val="00850A48"/>
    <w:rsid w:val="00851A69"/>
    <w:rsid w:val="00853ECF"/>
    <w:rsid w:val="008557E1"/>
    <w:rsid w:val="0086735A"/>
    <w:rsid w:val="008703EF"/>
    <w:rsid w:val="00875064"/>
    <w:rsid w:val="008812A8"/>
    <w:rsid w:val="00881431"/>
    <w:rsid w:val="008857D3"/>
    <w:rsid w:val="008859AF"/>
    <w:rsid w:val="00891731"/>
    <w:rsid w:val="00891A22"/>
    <w:rsid w:val="00895065"/>
    <w:rsid w:val="008A1099"/>
    <w:rsid w:val="008A475A"/>
    <w:rsid w:val="008A6339"/>
    <w:rsid w:val="008A637B"/>
    <w:rsid w:val="008B1617"/>
    <w:rsid w:val="008B39B8"/>
    <w:rsid w:val="008C1739"/>
    <w:rsid w:val="008D1995"/>
    <w:rsid w:val="008D2D56"/>
    <w:rsid w:val="008D41E0"/>
    <w:rsid w:val="008D4A28"/>
    <w:rsid w:val="008D609F"/>
    <w:rsid w:val="008D7ECC"/>
    <w:rsid w:val="008E41F1"/>
    <w:rsid w:val="008E51AF"/>
    <w:rsid w:val="008F3AE7"/>
    <w:rsid w:val="008F4C42"/>
    <w:rsid w:val="008F746C"/>
    <w:rsid w:val="009007E8"/>
    <w:rsid w:val="009022AA"/>
    <w:rsid w:val="0090292A"/>
    <w:rsid w:val="00902A25"/>
    <w:rsid w:val="00914128"/>
    <w:rsid w:val="00930778"/>
    <w:rsid w:val="00932723"/>
    <w:rsid w:val="009355C5"/>
    <w:rsid w:val="00935DA8"/>
    <w:rsid w:val="00936D0A"/>
    <w:rsid w:val="00950692"/>
    <w:rsid w:val="00950960"/>
    <w:rsid w:val="00952BBB"/>
    <w:rsid w:val="0095709A"/>
    <w:rsid w:val="00965404"/>
    <w:rsid w:val="009725D8"/>
    <w:rsid w:val="00973884"/>
    <w:rsid w:val="009902F2"/>
    <w:rsid w:val="009931B9"/>
    <w:rsid w:val="00995B5B"/>
    <w:rsid w:val="009A5AA6"/>
    <w:rsid w:val="009B6746"/>
    <w:rsid w:val="009C0C3F"/>
    <w:rsid w:val="009D31CE"/>
    <w:rsid w:val="009D5D97"/>
    <w:rsid w:val="009E20C7"/>
    <w:rsid w:val="009E3DA4"/>
    <w:rsid w:val="009F581C"/>
    <w:rsid w:val="00A005E6"/>
    <w:rsid w:val="00A06ED6"/>
    <w:rsid w:val="00A10F3D"/>
    <w:rsid w:val="00A110C7"/>
    <w:rsid w:val="00A22F5A"/>
    <w:rsid w:val="00A36457"/>
    <w:rsid w:val="00A50F20"/>
    <w:rsid w:val="00A575BC"/>
    <w:rsid w:val="00A57F9C"/>
    <w:rsid w:val="00A61589"/>
    <w:rsid w:val="00A632A0"/>
    <w:rsid w:val="00A63D35"/>
    <w:rsid w:val="00A677E8"/>
    <w:rsid w:val="00A725B4"/>
    <w:rsid w:val="00A73AE6"/>
    <w:rsid w:val="00A73FC9"/>
    <w:rsid w:val="00A76271"/>
    <w:rsid w:val="00A76341"/>
    <w:rsid w:val="00A80C10"/>
    <w:rsid w:val="00A82D0A"/>
    <w:rsid w:val="00A85AAA"/>
    <w:rsid w:val="00A92C18"/>
    <w:rsid w:val="00AB2019"/>
    <w:rsid w:val="00AB477F"/>
    <w:rsid w:val="00AB71A7"/>
    <w:rsid w:val="00AC646C"/>
    <w:rsid w:val="00AC78F7"/>
    <w:rsid w:val="00AD4B56"/>
    <w:rsid w:val="00AE1C04"/>
    <w:rsid w:val="00AF40E1"/>
    <w:rsid w:val="00AF7D47"/>
    <w:rsid w:val="00B01305"/>
    <w:rsid w:val="00B0264D"/>
    <w:rsid w:val="00B338E2"/>
    <w:rsid w:val="00B35185"/>
    <w:rsid w:val="00B37722"/>
    <w:rsid w:val="00B407E5"/>
    <w:rsid w:val="00B456F5"/>
    <w:rsid w:val="00B538B9"/>
    <w:rsid w:val="00B567C1"/>
    <w:rsid w:val="00B579DF"/>
    <w:rsid w:val="00B6275E"/>
    <w:rsid w:val="00B70D68"/>
    <w:rsid w:val="00B7181F"/>
    <w:rsid w:val="00B719C2"/>
    <w:rsid w:val="00B72D6B"/>
    <w:rsid w:val="00B73408"/>
    <w:rsid w:val="00B80FD1"/>
    <w:rsid w:val="00B937E4"/>
    <w:rsid w:val="00B96786"/>
    <w:rsid w:val="00B97801"/>
    <w:rsid w:val="00BA2389"/>
    <w:rsid w:val="00BA27A8"/>
    <w:rsid w:val="00BA510E"/>
    <w:rsid w:val="00BB32C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1692"/>
    <w:rsid w:val="00C473A2"/>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1F43"/>
    <w:rsid w:val="00CE2DF4"/>
    <w:rsid w:val="00CE48C8"/>
    <w:rsid w:val="00CE593D"/>
    <w:rsid w:val="00CF07F1"/>
    <w:rsid w:val="00D00330"/>
    <w:rsid w:val="00D0050C"/>
    <w:rsid w:val="00D014AE"/>
    <w:rsid w:val="00D05926"/>
    <w:rsid w:val="00D06D8D"/>
    <w:rsid w:val="00D16901"/>
    <w:rsid w:val="00D21951"/>
    <w:rsid w:val="00D22D5F"/>
    <w:rsid w:val="00D23BD0"/>
    <w:rsid w:val="00D333AA"/>
    <w:rsid w:val="00D347CA"/>
    <w:rsid w:val="00D50C3D"/>
    <w:rsid w:val="00D51E80"/>
    <w:rsid w:val="00D53848"/>
    <w:rsid w:val="00D53AC5"/>
    <w:rsid w:val="00D5484F"/>
    <w:rsid w:val="00D6366B"/>
    <w:rsid w:val="00D7327C"/>
    <w:rsid w:val="00D8125F"/>
    <w:rsid w:val="00D90E67"/>
    <w:rsid w:val="00D93394"/>
    <w:rsid w:val="00D95B2C"/>
    <w:rsid w:val="00DA1796"/>
    <w:rsid w:val="00DA2814"/>
    <w:rsid w:val="00DB2C90"/>
    <w:rsid w:val="00DC0393"/>
    <w:rsid w:val="00DC63A9"/>
    <w:rsid w:val="00DC66A6"/>
    <w:rsid w:val="00DC7533"/>
    <w:rsid w:val="00DD5492"/>
    <w:rsid w:val="00DE2930"/>
    <w:rsid w:val="00DF2CB7"/>
    <w:rsid w:val="00DF3BF1"/>
    <w:rsid w:val="00DF7595"/>
    <w:rsid w:val="00E007F8"/>
    <w:rsid w:val="00E048FF"/>
    <w:rsid w:val="00E058BA"/>
    <w:rsid w:val="00E111AA"/>
    <w:rsid w:val="00E14F99"/>
    <w:rsid w:val="00E172C8"/>
    <w:rsid w:val="00E21120"/>
    <w:rsid w:val="00E24E10"/>
    <w:rsid w:val="00E2724A"/>
    <w:rsid w:val="00E30D4B"/>
    <w:rsid w:val="00E32C6D"/>
    <w:rsid w:val="00E372EA"/>
    <w:rsid w:val="00E43BF9"/>
    <w:rsid w:val="00E50187"/>
    <w:rsid w:val="00E55147"/>
    <w:rsid w:val="00E551EB"/>
    <w:rsid w:val="00E67638"/>
    <w:rsid w:val="00E70C9B"/>
    <w:rsid w:val="00E72FF1"/>
    <w:rsid w:val="00E74C0C"/>
    <w:rsid w:val="00E7526A"/>
    <w:rsid w:val="00E82266"/>
    <w:rsid w:val="00E87248"/>
    <w:rsid w:val="00E87C31"/>
    <w:rsid w:val="00E87FFB"/>
    <w:rsid w:val="00E93068"/>
    <w:rsid w:val="00E970B9"/>
    <w:rsid w:val="00EA32B8"/>
    <w:rsid w:val="00EA3B32"/>
    <w:rsid w:val="00EB113C"/>
    <w:rsid w:val="00EB132E"/>
    <w:rsid w:val="00EB5133"/>
    <w:rsid w:val="00EC16F4"/>
    <w:rsid w:val="00EC17E3"/>
    <w:rsid w:val="00EC3919"/>
    <w:rsid w:val="00EC7C98"/>
    <w:rsid w:val="00ED5E52"/>
    <w:rsid w:val="00ED6904"/>
    <w:rsid w:val="00ED7176"/>
    <w:rsid w:val="00ED75EA"/>
    <w:rsid w:val="00EE2F9A"/>
    <w:rsid w:val="00EF4043"/>
    <w:rsid w:val="00EF5096"/>
    <w:rsid w:val="00F022D4"/>
    <w:rsid w:val="00F062A4"/>
    <w:rsid w:val="00F06ADD"/>
    <w:rsid w:val="00F32AA4"/>
    <w:rsid w:val="00F573CF"/>
    <w:rsid w:val="00F57A28"/>
    <w:rsid w:val="00F57A2B"/>
    <w:rsid w:val="00F658E5"/>
    <w:rsid w:val="00F755B7"/>
    <w:rsid w:val="00F75F0D"/>
    <w:rsid w:val="00F764F4"/>
    <w:rsid w:val="00F8503C"/>
    <w:rsid w:val="00F86F49"/>
    <w:rsid w:val="00FA333E"/>
    <w:rsid w:val="00FA605C"/>
    <w:rsid w:val="00FA7B76"/>
    <w:rsid w:val="00FB29B2"/>
    <w:rsid w:val="00FC4239"/>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26DB-092E-4E00-B5AA-168B6938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32396</Words>
  <Characters>184659</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2019-12-12T17:48:00Z</dcterms:created>
  <dcterms:modified xsi:type="dcterms:W3CDTF">2019-12-12T17:48:00Z</dcterms:modified>
</cp:coreProperties>
</file>