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19D42" w14:textId="6CAED244" w:rsidR="00CA41CC" w:rsidRPr="00914128" w:rsidRDefault="0068336D" w:rsidP="00914128">
      <w:pPr>
        <w:pStyle w:val="Heading1"/>
      </w:pPr>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872B38"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872B38"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872B38"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872B38"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872B38"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872B38"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872B38" w:rsidP="00914128">
      <w:pPr>
        <w:pStyle w:val="ToC"/>
      </w:pPr>
      <w:hyperlink w:anchor="a25_07" w:history="1">
        <w:r w:rsidR="00232C53" w:rsidRPr="00107079">
          <w:rPr>
            <w:rStyle w:val="Hyperlink"/>
          </w:rPr>
          <w:t>25:7</w:t>
        </w:r>
      </w:hyperlink>
      <w:r w:rsidR="00232C53" w:rsidRPr="00107079">
        <w:t xml:space="preserve"> </w:t>
      </w:r>
      <w:r w:rsidR="00232C53" w:rsidRPr="00107079">
        <w:tab/>
        <w:t>Reckless Disregard — Defined</w:t>
      </w:r>
    </w:p>
    <w:p w14:paraId="5A4784C4" w14:textId="77777777" w:rsidR="00107079" w:rsidRDefault="00872B38" w:rsidP="00914128">
      <w:pPr>
        <w:pStyle w:val="ToC"/>
      </w:pPr>
      <w:hyperlink w:anchor="a25_08" w:history="1">
        <w:r w:rsidR="00232C53" w:rsidRPr="00107079">
          <w:rPr>
            <w:rStyle w:val="Hyperlink"/>
          </w:rPr>
          <w:t>25:8</w:t>
        </w:r>
      </w:hyperlink>
      <w:r w:rsidR="00232C53" w:rsidRPr="00107079">
        <w:t xml:space="preserve"> </w:t>
      </w:r>
      <w:r w:rsidR="00232C53" w:rsidRPr="00107079">
        <w:tab/>
        <w:t xml:space="preserve">Duty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872B38"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872B38"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872B38"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0" w:name="a25_01"/>
      <w:bookmarkEnd w:id="0"/>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on (his) (her) (its)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27FBAFBC"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2016 COA 164, ¶¶ 10-25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EE8C9F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16. The logic of </w:t>
      </w:r>
      <w:r w:rsidRPr="001D31A6">
        <w:rPr>
          <w:rFonts w:eastAsia="Times New Roman"/>
          <w:b/>
          <w:sz w:val="24"/>
          <w:szCs w:val="24"/>
        </w:rPr>
        <w:t>Nunn</w:t>
      </w:r>
      <w:r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Pr="001D31A6">
        <w:rPr>
          <w:rFonts w:eastAsia="Times New Roman"/>
          <w:b/>
          <w:sz w:val="24"/>
          <w:szCs w:val="24"/>
        </w:rPr>
        <w:t>DC-10 Entm’t, LLC v. Manor Ins. Agency, Inc.</w:t>
      </w:r>
      <w:r w:rsidRPr="001D31A6">
        <w:rPr>
          <w:rFonts w:eastAsia="Times New Roman"/>
          <w:sz w:val="24"/>
          <w:szCs w:val="24"/>
        </w:rPr>
        <w:t xml:space="preserve">, 2013 COA 14, ¶ 14, 308 P.3d 1223. In that case, the insurer of a nightclub denied coverage for a fight between patrons based on an exclusion for assault and battery. The injured patron and the club entered </w:t>
      </w:r>
      <w:r w:rsidRPr="001D31A6">
        <w:rPr>
          <w:rFonts w:eastAsia="Times New Roman"/>
          <w:sz w:val="24"/>
          <w:szCs w:val="24"/>
        </w:rPr>
        <w:lastRenderedPageBreak/>
        <w:t>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17.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18. The supreme court held that an insured’s violation of a policy’s no-voluntary-payments clause by settling with a claimant without suit and without advance notice to or the consent of its liability insurer bars coverage. </w:t>
      </w:r>
      <w:r w:rsidRPr="001D31A6">
        <w:rPr>
          <w:rFonts w:eastAsia="Times New Roman"/>
          <w:b/>
          <w:sz w:val="24"/>
          <w:szCs w:val="24"/>
        </w:rPr>
        <w:t>Travelers Prop. Cas. Co. of Am. v. Stresscon Corp.</w:t>
      </w:r>
      <w:r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Pr="001D31A6">
        <w:rPr>
          <w:rFonts w:eastAsia="Times New Roman"/>
          <w:i/>
          <w:sz w:val="24"/>
          <w:szCs w:val="24"/>
        </w:rPr>
        <w:t xml:space="preserve">see </w:t>
      </w:r>
      <w:r w:rsidRPr="001D31A6">
        <w:rPr>
          <w:rFonts w:eastAsia="Times New Roman"/>
          <w:b/>
          <w:sz w:val="24"/>
          <w:szCs w:val="24"/>
        </w:rPr>
        <w:t xml:space="preserve">Craft v. Philadelphia Indem. Ins. Co., </w:t>
      </w:r>
      <w:r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Pr="001D31A6">
        <w:rPr>
          <w:rFonts w:eastAsia="Times New Roman"/>
          <w:b/>
          <w:sz w:val="24"/>
          <w:szCs w:val="24"/>
        </w:rPr>
        <w:t>Stresscon</w:t>
      </w:r>
      <w:r w:rsidRPr="001D31A6">
        <w:rPr>
          <w:rFonts w:eastAsia="Times New Roman"/>
          <w:sz w:val="24"/>
          <w:szCs w:val="24"/>
        </w:rPr>
        <w:t>, ¶ 12.</w:t>
      </w:r>
    </w:p>
    <w:p w14:paraId="1881235E"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19. The court of appeals applied the notice-prejudice rule to violation of an occurrence policy clause requiring notice of incidents within 60 days of their occurrence. </w:t>
      </w:r>
      <w:r w:rsidRPr="001D31A6">
        <w:rPr>
          <w:rFonts w:eastAsia="Times New Roman"/>
          <w:b/>
          <w:sz w:val="24"/>
          <w:szCs w:val="24"/>
        </w:rPr>
        <w:t>MarkWest Energy Partners, L.P. v. Zurich Am. Ins. Co.</w:t>
      </w:r>
      <w:r w:rsidRPr="001D31A6">
        <w:rPr>
          <w:rFonts w:eastAsia="Times New Roman"/>
          <w:sz w:val="24"/>
          <w:szCs w:val="24"/>
        </w:rPr>
        <w:t>, 2016 COA 110, ¶ 31</w:t>
      </w:r>
      <w:r w:rsidR="0000771A">
        <w:rPr>
          <w:rFonts w:eastAsia="Times New Roman"/>
          <w:sz w:val="24"/>
          <w:szCs w:val="24"/>
        </w:rPr>
        <w:t>, 411 P.3d 1080</w:t>
      </w:r>
      <w:r w:rsidRPr="001D31A6">
        <w:rPr>
          <w:rFonts w:eastAsia="Times New Roman"/>
          <w:sz w:val="24"/>
          <w:szCs w:val="24"/>
        </w:rPr>
        <w:t xml:space="preserve">. In doing so, the court distinguished </w:t>
      </w:r>
      <w:r w:rsidRPr="001D31A6">
        <w:rPr>
          <w:rFonts w:eastAsia="Times New Roman"/>
          <w:b/>
          <w:sz w:val="24"/>
          <w:szCs w:val="24"/>
        </w:rPr>
        <w:t>Stresscon</w:t>
      </w:r>
      <w:r w:rsidRPr="001D31A6">
        <w:rPr>
          <w:rFonts w:eastAsia="Times New Roman"/>
          <w:sz w:val="24"/>
          <w:szCs w:val="24"/>
        </w:rPr>
        <w:t xml:space="preserve">, 2016 CO 22M, and </w:t>
      </w:r>
      <w:r w:rsidRPr="001D31A6">
        <w:rPr>
          <w:rFonts w:eastAsia="Times New Roman"/>
          <w:b/>
          <w:sz w:val="24"/>
          <w:szCs w:val="24"/>
        </w:rPr>
        <w:t>Craft</w:t>
      </w:r>
      <w:r w:rsidRPr="001D31A6">
        <w:rPr>
          <w:rFonts w:eastAsia="Times New Roman"/>
          <w:sz w:val="24"/>
          <w:szCs w:val="24"/>
        </w:rPr>
        <w:t xml:space="preserve">, 2015 CO 11, as dealing with policy terms that defined the scope of coverage. </w:t>
      </w:r>
      <w:r w:rsidRPr="001D31A6">
        <w:rPr>
          <w:rFonts w:eastAsia="Times New Roman"/>
          <w:b/>
          <w:sz w:val="24"/>
          <w:szCs w:val="24"/>
        </w:rPr>
        <w:t>MarkWest Energy Partners</w:t>
      </w:r>
      <w:r w:rsidRPr="001D31A6">
        <w:rPr>
          <w:rFonts w:eastAsia="Times New Roman"/>
          <w:sz w:val="24"/>
          <w:szCs w:val="24"/>
        </w:rPr>
        <w:t xml:space="preserve">, ¶¶ 24-26. Even though the 60-day notice provision was phrased as a condition precedent to coverage, the court stated that the purpose of the notice provision — avoidance of prejudice — is lacking if the insurer is unable to show prejudice from a failure to give required notice. </w:t>
      </w:r>
      <w:r w:rsidRPr="001D31A6">
        <w:rPr>
          <w:rFonts w:eastAsia="Times New Roman"/>
          <w:i/>
          <w:sz w:val="24"/>
          <w:szCs w:val="24"/>
        </w:rPr>
        <w:t>Id.</w:t>
      </w:r>
      <w:r w:rsidRPr="001D31A6">
        <w:rPr>
          <w:rFonts w:eastAsia="Times New Roman"/>
          <w:sz w:val="24"/>
          <w:szCs w:val="24"/>
        </w:rPr>
        <w:t xml:space="preserve"> at ¶¶ 29-30.</w:t>
      </w:r>
    </w:p>
    <w:p w14:paraId="2D368785" w14:textId="77777777" w:rsidR="00EE26F9" w:rsidRDefault="00B649E0" w:rsidP="00EC29A6">
      <w:pPr>
        <w:spacing w:after="240"/>
        <w:ind w:firstLine="720"/>
        <w:rPr>
          <w:rFonts w:eastAsia="Times New Roman"/>
          <w:sz w:val="24"/>
          <w:szCs w:val="24"/>
        </w:rPr>
      </w:pPr>
      <w:r w:rsidRPr="00CB62DC">
        <w:rPr>
          <w:rFonts w:eastAsia="Times New Roman"/>
          <w:sz w:val="24"/>
          <w:szCs w:val="24"/>
        </w:rPr>
        <w:t xml:space="preserve"> </w:t>
      </w:r>
    </w:p>
    <w:p w14:paraId="1FF9BFE7" w14:textId="77777777" w:rsidR="00EE26F9" w:rsidRDefault="00EE26F9" w:rsidP="00EE26F9">
      <w:r>
        <w:br w:type="page"/>
      </w:r>
    </w:p>
    <w:p w14:paraId="4B43B871" w14:textId="77777777" w:rsidR="00EE26F9" w:rsidRPr="009E3DA4" w:rsidRDefault="00EE26F9" w:rsidP="00EE26F9">
      <w:pPr>
        <w:spacing w:after="240"/>
        <w:ind w:left="720" w:hanging="720"/>
        <w:rPr>
          <w:rFonts w:eastAsia="Times New Roman"/>
          <w:b/>
          <w:sz w:val="24"/>
          <w:szCs w:val="24"/>
        </w:rPr>
      </w:pPr>
      <w:bookmarkStart w:id="1" w:name="a25_02"/>
      <w:bookmarkEnd w:id="1"/>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on (his) (her) (its)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3. The defendant knew that its (conduct) (position) was unreasonable or the defendant recklessly disregarded the fact that (his) (her) (its)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6B1B0AB3"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xml:space="preserve">, 2016 COA 167, ¶¶ 7-14.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2E116E9B" w:rsidR="006A47FD" w:rsidRPr="006A47FD" w:rsidRDefault="0007116C" w:rsidP="00E93D03">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525BBA">
        <w:rPr>
          <w:rFonts w:eastAsia="Times New Roman"/>
          <w:sz w:val="24"/>
          <w:szCs w:val="24"/>
        </w:rPr>
        <w:t>An e</w:t>
      </w:r>
      <w:r w:rsidR="00E93D03">
        <w:rPr>
          <w:rFonts w:eastAsia="Times New Roman"/>
          <w:sz w:val="24"/>
          <w:szCs w:val="24"/>
        </w:rPr>
        <w:t xml:space="preserve">mployee injured in the scope of employment while a passenger in a vehicle driven by a co-employee and owned by another co-employee </w:t>
      </w:r>
      <w:r w:rsidR="005D522C">
        <w:rPr>
          <w:rFonts w:eastAsia="Times New Roman"/>
          <w:sz w:val="24"/>
          <w:szCs w:val="24"/>
        </w:rPr>
        <w:t xml:space="preserve">is </w:t>
      </w:r>
      <w:r w:rsidR="00E93D03">
        <w:rPr>
          <w:rFonts w:eastAsia="Times New Roman"/>
          <w:sz w:val="24"/>
          <w:szCs w:val="24"/>
        </w:rPr>
        <w:t xml:space="preserve">barred from </w:t>
      </w:r>
      <w:r w:rsidR="005D522C">
        <w:rPr>
          <w:rFonts w:eastAsia="Times New Roman"/>
          <w:sz w:val="24"/>
          <w:szCs w:val="24"/>
        </w:rPr>
        <w:t xml:space="preserve">asserting a </w:t>
      </w:r>
      <w:r w:rsidR="00E93D03">
        <w:rPr>
          <w:rFonts w:eastAsia="Times New Roman"/>
          <w:sz w:val="24"/>
          <w:szCs w:val="24"/>
        </w:rPr>
        <w:t xml:space="preserve">UM/UIM claim on </w:t>
      </w:r>
      <w:r w:rsidR="005D522C">
        <w:rPr>
          <w:rFonts w:eastAsia="Times New Roman"/>
          <w:sz w:val="24"/>
          <w:szCs w:val="24"/>
        </w:rPr>
        <w:t xml:space="preserve">the </w:t>
      </w:r>
      <w:r w:rsidR="00E93D03">
        <w:rPr>
          <w:rFonts w:eastAsia="Times New Roman"/>
          <w:sz w:val="24"/>
          <w:szCs w:val="24"/>
        </w:rPr>
        <w:t xml:space="preserve">owner’s policy </w:t>
      </w:r>
      <w:r w:rsidR="00E93D03" w:rsidRPr="00E93D03">
        <w:rPr>
          <w:rFonts w:eastAsia="Times New Roman"/>
          <w:sz w:val="24"/>
          <w:szCs w:val="24"/>
        </w:rPr>
        <w:t xml:space="preserve">benefits </w:t>
      </w:r>
      <w:r w:rsidR="00E93D03">
        <w:rPr>
          <w:rFonts w:eastAsia="Times New Roman"/>
          <w:sz w:val="24"/>
          <w:szCs w:val="24"/>
        </w:rPr>
        <w:t>“because he is not ‘</w:t>
      </w:r>
      <w:r w:rsidR="00E93D03" w:rsidRPr="00E93D03">
        <w:rPr>
          <w:rFonts w:eastAsia="Times New Roman"/>
          <w:sz w:val="24"/>
          <w:szCs w:val="24"/>
        </w:rPr>
        <w:t>legally entitled to recover damages</w:t>
      </w:r>
      <w:r w:rsidR="00E93D03">
        <w:rPr>
          <w:rFonts w:eastAsia="Times New Roman"/>
          <w:sz w:val="24"/>
          <w:szCs w:val="24"/>
        </w:rPr>
        <w:t>’</w:t>
      </w:r>
      <w:r w:rsidR="00E93D03" w:rsidRPr="00E93D03">
        <w:rPr>
          <w:rFonts w:eastAsia="Times New Roman"/>
          <w:sz w:val="24"/>
          <w:szCs w:val="24"/>
        </w:rPr>
        <w:t xml:space="preserve"> from </w:t>
      </w:r>
      <w:r w:rsidR="00E93D03">
        <w:rPr>
          <w:rFonts w:eastAsia="Times New Roman"/>
          <w:sz w:val="24"/>
          <w:szCs w:val="24"/>
        </w:rPr>
        <w:t xml:space="preserve">[the </w:t>
      </w:r>
      <w:r w:rsidR="00E93D03">
        <w:rPr>
          <w:rFonts w:eastAsia="Times New Roman"/>
          <w:sz w:val="24"/>
          <w:szCs w:val="24"/>
        </w:rPr>
        <w:lastRenderedPageBreak/>
        <w:t>driver]</w:t>
      </w:r>
      <w:r w:rsidR="00E93D03" w:rsidRPr="00E93D03">
        <w:rPr>
          <w:rFonts w:eastAsia="Times New Roman"/>
          <w:sz w:val="24"/>
          <w:szCs w:val="24"/>
        </w:rPr>
        <w:t xml:space="preserve"> by virtue of the co-employee immunity rule.</w:t>
      </w:r>
      <w:r w:rsidR="00E93D03">
        <w:rPr>
          <w:rFonts w:eastAsia="Times New Roman"/>
          <w:sz w:val="24"/>
          <w:szCs w:val="24"/>
        </w:rPr>
        <w:t xml:space="preserve">” </w:t>
      </w:r>
      <w:r w:rsidR="00E93D03" w:rsidRPr="00E93D03">
        <w:rPr>
          <w:rFonts w:eastAsia="Times New Roman"/>
          <w:b/>
          <w:sz w:val="24"/>
          <w:szCs w:val="24"/>
        </w:rPr>
        <w:t>Ryser v. Shelter Mut. Ins. Co.</w:t>
      </w:r>
      <w:r w:rsidR="00E93D03" w:rsidRPr="00E93D03">
        <w:rPr>
          <w:rFonts w:eastAsia="Times New Roman"/>
          <w:sz w:val="24"/>
          <w:szCs w:val="24"/>
        </w:rPr>
        <w:t>, 2019 COA 88, ¶ 37</w:t>
      </w:r>
      <w:r w:rsidR="00E93D03">
        <w:rPr>
          <w:rFonts w:eastAsia="Times New Roman"/>
          <w:sz w:val="24"/>
          <w:szCs w:val="24"/>
        </w:rPr>
        <w:t xml:space="preserve">. </w:t>
      </w:r>
      <w:r w:rsidR="006A47FD" w:rsidRPr="006A47FD">
        <w:rPr>
          <w:rFonts w:eastAsia="Times New Roman"/>
          <w:sz w:val="24"/>
          <w:szCs w:val="24"/>
        </w:rPr>
        <w:t xml:space="preserve">Employer and co-employee immunity from suit by fellow employees under Colorado’s Workers’ Compensation Act is not a bar to an injured employee’s claim for UM/UIM insurance benefits </w:t>
      </w:r>
      <w:r w:rsidR="00E93D03">
        <w:rPr>
          <w:rFonts w:eastAsia="Times New Roman"/>
          <w:sz w:val="24"/>
          <w:szCs w:val="24"/>
        </w:rPr>
        <w:t xml:space="preserve">on </w:t>
      </w:r>
      <w:bookmarkStart w:id="2" w:name="_GoBack"/>
      <w:r w:rsidR="00525BBA">
        <w:rPr>
          <w:rFonts w:eastAsia="Times New Roman"/>
          <w:sz w:val="24"/>
          <w:szCs w:val="24"/>
        </w:rPr>
        <w:t xml:space="preserve">the </w:t>
      </w:r>
      <w:bookmarkEnd w:id="2"/>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262C371E" w14:textId="7EF49787"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08660F6E"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7AAA46C" w14:textId="4E6AAC54"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3</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6D61E34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4</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w:t>
      </w:r>
      <w:r w:rsidRPr="006A47FD">
        <w:rPr>
          <w:rFonts w:eastAsia="Times New Roman"/>
          <w:sz w:val="24"/>
          <w:szCs w:val="24"/>
        </w:rPr>
        <w:lastRenderedPageBreak/>
        <w:t xml:space="preserve">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5F596061"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5</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02D342A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6</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DAFE8B6"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7</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A24A782" w:rsidR="00434650"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8</w:t>
      </w:r>
      <w:r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4076449F" w:rsidR="006A47FD" w:rsidRPr="006A47FD" w:rsidRDefault="00434650" w:rsidP="006A47FD">
      <w:pPr>
        <w:spacing w:after="240"/>
        <w:ind w:firstLine="720"/>
        <w:rPr>
          <w:rFonts w:eastAsia="Times New Roman"/>
          <w:sz w:val="24"/>
          <w:szCs w:val="24"/>
        </w:rPr>
      </w:pPr>
      <w:r>
        <w:rPr>
          <w:rFonts w:eastAsia="Times New Roman"/>
          <w:sz w:val="24"/>
          <w:szCs w:val="24"/>
        </w:rPr>
        <w:t xml:space="preserve">19.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w:t>
      </w:r>
      <w:r w:rsidR="006A47FD" w:rsidRPr="006A47FD">
        <w:rPr>
          <w:rFonts w:eastAsia="Times New Roman"/>
          <w:sz w:val="24"/>
          <w:szCs w:val="24"/>
        </w:rPr>
        <w:lastRenderedPageBreak/>
        <w:t xml:space="preserve">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DE9D1FF" w:rsidR="006A47FD" w:rsidRPr="006A47FD" w:rsidRDefault="00434650"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3E2A045F" w:rsidR="006A47FD" w:rsidRPr="006A47FD" w:rsidRDefault="0007116C" w:rsidP="006A47FD">
      <w:pPr>
        <w:spacing w:after="240"/>
        <w:ind w:firstLine="720"/>
        <w:rPr>
          <w:rFonts w:eastAsia="Times New Roman"/>
          <w:sz w:val="24"/>
          <w:szCs w:val="24"/>
        </w:rPr>
      </w:pPr>
      <w:r>
        <w:rPr>
          <w:rFonts w:eastAsia="Times New Roman"/>
          <w:sz w:val="24"/>
          <w:szCs w:val="24"/>
        </w:rPr>
        <w:t>2</w:t>
      </w:r>
      <w:r w:rsidR="00434650">
        <w:rPr>
          <w:rFonts w:eastAsia="Times New Roman"/>
          <w:sz w:val="24"/>
          <w:szCs w:val="24"/>
        </w:rPr>
        <w:t>1</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6CF6772B"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2</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4646917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3</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1C47BB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4</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06F7CB32"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2</w:t>
      </w:r>
      <w:r w:rsidR="00434650">
        <w:rPr>
          <w:rFonts w:eastAsia="Times New Roman"/>
          <w:sz w:val="24"/>
          <w:szCs w:val="24"/>
        </w:rPr>
        <w:t>5</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B3AED7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6</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4EB5DA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7</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3193323C"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8</w:t>
      </w:r>
      <w:r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Pr="006A47FD">
        <w:rPr>
          <w:rFonts w:eastAsia="Times New Roman"/>
          <w:b/>
          <w:sz w:val="24"/>
          <w:szCs w:val="24"/>
        </w:rPr>
        <w:t>McKelvy v. Liberty Mut. Ins. Co.</w:t>
      </w:r>
      <w:r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Pr="006A47FD">
        <w:rPr>
          <w:rFonts w:eastAsia="Times New Roman"/>
          <w:b/>
          <w:sz w:val="24"/>
          <w:szCs w:val="24"/>
        </w:rPr>
        <w:t>Munoz v. State Farm Mut. Auto. Ins. Co.</w:t>
      </w:r>
      <w:r w:rsidRPr="006A47FD">
        <w:rPr>
          <w:rFonts w:eastAsia="Times New Roman"/>
          <w:sz w:val="24"/>
          <w:szCs w:val="24"/>
        </w:rPr>
        <w:t>, 968 P.2d 126 (Colo. App. 1998).</w:t>
      </w:r>
    </w:p>
    <w:p w14:paraId="38F1CAD4" w14:textId="76FAE64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9</w:t>
      </w:r>
      <w:r w:rsidRPr="006A47FD">
        <w:rPr>
          <w:rFonts w:eastAsia="Times New Roman"/>
          <w:sz w:val="24"/>
          <w:szCs w:val="24"/>
        </w:rPr>
        <w:t xml:space="preserve">. The Colorado Auto Accident Reparations Act (now repealed) does not preempt the common-law tort claim of bad faith breach of insurance contract. </w:t>
      </w:r>
      <w:r w:rsidRPr="006A47FD">
        <w:rPr>
          <w:rFonts w:eastAsia="Times New Roman"/>
          <w:b/>
          <w:sz w:val="24"/>
          <w:szCs w:val="24"/>
        </w:rPr>
        <w:t>Farmers Group, Inc. v. Williams</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0BE921A6" w:rsidR="006A47FD" w:rsidRPr="006A47FD" w:rsidRDefault="00434650"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w:t>
      </w:r>
      <w:r w:rsidR="006A47FD" w:rsidRPr="006A47FD">
        <w:rPr>
          <w:rFonts w:eastAsia="Times New Roman"/>
          <w:sz w:val="24"/>
          <w:szCs w:val="24"/>
        </w:rPr>
        <w:lastRenderedPageBreak/>
        <w:t xml:space="preserve">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22391843" w:rsidR="006A47FD" w:rsidRPr="006A47FD" w:rsidRDefault="0007116C" w:rsidP="006A47FD">
      <w:pPr>
        <w:spacing w:after="240"/>
        <w:ind w:firstLine="720"/>
        <w:rPr>
          <w:rFonts w:eastAsia="Times New Roman"/>
          <w:sz w:val="24"/>
          <w:szCs w:val="24"/>
        </w:rPr>
      </w:pPr>
      <w:r>
        <w:rPr>
          <w:rFonts w:eastAsia="Times New Roman"/>
          <w:sz w:val="24"/>
          <w:szCs w:val="24"/>
        </w:rPr>
        <w:t>3</w:t>
      </w:r>
      <w:r w:rsidR="00434650">
        <w:rPr>
          <w:rFonts w:eastAsia="Times New Roman"/>
          <w:sz w:val="24"/>
          <w:szCs w:val="24"/>
        </w:rPr>
        <w:t>1</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03648029"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2</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419552C0" w:rsidR="007C4B23" w:rsidRDefault="006A47FD" w:rsidP="00EC29A6">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3</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3" w:name="a25_03"/>
      <w:bookmarkEnd w:id="3"/>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in conjunction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w:t>
      </w:r>
      <w:smartTag w:uri="urn:schemas-microsoft-com:office:smarttags" w:element="City">
        <w:smartTag w:uri="urn:schemas-microsoft-com:office:smarttags" w:element="place">
          <w:r w:rsidR="00407AAB" w:rsidRPr="00407AAB">
            <w:rPr>
              <w:rFonts w:eastAsia="Times New Roman"/>
              <w:b/>
              <w:sz w:val="24"/>
              <w:szCs w:val="24"/>
            </w:rPr>
            <w:t>Cork</w:t>
          </w:r>
        </w:smartTag>
      </w:smartTag>
      <w:r w:rsidR="00407AAB" w:rsidRPr="00407AAB">
        <w:rPr>
          <w:rFonts w:eastAsia="Times New Roman"/>
          <w:b/>
          <w:sz w:val="24"/>
          <w:szCs w:val="24"/>
        </w:rPr>
        <w:t xml:space="preserve">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7239D840"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2012 COA 86, ¶ 38.</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w:t>
      </w:r>
      <w:smartTag w:uri="urn:schemas-microsoft-com:office:smarttags" w:element="State">
        <w:smartTag w:uri="urn:schemas-microsoft-com:office:smarttags" w:element="place">
          <w:r w:rsidR="00407AAB" w:rsidRPr="00407AAB">
            <w:rPr>
              <w:rFonts w:eastAsia="Times New Roman"/>
              <w:i/>
              <w:sz w:val="24"/>
              <w:szCs w:val="24"/>
            </w:rPr>
            <w:t>Id.</w:t>
          </w:r>
        </w:smartTag>
      </w:smartTag>
      <w:r w:rsidR="00407AAB" w:rsidRPr="00407AAB">
        <w:rPr>
          <w:rFonts w:eastAsia="Times New Roman"/>
          <w:i/>
          <w:sz w:val="24"/>
          <w:szCs w:val="24"/>
        </w:rPr>
        <w:t xml:space="preserve">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smartTag w:uri="urn:schemas-microsoft-com:office:smarttags" w:element="State">
        <w:smartTag w:uri="urn:schemas-microsoft-com:office:smarttags" w:element="place">
          <w:r w:rsidR="00407AAB" w:rsidRPr="00407AAB">
            <w:rPr>
              <w:rFonts w:eastAsia="Times New Roman"/>
              <w:i/>
              <w:sz w:val="24"/>
              <w:szCs w:val="24"/>
            </w:rPr>
            <w:t>Id.</w:t>
          </w:r>
        </w:smartTag>
      </w:smartTag>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4" w:name="a25_04"/>
      <w:bookmarkEnd w:id="4"/>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on (his) (her) (its)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Hall v. American Standard Insurance Co.</w:t>
      </w:r>
      <w:r w:rsidRPr="001007E7">
        <w:rPr>
          <w:rFonts w:eastAsia="Times New Roman"/>
          <w:sz w:val="24"/>
          <w:szCs w:val="24"/>
        </w:rPr>
        <w:t xml:space="preserve">, 2012 COA 201, ¶ 17, 292 P.3d 1196; and </w:t>
      </w:r>
      <w:r w:rsidRPr="001007E7">
        <w:rPr>
          <w:rFonts w:eastAsia="Times New Roman"/>
          <w:b/>
          <w:sz w:val="24"/>
          <w:szCs w:val="24"/>
        </w:rPr>
        <w:t>Kisselman</w:t>
      </w:r>
      <w:r w:rsidRPr="001007E7">
        <w:rPr>
          <w:rFonts w:eastAsia="Times New Roman"/>
          <w:sz w:val="24"/>
          <w:szCs w:val="24"/>
        </w:rPr>
        <w:t>, 292 P.3d at 972-73.</w:t>
      </w:r>
    </w:p>
    <w:p w14:paraId="73673635" w14:textId="1A1AA4FB" w:rsidR="001007E7" w:rsidRPr="001007E7" w:rsidRDefault="001007E7" w:rsidP="001007E7">
      <w:pPr>
        <w:spacing w:after="240"/>
        <w:ind w:firstLine="720"/>
        <w:rPr>
          <w:rFonts w:eastAsia="Times New Roman"/>
          <w:sz w:val="24"/>
          <w:szCs w:val="24"/>
        </w:rPr>
      </w:pPr>
      <w:r w:rsidRPr="001007E7">
        <w:rPr>
          <w:rFonts w:eastAsia="Times New Roman"/>
          <w:sz w:val="24"/>
          <w:szCs w:val="24"/>
        </w:rPr>
        <w:t>2.</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Pr="001007E7">
        <w:rPr>
          <w:rFonts w:eastAsia="Times New Roman"/>
          <w:sz w:val="24"/>
          <w:szCs w:val="24"/>
        </w:rPr>
        <w:t>.</w:t>
      </w:r>
    </w:p>
    <w:p w14:paraId="5997772E" w14:textId="308AA098"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An insured’s lack of cooperation may be considered by the jury in determining whether an insurer’s delay in payment was reasonable. </w:t>
      </w:r>
      <w:r w:rsidRPr="001007E7">
        <w:rPr>
          <w:rFonts w:eastAsia="Times New Roman"/>
          <w:b/>
          <w:sz w:val="24"/>
          <w:szCs w:val="24"/>
        </w:rPr>
        <w:t>Fisher v. State Farm Mut. Auto. Ins. Co.</w:t>
      </w:r>
      <w:r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w:t>
      </w:r>
    </w:p>
    <w:p w14:paraId="22C3F72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An insurer’s unreasonable delay or denial of payment as to part of a UIM claim (medical expenses) may subject it to liability even though a reasonable dispute existed as to other components of the claim. </w:t>
      </w:r>
      <w:r w:rsidRPr="001007E7">
        <w:rPr>
          <w:rFonts w:eastAsia="Times New Roman"/>
          <w:b/>
          <w:sz w:val="24"/>
          <w:szCs w:val="24"/>
        </w:rPr>
        <w:t>Fisher</w:t>
      </w:r>
      <w:r w:rsidRPr="001007E7">
        <w:rPr>
          <w:rFonts w:eastAsia="Times New Roman"/>
          <w:sz w:val="24"/>
          <w:szCs w:val="24"/>
        </w:rPr>
        <w:t xml:space="preserve">, 2015 COA 47, ¶ 36 (insurance contract contained no requirement that insured establish </w:t>
      </w:r>
      <w:r w:rsidRPr="001007E7">
        <w:rPr>
          <w:rFonts w:eastAsia="Times New Roman"/>
          <w:sz w:val="24"/>
          <w:szCs w:val="24"/>
          <w:u w:val="single"/>
        </w:rPr>
        <w:t>all</w:t>
      </w:r>
      <w:r w:rsidRPr="001007E7">
        <w:rPr>
          <w:rFonts w:eastAsia="Times New Roman"/>
          <w:sz w:val="24"/>
          <w:szCs w:val="24"/>
        </w:rPr>
        <w:t xml:space="preserve"> damages as a prerequisite to the insurer’s obligation to pay </w:t>
      </w:r>
      <w:r w:rsidRPr="001007E7">
        <w:rPr>
          <w:rFonts w:eastAsia="Times New Roman"/>
          <w:sz w:val="24"/>
          <w:szCs w:val="24"/>
          <w:u w:val="single"/>
        </w:rPr>
        <w:t>any</w:t>
      </w:r>
      <w:r w:rsidRPr="001007E7">
        <w:rPr>
          <w:rFonts w:eastAsia="Times New Roman"/>
          <w:sz w:val="24"/>
          <w:szCs w:val="24"/>
        </w:rPr>
        <w:t xml:space="preserve"> damages, and any provision that did limit statutorily mandated UIM coverage would be unenforceable).</w:t>
      </w:r>
    </w:p>
    <w:p w14:paraId="52ED6C0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Pr="001007E7">
        <w:rPr>
          <w:rFonts w:eastAsia="Times New Roman"/>
          <w:b/>
          <w:sz w:val="24"/>
          <w:szCs w:val="24"/>
        </w:rPr>
        <w:t>Fisher</w:t>
      </w:r>
      <w:r w:rsidRPr="001007E7">
        <w:rPr>
          <w:rFonts w:eastAsia="Times New Roman"/>
          <w:sz w:val="24"/>
          <w:szCs w:val="24"/>
        </w:rPr>
        <w:t>, 2015 COA 47, ¶¶ 19 &amp; 20.</w:t>
      </w:r>
    </w:p>
    <w:p w14:paraId="7956591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Sections 10-3-1115 and -1116 apply prospectively to insurer conduct occurring after their August 5, 2008, effective date, even if the insured’s original claim was made before that date. </w:t>
      </w:r>
      <w:r w:rsidRPr="001007E7">
        <w:rPr>
          <w:rFonts w:eastAsia="Times New Roman"/>
          <w:b/>
          <w:sz w:val="24"/>
          <w:szCs w:val="24"/>
        </w:rPr>
        <w:t>Kisselman</w:t>
      </w:r>
      <w:r w:rsidRPr="001007E7">
        <w:rPr>
          <w:rFonts w:eastAsia="Times New Roman"/>
          <w:sz w:val="24"/>
          <w:szCs w:val="24"/>
        </w:rPr>
        <w:t xml:space="preserve">, 292 P.3d at 976 (distinguishing Colorado’s refusal to recognize continuing acts of bad faith as giving rise to new claims);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 948 P.2d 545 (Colo. 1997) (while ongoing bad faith is relevant to a common-law claim, it does not give rise to additional bad faith claims).</w:t>
      </w:r>
    </w:p>
    <w:p w14:paraId="00A43CDF" w14:textId="77777777" w:rsidR="001007E7" w:rsidRDefault="001007E7" w:rsidP="001007E7">
      <w:pPr>
        <w:spacing w:after="240"/>
        <w:ind w:firstLine="720"/>
        <w:rPr>
          <w:rFonts w:eastAsia="Times New Roman"/>
          <w:sz w:val="24"/>
          <w:szCs w:val="24"/>
        </w:rPr>
      </w:pPr>
      <w:r w:rsidRPr="001007E7">
        <w:rPr>
          <w:rFonts w:eastAsia="Times New Roman"/>
          <w:sz w:val="24"/>
          <w:szCs w:val="24"/>
        </w:rPr>
        <w:t xml:space="preserve">7. Conflict preemption precludes a claim under this statute brought in connection with a policy governed by ERISA because the double-benefit remedy provided by section 10-3-1116(1) supplements and therefore conflicts with remedies available under ERISA. </w:t>
      </w:r>
      <w:r w:rsidRPr="001007E7">
        <w:rPr>
          <w:rFonts w:eastAsia="Times New Roman"/>
          <w:b/>
          <w:sz w:val="24"/>
          <w:szCs w:val="24"/>
        </w:rPr>
        <w:t>Timm v. Prudential Ins. Co. of Am.</w:t>
      </w:r>
      <w:r w:rsidRPr="001007E7">
        <w:rPr>
          <w:rFonts w:eastAsia="Times New Roman"/>
          <w:sz w:val="24"/>
          <w:szCs w:val="24"/>
        </w:rPr>
        <w:t>, 259 P.3d 521 (Colo. App. 2011).</w:t>
      </w:r>
    </w:p>
    <w:p w14:paraId="50F3D8B7" w14:textId="3B20EEF9" w:rsidR="00F945CF" w:rsidRDefault="00673F33" w:rsidP="009E7644">
      <w:pPr>
        <w:spacing w:after="240"/>
        <w:ind w:firstLine="720"/>
        <w:rPr>
          <w:rFonts w:eastAsia="Times New Roman"/>
          <w:i/>
          <w:sz w:val="24"/>
          <w:szCs w:val="24"/>
        </w:rPr>
      </w:pPr>
      <w:r>
        <w:rPr>
          <w:rFonts w:eastAsia="Times New Roman"/>
          <w:sz w:val="24"/>
          <w:szCs w:val="24"/>
        </w:rPr>
        <w:t xml:space="preserve">8. </w:t>
      </w:r>
      <w:r w:rsidRPr="00673F33">
        <w:rPr>
          <w:rFonts w:eastAsia="Times New Roman"/>
          <w:sz w:val="24"/>
          <w:szCs w:val="24"/>
        </w:rPr>
        <w:t xml:space="preserve">Insureds’ entitlement to de novo judicial </w:t>
      </w:r>
      <w:r>
        <w:rPr>
          <w:rFonts w:eastAsia="Times New Roman"/>
          <w:sz w:val="24"/>
          <w:szCs w:val="24"/>
        </w:rPr>
        <w:t>review and trial by jury under s</w:t>
      </w:r>
      <w:r w:rsidRPr="00673F33">
        <w:rPr>
          <w:rFonts w:eastAsia="Times New Roman"/>
          <w:sz w:val="24"/>
          <w:szCs w:val="24"/>
        </w:rPr>
        <w:t xml:space="preserve">ection 10-3-1116(3), </w:t>
      </w:r>
      <w:r>
        <w:rPr>
          <w:rFonts w:eastAsia="Times New Roman"/>
          <w:sz w:val="24"/>
          <w:szCs w:val="24"/>
        </w:rPr>
        <w:t xml:space="preserve">C.R.S., </w:t>
      </w:r>
      <w:r w:rsidRPr="00673F33">
        <w:rPr>
          <w:rFonts w:eastAsia="Times New Roman"/>
          <w:sz w:val="24"/>
          <w:szCs w:val="24"/>
        </w:rPr>
        <w:t>is not subject to arbitration under the F</w:t>
      </w:r>
      <w:r>
        <w:rPr>
          <w:rFonts w:eastAsia="Times New Roman"/>
          <w:sz w:val="24"/>
          <w:szCs w:val="24"/>
        </w:rPr>
        <w:t xml:space="preserve">ederal </w:t>
      </w:r>
      <w:r w:rsidRPr="00673F33">
        <w:rPr>
          <w:rFonts w:eastAsia="Times New Roman"/>
          <w:sz w:val="24"/>
          <w:szCs w:val="24"/>
        </w:rPr>
        <w:t>A</w:t>
      </w:r>
      <w:r>
        <w:rPr>
          <w:rFonts w:eastAsia="Times New Roman"/>
          <w:sz w:val="24"/>
          <w:szCs w:val="24"/>
        </w:rPr>
        <w:t xml:space="preserve">rbitration </w:t>
      </w:r>
      <w:r w:rsidRPr="00673F33">
        <w:rPr>
          <w:rFonts w:eastAsia="Times New Roman"/>
          <w:sz w:val="24"/>
          <w:szCs w:val="24"/>
        </w:rPr>
        <w:t>A</w:t>
      </w:r>
      <w:r>
        <w:rPr>
          <w:rFonts w:eastAsia="Times New Roman"/>
          <w:sz w:val="24"/>
          <w:szCs w:val="24"/>
        </w:rPr>
        <w:t xml:space="preserve">ct, 9 U.S.C. §§ 1-16 </w:t>
      </w:r>
      <w:r>
        <w:rPr>
          <w:rFonts w:eastAsia="Times New Roman"/>
          <w:sz w:val="24"/>
          <w:szCs w:val="24"/>
        </w:rPr>
        <w:lastRenderedPageBreak/>
        <w:t>(201</w:t>
      </w:r>
      <w:r w:rsidR="007F5724">
        <w:rPr>
          <w:rFonts w:eastAsia="Times New Roman"/>
          <w:sz w:val="24"/>
          <w:szCs w:val="24"/>
        </w:rPr>
        <w:t>8</w:t>
      </w:r>
      <w:r>
        <w:rPr>
          <w:rFonts w:eastAsia="Times New Roman"/>
          <w:sz w:val="24"/>
          <w:szCs w:val="24"/>
        </w:rPr>
        <w:t xml:space="preserve">). </w:t>
      </w:r>
      <w:r w:rsidRPr="00673F33">
        <w:rPr>
          <w:rFonts w:eastAsia="Times New Roman"/>
          <w:b/>
          <w:sz w:val="24"/>
          <w:szCs w:val="24"/>
        </w:rPr>
        <w:t>Meardon v. Freedom Life Ins. Co.</w:t>
      </w:r>
      <w:r>
        <w:rPr>
          <w:rFonts w:eastAsia="Times New Roman"/>
          <w:sz w:val="24"/>
          <w:szCs w:val="24"/>
        </w:rPr>
        <w:t xml:space="preserve">, 2018 COA 32, ¶¶ 15-20, 417 P.3d 929. </w:t>
      </w:r>
      <w:r w:rsidRPr="00673F33">
        <w:rPr>
          <w:rFonts w:eastAsia="Times New Roman"/>
          <w:sz w:val="24"/>
          <w:szCs w:val="24"/>
        </w:rPr>
        <w:t xml:space="preserve">The provisions of </w:t>
      </w:r>
      <w:r>
        <w:rPr>
          <w:rFonts w:eastAsia="Times New Roman"/>
          <w:sz w:val="24"/>
          <w:szCs w:val="24"/>
        </w:rPr>
        <w:t>section 10-3-</w:t>
      </w:r>
      <w:r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2016 CO 46, ¶ 32, 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w:t>
      </w:r>
      <w:smartTag w:uri="urn:schemas-microsoft-com:office:smarttags" w:element="State">
        <w:smartTag w:uri="urn:schemas-microsoft-com:office:smarttags" w:element="place">
          <w:r w:rsidRPr="001007E7">
            <w:rPr>
              <w:rFonts w:eastAsia="Times New Roman"/>
              <w:b/>
              <w:sz w:val="24"/>
              <w:szCs w:val="24"/>
            </w:rPr>
            <w:t>Colorado</w:t>
          </w:r>
        </w:smartTag>
      </w:smartTag>
      <w:r w:rsidRPr="001007E7">
        <w:rPr>
          <w:rFonts w:eastAsia="Times New Roman"/>
          <w:b/>
          <w:sz w:val="24"/>
          <w:szCs w:val="24"/>
        </w:rPr>
        <w:t xml:space="preserve"> prohibit an insurance company from willfully: </w:t>
      </w:r>
      <w:r w:rsidRPr="001007E7">
        <w:rPr>
          <w:rFonts w:eastAsia="Times New Roman"/>
          <w:i/>
          <w:sz w:val="24"/>
          <w:szCs w:val="24"/>
        </w:rPr>
        <w:t xml:space="preserve">(Insert from § </w:t>
      </w:r>
      <w:smartTag w:uri="urn:schemas-microsoft-com:office:smarttags" w:element="date">
        <w:smartTagPr>
          <w:attr w:name="Month" w:val="10"/>
          <w:attr w:name="Day" w:val="3"/>
          <w:attr w:name="Year" w:val="1104"/>
        </w:smartTagPr>
        <w:r w:rsidRPr="001007E7">
          <w:rPr>
            <w:rFonts w:eastAsia="Times New Roman"/>
            <w:i/>
            <w:sz w:val="24"/>
            <w:szCs w:val="24"/>
          </w:rPr>
          <w:t>10-3-1104</w:t>
        </w:r>
      </w:smartTag>
      <w:r w:rsidRPr="001007E7">
        <w:rPr>
          <w:rFonts w:eastAsia="Times New Roman"/>
          <w:i/>
          <w:sz w:val="24"/>
          <w:szCs w:val="24"/>
        </w:rPr>
        <w:t xml:space="preserve">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875 P.2d 1354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940 P.2d 967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w:t>
      </w:r>
      <w:smartTag w:uri="urn:schemas-microsoft-com:office:smarttags" w:element="PersonName">
        <w:r w:rsidRPr="001007E7">
          <w:rPr>
            <w:rFonts w:eastAsia="Times New Roman"/>
            <w:sz w:val="24"/>
            <w:szCs w:val="24"/>
          </w:rPr>
          <w:t>e</w:t>
        </w:r>
      </w:smartTag>
      <w:r w:rsidRPr="001007E7">
        <w:rPr>
          <w:rFonts w:eastAsia="Times New Roman"/>
          <w:sz w:val="24"/>
          <w:szCs w:val="24"/>
        </w:rPr>
        <w:t>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plaintiff r</w:t>
      </w:r>
      <w:smartTag w:uri="urn:schemas-microsoft-com:office:smarttags" w:element="PersonName">
        <w:r w:rsidRPr="001007E7">
          <w:rPr>
            <w:rFonts w:eastAsia="Times New Roman"/>
            <w:sz w:val="24"/>
            <w:szCs w:val="24"/>
          </w:rPr>
          <w:t>e</w:t>
        </w:r>
      </w:smartTag>
      <w:r w:rsidRPr="001007E7">
        <w:rPr>
          <w:rFonts w:eastAsia="Times New Roman"/>
          <w:sz w:val="24"/>
          <w:szCs w:val="24"/>
        </w:rPr>
        <w:t>li</w:t>
      </w:r>
      <w:smartTag w:uri="urn:schemas-microsoft-com:office:smarttags" w:element="PersonName">
        <w:r w:rsidRPr="001007E7">
          <w:rPr>
            <w:rFonts w:eastAsia="Times New Roman"/>
            <w:sz w:val="24"/>
            <w:szCs w:val="24"/>
          </w:rPr>
          <w:t>e</w:t>
        </w:r>
      </w:smartTag>
      <w:r w:rsidRPr="001007E7">
        <w:rPr>
          <w:rFonts w:eastAsia="Times New Roman"/>
          <w:sz w:val="24"/>
          <w:szCs w:val="24"/>
        </w:rPr>
        <w:t>d on statutory violations and a failur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to inv</w:t>
      </w:r>
      <w:smartTag w:uri="urn:schemas-microsoft-com:office:smarttags" w:element="PersonName">
        <w:r w:rsidRPr="001007E7">
          <w:rPr>
            <w:rFonts w:eastAsia="Times New Roman"/>
            <w:sz w:val="24"/>
            <w:szCs w:val="24"/>
          </w:rPr>
          <w:t>e</w:t>
        </w:r>
      </w:smartTag>
      <w:r w:rsidRPr="001007E7">
        <w:rPr>
          <w:rFonts w:eastAsia="Times New Roman"/>
          <w:sz w:val="24"/>
          <w:szCs w:val="24"/>
        </w:rPr>
        <w:t>stigat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his claim, proof of industry standards through </w:t>
      </w:r>
      <w:smartTag w:uri="urn:schemas-microsoft-com:office:smarttags" w:element="PersonName">
        <w:r w:rsidRPr="001007E7">
          <w:rPr>
            <w:rFonts w:eastAsia="Times New Roman"/>
            <w:sz w:val="24"/>
            <w:szCs w:val="24"/>
          </w:rPr>
          <w:t>e</w:t>
        </w:r>
      </w:smartTag>
      <w:r w:rsidRPr="001007E7">
        <w:rPr>
          <w:rFonts w:eastAsia="Times New Roman"/>
          <w:sz w:val="24"/>
          <w:szCs w:val="24"/>
        </w:rPr>
        <w:t>xp</w:t>
      </w:r>
      <w:smartTag w:uri="urn:schemas-microsoft-com:office:smarttags" w:element="PersonName">
        <w:r w:rsidRPr="001007E7">
          <w:rPr>
            <w:rFonts w:eastAsia="Times New Roman"/>
            <w:sz w:val="24"/>
            <w:szCs w:val="24"/>
          </w:rPr>
          <w:t>e</w:t>
        </w:r>
      </w:smartTag>
      <w:r w:rsidRPr="001007E7">
        <w:rPr>
          <w:rFonts w:eastAsia="Times New Roman"/>
          <w:sz w:val="24"/>
          <w:szCs w:val="24"/>
        </w:rPr>
        <w:t>rt t</w:t>
      </w:r>
      <w:smartTag w:uri="urn:schemas-microsoft-com:office:smarttags" w:element="PersonName">
        <w:r w:rsidRPr="001007E7">
          <w:rPr>
            <w:rFonts w:eastAsia="Times New Roman"/>
            <w:sz w:val="24"/>
            <w:szCs w:val="24"/>
          </w:rPr>
          <w:t>e</w:t>
        </w:r>
      </w:smartTag>
      <w:r w:rsidRPr="001007E7">
        <w:rPr>
          <w:rFonts w:eastAsia="Times New Roman"/>
          <w:sz w:val="24"/>
          <w:szCs w:val="24"/>
        </w:rPr>
        <w:t>stimony was unn</w:t>
      </w:r>
      <w:smartTag w:uri="urn:schemas-microsoft-com:office:smarttags" w:element="PersonName">
        <w:r w:rsidRPr="001007E7">
          <w:rPr>
            <w:rFonts w:eastAsia="Times New Roman"/>
            <w:sz w:val="24"/>
            <w:szCs w:val="24"/>
          </w:rPr>
          <w:t>e</w:t>
        </w:r>
      </w:smartTag>
      <w:r w:rsidRPr="001007E7">
        <w:rPr>
          <w:rFonts w:eastAsia="Times New Roman"/>
          <w:sz w:val="24"/>
          <w:szCs w:val="24"/>
        </w:rPr>
        <w:t>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ssary to </w:t>
      </w:r>
      <w:smartTag w:uri="urn:schemas-microsoft-com:office:smarttags" w:element="PersonName">
        <w:r w:rsidRPr="001007E7">
          <w:rPr>
            <w:rFonts w:eastAsia="Times New Roman"/>
            <w:sz w:val="24"/>
            <w:szCs w:val="24"/>
          </w:rPr>
          <w:t>e</w:t>
        </w:r>
      </w:smartTag>
      <w:r w:rsidRPr="001007E7">
        <w:rPr>
          <w:rFonts w:eastAsia="Times New Roman"/>
          <w:sz w:val="24"/>
          <w:szCs w:val="24"/>
        </w:rPr>
        <w:t>stablish a bad faith br</w:t>
      </w:r>
      <w:smartTag w:uri="urn:schemas-microsoft-com:office:smarttags" w:element="PersonName">
        <w:r w:rsidRPr="001007E7">
          <w:rPr>
            <w:rFonts w:eastAsia="Times New Roman"/>
            <w:sz w:val="24"/>
            <w:szCs w:val="24"/>
          </w:rPr>
          <w:t>e</w:t>
        </w:r>
      </w:smartTag>
      <w:r w:rsidRPr="001007E7">
        <w:rPr>
          <w:rFonts w:eastAsia="Times New Roman"/>
          <w:sz w:val="24"/>
          <w:szCs w:val="24"/>
        </w:rPr>
        <w:t>ach of insuranc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w:t>
      </w:r>
      <w:smartTag w:uri="urn:schemas-microsoft-com:office:smarttags" w:element="PersonName">
        <w:r w:rsidRPr="001007E7">
          <w:rPr>
            <w:rFonts w:eastAsia="Times New Roman"/>
            <w:b/>
            <w:sz w:val="24"/>
            <w:szCs w:val="24"/>
          </w:rPr>
          <w:t>e</w:t>
        </w:r>
      </w:smartTag>
      <w:r w:rsidRPr="001007E7">
        <w:rPr>
          <w:rFonts w:eastAsia="Times New Roman"/>
          <w:b/>
          <w:sz w:val="24"/>
          <w:szCs w:val="24"/>
        </w:rPr>
        <w:t>rican Family Mutual Insuranc</w:t>
      </w:r>
      <w:smartTag w:uri="urn:schemas-microsoft-com:office:smarttags" w:element="PersonName">
        <w:r w:rsidRPr="001007E7">
          <w:rPr>
            <w:rFonts w:eastAsia="Times New Roman"/>
            <w:b/>
            <w:sz w:val="24"/>
            <w:szCs w:val="24"/>
          </w:rPr>
          <w:t>e</w:t>
        </w:r>
      </w:smartTag>
      <w:r w:rsidRPr="001007E7">
        <w:rPr>
          <w:rFonts w:eastAsia="Times New Roman"/>
          <w:b/>
          <w:sz w:val="24"/>
          <w:szCs w:val="24"/>
        </w:rPr>
        <w:t xml:space="preserve"> Co. v. All</w:t>
      </w:r>
      <w:smartTag w:uri="urn:schemas-microsoft-com:office:smarttags" w:element="PersonName">
        <w:r w:rsidRPr="001007E7">
          <w:rPr>
            <w:rFonts w:eastAsia="Times New Roman"/>
            <w:b/>
            <w:sz w:val="24"/>
            <w:szCs w:val="24"/>
          </w:rPr>
          <w:t>e</w:t>
        </w:r>
      </w:smartTag>
      <w:r w:rsidRPr="001007E7">
        <w:rPr>
          <w:rFonts w:eastAsia="Times New Roman"/>
          <w:b/>
          <w:sz w:val="24"/>
          <w:szCs w:val="24"/>
        </w:rPr>
        <w:t>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102 P.3d 333, 344 (Colo. 2004),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supr</w:t>
      </w:r>
      <w:smartTag w:uri="urn:schemas-microsoft-com:office:smarttags" w:element="PersonName">
        <w:r w:rsidRPr="001007E7">
          <w:rPr>
            <w:rFonts w:eastAsia="Times New Roman"/>
            <w:sz w:val="24"/>
            <w:szCs w:val="24"/>
          </w:rPr>
          <w:t>e</w:t>
        </w:r>
      </w:smartTag>
      <w:r w:rsidRPr="001007E7">
        <w:rPr>
          <w:rFonts w:eastAsia="Times New Roman"/>
          <w:sz w:val="24"/>
          <w:szCs w:val="24"/>
        </w:rPr>
        <w:t>m</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obs</w:t>
      </w:r>
      <w:smartTag w:uri="urn:schemas-microsoft-com:office:smarttags" w:element="PersonName">
        <w:r w:rsidRPr="001007E7">
          <w:rPr>
            <w:rFonts w:eastAsia="Times New Roman"/>
            <w:sz w:val="24"/>
            <w:szCs w:val="24"/>
          </w:rPr>
          <w:t>e</w:t>
        </w:r>
      </w:smartTag>
      <w:r w:rsidRPr="001007E7">
        <w:rPr>
          <w:rFonts w:eastAsia="Times New Roman"/>
          <w:sz w:val="24"/>
          <w:szCs w:val="24"/>
        </w:rPr>
        <w:t>rv</w:t>
      </w:r>
      <w:smartTag w:uri="urn:schemas-microsoft-com:office:smarttags" w:element="PersonName">
        <w:r w:rsidRPr="001007E7">
          <w:rPr>
            <w:rFonts w:eastAsia="Times New Roman"/>
            <w:sz w:val="24"/>
            <w:szCs w:val="24"/>
          </w:rPr>
          <w:t>e</w:t>
        </w:r>
      </w:smartTag>
      <w:r w:rsidRPr="001007E7">
        <w:rPr>
          <w:rFonts w:eastAsia="Times New Roman"/>
          <w:sz w:val="24"/>
          <w:szCs w:val="24"/>
        </w:rPr>
        <w:t>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UCSPA r</w:t>
      </w:r>
      <w:smartTag w:uri="urn:schemas-microsoft-com:office:smarttags" w:element="PersonName">
        <w:r w:rsidRPr="001007E7">
          <w:rPr>
            <w:rFonts w:eastAsia="Times New Roman"/>
            <w:sz w:val="24"/>
            <w:szCs w:val="24"/>
          </w:rPr>
          <w:t>e</w:t>
        </w:r>
      </w:smartTag>
      <w:r w:rsidRPr="001007E7">
        <w:rPr>
          <w:rFonts w:eastAsia="Times New Roman"/>
          <w:sz w:val="24"/>
          <w:szCs w:val="24"/>
        </w:rPr>
        <w:t>gulat</w:t>
      </w:r>
      <w:smartTag w:uri="urn:schemas-microsoft-com:office:smarttags" w:element="PersonName">
        <w:r w:rsidRPr="001007E7">
          <w:rPr>
            <w:rFonts w:eastAsia="Times New Roman"/>
            <w:sz w:val="24"/>
            <w:szCs w:val="24"/>
          </w:rPr>
          <w:t>e</w:t>
        </w:r>
      </w:smartTag>
      <w:r w:rsidRPr="001007E7">
        <w:rPr>
          <w:rFonts w:eastAsia="Times New Roman"/>
          <w:sz w:val="24"/>
          <w:szCs w:val="24"/>
        </w:rPr>
        <w:t>s insur</w:t>
      </w:r>
      <w:smartTag w:uri="urn:schemas-microsoft-com:office:smarttags" w:element="PersonName">
        <w:r w:rsidRPr="001007E7">
          <w:rPr>
            <w:rFonts w:eastAsia="Times New Roman"/>
            <w:sz w:val="24"/>
            <w:szCs w:val="24"/>
          </w:rPr>
          <w:t>e</w:t>
        </w:r>
      </w:smartTag>
      <w:r w:rsidRPr="001007E7">
        <w:rPr>
          <w:rFonts w:eastAsia="Times New Roman"/>
          <w:sz w:val="24"/>
          <w:szCs w:val="24"/>
        </w:rPr>
        <w:t>rs’ conduct, but do</w:t>
      </w:r>
      <w:smartTag w:uri="urn:schemas-microsoft-com:office:smarttags" w:element="PersonName">
        <w:r w:rsidRPr="001007E7">
          <w:rPr>
            <w:rFonts w:eastAsia="Times New Roman"/>
            <w:sz w:val="24"/>
            <w:szCs w:val="24"/>
          </w:rPr>
          <w:t>e</w:t>
        </w:r>
      </w:smartTag>
      <w:r w:rsidRPr="001007E7">
        <w:rPr>
          <w:rFonts w:eastAsia="Times New Roman"/>
          <w:sz w:val="24"/>
          <w:szCs w:val="24"/>
        </w:rPr>
        <w:t>s not cr</w:t>
      </w:r>
      <w:smartTag w:uri="urn:schemas-microsoft-com:office:smarttags" w:element="PersonName">
        <w:r w:rsidRPr="001007E7">
          <w:rPr>
            <w:rFonts w:eastAsia="Times New Roman"/>
            <w:sz w:val="24"/>
            <w:szCs w:val="24"/>
          </w:rPr>
          <w:t>e</w:t>
        </w:r>
      </w:smartTag>
      <w:r w:rsidRPr="001007E7">
        <w:rPr>
          <w:rFonts w:eastAsia="Times New Roman"/>
          <w:sz w:val="24"/>
          <w:szCs w:val="24"/>
        </w:rPr>
        <w:t>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 privat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right of action; non</w:t>
      </w:r>
      <w:smartTag w:uri="urn:schemas-microsoft-com:office:smarttags" w:element="PersonName">
        <w:r w:rsidRPr="001007E7">
          <w:rPr>
            <w:rFonts w:eastAsia="Times New Roman"/>
            <w:sz w:val="24"/>
            <w:szCs w:val="24"/>
          </w:rPr>
          <w:t>e</w:t>
        </w:r>
      </w:smartTag>
      <w:r w:rsidRPr="001007E7">
        <w:rPr>
          <w:rFonts w:eastAsia="Times New Roman"/>
          <w:sz w:val="24"/>
          <w:szCs w:val="24"/>
        </w:rPr>
        <w:t>th</w:t>
      </w:r>
      <w:smartTag w:uri="urn:schemas-microsoft-com:office:smarttags" w:element="PersonName">
        <w:r w:rsidRPr="001007E7">
          <w:rPr>
            <w:rFonts w:eastAsia="Times New Roman"/>
            <w:sz w:val="24"/>
            <w:szCs w:val="24"/>
          </w:rPr>
          <w:t>e</w:t>
        </w:r>
      </w:smartTag>
      <w:r w:rsidRPr="001007E7">
        <w:rPr>
          <w:rFonts w:eastAsia="Times New Roman"/>
          <w:sz w:val="24"/>
          <w:szCs w:val="24"/>
        </w:rPr>
        <w:t>l</w:t>
      </w:r>
      <w:smartTag w:uri="urn:schemas-microsoft-com:office:smarttags" w:element="PersonName">
        <w:r w:rsidRPr="001007E7">
          <w:rPr>
            <w:rFonts w:eastAsia="Times New Roman"/>
            <w:sz w:val="24"/>
            <w:szCs w:val="24"/>
          </w:rPr>
          <w:t>e</w:t>
        </w:r>
      </w:smartTag>
      <w:r w:rsidRPr="001007E7">
        <w:rPr>
          <w:rFonts w:eastAsia="Times New Roman"/>
          <w:sz w:val="24"/>
          <w:szCs w:val="24"/>
        </w:rPr>
        <w:t>ss,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h</w:t>
      </w:r>
      <w:smartTag w:uri="urn:schemas-microsoft-com:office:smarttags" w:element="PersonName">
        <w:r w:rsidRPr="001007E7">
          <w:rPr>
            <w:rFonts w:eastAsia="Times New Roman"/>
            <w:sz w:val="24"/>
            <w:szCs w:val="24"/>
          </w:rPr>
          <w:t>e</w:t>
        </w:r>
      </w:smartTag>
      <w:r w:rsidRPr="001007E7">
        <w:rPr>
          <w:rFonts w:eastAsia="Times New Roman"/>
          <w:sz w:val="24"/>
          <w:szCs w:val="24"/>
        </w:rPr>
        <w:t>ld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Act’s standards “may b</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us</w:t>
      </w:r>
      <w:smartTag w:uri="urn:schemas-microsoft-com:office:smarttags" w:element="PersonName">
        <w:r w:rsidRPr="001007E7">
          <w:rPr>
            <w:rFonts w:eastAsia="Times New Roman"/>
            <w:sz w:val="24"/>
            <w:szCs w:val="24"/>
          </w:rPr>
          <w:t>e</w:t>
        </w:r>
      </w:smartTag>
      <w:r w:rsidRPr="001007E7">
        <w:rPr>
          <w:rFonts w:eastAsia="Times New Roman"/>
          <w:sz w:val="24"/>
          <w:szCs w:val="24"/>
        </w:rPr>
        <w:t>d as valid, but not conclusiv</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w:t>
      </w:r>
      <w:smartTag w:uri="urn:schemas-microsoft-com:office:smarttags" w:element="PersonName">
        <w:r w:rsidRPr="001007E7">
          <w:rPr>
            <w:rFonts w:eastAsia="Times New Roman"/>
            <w:sz w:val="24"/>
            <w:szCs w:val="24"/>
          </w:rPr>
          <w:t>e</w:t>
        </w:r>
      </w:smartTag>
      <w:r w:rsidRPr="001007E7">
        <w:rPr>
          <w:rFonts w:eastAsia="Times New Roman"/>
          <w:sz w:val="24"/>
          <w:szCs w:val="24"/>
        </w:rPr>
        <w:t>vid</w:t>
      </w:r>
      <w:smartTag w:uri="urn:schemas-microsoft-com:office:smarttags" w:element="PersonName">
        <w:r w:rsidRPr="001007E7">
          <w:rPr>
            <w:rFonts w:eastAsia="Times New Roman"/>
            <w:sz w:val="24"/>
            <w:szCs w:val="24"/>
          </w:rPr>
          <w:t>e</w:t>
        </w:r>
      </w:smartTag>
      <w:r w:rsidRPr="001007E7">
        <w:rPr>
          <w:rFonts w:eastAsia="Times New Roman"/>
          <w:sz w:val="24"/>
          <w:szCs w:val="24"/>
        </w:rPr>
        <w:t>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Reversing summary judgment in favor of an insurer that proved its compliance with a Department of Insurance regulation that declares non-compliance a presumptive violation of section 10-3-1104(1)(h)(</w:t>
      </w:r>
      <w:smartTag w:uri="urn:schemas-microsoft-com:office:smarttags" w:element="stockticker">
        <w:r w:rsidRPr="001007E7">
          <w:rPr>
            <w:rFonts w:eastAsia="Times New Roman"/>
            <w:sz w:val="24"/>
            <w:szCs w:val="24"/>
          </w:rPr>
          <w:t>III</w:t>
        </w:r>
      </w:smartTag>
      <w:r w:rsidRPr="001007E7">
        <w:rPr>
          <w:rFonts w:eastAsia="Times New Roman"/>
          <w:sz w:val="24"/>
          <w:szCs w:val="24"/>
        </w:rPr>
        <w:t xml:space="preserve">)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w:t>
      </w:r>
      <w:smartTag w:uri="schemas-westgroup-com/westlawcitation" w:element="typecases">
        <w:smartTag w:uri="urn:schemas-microsoft-com:office:smarttags" w:element="State">
          <w:r w:rsidRPr="001134B3">
            <w:rPr>
              <w:rFonts w:eastAsia="Times New Roman"/>
              <w:sz w:val="24"/>
              <w:szCs w:val="24"/>
            </w:rPr>
            <w:t>Colo.</w:t>
          </w:r>
        </w:smartTag>
      </w:smartTag>
      <w:r w:rsidRPr="001134B3">
        <w:rPr>
          <w:rFonts w:eastAsia="Times New Roman"/>
          <w:sz w:val="24"/>
          <w:szCs w:val="24"/>
        </w:rPr>
        <w:t xml:space="preserve">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 xml:space="preserve">DUTY OF GOOD FAITH </w:t>
      </w:r>
      <w:smartTag w:uri="urn:schemas-microsoft-com:office:smarttags" w:element="stockticker">
        <w:r w:rsidRPr="001134B3">
          <w:rPr>
            <w:rFonts w:eastAsia="Times New Roman"/>
            <w:b/>
            <w:sz w:val="24"/>
            <w:szCs w:val="24"/>
          </w:rPr>
          <w:t>AND</w:t>
        </w:r>
      </w:smartTag>
      <w:r w:rsidRPr="001134B3">
        <w:rPr>
          <w:rFonts w:eastAsia="Times New Roman"/>
          <w:b/>
          <w:sz w:val="24"/>
          <w:szCs w:val="24"/>
        </w:rPr>
        <w:t xml:space="preserve">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in conjunction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76A99A88"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383 P.3d 676, </w:t>
      </w:r>
      <w:r w:rsidR="005F145C">
        <w:rPr>
          <w:sz w:val="24"/>
          <w:szCs w:val="24"/>
        </w:rPr>
        <w:t xml:space="preserve">¶ 17, </w:t>
      </w:r>
      <w:r w:rsidRPr="0000771A">
        <w:rPr>
          <w:i/>
          <w:sz w:val="24"/>
          <w:szCs w:val="24"/>
        </w:rPr>
        <w:t>rev</w:t>
      </w:r>
      <w:r w:rsidR="005F145C">
        <w:rPr>
          <w:i/>
          <w:sz w:val="24"/>
          <w:szCs w:val="24"/>
        </w:rPr>
        <w:t>’</w:t>
      </w:r>
      <w:r w:rsidRPr="0000771A">
        <w:rPr>
          <w:i/>
          <w:sz w:val="24"/>
          <w:szCs w:val="24"/>
        </w:rPr>
        <w:t>g</w:t>
      </w:r>
      <w:r w:rsidRPr="0000771A">
        <w:rPr>
          <w:sz w:val="24"/>
          <w:szCs w:val="24"/>
        </w:rPr>
        <w:t xml:space="preserve"> 2014 COA 70</w:t>
      </w:r>
      <w:r w:rsidR="005F145C">
        <w:rPr>
          <w:sz w:val="24"/>
          <w:szCs w:val="24"/>
        </w:rPr>
        <w:t>, 409 P.3d 393</w:t>
      </w:r>
      <w:r w:rsidRPr="0000771A">
        <w:rPr>
          <w:sz w:val="24"/>
          <w:szCs w:val="24"/>
        </w:rPr>
        <w:t>.</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xml:space="preserve">, 2012 COA 86, ¶ 102;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77777777"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(his) (her) (its) benefits that were improperly (delayed) (denied). If you find in favor of the plaintiff on (his) (her) (its)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79DA8B5D"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10F87D8"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7939E7B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lastRenderedPageBreak/>
        <w:t xml:space="preserve">2. Until fees and costs awarded as statutory damages pursuant to section 10-3-1116(1) are reflected in a written order, judgment is not final for purposes of appeal. </w:t>
      </w:r>
      <w:r w:rsidRPr="00A038A6">
        <w:rPr>
          <w:rFonts w:eastAsia="Times New Roman"/>
          <w:b/>
          <w:sz w:val="24"/>
          <w:szCs w:val="24"/>
        </w:rPr>
        <w:t>Hall</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201, ¶ 21. </w:t>
      </w:r>
    </w:p>
    <w:p w14:paraId="3D7BC3A8"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Award of reasonable attorney fees under section 10-3-1116(1) is not limited by a contingent agreement between counsel and the insured, which is but one factor in trial court’s determination of reasonable fees. </w:t>
      </w:r>
      <w:r w:rsidRPr="00A038A6">
        <w:rPr>
          <w:rFonts w:eastAsia="Times New Roman"/>
          <w:b/>
          <w:sz w:val="24"/>
          <w:szCs w:val="24"/>
        </w:rPr>
        <w:t>Melssen v. Auto-Owners Ins. Co.</w:t>
      </w:r>
      <w:r w:rsidRPr="00A038A6">
        <w:rPr>
          <w:rFonts w:eastAsia="Times New Roman"/>
          <w:sz w:val="24"/>
          <w:szCs w:val="24"/>
        </w:rPr>
        <w:t>, 2012 COA 102, ¶ 70, 285 P.3d 328.</w:t>
      </w:r>
    </w:p>
    <w:p w14:paraId="500DCBE3"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4.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Pr="00A038A6">
        <w:rPr>
          <w:rFonts w:eastAsia="Times New Roman"/>
          <w:b/>
          <w:sz w:val="24"/>
          <w:szCs w:val="24"/>
        </w:rPr>
        <w:t>Nibert v. Geico Cas. Co.</w:t>
      </w:r>
      <w:r w:rsidRPr="00A038A6">
        <w:rPr>
          <w:rFonts w:eastAsia="Times New Roman"/>
          <w:sz w:val="24"/>
          <w:szCs w:val="24"/>
        </w:rPr>
        <w:t xml:space="preserve">, 2017 COA 23, ¶ 25. The statutory remedy creates an exception to the American Rule and authorizes “fees on fees” recovery because attorney fees are part of the damage calculation. </w:t>
      </w:r>
      <w:r w:rsidRPr="00A038A6">
        <w:rPr>
          <w:rFonts w:eastAsia="Times New Roman"/>
          <w:i/>
          <w:sz w:val="24"/>
          <w:szCs w:val="24"/>
        </w:rPr>
        <w:t>Id.</w:t>
      </w:r>
      <w:r w:rsidRPr="00A038A6">
        <w:rPr>
          <w:rFonts w:eastAsia="Times New Roman"/>
          <w:sz w:val="24"/>
          <w:szCs w:val="24"/>
        </w:rPr>
        <w:t xml:space="preserve"> at ¶ 32</w:t>
      </w:r>
      <w:r w:rsidR="00414C93">
        <w:rPr>
          <w:rFonts w:eastAsia="Times New Roman"/>
          <w:sz w:val="24"/>
          <w:szCs w:val="24"/>
        </w:rPr>
        <w:t>;</w:t>
      </w:r>
      <w:r w:rsidRPr="00A038A6">
        <w:rPr>
          <w:rFonts w:eastAsia="Times New Roman"/>
          <w:sz w:val="24"/>
          <w:szCs w:val="24"/>
        </w:rPr>
        <w:t xml:space="preserve"> </w:t>
      </w:r>
      <w:r w:rsidRPr="00A038A6">
        <w:rPr>
          <w:rFonts w:eastAsia="Times New Roman"/>
          <w:b/>
          <w:sz w:val="24"/>
          <w:szCs w:val="24"/>
        </w:rPr>
        <w:t>Stresscon Corp. v. Travelers Prop. Cas. Co. of Am.</w:t>
      </w:r>
      <w:r w:rsidRPr="00A038A6">
        <w:rPr>
          <w:rFonts w:eastAsia="Times New Roman"/>
          <w:sz w:val="24"/>
          <w:szCs w:val="24"/>
        </w:rPr>
        <w:t xml:space="preserve">, 2013 COA 131, ¶ 120, 373 P.3d 615, </w:t>
      </w:r>
      <w:r w:rsidRPr="00A038A6">
        <w:rPr>
          <w:rFonts w:eastAsia="Times New Roman"/>
          <w:i/>
          <w:sz w:val="24"/>
          <w:szCs w:val="24"/>
        </w:rPr>
        <w:t>rev’d on other grounds</w:t>
      </w:r>
      <w:r w:rsidRPr="00A038A6">
        <w:rPr>
          <w:rFonts w:eastAsia="Times New Roman"/>
          <w:sz w:val="24"/>
          <w:szCs w:val="24"/>
        </w:rPr>
        <w:t>, 2016 CO 22M, 370 P.3d 140.</w:t>
      </w:r>
    </w:p>
    <w:p w14:paraId="3C53A4B9" w14:textId="51069AED" w:rsidR="00A038A6" w:rsidRPr="00CC4F1D" w:rsidRDefault="00A038A6" w:rsidP="00A038A6">
      <w:pPr>
        <w:spacing w:after="240"/>
        <w:ind w:firstLine="720"/>
        <w:rPr>
          <w:rFonts w:eastAsia="Times New Roman"/>
          <w:sz w:val="24"/>
          <w:szCs w:val="24"/>
        </w:rPr>
      </w:pPr>
      <w:r w:rsidRPr="00CC4F1D">
        <w:rPr>
          <w:rFonts w:eastAsia="Times New Roman"/>
          <w:sz w:val="24"/>
          <w:szCs w:val="24"/>
        </w:rPr>
        <w:t xml:space="preserve">5.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Pr="00CC4F1D">
        <w:rPr>
          <w:rFonts w:eastAsia="Times New Roman"/>
          <w:sz w:val="24"/>
          <w:szCs w:val="24"/>
        </w:rPr>
        <w:t xml:space="preserve"> </w:t>
      </w:r>
    </w:p>
    <w:p w14:paraId="6FE31E34" w14:textId="578FA00D" w:rsidR="00A038A6" w:rsidRPr="00A038A6" w:rsidRDefault="00A038A6" w:rsidP="00A038A6">
      <w:pPr>
        <w:spacing w:after="240"/>
        <w:ind w:firstLine="720"/>
        <w:rPr>
          <w:rFonts w:eastAsia="Times New Roman"/>
          <w:sz w:val="24"/>
          <w:szCs w:val="24"/>
        </w:rPr>
      </w:pPr>
      <w:r w:rsidRPr="00A038A6">
        <w:rPr>
          <w:rFonts w:eastAsia="Times New Roman"/>
          <w:sz w:val="24"/>
          <w:szCs w:val="24"/>
        </w:rPr>
        <w:t>6. Due to their shared elements,</w:t>
      </w:r>
      <w:r w:rsidRPr="00A038A6" w:rsidDel="004051A7">
        <w:rPr>
          <w:rFonts w:eastAsia="Times New Roman"/>
          <w:sz w:val="24"/>
          <w:szCs w:val="24"/>
        </w:rPr>
        <w:t xml:space="preserve"> </w:t>
      </w:r>
      <w:r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Pr="00A038A6">
        <w:rPr>
          <w:rFonts w:eastAsia="Times New Roman"/>
          <w:sz w:val="24"/>
          <w:szCs w:val="24"/>
        </w:rPr>
        <w:t xml:space="preserve">reasonable attorney fees without limiting them to work performed on the statutory claim. </w:t>
      </w:r>
      <w:r w:rsidRPr="00A038A6">
        <w:rPr>
          <w:rFonts w:eastAsia="Times New Roman"/>
          <w:i/>
          <w:sz w:val="24"/>
          <w:szCs w:val="24"/>
        </w:rPr>
        <w:t>Id.</w:t>
      </w:r>
      <w:r w:rsidRPr="00A038A6">
        <w:rPr>
          <w:rFonts w:eastAsia="Times New Roman"/>
          <w:sz w:val="24"/>
          <w:szCs w:val="24"/>
        </w:rPr>
        <w:t xml:space="preserve"> at ¶¶ 33, 37 (citing </w:t>
      </w:r>
      <w:r w:rsidRPr="00A038A6">
        <w:rPr>
          <w:rFonts w:eastAsia="Times New Roman"/>
          <w:b/>
          <w:sz w:val="24"/>
          <w:szCs w:val="24"/>
        </w:rPr>
        <w:t>Fisher v. State Farm Mut. Auto. Ins. Co.</w:t>
      </w:r>
      <w:r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Pr="00BA77D6">
        <w:rPr>
          <w:rFonts w:eastAsia="Times New Roman"/>
          <w:i/>
          <w:sz w:val="24"/>
          <w:szCs w:val="24"/>
        </w:rPr>
        <w:t>ee also</w:t>
      </w:r>
      <w:r w:rsidRPr="00BA77D6">
        <w:rPr>
          <w:rFonts w:eastAsia="Times New Roman"/>
          <w:sz w:val="24"/>
          <w:szCs w:val="24"/>
        </w:rPr>
        <w:t xml:space="preserve"> </w:t>
      </w:r>
      <w:r w:rsidR="00CB13C1" w:rsidRPr="00CB13C1">
        <w:rPr>
          <w:rFonts w:eastAsia="Times New Roman"/>
          <w:b/>
          <w:sz w:val="24"/>
          <w:szCs w:val="24"/>
        </w:rPr>
        <w:t xml:space="preserve">Estate of </w:t>
      </w:r>
      <w:r w:rsidRPr="00BA77D6">
        <w:rPr>
          <w:rFonts w:eastAsia="Times New Roman"/>
          <w:b/>
          <w:sz w:val="24"/>
          <w:szCs w:val="24"/>
        </w:rPr>
        <w:t>Casper v. Guar. Tr. Life Ins. Co.</w:t>
      </w:r>
      <w:r w:rsidRPr="00BA77D6">
        <w:rPr>
          <w:rFonts w:eastAsia="Times New Roman"/>
          <w:sz w:val="24"/>
          <w:szCs w:val="24"/>
        </w:rPr>
        <w:t>, 2016 COA 167, ¶ 81</w:t>
      </w:r>
      <w:r w:rsidR="00211BAE">
        <w:rPr>
          <w:rFonts w:eastAsia="Times New Roman"/>
          <w:sz w:val="24"/>
          <w:szCs w:val="24"/>
        </w:rPr>
        <w:t>, 421 P.3d 1184</w:t>
      </w:r>
      <w:r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Pr="00BA77D6">
        <w:rPr>
          <w:rFonts w:eastAsia="Times New Roman"/>
          <w:sz w:val="24"/>
          <w:szCs w:val="24"/>
        </w:rPr>
        <w:t>.</w:t>
      </w:r>
    </w:p>
    <w:p w14:paraId="770A984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7. Attorney fees and costs incurred in successfully defending appeal of the statutory award are also recoverable. </w:t>
      </w:r>
      <w:r w:rsidRPr="00A038A6">
        <w:rPr>
          <w:rFonts w:eastAsia="Times New Roman"/>
          <w:b/>
          <w:sz w:val="24"/>
          <w:szCs w:val="24"/>
        </w:rPr>
        <w:t>Nibert</w:t>
      </w:r>
      <w:r w:rsidRPr="00A038A6">
        <w:rPr>
          <w:rFonts w:eastAsia="Times New Roman"/>
          <w:sz w:val="24"/>
          <w:szCs w:val="24"/>
        </w:rPr>
        <w:t>, 2017 COA 23, ¶</w:t>
      </w:r>
      <w:r w:rsidR="00157C2C">
        <w:rPr>
          <w:rFonts w:eastAsia="Times New Roman"/>
          <w:sz w:val="24"/>
          <w:szCs w:val="24"/>
        </w:rPr>
        <w:t xml:space="preserve"> </w:t>
      </w:r>
      <w:r w:rsidRPr="00A038A6">
        <w:rPr>
          <w:rFonts w:eastAsia="Times New Roman"/>
          <w:sz w:val="24"/>
          <w:szCs w:val="24"/>
        </w:rPr>
        <w:t xml:space="preserve">38; </w:t>
      </w:r>
      <w:r w:rsidRPr="00A038A6">
        <w:rPr>
          <w:rFonts w:eastAsia="Times New Roman"/>
          <w:b/>
          <w:sz w:val="24"/>
          <w:szCs w:val="24"/>
        </w:rPr>
        <w:t>Stresscon Corp.</w:t>
      </w:r>
      <w:r w:rsidRPr="00A038A6">
        <w:rPr>
          <w:rFonts w:eastAsia="Times New Roman"/>
          <w:sz w:val="24"/>
          <w:szCs w:val="24"/>
        </w:rPr>
        <w:t xml:space="preserve">, 2013 COA 131, ¶ 136 (allowing recovery of fees and costs incurred on appeal when party was awarded fees and costs in a prior stage of the proceedings) (citing </w:t>
      </w:r>
      <w:r w:rsidRPr="00A038A6">
        <w:rPr>
          <w:rFonts w:eastAsia="Times New Roman"/>
          <w:b/>
          <w:sz w:val="24"/>
          <w:szCs w:val="24"/>
        </w:rPr>
        <w:t>Melssen</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102, ¶ 75; </w:t>
      </w:r>
      <w:r w:rsidRPr="00A038A6">
        <w:rPr>
          <w:rFonts w:eastAsia="Times New Roman"/>
          <w:b/>
          <w:sz w:val="24"/>
          <w:szCs w:val="24"/>
        </w:rPr>
        <w:t>Kennedy v. King Soopers Inc.</w:t>
      </w:r>
      <w:r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2. Abs</w:t>
      </w:r>
      <w:smartTag w:uri="urn:schemas-microsoft-com:office:smarttags" w:element="PersonName">
        <w:r w:rsidRPr="00370240">
          <w:rPr>
            <w:rFonts w:eastAsia="Times New Roman"/>
            <w:sz w:val="24"/>
            <w:szCs w:val="24"/>
          </w:rPr>
          <w:t>e</w:t>
        </w:r>
      </w:smartTag>
      <w:r w:rsidRPr="00370240">
        <w:rPr>
          <w:rFonts w:eastAsia="Times New Roman"/>
          <w:sz w:val="24"/>
          <w:szCs w:val="24"/>
        </w:rPr>
        <w:t>nt proof of actual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flowing from an insur</w:t>
      </w:r>
      <w:smartTag w:uri="urn:schemas-microsoft-com:office:smarttags" w:element="PersonName">
        <w:r w:rsidRPr="00370240">
          <w:rPr>
            <w:rFonts w:eastAsia="Times New Roman"/>
            <w:sz w:val="24"/>
            <w:szCs w:val="24"/>
          </w:rPr>
          <w:t>e</w:t>
        </w:r>
      </w:smartTag>
      <w:r w:rsidRPr="00370240">
        <w:rPr>
          <w:rFonts w:eastAsia="Times New Roman"/>
          <w:sz w:val="24"/>
          <w:szCs w:val="24"/>
        </w:rPr>
        <w:t>r’s bad faith br</w:t>
      </w:r>
      <w:smartTag w:uri="urn:schemas-microsoft-com:office:smarttags" w:element="PersonName">
        <w:r w:rsidRPr="00370240">
          <w:rPr>
            <w:rFonts w:eastAsia="Times New Roman"/>
            <w:sz w:val="24"/>
            <w:szCs w:val="24"/>
          </w:rPr>
          <w:t>e</w:t>
        </w:r>
      </w:smartTag>
      <w:r w:rsidRPr="00370240">
        <w:rPr>
          <w:rFonts w:eastAsia="Times New Roman"/>
          <w:sz w:val="24"/>
          <w:szCs w:val="24"/>
        </w:rPr>
        <w:t>ach of insuranc</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contract, th</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plaintiff is not </w:t>
      </w:r>
      <w:smartTag w:uri="urn:schemas-microsoft-com:office:smarttags" w:element="PersonName">
        <w:r w:rsidRPr="00370240">
          <w:rPr>
            <w:rFonts w:eastAsia="Times New Roman"/>
            <w:sz w:val="24"/>
            <w:szCs w:val="24"/>
          </w:rPr>
          <w:t>e</w:t>
        </w:r>
      </w:smartTag>
      <w:r w:rsidRPr="00370240">
        <w:rPr>
          <w:rFonts w:eastAsia="Times New Roman"/>
          <w:sz w:val="24"/>
          <w:szCs w:val="24"/>
        </w:rPr>
        <w:t>ntitled to punitiv</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as a matt</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r of law. </w:t>
      </w:r>
      <w:r w:rsidRPr="00370240">
        <w:rPr>
          <w:rFonts w:eastAsia="Times New Roman"/>
          <w:b/>
          <w:sz w:val="24"/>
          <w:szCs w:val="24"/>
        </w:rPr>
        <w:t xml:space="preserve">City of </w:t>
      </w:r>
      <w:smartTag w:uri="urn:schemas-microsoft-com:office:smarttags" w:element="City">
        <w:r w:rsidRPr="00370240">
          <w:rPr>
            <w:rFonts w:eastAsia="Times New Roman"/>
            <w:b/>
            <w:sz w:val="24"/>
            <w:szCs w:val="24"/>
          </w:rPr>
          <w:t>W</w:t>
        </w:r>
        <w:smartTag w:uri="urn:schemas-microsoft-com:office:smarttags" w:element="PersonName">
          <w:r w:rsidRPr="00370240">
            <w:rPr>
              <w:rFonts w:eastAsia="Times New Roman"/>
              <w:b/>
              <w:sz w:val="24"/>
              <w:szCs w:val="24"/>
            </w:rPr>
            <w:t>e</w:t>
          </w:r>
        </w:smartTag>
        <w:r w:rsidRPr="00370240">
          <w:rPr>
            <w:rFonts w:eastAsia="Times New Roman"/>
            <w:b/>
            <w:sz w:val="24"/>
            <w:szCs w:val="24"/>
          </w:rPr>
          <w:t>stminst</w:t>
        </w:r>
        <w:smartTag w:uri="urn:schemas-microsoft-com:office:smarttags" w:element="PersonName">
          <w:r w:rsidRPr="00370240">
            <w:rPr>
              <w:rFonts w:eastAsia="Times New Roman"/>
              <w:b/>
              <w:sz w:val="24"/>
              <w:szCs w:val="24"/>
            </w:rPr>
            <w:t>e</w:t>
          </w:r>
        </w:smartTag>
        <w:r w:rsidRPr="00370240">
          <w:rPr>
            <w:rFonts w:eastAsia="Times New Roman"/>
            <w:b/>
            <w:sz w:val="24"/>
            <w:szCs w:val="24"/>
          </w:rPr>
          <w:t>r</w:t>
        </w:r>
      </w:smartTag>
      <w:r w:rsidRPr="00370240">
        <w:rPr>
          <w:rFonts w:eastAsia="Times New Roman"/>
          <w:b/>
          <w:sz w:val="24"/>
          <w:szCs w:val="24"/>
        </w:rPr>
        <w:t xml:space="preserve"> v. C</w:t>
      </w:r>
      <w:smartTag w:uri="urn:schemas-microsoft-com:office:smarttags" w:element="PersonName">
        <w:r w:rsidRPr="00370240">
          <w:rPr>
            <w:rFonts w:eastAsia="Times New Roman"/>
            <w:b/>
            <w:sz w:val="24"/>
            <w:szCs w:val="24"/>
          </w:rPr>
          <w:t>e</w:t>
        </w:r>
      </w:smartTag>
      <w:r w:rsidRPr="00370240">
        <w:rPr>
          <w:rFonts w:eastAsia="Times New Roman"/>
          <w:b/>
          <w:sz w:val="24"/>
          <w:szCs w:val="24"/>
        </w:rPr>
        <w:t>ntric-Jon</w:t>
      </w:r>
      <w:smartTag w:uri="urn:schemas-microsoft-com:office:smarttags" w:element="PersonName">
        <w:r w:rsidRPr="00370240">
          <w:rPr>
            <w:rFonts w:eastAsia="Times New Roman"/>
            <w:b/>
            <w:sz w:val="24"/>
            <w:szCs w:val="24"/>
          </w:rPr>
          <w:t>e</w:t>
        </w:r>
      </w:smartTag>
      <w:r w:rsidRPr="00370240">
        <w:rPr>
          <w:rFonts w:eastAsia="Times New Roman"/>
          <w:b/>
          <w:sz w:val="24"/>
          <w:szCs w:val="24"/>
        </w:rPr>
        <w:t>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5C5B" w14:textId="77777777" w:rsidR="0026314C" w:rsidRDefault="0026314C" w:rsidP="0054263B">
      <w:r>
        <w:separator/>
      </w:r>
    </w:p>
    <w:p w14:paraId="5D3911CF" w14:textId="77777777" w:rsidR="0026314C" w:rsidRDefault="0026314C"/>
  </w:endnote>
  <w:endnote w:type="continuationSeparator" w:id="0">
    <w:p w14:paraId="7F3FEFA1" w14:textId="77777777" w:rsidR="0026314C" w:rsidRDefault="0026314C" w:rsidP="0054263B">
      <w:r>
        <w:continuationSeparator/>
      </w:r>
    </w:p>
    <w:p w14:paraId="52D8F0B1" w14:textId="77777777" w:rsidR="0026314C" w:rsidRDefault="0026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525BBA">
          <w:rPr>
            <w:noProof/>
          </w:rPr>
          <w:t>10</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7363" w14:textId="77777777" w:rsidR="0026314C" w:rsidRDefault="0026314C" w:rsidP="0054263B">
      <w:r>
        <w:separator/>
      </w:r>
    </w:p>
    <w:p w14:paraId="07827E4D" w14:textId="77777777" w:rsidR="0026314C" w:rsidRDefault="0026314C"/>
  </w:footnote>
  <w:footnote w:type="continuationSeparator" w:id="0">
    <w:p w14:paraId="4A2D47AF" w14:textId="77777777" w:rsidR="0026314C" w:rsidRDefault="0026314C" w:rsidP="0054263B">
      <w:r>
        <w:continuationSeparator/>
      </w:r>
    </w:p>
    <w:p w14:paraId="4623D1E6" w14:textId="77777777" w:rsidR="0026314C" w:rsidRDefault="00263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771A"/>
    <w:rsid w:val="00010330"/>
    <w:rsid w:val="00016353"/>
    <w:rsid w:val="00020CF1"/>
    <w:rsid w:val="00037111"/>
    <w:rsid w:val="00041768"/>
    <w:rsid w:val="00043B25"/>
    <w:rsid w:val="0006367C"/>
    <w:rsid w:val="0007116C"/>
    <w:rsid w:val="00074558"/>
    <w:rsid w:val="000823BC"/>
    <w:rsid w:val="000824C8"/>
    <w:rsid w:val="00085495"/>
    <w:rsid w:val="000921F1"/>
    <w:rsid w:val="0009462F"/>
    <w:rsid w:val="000962C8"/>
    <w:rsid w:val="000A040F"/>
    <w:rsid w:val="000B1B7A"/>
    <w:rsid w:val="000C204E"/>
    <w:rsid w:val="000C503A"/>
    <w:rsid w:val="000C6F97"/>
    <w:rsid w:val="000D4856"/>
    <w:rsid w:val="000E0805"/>
    <w:rsid w:val="000E55ED"/>
    <w:rsid w:val="000F205C"/>
    <w:rsid w:val="001007E7"/>
    <w:rsid w:val="00100D6D"/>
    <w:rsid w:val="00101A07"/>
    <w:rsid w:val="00107079"/>
    <w:rsid w:val="001117D9"/>
    <w:rsid w:val="00112C8E"/>
    <w:rsid w:val="00112FF9"/>
    <w:rsid w:val="001134B3"/>
    <w:rsid w:val="00116A3D"/>
    <w:rsid w:val="00125209"/>
    <w:rsid w:val="0012548C"/>
    <w:rsid w:val="00126B7A"/>
    <w:rsid w:val="001300D4"/>
    <w:rsid w:val="001303C5"/>
    <w:rsid w:val="0013740F"/>
    <w:rsid w:val="00143A15"/>
    <w:rsid w:val="00144917"/>
    <w:rsid w:val="001512B3"/>
    <w:rsid w:val="00157C2C"/>
    <w:rsid w:val="001608FF"/>
    <w:rsid w:val="001671A9"/>
    <w:rsid w:val="00171705"/>
    <w:rsid w:val="001723F9"/>
    <w:rsid w:val="00172674"/>
    <w:rsid w:val="00174BB5"/>
    <w:rsid w:val="0018388B"/>
    <w:rsid w:val="00184D62"/>
    <w:rsid w:val="001903CB"/>
    <w:rsid w:val="001913B1"/>
    <w:rsid w:val="00191498"/>
    <w:rsid w:val="00191C86"/>
    <w:rsid w:val="00195972"/>
    <w:rsid w:val="001A2648"/>
    <w:rsid w:val="001A311C"/>
    <w:rsid w:val="001A688B"/>
    <w:rsid w:val="001D31A6"/>
    <w:rsid w:val="001D703D"/>
    <w:rsid w:val="001E0F3B"/>
    <w:rsid w:val="001E1DB5"/>
    <w:rsid w:val="001F0193"/>
    <w:rsid w:val="00200BA5"/>
    <w:rsid w:val="00202B81"/>
    <w:rsid w:val="0020511A"/>
    <w:rsid w:val="002065D8"/>
    <w:rsid w:val="0021015B"/>
    <w:rsid w:val="00211BAE"/>
    <w:rsid w:val="0021368F"/>
    <w:rsid w:val="0021730E"/>
    <w:rsid w:val="00217435"/>
    <w:rsid w:val="0022134E"/>
    <w:rsid w:val="00223286"/>
    <w:rsid w:val="00227D3A"/>
    <w:rsid w:val="00231719"/>
    <w:rsid w:val="00231BC4"/>
    <w:rsid w:val="00232C5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3777"/>
    <w:rsid w:val="0027486C"/>
    <w:rsid w:val="00283A61"/>
    <w:rsid w:val="00290935"/>
    <w:rsid w:val="00293941"/>
    <w:rsid w:val="00293F7E"/>
    <w:rsid w:val="002A23B0"/>
    <w:rsid w:val="002A6EC7"/>
    <w:rsid w:val="002B5FCF"/>
    <w:rsid w:val="002D0987"/>
    <w:rsid w:val="002D163D"/>
    <w:rsid w:val="002D239C"/>
    <w:rsid w:val="002E0970"/>
    <w:rsid w:val="002E562A"/>
    <w:rsid w:val="002E5708"/>
    <w:rsid w:val="002F0E75"/>
    <w:rsid w:val="002F48D6"/>
    <w:rsid w:val="00303A7D"/>
    <w:rsid w:val="00304398"/>
    <w:rsid w:val="00305CB3"/>
    <w:rsid w:val="00305D08"/>
    <w:rsid w:val="00316D33"/>
    <w:rsid w:val="00320613"/>
    <w:rsid w:val="0032367C"/>
    <w:rsid w:val="003247EA"/>
    <w:rsid w:val="003259EE"/>
    <w:rsid w:val="003332F4"/>
    <w:rsid w:val="00333886"/>
    <w:rsid w:val="00335934"/>
    <w:rsid w:val="00336CE4"/>
    <w:rsid w:val="00345533"/>
    <w:rsid w:val="00351136"/>
    <w:rsid w:val="00352111"/>
    <w:rsid w:val="00352433"/>
    <w:rsid w:val="00352696"/>
    <w:rsid w:val="00353044"/>
    <w:rsid w:val="003613FE"/>
    <w:rsid w:val="00370240"/>
    <w:rsid w:val="00382177"/>
    <w:rsid w:val="003837B6"/>
    <w:rsid w:val="00392F02"/>
    <w:rsid w:val="003937B8"/>
    <w:rsid w:val="003A2F1C"/>
    <w:rsid w:val="003A5A75"/>
    <w:rsid w:val="003B5ABE"/>
    <w:rsid w:val="003B72A9"/>
    <w:rsid w:val="003D027F"/>
    <w:rsid w:val="003D07E0"/>
    <w:rsid w:val="003D1B54"/>
    <w:rsid w:val="003D1CAB"/>
    <w:rsid w:val="003D370E"/>
    <w:rsid w:val="003E472A"/>
    <w:rsid w:val="003E5B38"/>
    <w:rsid w:val="003E604A"/>
    <w:rsid w:val="003F108C"/>
    <w:rsid w:val="003F6E89"/>
    <w:rsid w:val="004001BC"/>
    <w:rsid w:val="00407AAB"/>
    <w:rsid w:val="00414C93"/>
    <w:rsid w:val="00434371"/>
    <w:rsid w:val="00434650"/>
    <w:rsid w:val="004425AA"/>
    <w:rsid w:val="00456038"/>
    <w:rsid w:val="00456B2B"/>
    <w:rsid w:val="00467B80"/>
    <w:rsid w:val="0047120C"/>
    <w:rsid w:val="00471618"/>
    <w:rsid w:val="0047374D"/>
    <w:rsid w:val="00473B65"/>
    <w:rsid w:val="00474B1B"/>
    <w:rsid w:val="0048541F"/>
    <w:rsid w:val="004913D8"/>
    <w:rsid w:val="0049313F"/>
    <w:rsid w:val="00496096"/>
    <w:rsid w:val="004A1210"/>
    <w:rsid w:val="004A32E6"/>
    <w:rsid w:val="004B14B9"/>
    <w:rsid w:val="004B753E"/>
    <w:rsid w:val="004C1A04"/>
    <w:rsid w:val="004C62F9"/>
    <w:rsid w:val="004C723A"/>
    <w:rsid w:val="004D2C99"/>
    <w:rsid w:val="004E0408"/>
    <w:rsid w:val="004E48BD"/>
    <w:rsid w:val="004E7EF1"/>
    <w:rsid w:val="004F003D"/>
    <w:rsid w:val="00502D97"/>
    <w:rsid w:val="005065E6"/>
    <w:rsid w:val="0051065F"/>
    <w:rsid w:val="0051385E"/>
    <w:rsid w:val="00516447"/>
    <w:rsid w:val="0052537F"/>
    <w:rsid w:val="00525BBA"/>
    <w:rsid w:val="0052608C"/>
    <w:rsid w:val="00527A18"/>
    <w:rsid w:val="00531F87"/>
    <w:rsid w:val="0053544D"/>
    <w:rsid w:val="0054263B"/>
    <w:rsid w:val="00544A0C"/>
    <w:rsid w:val="00547D97"/>
    <w:rsid w:val="00550AFD"/>
    <w:rsid w:val="00557FCC"/>
    <w:rsid w:val="005648EF"/>
    <w:rsid w:val="0057771F"/>
    <w:rsid w:val="005949EE"/>
    <w:rsid w:val="005A22A6"/>
    <w:rsid w:val="005A3434"/>
    <w:rsid w:val="005B27FE"/>
    <w:rsid w:val="005B3A78"/>
    <w:rsid w:val="005C0F3A"/>
    <w:rsid w:val="005C56C9"/>
    <w:rsid w:val="005C5CCB"/>
    <w:rsid w:val="005D1AD3"/>
    <w:rsid w:val="005D3156"/>
    <w:rsid w:val="005D3F30"/>
    <w:rsid w:val="005D522C"/>
    <w:rsid w:val="005E5B14"/>
    <w:rsid w:val="005E712D"/>
    <w:rsid w:val="005F1017"/>
    <w:rsid w:val="005F145C"/>
    <w:rsid w:val="005F19FD"/>
    <w:rsid w:val="005F5A94"/>
    <w:rsid w:val="00604F03"/>
    <w:rsid w:val="006053F6"/>
    <w:rsid w:val="006229FE"/>
    <w:rsid w:val="006272FE"/>
    <w:rsid w:val="00631BFF"/>
    <w:rsid w:val="00635F37"/>
    <w:rsid w:val="00642649"/>
    <w:rsid w:val="00647CC5"/>
    <w:rsid w:val="00651A64"/>
    <w:rsid w:val="006601C5"/>
    <w:rsid w:val="0066100E"/>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D00EC"/>
    <w:rsid w:val="006D531A"/>
    <w:rsid w:val="006E0D06"/>
    <w:rsid w:val="006E3575"/>
    <w:rsid w:val="006E62F0"/>
    <w:rsid w:val="006F0772"/>
    <w:rsid w:val="006F7581"/>
    <w:rsid w:val="006F7DC0"/>
    <w:rsid w:val="00702B5A"/>
    <w:rsid w:val="0070752A"/>
    <w:rsid w:val="007119D8"/>
    <w:rsid w:val="0071225B"/>
    <w:rsid w:val="00712E33"/>
    <w:rsid w:val="00713866"/>
    <w:rsid w:val="007216DA"/>
    <w:rsid w:val="00724230"/>
    <w:rsid w:val="00726E21"/>
    <w:rsid w:val="0073147A"/>
    <w:rsid w:val="007340B5"/>
    <w:rsid w:val="007532AB"/>
    <w:rsid w:val="00764553"/>
    <w:rsid w:val="007655D6"/>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40A8"/>
    <w:rsid w:val="007F5724"/>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B38"/>
    <w:rsid w:val="00875064"/>
    <w:rsid w:val="00876A05"/>
    <w:rsid w:val="008812A8"/>
    <w:rsid w:val="00881431"/>
    <w:rsid w:val="008859AF"/>
    <w:rsid w:val="00895065"/>
    <w:rsid w:val="008A1099"/>
    <w:rsid w:val="008A2986"/>
    <w:rsid w:val="008A475A"/>
    <w:rsid w:val="008A6339"/>
    <w:rsid w:val="008A637B"/>
    <w:rsid w:val="008A7B7E"/>
    <w:rsid w:val="008B0311"/>
    <w:rsid w:val="008B1617"/>
    <w:rsid w:val="008B5E97"/>
    <w:rsid w:val="008B7480"/>
    <w:rsid w:val="008C1739"/>
    <w:rsid w:val="008C2E7B"/>
    <w:rsid w:val="008C5423"/>
    <w:rsid w:val="008D2D56"/>
    <w:rsid w:val="008D4A28"/>
    <w:rsid w:val="008D609F"/>
    <w:rsid w:val="008D7ECC"/>
    <w:rsid w:val="008E41F1"/>
    <w:rsid w:val="008E51AF"/>
    <w:rsid w:val="008F19CE"/>
    <w:rsid w:val="008F3035"/>
    <w:rsid w:val="008F4C42"/>
    <w:rsid w:val="008F746C"/>
    <w:rsid w:val="009007E8"/>
    <w:rsid w:val="009022AA"/>
    <w:rsid w:val="0090292A"/>
    <w:rsid w:val="00902A25"/>
    <w:rsid w:val="00904756"/>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36457"/>
    <w:rsid w:val="00A50F20"/>
    <w:rsid w:val="00A54915"/>
    <w:rsid w:val="00A5610D"/>
    <w:rsid w:val="00A632A0"/>
    <w:rsid w:val="00A677E8"/>
    <w:rsid w:val="00A73AE6"/>
    <w:rsid w:val="00A76341"/>
    <w:rsid w:val="00A80C10"/>
    <w:rsid w:val="00A82D0A"/>
    <w:rsid w:val="00A85AAA"/>
    <w:rsid w:val="00A9205E"/>
    <w:rsid w:val="00A92C18"/>
    <w:rsid w:val="00AB1D6F"/>
    <w:rsid w:val="00AB2019"/>
    <w:rsid w:val="00AB6B20"/>
    <w:rsid w:val="00AB71A7"/>
    <w:rsid w:val="00AC78F7"/>
    <w:rsid w:val="00AD4B56"/>
    <w:rsid w:val="00AD61CD"/>
    <w:rsid w:val="00AF40E1"/>
    <w:rsid w:val="00AF607B"/>
    <w:rsid w:val="00AF7D47"/>
    <w:rsid w:val="00B0264D"/>
    <w:rsid w:val="00B17183"/>
    <w:rsid w:val="00B258AA"/>
    <w:rsid w:val="00B338E2"/>
    <w:rsid w:val="00B35185"/>
    <w:rsid w:val="00B37722"/>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7A8"/>
    <w:rsid w:val="00BA510E"/>
    <w:rsid w:val="00BA77D6"/>
    <w:rsid w:val="00BB344E"/>
    <w:rsid w:val="00BB436B"/>
    <w:rsid w:val="00BB585D"/>
    <w:rsid w:val="00BC49BF"/>
    <w:rsid w:val="00BC60AE"/>
    <w:rsid w:val="00BC65EF"/>
    <w:rsid w:val="00BC789A"/>
    <w:rsid w:val="00BE2B09"/>
    <w:rsid w:val="00BE654D"/>
    <w:rsid w:val="00BE6634"/>
    <w:rsid w:val="00BF5DF3"/>
    <w:rsid w:val="00C059C1"/>
    <w:rsid w:val="00C161A1"/>
    <w:rsid w:val="00C21D93"/>
    <w:rsid w:val="00C225C9"/>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E593A"/>
    <w:rsid w:val="00CE593D"/>
    <w:rsid w:val="00CF07F1"/>
    <w:rsid w:val="00CF28BF"/>
    <w:rsid w:val="00D00330"/>
    <w:rsid w:val="00D0050C"/>
    <w:rsid w:val="00D014AE"/>
    <w:rsid w:val="00D05926"/>
    <w:rsid w:val="00D06D8D"/>
    <w:rsid w:val="00D16901"/>
    <w:rsid w:val="00D23BD0"/>
    <w:rsid w:val="00D259DC"/>
    <w:rsid w:val="00D32A43"/>
    <w:rsid w:val="00D333AA"/>
    <w:rsid w:val="00D347CA"/>
    <w:rsid w:val="00D51E80"/>
    <w:rsid w:val="00D53848"/>
    <w:rsid w:val="00D53AC5"/>
    <w:rsid w:val="00D54276"/>
    <w:rsid w:val="00D5484F"/>
    <w:rsid w:val="00D66858"/>
    <w:rsid w:val="00D72662"/>
    <w:rsid w:val="00D767EB"/>
    <w:rsid w:val="00D8125F"/>
    <w:rsid w:val="00D90E67"/>
    <w:rsid w:val="00DA0555"/>
    <w:rsid w:val="00DA1796"/>
    <w:rsid w:val="00DA2814"/>
    <w:rsid w:val="00DB16E7"/>
    <w:rsid w:val="00DB2C90"/>
    <w:rsid w:val="00DC0393"/>
    <w:rsid w:val="00DC63A9"/>
    <w:rsid w:val="00DC66A6"/>
    <w:rsid w:val="00DC7533"/>
    <w:rsid w:val="00DE2930"/>
    <w:rsid w:val="00DF2CB7"/>
    <w:rsid w:val="00DF3BF1"/>
    <w:rsid w:val="00DF7595"/>
    <w:rsid w:val="00E007F8"/>
    <w:rsid w:val="00E058BA"/>
    <w:rsid w:val="00E111AA"/>
    <w:rsid w:val="00E121A2"/>
    <w:rsid w:val="00E172C8"/>
    <w:rsid w:val="00E21120"/>
    <w:rsid w:val="00E23FDA"/>
    <w:rsid w:val="00E24E10"/>
    <w:rsid w:val="00E2724A"/>
    <w:rsid w:val="00E30D4B"/>
    <w:rsid w:val="00E31F1C"/>
    <w:rsid w:val="00E372EA"/>
    <w:rsid w:val="00E50187"/>
    <w:rsid w:val="00E55147"/>
    <w:rsid w:val="00E551EB"/>
    <w:rsid w:val="00E65F9E"/>
    <w:rsid w:val="00E67638"/>
    <w:rsid w:val="00E70C9B"/>
    <w:rsid w:val="00E72FF1"/>
    <w:rsid w:val="00E7526A"/>
    <w:rsid w:val="00E87248"/>
    <w:rsid w:val="00E87C31"/>
    <w:rsid w:val="00E87FFB"/>
    <w:rsid w:val="00E93068"/>
    <w:rsid w:val="00E93D03"/>
    <w:rsid w:val="00E970B9"/>
    <w:rsid w:val="00EA097A"/>
    <w:rsid w:val="00EB113C"/>
    <w:rsid w:val="00EB5133"/>
    <w:rsid w:val="00EB6247"/>
    <w:rsid w:val="00EB74DC"/>
    <w:rsid w:val="00EC16F4"/>
    <w:rsid w:val="00EC17E3"/>
    <w:rsid w:val="00EC29A6"/>
    <w:rsid w:val="00EC3919"/>
    <w:rsid w:val="00EC7C98"/>
    <w:rsid w:val="00ED32E8"/>
    <w:rsid w:val="00ED5E52"/>
    <w:rsid w:val="00ED7176"/>
    <w:rsid w:val="00ED75EA"/>
    <w:rsid w:val="00EE26F9"/>
    <w:rsid w:val="00EF4043"/>
    <w:rsid w:val="00F022D4"/>
    <w:rsid w:val="00F062A4"/>
    <w:rsid w:val="00F1001E"/>
    <w:rsid w:val="00F21934"/>
    <w:rsid w:val="00F32AA4"/>
    <w:rsid w:val="00F53569"/>
    <w:rsid w:val="00F573CF"/>
    <w:rsid w:val="00F57A2B"/>
    <w:rsid w:val="00F60050"/>
    <w:rsid w:val="00F658E5"/>
    <w:rsid w:val="00F764F4"/>
    <w:rsid w:val="00F82676"/>
    <w:rsid w:val="00F86F49"/>
    <w:rsid w:val="00F90544"/>
    <w:rsid w:val="00F945CF"/>
    <w:rsid w:val="00F94DD6"/>
    <w:rsid w:val="00FA333E"/>
    <w:rsid w:val="00FA7B76"/>
    <w:rsid w:val="00FC544C"/>
    <w:rsid w:val="00FD2DF4"/>
    <w:rsid w:val="00FD5FD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martTagType w:namespaceuri="urn:schemas-microsoft-com:office:smarttags" w:name="dat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789025A"/>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8FB9-5518-4836-B0B2-8CBD6D0D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14027</Words>
  <Characters>79959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2019-12-12T17:45:00Z</dcterms:created>
  <dcterms:modified xsi:type="dcterms:W3CDTF">2019-12-12T17:45:00Z</dcterms:modified>
</cp:coreProperties>
</file>