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4C8A9" w14:textId="3F253A4F" w:rsidR="00CA41CC" w:rsidRPr="00914128" w:rsidRDefault="0068336D" w:rsidP="00914128">
      <w:pPr>
        <w:pStyle w:val="Heading1"/>
      </w:pPr>
      <w:bookmarkStart w:id="0" w:name="_GoBack"/>
      <w:bookmarkEnd w:id="0"/>
      <w:r>
        <w:t xml:space="preserve">CHAPTER </w:t>
      </w:r>
      <w:r w:rsidR="00E007F8">
        <w:t>12</w:t>
      </w:r>
    </w:p>
    <w:p w14:paraId="1E02F1A2" w14:textId="77777777" w:rsidR="00EC7C98" w:rsidRPr="00914128" w:rsidRDefault="00E007F8" w:rsidP="00914128">
      <w:pPr>
        <w:pStyle w:val="Heading1"/>
      </w:pPr>
      <w:r>
        <w:t>premises liability</w:t>
      </w:r>
    </w:p>
    <w:p w14:paraId="71FC9F74" w14:textId="77777777" w:rsidR="00E007F8" w:rsidRPr="0068336D" w:rsidRDefault="00D07170" w:rsidP="00E007F8">
      <w:pPr>
        <w:pStyle w:val="Heading1"/>
        <w:jc w:val="left"/>
        <w:rPr>
          <w:b w:val="0"/>
          <w:caps w:val="0"/>
        </w:rPr>
      </w:pPr>
      <w:hyperlink w:anchor="IntroNote" w:history="1">
        <w:r w:rsidR="00E007F8" w:rsidRPr="00E55147">
          <w:rPr>
            <w:rStyle w:val="Hyperlink"/>
            <w:b w:val="0"/>
            <w:caps w:val="0"/>
          </w:rPr>
          <w:t>Introductory Note</w:t>
        </w:r>
      </w:hyperlink>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7777777" w:rsidR="00EC7C98" w:rsidRDefault="00D07170" w:rsidP="00914128">
      <w:pPr>
        <w:pStyle w:val="ToC"/>
      </w:pPr>
      <w:hyperlink w:anchor="a12_01" w:history="1">
        <w:r w:rsidR="00E55147" w:rsidRPr="00BE6634">
          <w:rPr>
            <w:rStyle w:val="Hyperlink"/>
          </w:rPr>
          <w:t>12:1</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Trespasser Injured </w:t>
      </w:r>
      <w:r w:rsidR="00E50187">
        <w:t>on</w:t>
      </w:r>
      <w:r w:rsidR="00E55147" w:rsidRPr="00BE6634">
        <w:t xml:space="preserve"> Premises — Elements </w:t>
      </w:r>
      <w:r w:rsidR="00E55147">
        <w:t>of</w:t>
      </w:r>
      <w:r w:rsidR="00E55147" w:rsidRPr="00BE6634">
        <w:t xml:space="preserve"> Liability</w:t>
      </w:r>
    </w:p>
    <w:p w14:paraId="7A0E6187" w14:textId="77777777" w:rsidR="00BE6634" w:rsidRDefault="00D07170" w:rsidP="00914128">
      <w:pPr>
        <w:pStyle w:val="ToC"/>
      </w:pPr>
      <w:hyperlink w:anchor="a12_02" w:history="1">
        <w:r w:rsidR="00E55147" w:rsidRPr="00BE6634">
          <w:rPr>
            <w:rStyle w:val="Hyperlink"/>
          </w:rPr>
          <w:t>12:2</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Licensee Injured </w:t>
      </w:r>
      <w:r w:rsidR="00E50187">
        <w:t>on</w:t>
      </w:r>
      <w:r w:rsidR="00E55147" w:rsidRPr="00BE6634">
        <w:t xml:space="preserve"> Premises — Elements </w:t>
      </w:r>
      <w:r w:rsidR="00E55147">
        <w:t>of</w:t>
      </w:r>
      <w:r w:rsidR="00E55147" w:rsidRPr="00BE6634">
        <w:t xml:space="preserve"> Liability</w:t>
      </w:r>
    </w:p>
    <w:p w14:paraId="14C07B18" w14:textId="77777777" w:rsidR="00BE6634" w:rsidRDefault="00D07170" w:rsidP="00914128">
      <w:pPr>
        <w:pStyle w:val="ToC"/>
      </w:pPr>
      <w:hyperlink w:anchor="a12_03" w:history="1">
        <w:r w:rsidR="00E55147" w:rsidRPr="00BE6634">
          <w:rPr>
            <w:rStyle w:val="Hyperlink"/>
          </w:rPr>
          <w:t>12:3</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w:t>
      </w:r>
      <w:r w:rsidR="00E50187">
        <w:t>a</w:t>
      </w:r>
      <w:r w:rsidR="00E55147" w:rsidRPr="00BE6634">
        <w:t xml:space="preserve">n Invitee Injured </w:t>
      </w:r>
      <w:r w:rsidR="00E50187">
        <w:t>on</w:t>
      </w:r>
      <w:r w:rsidR="00E55147" w:rsidRPr="00BE6634">
        <w:t xml:space="preserve"> Premises — Elements </w:t>
      </w:r>
      <w:r w:rsidR="00E55147">
        <w:t>of</w:t>
      </w:r>
      <w:r w:rsidR="00E55147" w:rsidRPr="00BE6634">
        <w:t xml:space="preserve"> Liability</w:t>
      </w:r>
    </w:p>
    <w:p w14:paraId="373F15B8" w14:textId="77777777" w:rsidR="00BE6634" w:rsidRDefault="00D07170" w:rsidP="00914128">
      <w:pPr>
        <w:pStyle w:val="ToC"/>
      </w:pPr>
      <w:hyperlink w:anchor="a12_04" w:history="1">
        <w:r w:rsidR="00E55147" w:rsidRPr="00BE6634">
          <w:rPr>
            <w:rStyle w:val="Hyperlink"/>
          </w:rPr>
          <w:t>12:4</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Children Injured </w:t>
      </w:r>
      <w:r w:rsidR="00E50187">
        <w:t>on</w:t>
      </w:r>
      <w:r w:rsidR="00E55147" w:rsidRPr="00BE6634">
        <w:t xml:space="preserve"> Premises — Attractive Nuisance Doctrine — Elements </w:t>
      </w:r>
      <w:r w:rsidR="00E55147">
        <w:t>of</w:t>
      </w:r>
      <w:r w:rsidR="00E55147" w:rsidRPr="00BE6634">
        <w:t xml:space="preserve"> Liability</w:t>
      </w:r>
    </w:p>
    <w:p w14:paraId="0A31110F" w14:textId="77777777" w:rsidR="00BE6634" w:rsidRDefault="00D07170" w:rsidP="00914128">
      <w:pPr>
        <w:pStyle w:val="ToC"/>
      </w:pPr>
      <w:hyperlink w:anchor="a12_05" w:history="1">
        <w:r w:rsidR="00E55147" w:rsidRPr="00BE6634">
          <w:rPr>
            <w:rStyle w:val="Hyperlink"/>
          </w:rPr>
          <w:t>12:5</w:t>
        </w:r>
      </w:hyperlink>
      <w:r w:rsidR="00E55147" w:rsidRPr="00BE6634">
        <w:t xml:space="preserve"> </w:t>
      </w:r>
      <w:r w:rsidR="00E55147" w:rsidRPr="00BE6634">
        <w:tab/>
        <w:t xml:space="preserve">Attractive Nuisance Doctrine — Child Between 14 </w:t>
      </w:r>
      <w:r w:rsidR="00E50187">
        <w:t>and</w:t>
      </w:r>
      <w:r w:rsidR="00E55147" w:rsidRPr="00BE6634">
        <w:t xml:space="preserve"> 18 — Presumption </w:t>
      </w:r>
      <w:r w:rsidR="00E55147">
        <w:t>of</w:t>
      </w:r>
      <w:r w:rsidR="00E55147"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77777777" w:rsidR="00E007F8" w:rsidRDefault="00D07170" w:rsidP="00E007F8">
      <w:pPr>
        <w:pStyle w:val="ToC"/>
      </w:pPr>
      <w:hyperlink w:anchor="a12_06" w:history="1">
        <w:r w:rsidR="00E55147" w:rsidRPr="00BE6634">
          <w:rPr>
            <w:rStyle w:val="Hyperlink"/>
          </w:rPr>
          <w:t>12:6</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 — Elements </w:t>
      </w:r>
      <w:r w:rsidR="00E55147">
        <w:t>of</w:t>
      </w:r>
      <w:r w:rsidR="00E55147" w:rsidRPr="00BE6634">
        <w:t xml:space="preserve"> Liability</w:t>
      </w:r>
    </w:p>
    <w:p w14:paraId="4E87BF2C" w14:textId="77777777" w:rsidR="00BE6634" w:rsidRDefault="00D07170" w:rsidP="00E007F8">
      <w:pPr>
        <w:pStyle w:val="ToC"/>
      </w:pPr>
      <w:hyperlink w:anchor="a12_07" w:history="1">
        <w:r w:rsidR="00E55147" w:rsidRPr="00BE6634">
          <w:rPr>
            <w:rStyle w:val="Hyperlink"/>
          </w:rPr>
          <w:t>12:7</w:t>
        </w:r>
      </w:hyperlink>
      <w:r w:rsidR="00E55147" w:rsidRPr="00BE6634">
        <w:t xml:space="preserve"> </w:t>
      </w:r>
      <w:r w:rsidR="00E55147" w:rsidRPr="00BE6634">
        <w:tab/>
        <w:t xml:space="preserve">Duty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77777777" w:rsidR="00E007F8" w:rsidRDefault="00D07170" w:rsidP="00E007F8">
      <w:pPr>
        <w:pStyle w:val="ToC"/>
      </w:pPr>
      <w:hyperlink w:anchor="a12_08" w:history="1">
        <w:r w:rsidR="00E55147" w:rsidRPr="00BE6634">
          <w:rPr>
            <w:rStyle w:val="Hyperlink"/>
          </w:rPr>
          <w:t>12:8</w:t>
        </w:r>
      </w:hyperlink>
      <w:r w:rsidR="00E55147" w:rsidRPr="00BE6634">
        <w:t xml:space="preserve"> </w:t>
      </w:r>
      <w:r w:rsidR="00E55147" w:rsidRPr="00BE6634">
        <w:tab/>
        <w:t xml:space="preserve">No Implied Warranty </w:t>
      </w:r>
      <w:r w:rsidR="00E50187">
        <w:t>of</w:t>
      </w:r>
      <w:r w:rsidR="00E55147" w:rsidRPr="00BE6634">
        <w:t xml:space="preserve"> Fitness</w:t>
      </w:r>
    </w:p>
    <w:p w14:paraId="759B6C62" w14:textId="77777777" w:rsidR="00BE6634" w:rsidRDefault="00D07170" w:rsidP="00E007F8">
      <w:pPr>
        <w:pStyle w:val="ToC"/>
      </w:pPr>
      <w:hyperlink w:anchor="a12_09" w:history="1">
        <w:r w:rsidR="00E55147" w:rsidRPr="00BE6634">
          <w:rPr>
            <w:rStyle w:val="Hyperlink"/>
          </w:rPr>
          <w:t>12:9</w:t>
        </w:r>
      </w:hyperlink>
      <w:r w:rsidR="00E55147" w:rsidRPr="00BE6634">
        <w:t xml:space="preserve"> </w:t>
      </w:r>
      <w:r w:rsidR="00E55147" w:rsidRPr="00BE6634">
        <w:tab/>
        <w:t xml:space="preserve">Lessor’s Liability </w:t>
      </w:r>
      <w:r w:rsidR="00E50187">
        <w:t>for</w:t>
      </w:r>
      <w:r w:rsidR="00E55147" w:rsidRPr="00BE6634">
        <w:t xml:space="preserve"> Injury </w:t>
      </w:r>
      <w:r w:rsidR="00E50187">
        <w:t>from</w:t>
      </w:r>
      <w:r w:rsidR="00E55147" w:rsidRPr="00BE6634">
        <w:t xml:space="preserve"> Latent Defect</w:t>
      </w:r>
    </w:p>
    <w:p w14:paraId="6699DC84" w14:textId="77777777" w:rsidR="00BE6634" w:rsidRDefault="00D07170" w:rsidP="00E007F8">
      <w:pPr>
        <w:pStyle w:val="ToC"/>
      </w:pPr>
      <w:hyperlink w:anchor="a12_10" w:history="1">
        <w:r w:rsidR="00E55147" w:rsidRPr="00BE6634">
          <w:rPr>
            <w:rStyle w:val="Hyperlink"/>
          </w:rPr>
          <w:t>12:10</w:t>
        </w:r>
      </w:hyperlink>
      <w:r w:rsidR="00E55147" w:rsidRPr="00BE6634">
        <w:tab/>
        <w:t xml:space="preserve">Lessor’s Liability </w:t>
      </w:r>
      <w:r w:rsidR="00E50187">
        <w:t>for</w:t>
      </w:r>
      <w:r w:rsidR="00E55147" w:rsidRPr="00BE6634">
        <w:t xml:space="preserve"> Injury When Premises Leased </w:t>
      </w:r>
      <w:r w:rsidR="00E50187">
        <w:t>for</w:t>
      </w:r>
      <w:r w:rsidR="00E55147" w:rsidRPr="00BE6634">
        <w:t xml:space="preserve"> Public </w:t>
      </w:r>
      <w:r w:rsidR="00E50187">
        <w:t>or</w:t>
      </w:r>
      <w:r w:rsidR="00E55147" w:rsidRPr="00BE6634">
        <w:t xml:space="preserve"> Semi-Public Use </w:t>
      </w:r>
      <w:r w:rsidR="00E50187">
        <w:t>and</w:t>
      </w:r>
      <w:r w:rsidR="00E55147" w:rsidRPr="00BE6634">
        <w:t xml:space="preserve"> Were Defective </w:t>
      </w:r>
      <w:r w:rsidR="00E50187">
        <w:t>at</w:t>
      </w:r>
      <w:r w:rsidR="00E55147" w:rsidRPr="00BE6634">
        <w:t xml:space="preserve"> Time </w:t>
      </w:r>
      <w:r w:rsidR="00E50187">
        <w:t>of</w:t>
      </w:r>
      <w:r w:rsidR="00E55147" w:rsidRPr="00BE6634">
        <w:t xml:space="preserve"> Lease</w:t>
      </w:r>
    </w:p>
    <w:p w14:paraId="37ADA9F7" w14:textId="77777777" w:rsidR="00BE6634" w:rsidRDefault="00D07170" w:rsidP="00E007F8">
      <w:pPr>
        <w:pStyle w:val="ToC"/>
      </w:pPr>
      <w:hyperlink w:anchor="a12_11" w:history="1">
        <w:r w:rsidR="00E55147" w:rsidRPr="00BE6634">
          <w:rPr>
            <w:rStyle w:val="Hyperlink"/>
          </w:rPr>
          <w:t>12:11</w:t>
        </w:r>
      </w:hyperlink>
      <w:r w:rsidR="00E55147" w:rsidRPr="00BE6634">
        <w:tab/>
        <w:t xml:space="preserve">Lessor’s Liability </w:t>
      </w:r>
      <w:r w:rsidR="00A632A0">
        <w:t>as</w:t>
      </w:r>
      <w:r w:rsidR="00E55147" w:rsidRPr="00BE6634">
        <w:t xml:space="preserve"> Affected By Lessor’s Promise </w:t>
      </w:r>
      <w:r w:rsidR="00E50187">
        <w:t>to</w:t>
      </w:r>
      <w:r w:rsidR="00E55147" w:rsidRPr="00BE6634">
        <w:t xml:space="preserve"> Repair Premises</w:t>
      </w:r>
    </w:p>
    <w:p w14:paraId="1C5E45CB" w14:textId="77777777" w:rsidR="00BE6634" w:rsidRDefault="00D07170" w:rsidP="00E007F8">
      <w:pPr>
        <w:pStyle w:val="ToC"/>
      </w:pPr>
      <w:hyperlink w:anchor="a12_12" w:history="1">
        <w:r w:rsidR="00E55147" w:rsidRPr="00BE6634">
          <w:rPr>
            <w:rStyle w:val="Hyperlink"/>
          </w:rPr>
          <w:t>12:12</w:t>
        </w:r>
      </w:hyperlink>
      <w:r w:rsidR="00E55147" w:rsidRPr="00BE6634">
        <w:tab/>
        <w:t xml:space="preserve">Liability </w:t>
      </w:r>
      <w:r w:rsidR="00E50187">
        <w:t>of</w:t>
      </w:r>
      <w:r w:rsidR="00E55147" w:rsidRPr="00BE6634">
        <w:t xml:space="preserve"> Lessor Who Commences Repair </w:t>
      </w:r>
      <w:r w:rsidR="00E50187">
        <w:t>of</w:t>
      </w:r>
      <w:r w:rsidR="00E55147"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77777777" w:rsidR="00E007F8" w:rsidRDefault="00D07170" w:rsidP="00E007F8">
      <w:pPr>
        <w:pStyle w:val="ToC"/>
      </w:pPr>
      <w:hyperlink w:anchor="a12_13" w:history="1">
        <w:r w:rsidR="00E55147" w:rsidRPr="00BE6634">
          <w:rPr>
            <w:rStyle w:val="Hyperlink"/>
          </w:rPr>
          <w:t>12:13</w:t>
        </w:r>
      </w:hyperlink>
      <w:r w:rsidR="00F062A4">
        <w:tab/>
      </w:r>
      <w:r w:rsidR="00E55147" w:rsidRPr="00BE6634">
        <w:t xml:space="preserve">Amusement Devices </w:t>
      </w:r>
      <w:r w:rsidR="00E50187">
        <w:t>and</w:t>
      </w:r>
      <w:r w:rsidR="00E55147" w:rsidRPr="00BE6634">
        <w:t xml:space="preserve"> Ski Lifts — Duty </w:t>
      </w:r>
      <w:r w:rsidR="00E50187">
        <w:t>of</w:t>
      </w:r>
      <w:r w:rsidR="00E55147" w:rsidRPr="00BE6634">
        <w:t xml:space="preserve"> Care Where User Lacks Freedom </w:t>
      </w:r>
      <w:r w:rsidR="00E50187">
        <w:t>of</w:t>
      </w:r>
      <w:r w:rsidR="00E55147"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77777777" w:rsidR="00E007F8" w:rsidRDefault="00D07170" w:rsidP="00E007F8">
      <w:pPr>
        <w:pStyle w:val="ToC"/>
      </w:pPr>
      <w:hyperlink w:anchor="a12_14" w:history="1">
        <w:r w:rsidR="00E55147" w:rsidRPr="00BE6634">
          <w:rPr>
            <w:rStyle w:val="Hyperlink"/>
          </w:rPr>
          <w:t>12:14</w:t>
        </w:r>
      </w:hyperlink>
      <w:r w:rsidR="00E55147" w:rsidRPr="00BE6634">
        <w:tab/>
        <w:t xml:space="preserve">Landowner’s Right </w:t>
      </w:r>
      <w:r w:rsidR="00E50187">
        <w:t>to</w:t>
      </w:r>
      <w:r w:rsidR="00E55147" w:rsidRPr="00BE6634">
        <w:t xml:space="preserve"> Lateral </w:t>
      </w:r>
      <w:r w:rsidR="00E50187">
        <w:t>and</w:t>
      </w:r>
      <w:r w:rsidR="00E55147"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77777777" w:rsidR="00E007F8" w:rsidRDefault="00D07170" w:rsidP="00E007F8">
      <w:pPr>
        <w:pStyle w:val="ToC"/>
      </w:pPr>
      <w:hyperlink w:anchor="a12_15" w:history="1">
        <w:r w:rsidR="00E55147" w:rsidRPr="00BE6634">
          <w:rPr>
            <w:rStyle w:val="Hyperlink"/>
          </w:rPr>
          <w:t>12:15</w:t>
        </w:r>
      </w:hyperlink>
      <w:r w:rsidR="00E55147" w:rsidRPr="00BE6634">
        <w:tab/>
        <w:t>Colorado Governmental Immunity Act</w:t>
      </w:r>
    </w:p>
    <w:p w14:paraId="72CD21FB" w14:textId="77777777" w:rsidR="00BE6634" w:rsidRDefault="00D07170" w:rsidP="00E007F8">
      <w:pPr>
        <w:pStyle w:val="ToC"/>
      </w:pPr>
      <w:hyperlink w:anchor="a12_16" w:history="1">
        <w:r w:rsidR="00E55147" w:rsidRPr="00BE6634">
          <w:rPr>
            <w:rStyle w:val="Hyperlink"/>
          </w:rPr>
          <w:t>12:16</w:t>
        </w:r>
      </w:hyperlink>
      <w:r w:rsidR="00F062A4">
        <w:tab/>
      </w:r>
      <w:r w:rsidR="00E55147" w:rsidRPr="00BE6634">
        <w:t xml:space="preserve">Duty </w:t>
      </w:r>
      <w:r w:rsidR="00E50187">
        <w:t>of</w:t>
      </w:r>
      <w:r w:rsidR="00E55147" w:rsidRPr="00BE6634">
        <w:t xml:space="preserve"> Care By User </w:t>
      </w:r>
      <w:r w:rsidR="00E50187">
        <w:t>of</w:t>
      </w:r>
      <w:r w:rsidR="00E55147" w:rsidRPr="00BE6634">
        <w:t xml:space="preserve"> Public Way</w:t>
      </w:r>
    </w:p>
    <w:p w14:paraId="429D9118" w14:textId="77777777" w:rsidR="00BE6634" w:rsidRDefault="00D07170" w:rsidP="00E007F8">
      <w:pPr>
        <w:pStyle w:val="ToC"/>
      </w:pPr>
      <w:hyperlink w:anchor="a12_17" w:history="1">
        <w:r w:rsidR="00E55147" w:rsidRPr="00BE6634">
          <w:rPr>
            <w:rStyle w:val="Hyperlink"/>
          </w:rPr>
          <w:t>12:17</w:t>
        </w:r>
      </w:hyperlink>
      <w:r w:rsidR="00E55147" w:rsidRPr="00BE6634">
        <w:tab/>
        <w:t xml:space="preserve">Negligent Choice </w:t>
      </w:r>
      <w:r w:rsidR="00E50187">
        <w:t>of</w:t>
      </w:r>
      <w:r w:rsidR="00E55147"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77777777" w:rsidR="00B80FD1" w:rsidRDefault="00D07170" w:rsidP="0068336D">
      <w:pPr>
        <w:pStyle w:val="ToC"/>
      </w:pPr>
      <w:hyperlink w:anchor="a12_18" w:history="1">
        <w:r w:rsidR="00E55147" w:rsidRPr="00BE6634">
          <w:rPr>
            <w:rStyle w:val="Hyperlink"/>
          </w:rPr>
          <w:t>12:18</w:t>
        </w:r>
      </w:hyperlink>
      <w:r w:rsidR="00E55147" w:rsidRPr="00BE6634">
        <w:tab/>
        <w:t xml:space="preserve">Violation </w:t>
      </w:r>
      <w:r w:rsidR="00E50187">
        <w:t>of</w:t>
      </w:r>
      <w:r w:rsidR="00E55147" w:rsidRPr="00BE6634">
        <w:t xml:space="preserve"> Statute </w:t>
      </w:r>
      <w:r w:rsidR="00E50187">
        <w:t>or</w:t>
      </w:r>
      <w:r w:rsidR="00E55147" w:rsidRPr="00BE6634">
        <w:t xml:space="preserve"> Ordinance — Evidence </w:t>
      </w:r>
      <w:r w:rsidR="00E50187">
        <w:t>of</w:t>
      </w:r>
      <w:r w:rsidR="00E55147" w:rsidRPr="00BE6634">
        <w:t xml:space="preserve"> Failure </w:t>
      </w:r>
      <w:r w:rsidR="00E50187">
        <w:t>to</w:t>
      </w:r>
      <w:r w:rsidR="00E55147"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7E6FBBB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place">
        <w:smartTag w:uri="urn:schemas-microsoft-com:office:smarttags" w:element="Stat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Henderson v. Master Klean</w:t>
      </w:r>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p>
    <w:p w14:paraId="1F824217"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13-21-115(3). Under the statute, whether an injured party is a trespasser, licensee, or invitee must be determined by the trial court. The fact finder determines the ultimate issues of liability and damages. § 13-21-115(4).</w:t>
      </w:r>
    </w:p>
    <w:p w14:paraId="632E2CB8"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13-21-115(2),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persons injured on or off the premises. While these instructions are valid with respect to persons injured off the premises, because of the exclusive remedy provided by the premises liability statute, there is some question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Wilson v. Marchiondo</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an instruction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F concerns the liability of public entities for injuries on or off the premises. For injuries on the premises, the instructions in Part A are applicable and for injuries off the 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w:t>
      </w:r>
      <w:r w:rsidRPr="00E007F8">
        <w:rPr>
          <w:rFonts w:eastAsia="Times New Roman"/>
          <w:sz w:val="24"/>
          <w:szCs w:val="24"/>
        </w:rPr>
        <w:lastRenderedPageBreak/>
        <w:t xml:space="preserve">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10.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Volunteers of Am. Colo. Branch v. Gardenswartz</w:t>
      </w:r>
      <w:r w:rsidRPr="00E007F8">
        <w:rPr>
          <w:rFonts w:eastAsia="Times New Roman"/>
          <w:sz w:val="24"/>
          <w:szCs w:val="24"/>
        </w:rPr>
        <w:t xml:space="preserve">, 242 P.3d 1080 (Colo. 2010); </w:t>
      </w:r>
      <w:r w:rsidRPr="00E007F8">
        <w:rPr>
          <w:rFonts w:eastAsia="Times New Roman"/>
          <w:b/>
          <w:bCs/>
          <w:sz w:val="24"/>
          <w:szCs w:val="24"/>
        </w:rPr>
        <w:t>DeWitt v. Tara Woods Ltd. P’ship</w:t>
      </w:r>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2A0C9368" w14:textId="77777777" w:rsidR="00E007F8" w:rsidRDefault="00E007F8" w:rsidP="00E007F8">
      <w:pPr>
        <w:spacing w:after="240"/>
        <w:ind w:firstLine="720"/>
        <w:rPr>
          <w:rFonts w:eastAsia="Times New Roman"/>
          <w:sz w:val="24"/>
          <w:szCs w:val="24"/>
        </w:rPr>
      </w:pPr>
      <w:r w:rsidRPr="00E007F8">
        <w:rPr>
          <w:rFonts w:eastAsia="Times New Roman"/>
          <w:sz w:val="24"/>
          <w:szCs w:val="24"/>
        </w:rPr>
        <w:t xml:space="preserve">11.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2" w:name="a12_01"/>
      <w:bookmarkEnd w:id="2"/>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on (his) (her)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(losses).</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5E04052C"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w:t>
      </w:r>
      <w:r w:rsidR="00CE1336">
        <w:rPr>
          <w:rFonts w:eastAsia="Times New Roman"/>
          <w:b/>
          <w:sz w:val="24"/>
          <w:szCs w:val="24"/>
        </w:rPr>
        <w:t xml:space="preserve"> has</w:t>
      </w:r>
      <w:r w:rsidRPr="00AD4B56">
        <w:rPr>
          <w:rFonts w:eastAsia="Times New Roman"/>
          <w:b/>
          <w:sz w:val="24"/>
          <w:szCs w:val="24"/>
        </w:rPr>
        <w:t>) (any one or more of these affirmative defenses</w:t>
      </w:r>
      <w:r w:rsidR="00CE1336">
        <w:rPr>
          <w:rFonts w:eastAsia="Times New Roman"/>
          <w:b/>
          <w:sz w:val="24"/>
          <w:szCs w:val="24"/>
        </w:rPr>
        <w:t xml:space="preserve"> have</w:t>
      </w:r>
      <w:r w:rsidRPr="00AD4B56">
        <w:rPr>
          <w:rFonts w:eastAsia="Times New Roman"/>
          <w:b/>
          <w:sz w:val="24"/>
          <w:szCs w:val="24"/>
        </w:rPr>
        <w:t>) been proved by a preponderance of the evidence, then your verdict must be for the defendant.</w:t>
      </w:r>
    </w:p>
    <w:p w14:paraId="2F7F6B68" w14:textId="08DCFFD9"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w:t>
      </w:r>
      <w:r w:rsidR="00CE1336">
        <w:rPr>
          <w:rFonts w:eastAsia="Times New Roman"/>
          <w:b/>
          <w:sz w:val="24"/>
          <w:szCs w:val="24"/>
        </w:rPr>
        <w:t xml:space="preserve"> has not</w:t>
      </w:r>
      <w:r w:rsidRPr="00AD4B56">
        <w:rPr>
          <w:rFonts w:eastAsia="Times New Roman"/>
          <w:b/>
          <w:sz w:val="24"/>
          <w:szCs w:val="24"/>
        </w:rPr>
        <w:t>) (none of these affirmative defenses</w:t>
      </w:r>
      <w:r w:rsidR="00CE1336">
        <w:rPr>
          <w:rFonts w:eastAsia="Times New Roman"/>
          <w:b/>
          <w:sz w:val="24"/>
          <w:szCs w:val="24"/>
        </w:rPr>
        <w:t xml:space="preserve"> have</w:t>
      </w:r>
      <w:r w:rsidRPr="00AD4B56">
        <w:rPr>
          <w:rFonts w:eastAsia="Times New Roman"/>
          <w:b/>
          <w:sz w:val="24"/>
          <w:szCs w:val="24"/>
        </w:rPr>
        <w:t>)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9ADD49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condominium could </w:t>
      </w:r>
      <w:r w:rsidRPr="00AD4B56">
        <w:rPr>
          <w:rFonts w:eastAsia="Times New Roman"/>
          <w:sz w:val="24"/>
          <w:szCs w:val="24"/>
        </w:rPr>
        <w:lastRenderedPageBreak/>
        <w:t xml:space="preserve">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AD4B56">
        <w:rPr>
          <w:rFonts w:eastAsia="Times New Roman"/>
          <w:i/>
          <w:sz w:val="24"/>
          <w:szCs w:val="24"/>
        </w:rPr>
        <w:t>See</w:t>
      </w:r>
      <w:r w:rsidRPr="00AD4B56">
        <w:rPr>
          <w:rFonts w:eastAsia="Times New Roman"/>
          <w:sz w:val="24"/>
          <w:szCs w:val="24"/>
        </w:rPr>
        <w:t xml:space="preserve"> </w:t>
      </w:r>
      <w:r w:rsidRPr="00AD4B56">
        <w:rPr>
          <w:rFonts w:eastAsia="Times New Roman"/>
          <w:b/>
          <w:sz w:val="24"/>
          <w:szCs w:val="24"/>
        </w:rPr>
        <w:t>Pierson v. Black Canyon Aggregates, Inc.</w:t>
      </w:r>
      <w:r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Lucero v. Ulvestad</w:t>
      </w:r>
      <w:r w:rsidRPr="00AD4B56">
        <w:rPr>
          <w:rFonts w:eastAsia="Times New Roman"/>
          <w:sz w:val="24"/>
          <w:szCs w:val="24"/>
        </w:rPr>
        <w:t>, 2015 COA 98, ¶¶ 23-28</w:t>
      </w:r>
      <w:r w:rsidR="00517CE6">
        <w:rPr>
          <w:rFonts w:eastAsia="Times New Roman"/>
          <w:sz w:val="24"/>
          <w:szCs w:val="24"/>
        </w:rPr>
        <w:t>, 411 P.3d 949</w:t>
      </w:r>
      <w:r w:rsidRPr="00AD4B56">
        <w:rPr>
          <w:rFonts w:eastAsia="Times New Roman"/>
          <w:sz w:val="24"/>
          <w:szCs w:val="24"/>
        </w:rPr>
        <w:t xml:space="preserve"> (based on language in installment land contract, seller was not a “landowner”); </w:t>
      </w:r>
      <w:r w:rsidRPr="00AD4B56">
        <w:rPr>
          <w:rFonts w:eastAsia="Times New Roman"/>
          <w:b/>
          <w:sz w:val="24"/>
          <w:szCs w:val="24"/>
        </w:rPr>
        <w:t>Jordan v. Panorama Orthopedics &amp; Spine Ctr., PC</w:t>
      </w:r>
      <w:r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 v. Vista Paving Corp.</w:t>
      </w:r>
      <w:r w:rsidRPr="00AD4B56">
        <w:rPr>
          <w:rFonts w:eastAsia="Times New Roman"/>
          <w:sz w:val="24"/>
          <w:szCs w:val="24"/>
        </w:rPr>
        <w:t xml:space="preserve">, 2012 COA 208, ¶ 25, 292 P.3d 1232 (road contractor ceased to be “landowner” over project when the city accepted the project as finished);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 xml:space="preserve">Andrade v. Johnson, </w:t>
      </w:r>
      <w:r w:rsidRPr="00AD4B56">
        <w:rPr>
          <w:rFonts w:eastAsia="Times New Roman"/>
          <w:sz w:val="24"/>
          <w:szCs w:val="24"/>
        </w:rPr>
        <w:t>2016 COA 147</w:t>
      </w:r>
      <w:r w:rsidRPr="004A15C1">
        <w:rPr>
          <w:rFonts w:eastAsia="Times New Roman"/>
          <w:sz w:val="24"/>
          <w:szCs w:val="24"/>
        </w:rPr>
        <w:t xml:space="preserve">, </w:t>
      </w:r>
      <w:r w:rsidRPr="00AD4B56">
        <w:rPr>
          <w:rFonts w:eastAsia="Times New Roman"/>
          <w:sz w:val="24"/>
          <w:szCs w:val="24"/>
        </w:rPr>
        <w:t>¶ 19</w:t>
      </w:r>
      <w:r w:rsidR="00517CE6">
        <w:rPr>
          <w:rFonts w:eastAsia="Times New Roman"/>
          <w:sz w:val="24"/>
          <w:szCs w:val="24"/>
        </w:rPr>
        <w:t>, 409 P.3d 582</w:t>
      </w:r>
      <w:r w:rsidRPr="00AD4B56">
        <w:rPr>
          <w:rFonts w:eastAsia="Times New Roman"/>
          <w:sz w:val="24"/>
          <w:szCs w:val="24"/>
        </w:rPr>
        <w:t xml:space="preserve"> (homeowner is not landowner of public sidewalk adjacent to property);</w:t>
      </w:r>
      <w:r w:rsidRPr="00AD4B56">
        <w:rPr>
          <w:rFonts w:eastAsia="Times New Roman"/>
          <w:b/>
          <w:sz w:val="24"/>
          <w:szCs w:val="24"/>
        </w:rPr>
        <w:t xml:space="preserve"> Burbach v. Canwest Invs., LLC</w:t>
      </w:r>
      <w:r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AD4B56">
        <w:rPr>
          <w:rFonts w:eastAsia="Times New Roman"/>
          <w:b/>
          <w:sz w:val="24"/>
          <w:szCs w:val="24"/>
        </w:rPr>
        <w:t xml:space="preserve"> Henderson v. Master Klean Janitorial, Inc.</w:t>
      </w:r>
      <w:r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AD4B56">
        <w:rPr>
          <w:rFonts w:eastAsia="Times New Roman"/>
          <w:b/>
          <w:sz w:val="24"/>
          <w:szCs w:val="24"/>
        </w:rPr>
        <w:t>Nordin v. Madden</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 xml:space="preserve">148 P.3d 218 (Colo. App. 2006). </w:t>
      </w:r>
      <w:r w:rsidRPr="00AD4B56">
        <w:rPr>
          <w:rFonts w:eastAsia="Times New Roman"/>
          <w:i/>
          <w:sz w:val="24"/>
          <w:szCs w:val="24"/>
        </w:rPr>
        <w:t>See also</w:t>
      </w:r>
      <w:r w:rsidRPr="00AD4B56">
        <w:rPr>
          <w:rFonts w:eastAsia="Times New Roman"/>
          <w:b/>
          <w:sz w:val="24"/>
          <w:szCs w:val="24"/>
        </w:rPr>
        <w:t xml:space="preserve"> Land-Wells v. Rain Way Sprinkler &amp; Landscape, LLC</w:t>
      </w:r>
      <w:r w:rsidRPr="00AD4B56">
        <w:rPr>
          <w:rFonts w:eastAsia="Times New Roman"/>
          <w:sz w:val="24"/>
          <w:szCs w:val="24"/>
        </w:rPr>
        <w:t>, 187 P.3d 1152 (Colo. App. 2008).</w:t>
      </w:r>
    </w:p>
    <w:p w14:paraId="2CC1881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AD4B56">
        <w:rPr>
          <w:rFonts w:eastAsia="Times New Roman"/>
          <w:b/>
          <w:sz w:val="24"/>
          <w:szCs w:val="24"/>
        </w:rPr>
        <w:t>Union Pac. R.R. v. Martin</w:t>
      </w:r>
      <w:r w:rsidRPr="00AD4B56">
        <w:rPr>
          <w:rFonts w:eastAsia="Times New Roman"/>
          <w:sz w:val="24"/>
          <w:szCs w:val="24"/>
        </w:rPr>
        <w:t xml:space="preserve">, 209 P.3d 185 (Colo. 2009); </w:t>
      </w:r>
      <w:r w:rsidRPr="00AD4B56">
        <w:rPr>
          <w:rFonts w:eastAsia="Times New Roman"/>
          <w:i/>
          <w:iCs/>
          <w:sz w:val="24"/>
          <w:szCs w:val="24"/>
        </w:rPr>
        <w:t xml:space="preserve">see also </w:t>
      </w:r>
      <w:r w:rsidRPr="00AD4B56">
        <w:rPr>
          <w:rFonts w:eastAsia="Times New Roman"/>
          <w:b/>
          <w:sz w:val="24"/>
          <w:szCs w:val="24"/>
        </w:rPr>
        <w:t>Reid v. Berkowitz</w:t>
      </w:r>
      <w:r w:rsidRPr="00AD4B56">
        <w:rPr>
          <w:rFonts w:eastAsia="Times New Roman"/>
          <w:sz w:val="24"/>
          <w:szCs w:val="24"/>
        </w:rPr>
        <w:t xml:space="preserve">, 2013 COA 110M, ¶ 67, 315 P.3d 185 (remanding premises liability case to determine plaintiff’s comparative negligence); </w:t>
      </w:r>
      <w:r w:rsidRPr="00AD4B56">
        <w:rPr>
          <w:rFonts w:eastAsia="Times New Roman"/>
          <w:b/>
          <w:bCs/>
          <w:sz w:val="24"/>
          <w:szCs w:val="24"/>
        </w:rPr>
        <w:t>Tucker v. Volunteers of Am. Colo. Branch</w:t>
      </w:r>
      <w:r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Pr="00AD4B56">
        <w:rPr>
          <w:rFonts w:eastAsia="Times New Roman"/>
          <w:i/>
          <w:sz w:val="24"/>
          <w:szCs w:val="24"/>
        </w:rPr>
        <w:t>aff’d on other grounds sub nom.</w:t>
      </w:r>
      <w:r w:rsidRPr="00AD4B56">
        <w:rPr>
          <w:rFonts w:eastAsia="Times New Roman"/>
          <w:sz w:val="24"/>
          <w:szCs w:val="24"/>
        </w:rPr>
        <w:t xml:space="preserve"> </w:t>
      </w:r>
      <w:r w:rsidRPr="00AD4B56">
        <w:rPr>
          <w:rFonts w:eastAsia="Times New Roman"/>
          <w:b/>
          <w:sz w:val="24"/>
          <w:szCs w:val="24"/>
        </w:rPr>
        <w:t>Volunteers of Am. Colo. Branch v. Gardenswartz</w:t>
      </w:r>
      <w:r w:rsidRPr="00AD4B56">
        <w:rPr>
          <w:rFonts w:eastAsia="Times New Roman"/>
          <w:sz w:val="24"/>
          <w:szCs w:val="24"/>
        </w:rPr>
        <w:t xml:space="preserve">, 242 P.3d 1080 (Colo. 2010); </w:t>
      </w:r>
      <w:r w:rsidRPr="00AD4B56">
        <w:rPr>
          <w:rFonts w:eastAsia="Times New Roman"/>
          <w:b/>
          <w:bCs/>
          <w:sz w:val="24"/>
          <w:szCs w:val="24"/>
        </w:rPr>
        <w:t>DeWitt v. Tara Woods Ltd. P’ship</w:t>
      </w:r>
      <w:r w:rsidRPr="00AD4B56">
        <w:rPr>
          <w:rFonts w:eastAsia="Times New Roman"/>
          <w:sz w:val="24"/>
          <w:szCs w:val="24"/>
        </w:rPr>
        <w:t xml:space="preserve">, 214 P.3d 466 (Colo. App. 2008) (same); </w:t>
      </w:r>
      <w:r w:rsidRPr="00AD4B56">
        <w:rPr>
          <w:rFonts w:eastAsia="Times New Roman"/>
          <w:b/>
          <w:sz w:val="24"/>
          <w:szCs w:val="24"/>
        </w:rPr>
        <w:t>Paris ex rel. Paris v. Dance</w:t>
      </w:r>
      <w:r w:rsidRPr="00AD4B56">
        <w:rPr>
          <w:rFonts w:eastAsia="Times New Roman"/>
          <w:sz w:val="24"/>
          <w:szCs w:val="24"/>
        </w:rPr>
        <w:t>, 194 P.3d 404 (Colo. App. 2008) (nonparty mother’s fault properly considered in dog bite case under premises liability statute).</w:t>
      </w:r>
    </w:p>
    <w:p w14:paraId="178D942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3. Omit any numbered paragraph the facts of which are not in dispute, and make such other changes as are necessary in such circumstances to make the instruction understandable.</w:t>
      </w:r>
    </w:p>
    <w:p w14:paraId="2D7A24F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41E8EE6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Because liability under this instruction depends on what amounts to intentional conduct, contributory negligence on the plaintiff’s part would appear not to be a defense. </w:t>
      </w:r>
      <w:r w:rsidRPr="00AD4B56">
        <w:rPr>
          <w:rFonts w:eastAsia="Times New Roman"/>
          <w:i/>
          <w:sz w:val="24"/>
          <w:szCs w:val="24"/>
        </w:rPr>
        <w:t xml:space="preserve">See </w:t>
      </w:r>
      <w:r w:rsidRPr="00AD4B56">
        <w:rPr>
          <w:rFonts w:eastAsia="Times New Roman"/>
          <w:b/>
          <w:sz w:val="24"/>
          <w:szCs w:val="24"/>
        </w:rPr>
        <w:t>Carman v. Heber</w:t>
      </w:r>
      <w:r w:rsidRPr="00AD4B56">
        <w:rPr>
          <w:rFonts w:eastAsia="Times New Roman"/>
          <w:sz w:val="24"/>
          <w:szCs w:val="24"/>
        </w:rPr>
        <w:t>, 43 Colo. App. 5, 601 P.2d 646 (1979).</w:t>
      </w:r>
    </w:p>
    <w:p w14:paraId="200F852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6. Though mitigation of damages is an affirmative defense, </w:t>
      </w:r>
      <w:r w:rsidRPr="00AD4B56">
        <w:rPr>
          <w:rFonts w:eastAsia="Times New Roman"/>
          <w:i/>
          <w:sz w:val="24"/>
          <w:szCs w:val="24"/>
        </w:rPr>
        <w:t>see</w:t>
      </w:r>
      <w:r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E73A31A"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7. For the appropriate instructions relating to causation, see Instructions 9:18 to 9:21.</w:t>
      </w:r>
    </w:p>
    <w:p w14:paraId="0544DAF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8. No further definition of the statutory words “willfully” and “deliberately” has been prepared, the words alone being sufficient to convey their meaning.</w:t>
      </w:r>
    </w:p>
    <w:p w14:paraId="3D8FEF6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9. In certain cases, if evidence is sufficient, the plaintiff may be entitled to have the case submitted to the jury on the alternative or additional theory of attractive nuisance. </w:t>
      </w:r>
      <w:r w:rsidRPr="00AD4B56">
        <w:rPr>
          <w:rFonts w:eastAsia="Times New Roman"/>
          <w:i/>
          <w:sz w:val="24"/>
          <w:szCs w:val="24"/>
        </w:rPr>
        <w:t>See</w:t>
      </w:r>
      <w:r w:rsidRPr="00AD4B56">
        <w:rPr>
          <w:rFonts w:eastAsia="Times New Roman"/>
          <w:sz w:val="24"/>
          <w:szCs w:val="24"/>
        </w:rPr>
        <w:t xml:space="preserve"> Instructions 12:4 &amp; 12:5.</w:t>
      </w:r>
    </w:p>
    <w:p w14:paraId="55DFD719"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10. Because under section 13-21-115(4), it is for the court and not for the jury to determine whether the person injured on the premises was a trespasser, a licensee, or an invitee, as defined in section 13-21-115(5) (quoted below in Source and Authority), it is not necessary to use the word “trespasser” in this instruction nor to provide the jury with its statutory definition.</w:t>
      </w:r>
    </w:p>
    <w:p w14:paraId="074BB90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11. The premises liability statute only applies if the injury occurs on the real property of another. § 13-21-115(2); </w:t>
      </w:r>
      <w:r w:rsidRPr="00AD4B56">
        <w:rPr>
          <w:rFonts w:eastAsia="Times New Roman"/>
          <w:b/>
          <w:sz w:val="24"/>
          <w:szCs w:val="24"/>
        </w:rPr>
        <w:t>Trailside Townhome Ass’n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xml:space="preserve">, 2012 COA 208, ¶ 25 (road contractor ceased to be “landowner” over project when the city reassumed responsibility for the conditions and physical control over the site); </w:t>
      </w:r>
      <w:r w:rsidRPr="00AD4B56">
        <w:rPr>
          <w:rFonts w:eastAsia="Times New Roman"/>
          <w:b/>
          <w:sz w:val="24"/>
          <w:szCs w:val="24"/>
        </w:rPr>
        <w:t>deBoer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12.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13.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 in particular, section 13-21-115(3)(a),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13-21-115(4), provides:</w:t>
      </w:r>
    </w:p>
    <w:p w14:paraId="087689E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46955901"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13-21-115(5), provides:</w:t>
      </w:r>
    </w:p>
    <w:p w14:paraId="6A845F6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As used in this section:</w:t>
      </w:r>
    </w:p>
    <w:p w14:paraId="734C6BF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 </w:t>
      </w:r>
    </w:p>
    <w:p w14:paraId="55D717D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37BA214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(c) “Trespasser” means a person who enters or remains on the land of another without the landowner’s consent. </w:t>
      </w:r>
    </w:p>
    <w:p w14:paraId="7A9B143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2. For cases discussing the distinction between invitees, licensees, and trespassers, see </w:t>
      </w:r>
      <w:r w:rsidRPr="00AD4B56">
        <w:rPr>
          <w:rFonts w:eastAsia="Times New Roman"/>
          <w:b/>
          <w:sz w:val="24"/>
          <w:szCs w:val="24"/>
        </w:rPr>
        <w:t>Rucker v. Federal National Mortgage Ass’n</w:t>
      </w:r>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r w:rsidRPr="00AD4B56">
        <w:rPr>
          <w:rFonts w:eastAsia="Times New Roman"/>
          <w:i/>
          <w:sz w:val="24"/>
          <w:szCs w:val="24"/>
        </w:rPr>
        <w:t>rev’d on other grounds</w:t>
      </w:r>
      <w:r w:rsidRPr="00AD4B56">
        <w:rPr>
          <w:rFonts w:eastAsia="Times New Roman"/>
          <w:sz w:val="24"/>
          <w:szCs w:val="24"/>
        </w:rPr>
        <w:t xml:space="preserve">, 103 P.3d 322 (Colo. 2004). </w:t>
      </w:r>
      <w:r w:rsidRPr="00AD4B56">
        <w:rPr>
          <w:rFonts w:eastAsia="Times New Roman"/>
          <w:i/>
          <w:sz w:val="24"/>
          <w:szCs w:val="24"/>
        </w:rPr>
        <w:t xml:space="preserve">See also </w:t>
      </w:r>
      <w:r w:rsidRPr="00AD4B56">
        <w:rPr>
          <w:rFonts w:eastAsia="Times New Roman"/>
          <w:b/>
          <w:sz w:val="24"/>
          <w:szCs w:val="24"/>
        </w:rPr>
        <w:t>Tancrede</w:t>
      </w:r>
      <w:r w:rsidRPr="00AD4B56">
        <w:rPr>
          <w:rFonts w:eastAsia="Times New Roman"/>
          <w:sz w:val="24"/>
          <w:szCs w:val="24"/>
        </w:rPr>
        <w:t>, 2017 COA 36, ¶ 15 (holding motor vehicle passenger was a trespasser on private property and had to allege willful and deliberate conduct).</w:t>
      </w: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4. For a statutory limitation on the liability of landowners who, without charge, invite or allow others to use their property for recreational purposes, see sections 33-41-101 to -106, C.R.S. </w:t>
      </w:r>
    </w:p>
    <w:p w14:paraId="420DCB7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 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3" w:name="a12_02"/>
      <w:bookmarkEnd w:id="3"/>
      <w:r w:rsidRPr="000C204E">
        <w:rPr>
          <w:rFonts w:eastAsia="Times New Roman"/>
          <w:b/>
          <w:sz w:val="24"/>
          <w:szCs w:val="24"/>
        </w:rPr>
        <w:lastRenderedPageBreak/>
        <w:t xml:space="preserve">12:2 </w:t>
      </w:r>
      <w:r w:rsidRPr="000C204E">
        <w:rPr>
          <w:rFonts w:eastAsia="Times New Roman"/>
          <w:b/>
          <w:sz w:val="24"/>
          <w:szCs w:val="24"/>
        </w:rPr>
        <w:tab/>
        <w:t>LIABILITY OF OWNER OR OCCUPANT TO A LICENSEE INJURED ON PREMISES — ELEMENTS OF LIABILITY</w:t>
      </w:r>
    </w:p>
    <w:p w14:paraId="11A2664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on (his) (her)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(a) (failed to use reasonable care with respect to a danger on the property which (1) [he] [she] created and (2) [he] [she] actually knew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77777777"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[he] [she] did not create, (2) but which [he] [she] actually knew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(losses).</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214FE2BA"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w:t>
      </w:r>
      <w:r w:rsidR="00CE1336">
        <w:rPr>
          <w:rFonts w:eastAsia="Times New Roman"/>
          <w:b/>
          <w:sz w:val="24"/>
          <w:szCs w:val="24"/>
        </w:rPr>
        <w:t xml:space="preserve"> has</w:t>
      </w:r>
      <w:r w:rsidRPr="000C204E">
        <w:rPr>
          <w:rFonts w:eastAsia="Times New Roman"/>
          <w:b/>
          <w:sz w:val="24"/>
          <w:szCs w:val="24"/>
        </w:rPr>
        <w:t>) (any one or more of these affirmative defenses</w:t>
      </w:r>
      <w:r w:rsidR="00CE1336">
        <w:rPr>
          <w:rFonts w:eastAsia="Times New Roman"/>
          <w:b/>
          <w:sz w:val="24"/>
          <w:szCs w:val="24"/>
        </w:rPr>
        <w:t xml:space="preserve"> have</w:t>
      </w:r>
      <w:r w:rsidRPr="000C204E">
        <w:rPr>
          <w:rFonts w:eastAsia="Times New Roman"/>
          <w:b/>
          <w:sz w:val="24"/>
          <w:szCs w:val="24"/>
        </w:rPr>
        <w:t>) been proved by a preponderance of the evidence, then your verdict must be for the defendant.</w:t>
      </w:r>
    </w:p>
    <w:p w14:paraId="0271EDC5" w14:textId="10B9CA92"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w:t>
      </w:r>
      <w:r w:rsidR="00CE1336">
        <w:rPr>
          <w:rFonts w:eastAsia="Times New Roman"/>
          <w:b/>
          <w:sz w:val="24"/>
          <w:szCs w:val="24"/>
        </w:rPr>
        <w:t xml:space="preserve"> has not</w:t>
      </w:r>
      <w:r w:rsidRPr="000C204E">
        <w:rPr>
          <w:rFonts w:eastAsia="Times New Roman"/>
          <w:b/>
          <w:sz w:val="24"/>
          <w:szCs w:val="24"/>
        </w:rPr>
        <w:t>) (none of these affirmative defenses</w:t>
      </w:r>
      <w:r w:rsidR="00CE1336">
        <w:rPr>
          <w:rFonts w:eastAsia="Times New Roman"/>
          <w:b/>
          <w:sz w:val="24"/>
          <w:szCs w:val="24"/>
        </w:rPr>
        <w:t xml:space="preserve"> have</w:t>
      </w:r>
      <w:r w:rsidRPr="000C204E">
        <w:rPr>
          <w:rFonts w:eastAsia="Times New Roman"/>
          <w:b/>
          <w:sz w:val="24"/>
          <w:szCs w:val="24"/>
        </w:rPr>
        <w:t>)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55BF8E2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w:t>
      </w:r>
      <w:r w:rsidRPr="000C204E">
        <w:rPr>
          <w:rFonts w:eastAsia="Times New Roman"/>
          <w:sz w:val="24"/>
          <w:szCs w:val="24"/>
        </w:rPr>
        <w:lastRenderedPageBreak/>
        <w:t xml:space="preserve">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xml:space="preserve">,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0C204E">
        <w:rPr>
          <w:rFonts w:eastAsia="Times New Roman"/>
          <w:i/>
          <w:sz w:val="24"/>
          <w:szCs w:val="24"/>
        </w:rPr>
        <w:t>See</w:t>
      </w:r>
      <w:r w:rsidRPr="000C204E">
        <w:rPr>
          <w:rFonts w:eastAsia="Times New Roman"/>
          <w:sz w:val="24"/>
          <w:szCs w:val="24"/>
        </w:rPr>
        <w:t xml:space="preserve"> </w:t>
      </w:r>
      <w:r w:rsidRPr="000C204E">
        <w:rPr>
          <w:rFonts w:eastAsia="Times New Roman"/>
          <w:b/>
          <w:sz w:val="24"/>
          <w:szCs w:val="24"/>
        </w:rPr>
        <w:t>Pierson v. Black Canyon Aggregates, Inc.</w:t>
      </w:r>
      <w:r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Lucero v. Ulvestad</w:t>
      </w:r>
      <w:r w:rsidRPr="000C204E">
        <w:rPr>
          <w:rFonts w:eastAsia="Times New Roman"/>
          <w:sz w:val="24"/>
          <w:szCs w:val="24"/>
        </w:rPr>
        <w:t>, 2015 COA 98, ¶¶ 23-28</w:t>
      </w:r>
      <w:r w:rsidR="00517CE6">
        <w:rPr>
          <w:rFonts w:eastAsia="Times New Roman"/>
          <w:sz w:val="24"/>
          <w:szCs w:val="24"/>
        </w:rPr>
        <w:t>, 411 P.3d 949</w:t>
      </w:r>
      <w:r w:rsidRPr="000C204E">
        <w:rPr>
          <w:rFonts w:eastAsia="Times New Roman"/>
          <w:sz w:val="24"/>
          <w:szCs w:val="24"/>
        </w:rPr>
        <w:t xml:space="preserve"> (based on language in installment land contract, seller was not a “landowner”); </w:t>
      </w:r>
      <w:r w:rsidRPr="000C204E">
        <w:rPr>
          <w:rFonts w:eastAsia="Times New Roman"/>
          <w:b/>
          <w:sz w:val="24"/>
          <w:szCs w:val="24"/>
        </w:rPr>
        <w:t>Jordan v. Panorama Orthopedics &amp; Spine Ctr., PC</w:t>
      </w:r>
      <w:r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 v. Vista Paving Corp.</w:t>
      </w:r>
      <w:r w:rsidRPr="000C204E">
        <w:rPr>
          <w:rFonts w:eastAsia="Times New Roman"/>
          <w:sz w:val="24"/>
          <w:szCs w:val="24"/>
        </w:rPr>
        <w:t xml:space="preserve">, 2012 COA 208, ¶ 25, 292 P.3d 1232 (road contractor ceased to be “landowner” over project when the city accepted the project as finished);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 xml:space="preserve">Andrade v. Johnson, </w:t>
      </w:r>
      <w:r w:rsidRPr="000C204E">
        <w:rPr>
          <w:rFonts w:eastAsia="Times New Roman"/>
          <w:sz w:val="24"/>
          <w:szCs w:val="24"/>
        </w:rPr>
        <w:t>2016 COA 147</w:t>
      </w:r>
      <w:r w:rsidRPr="004A15C1">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19</w:t>
      </w:r>
      <w:r w:rsidR="00517CE6">
        <w:rPr>
          <w:rFonts w:eastAsia="Times New Roman"/>
          <w:sz w:val="24"/>
          <w:szCs w:val="24"/>
        </w:rPr>
        <w:t>, 409 P.3d 582</w:t>
      </w:r>
      <w:r w:rsidRPr="000C204E">
        <w:rPr>
          <w:rFonts w:eastAsia="Times New Roman"/>
          <w:sz w:val="24"/>
          <w:szCs w:val="24"/>
        </w:rPr>
        <w:t xml:space="preserve"> (homeowner is not landowner of public sidewalk adjacent to property);</w:t>
      </w:r>
      <w:r w:rsidRPr="000C204E">
        <w:rPr>
          <w:rFonts w:eastAsia="Times New Roman"/>
          <w:b/>
          <w:sz w:val="24"/>
          <w:szCs w:val="24"/>
        </w:rPr>
        <w:t xml:space="preserve"> Burbach v. Canwest Invs., LLC</w:t>
      </w:r>
      <w:r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0C204E">
        <w:rPr>
          <w:rFonts w:eastAsia="Times New Roman"/>
          <w:b/>
          <w:sz w:val="24"/>
          <w:szCs w:val="24"/>
        </w:rPr>
        <w:t xml:space="preserve"> Henderson v. Master Klean Janitorial, Inc.</w:t>
      </w:r>
      <w:r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0C204E">
        <w:rPr>
          <w:rFonts w:eastAsia="Times New Roman"/>
          <w:b/>
          <w:sz w:val="24"/>
          <w:szCs w:val="24"/>
        </w:rPr>
        <w:t>Nordin v. Madden</w:t>
      </w:r>
      <w:r w:rsidRPr="000C204E">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xml:space="preserve">148 P.3d 218 (Colo. App. 2006). </w:t>
      </w:r>
      <w:r w:rsidRPr="000C204E">
        <w:rPr>
          <w:rFonts w:eastAsia="Times New Roman"/>
          <w:i/>
          <w:sz w:val="24"/>
          <w:szCs w:val="24"/>
        </w:rPr>
        <w:t>See also</w:t>
      </w:r>
      <w:r w:rsidRPr="000C204E">
        <w:rPr>
          <w:rFonts w:eastAsia="Times New Roman"/>
          <w:b/>
          <w:sz w:val="24"/>
          <w:szCs w:val="24"/>
        </w:rPr>
        <w:t xml:space="preserve"> Land-Wells v. Rain Way Sprinkler &amp; Landscape, LLC</w:t>
      </w:r>
      <w:r w:rsidRPr="000C204E">
        <w:rPr>
          <w:rFonts w:eastAsia="Times New Roman"/>
          <w:sz w:val="24"/>
          <w:szCs w:val="24"/>
        </w:rPr>
        <w:t>, 187 P.3d 1152 (Colo. App. 2008).</w:t>
      </w:r>
    </w:p>
    <w:p w14:paraId="30BD0C24"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0C204E">
        <w:rPr>
          <w:rFonts w:eastAsia="Times New Roman"/>
          <w:b/>
          <w:sz w:val="24"/>
          <w:szCs w:val="24"/>
        </w:rPr>
        <w:t>Union Pac. R.R. v. Martin</w:t>
      </w:r>
      <w:r w:rsidRPr="000C204E">
        <w:rPr>
          <w:rFonts w:eastAsia="Times New Roman"/>
          <w:sz w:val="24"/>
          <w:szCs w:val="24"/>
        </w:rPr>
        <w:t xml:space="preserve">, 209 P.3d 185 (Colo. 2009); </w:t>
      </w:r>
      <w:r w:rsidRPr="000C204E">
        <w:rPr>
          <w:rFonts w:eastAsia="Times New Roman"/>
          <w:i/>
          <w:iCs/>
          <w:sz w:val="24"/>
          <w:szCs w:val="24"/>
        </w:rPr>
        <w:t xml:space="preserve">see also </w:t>
      </w:r>
      <w:r w:rsidRPr="000C204E">
        <w:rPr>
          <w:rFonts w:eastAsia="Times New Roman"/>
          <w:b/>
          <w:sz w:val="24"/>
          <w:szCs w:val="24"/>
        </w:rPr>
        <w:t>Reid v. Berkowitz</w:t>
      </w:r>
      <w:r w:rsidRPr="000C204E">
        <w:rPr>
          <w:rFonts w:eastAsia="Times New Roman"/>
          <w:sz w:val="24"/>
          <w:szCs w:val="24"/>
        </w:rPr>
        <w:t xml:space="preserve">, 2013 COA 110M, ¶ 67, 315 P.3d 185 (remanding premises liability case to determine plaintiff’s comparative negligence); </w:t>
      </w:r>
      <w:r w:rsidRPr="000C204E">
        <w:rPr>
          <w:rFonts w:eastAsia="Times New Roman"/>
          <w:b/>
          <w:bCs/>
          <w:sz w:val="24"/>
          <w:szCs w:val="24"/>
        </w:rPr>
        <w:t>Tucker v. Volunteers of Am. Colo. Branch</w:t>
      </w:r>
      <w:r w:rsidRPr="000C204E">
        <w:rPr>
          <w:rFonts w:eastAsia="Times New Roman"/>
          <w:sz w:val="24"/>
          <w:szCs w:val="24"/>
        </w:rPr>
        <w:t xml:space="preserve">, 211 P.3d 708 (Colo. App. 2008) (both before and after the 2006 amendment, defenses of comparative negligence and assumption of risk could be asserted in premises liability claim), </w:t>
      </w:r>
      <w:r w:rsidRPr="000C204E">
        <w:rPr>
          <w:rFonts w:eastAsia="Times New Roman"/>
          <w:i/>
          <w:sz w:val="24"/>
          <w:szCs w:val="24"/>
        </w:rPr>
        <w:t>aff’d on other grounds sub nom.</w:t>
      </w:r>
      <w:r w:rsidRPr="000C204E">
        <w:rPr>
          <w:rFonts w:eastAsia="Times New Roman"/>
          <w:sz w:val="24"/>
          <w:szCs w:val="24"/>
        </w:rPr>
        <w:t xml:space="preserve"> </w:t>
      </w:r>
      <w:r w:rsidRPr="000C204E">
        <w:rPr>
          <w:rFonts w:eastAsia="Times New Roman"/>
          <w:b/>
          <w:sz w:val="24"/>
          <w:szCs w:val="24"/>
        </w:rPr>
        <w:t xml:space="preserve">Volunteers of Am. Colo. Branch </w:t>
      </w:r>
      <w:r w:rsidRPr="000C204E">
        <w:rPr>
          <w:rFonts w:eastAsia="Times New Roman"/>
          <w:b/>
          <w:sz w:val="24"/>
          <w:szCs w:val="24"/>
        </w:rPr>
        <w:lastRenderedPageBreak/>
        <w:t>v. Gardenswartz</w:t>
      </w:r>
      <w:r w:rsidRPr="000C204E">
        <w:rPr>
          <w:rFonts w:eastAsia="Times New Roman"/>
          <w:sz w:val="24"/>
          <w:szCs w:val="24"/>
        </w:rPr>
        <w:t xml:space="preserve">, 242 P.3d 1080 (Colo. 2010); </w:t>
      </w:r>
      <w:r w:rsidRPr="000C204E">
        <w:rPr>
          <w:rFonts w:eastAsia="Times New Roman"/>
          <w:b/>
          <w:bCs/>
          <w:sz w:val="24"/>
          <w:szCs w:val="24"/>
        </w:rPr>
        <w:t>DeWitt v. Tara Woods Ltd. P’ship</w:t>
      </w:r>
      <w:r w:rsidRPr="000C204E">
        <w:rPr>
          <w:rFonts w:eastAsia="Times New Roman"/>
          <w:sz w:val="24"/>
          <w:szCs w:val="24"/>
        </w:rPr>
        <w:t>, 214 P.3d 466 (Colo. App. 2008) (same).</w:t>
      </w:r>
    </w:p>
    <w:p w14:paraId="5F878DB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3. Omit any numbered paragraph the facts of which are not in dispute, and make such other changes as are necessary in such circumstances to make the instruction understandable.</w:t>
      </w:r>
    </w:p>
    <w:p w14:paraId="6E5511C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5098E1A1"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5. Though mitigation of damages is an affirmative defense, </w:t>
      </w:r>
      <w:r w:rsidRPr="000C204E">
        <w:rPr>
          <w:rFonts w:eastAsia="Times New Roman"/>
          <w:i/>
          <w:sz w:val="24"/>
          <w:szCs w:val="24"/>
        </w:rPr>
        <w:t>see</w:t>
      </w:r>
      <w:r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414B69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6. For the appropriate instructions relating to causation, see Instructions 9:18 to 9:21, and for the definition of “reasonable care,” see Instruction 9:8.</w:t>
      </w:r>
    </w:p>
    <w:p w14:paraId="79AD247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7. Because under section 13-21-115(4), it is for the court and not the jury to determine whether the person injured on the premises was a trespasser, licensee, or invitee, as defined in section 13-21-115(5) (quoted in Source and Authority), it is not necessary to use the word “licensee” in this instruction nor provide the jury with its statutory definition.</w:t>
      </w:r>
    </w:p>
    <w:p w14:paraId="025D5EE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8.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9. The premises liability statute applies only if the injury occurs on the real property of another. § 13-21-115(2); </w:t>
      </w:r>
      <w:r w:rsidRPr="000C204E">
        <w:rPr>
          <w:rFonts w:eastAsia="Times New Roman"/>
          <w:b/>
          <w:sz w:val="24"/>
          <w:szCs w:val="24"/>
        </w:rPr>
        <w:t>Trailside Townhome Ass’n v. Acierno</w:t>
      </w:r>
      <w:r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Jordan</w:t>
      </w:r>
      <w:r w:rsidRPr="000C204E">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w:t>
      </w:r>
      <w:r w:rsidRPr="000C204E">
        <w:rPr>
          <w:rFonts w:eastAsia="Times New Roman"/>
          <w:sz w:val="24"/>
          <w:szCs w:val="24"/>
        </w:rPr>
        <w:t xml:space="preserve">, 2012 COA 208, ¶ 25 (road contractor ceased to be “landowner” over project when the city reassumed responsibility for the conditions and physical control over the site); </w:t>
      </w:r>
      <w:r w:rsidRPr="000C204E">
        <w:rPr>
          <w:rFonts w:eastAsia="Times New Roman"/>
          <w:b/>
          <w:sz w:val="24"/>
          <w:szCs w:val="24"/>
        </w:rPr>
        <w:t>deBoer v. Jones</w:t>
      </w:r>
      <w:r w:rsidRPr="000C204E">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D3B3C76"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10. In certain cases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lastRenderedPageBreak/>
        <w:t xml:space="preserve">11.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13-21-115(3)(b), which provides:</w:t>
      </w:r>
    </w:p>
    <w:p w14:paraId="3B3E676E"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licensee may recover only for damages caused:</w:t>
      </w:r>
    </w:p>
    <w:p w14:paraId="6412C25F"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 By the landowner’s unreasonable failure to exercise reasonable care with respect to dangers created by the landowner of which the landowner actually knew; or</w:t>
      </w:r>
    </w:p>
    <w:p w14:paraId="3EB7A76E"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(II) By the landowner’s unreasonable failure to warn of dangers not created by the landowner which are not ordinarily present on property of the type involved and of which the landowner actually knew.</w:t>
      </w:r>
    </w:p>
    <w:p w14:paraId="269EF689"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13-21-115(4), provides:</w:t>
      </w:r>
    </w:p>
    <w:p w14:paraId="3B64BBDD"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2287DBD0"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13-21-115(5) provides:</w:t>
      </w:r>
    </w:p>
    <w:p w14:paraId="51087BD3"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As used in this section:</w:t>
      </w:r>
    </w:p>
    <w:p w14:paraId="4D832F82"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3CC2709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A66D71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w:t>
      </w:r>
      <w:r w:rsidRPr="00DC7533">
        <w:rPr>
          <w:rFonts w:eastAsia="Times New Roman"/>
          <w:sz w:val="24"/>
          <w:szCs w:val="24"/>
        </w:rPr>
        <w:lastRenderedPageBreak/>
        <w:t xml:space="preserve">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2012 COA 174, ¶¶ 9-19, 292 P.3d 1177 (term “consent” as used regarding a licensee in the Premises Liability Act includes implied consent). For a discussion of the standard of care that the premises liability act, § 13-21-115, imposes on a landowner with regard to a licensee, see</w:t>
      </w:r>
      <w:r w:rsidRPr="00DC7533">
        <w:rPr>
          <w:rFonts w:eastAsia="Times New Roman"/>
          <w:i/>
          <w:sz w:val="24"/>
          <w:szCs w:val="24"/>
        </w:rPr>
        <w:t xml:space="preserve"> </w:t>
      </w:r>
      <w:r w:rsidRPr="00DC7533">
        <w:rPr>
          <w:rFonts w:eastAsia="Times New Roman"/>
          <w:b/>
          <w:sz w:val="24"/>
          <w:szCs w:val="24"/>
        </w:rPr>
        <w:t>Wright v. Vail Run Resort Cmty. Ass’n</w:t>
      </w:r>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Wycoff v. Seventh Day Adventist Ass’n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2BDA94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Springer v. City and Cty.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7B72736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0C160E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4" w:name="a12_03"/>
      <w:bookmarkEnd w:id="4"/>
      <w:r w:rsidRPr="00DC7533">
        <w:rPr>
          <w:rFonts w:eastAsia="Times New 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w:p>
    <w:p w14:paraId="6DCD4C2D"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on (his) (her)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2. The defendant actually knew about a danger on the property (or, as a person using reasonable care, should have known about it);</w:t>
      </w:r>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(losses).</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429D0414"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w:t>
      </w:r>
      <w:r w:rsidR="00CE1336">
        <w:rPr>
          <w:rFonts w:eastAsia="Times New Roman"/>
          <w:b/>
          <w:sz w:val="24"/>
          <w:szCs w:val="24"/>
        </w:rPr>
        <w:t xml:space="preserve"> has</w:t>
      </w:r>
      <w:r w:rsidRPr="00DC7533">
        <w:rPr>
          <w:rFonts w:eastAsia="Times New Roman"/>
          <w:b/>
          <w:sz w:val="24"/>
          <w:szCs w:val="24"/>
        </w:rPr>
        <w:t>) (any one or more of these affirmative defenses</w:t>
      </w:r>
      <w:r w:rsidR="00CE1336">
        <w:rPr>
          <w:rFonts w:eastAsia="Times New Roman"/>
          <w:b/>
          <w:sz w:val="24"/>
          <w:szCs w:val="24"/>
        </w:rPr>
        <w:t xml:space="preserve"> have</w:t>
      </w:r>
      <w:r w:rsidRPr="00DC7533">
        <w:rPr>
          <w:rFonts w:eastAsia="Times New Roman"/>
          <w:b/>
          <w:sz w:val="24"/>
          <w:szCs w:val="24"/>
        </w:rPr>
        <w:t>) been proved by a preponderance of the evidence, then your verdict must be for the defendant.</w:t>
      </w:r>
    </w:p>
    <w:p w14:paraId="60E1D106" w14:textId="1CB24038"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w:t>
      </w:r>
      <w:r w:rsidR="00CE1336">
        <w:rPr>
          <w:rFonts w:eastAsia="Times New Roman"/>
          <w:b/>
          <w:sz w:val="24"/>
          <w:szCs w:val="24"/>
        </w:rPr>
        <w:t xml:space="preserve"> has not</w:t>
      </w:r>
      <w:r w:rsidRPr="00DC7533">
        <w:rPr>
          <w:rFonts w:eastAsia="Times New Roman"/>
          <w:b/>
          <w:sz w:val="24"/>
          <w:szCs w:val="24"/>
        </w:rPr>
        <w:t>) (none of these affirmative defenses</w:t>
      </w:r>
      <w:r w:rsidR="00CE1336">
        <w:rPr>
          <w:rFonts w:eastAsia="Times New Roman"/>
          <w:b/>
          <w:sz w:val="24"/>
          <w:szCs w:val="24"/>
        </w:rPr>
        <w:t xml:space="preserve"> have</w:t>
      </w:r>
      <w:r w:rsidRPr="00DC7533">
        <w:rPr>
          <w:rFonts w:eastAsia="Times New Roman"/>
          <w:b/>
          <w:sz w:val="24"/>
          <w:szCs w:val="24"/>
        </w:rPr>
        <w:t>)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3D5173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 This instruction must be used in any action involving premises liability to persons on the premises to which section 13-21-115(3)(c),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w:t>
      </w:r>
      <w:r w:rsidRPr="00DC7533">
        <w:rPr>
          <w:rFonts w:eastAsia="Times New Roman"/>
          <w:sz w:val="24"/>
          <w:szCs w:val="24"/>
        </w:rPr>
        <w:lastRenderedPageBreak/>
        <w:t xml:space="preserve">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Pierson v. Black Canyon Aggregates, Inc.</w:t>
      </w:r>
      <w:r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Lucero v. Ulvestad</w:t>
      </w:r>
      <w:r w:rsidRPr="00DC7533">
        <w:rPr>
          <w:rFonts w:eastAsia="Times New Roman"/>
          <w:sz w:val="24"/>
          <w:szCs w:val="24"/>
        </w:rPr>
        <w:t>, 2015 COA 98, ¶¶ 23-28</w:t>
      </w:r>
      <w:r w:rsidR="00517CE6">
        <w:rPr>
          <w:rFonts w:eastAsia="Times New Roman"/>
          <w:sz w:val="24"/>
          <w:szCs w:val="24"/>
        </w:rPr>
        <w:t>, 411 P.3d 949</w:t>
      </w:r>
      <w:r w:rsidRPr="00DC7533">
        <w:rPr>
          <w:rFonts w:eastAsia="Times New Roman"/>
          <w:sz w:val="24"/>
          <w:szCs w:val="24"/>
        </w:rPr>
        <w:t xml:space="preserve"> (based on language in installment land contract, seller was not a “landowner”); </w:t>
      </w:r>
      <w:r w:rsidRPr="00DC7533">
        <w:rPr>
          <w:rFonts w:eastAsia="Times New Roman"/>
          <w:b/>
          <w:sz w:val="24"/>
          <w:szCs w:val="24"/>
        </w:rPr>
        <w:t>Jordan v. Panorama Orthopedics &amp; Spine Ctr., PC</w:t>
      </w:r>
      <w:r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 v. Vista Paving Corp.</w:t>
      </w:r>
      <w:r w:rsidRPr="00DC7533">
        <w:rPr>
          <w:rFonts w:eastAsia="Times New Roman"/>
          <w:sz w:val="24"/>
          <w:szCs w:val="24"/>
        </w:rPr>
        <w:t xml:space="preserve">, 2012 COA 208, ¶ 25, 292 P.3d 1232 (road contractor ceased to be “landowner” over project when the city accepted the project as finished);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 xml:space="preserve">Andrade v. Johnson, </w:t>
      </w:r>
      <w:r w:rsidRPr="00DC7533">
        <w:rPr>
          <w:rFonts w:eastAsia="Times New Roman"/>
          <w:sz w:val="24"/>
          <w:szCs w:val="24"/>
        </w:rPr>
        <w:t>2016 COA 147</w:t>
      </w:r>
      <w:r w:rsidRPr="004A15C1">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19</w:t>
      </w:r>
      <w:r w:rsidR="00517CE6">
        <w:rPr>
          <w:rFonts w:eastAsia="Times New Roman"/>
          <w:sz w:val="24"/>
          <w:szCs w:val="24"/>
        </w:rPr>
        <w:t>, 409 P.3d 582</w:t>
      </w:r>
      <w:r w:rsidRPr="00DC7533">
        <w:rPr>
          <w:rFonts w:eastAsia="Times New Roman"/>
          <w:sz w:val="24"/>
          <w:szCs w:val="24"/>
        </w:rPr>
        <w:t xml:space="preserve"> (homeowner is not landowner of public sidewalk adjacent to property);</w:t>
      </w:r>
      <w:r w:rsidRPr="00DC7533">
        <w:rPr>
          <w:rFonts w:eastAsia="Times New Roman"/>
          <w:b/>
          <w:sz w:val="24"/>
          <w:szCs w:val="24"/>
        </w:rPr>
        <w:t xml:space="preserve"> Burbach v. Canwest Invs., LLC</w:t>
      </w:r>
      <w:r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DC7533">
        <w:rPr>
          <w:rFonts w:eastAsia="Times New Roman"/>
          <w:b/>
          <w:sz w:val="24"/>
          <w:szCs w:val="24"/>
        </w:rPr>
        <w:t xml:space="preserve"> Henderson v. Master Klean Janitorial, Inc.</w:t>
      </w:r>
      <w:r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DC7533">
        <w:rPr>
          <w:rFonts w:eastAsia="Times New Roman"/>
          <w:b/>
          <w:sz w:val="24"/>
          <w:szCs w:val="24"/>
        </w:rPr>
        <w:t>Nordin v. Madden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148 P.3d 218 (Colo. App. 2006). </w:t>
      </w:r>
      <w:r w:rsidRPr="00DC7533">
        <w:rPr>
          <w:rFonts w:eastAsia="Times New Roman"/>
          <w:i/>
          <w:sz w:val="24"/>
          <w:szCs w:val="24"/>
        </w:rPr>
        <w:t>See also</w:t>
      </w:r>
      <w:r w:rsidRPr="00DC7533">
        <w:rPr>
          <w:rFonts w:eastAsia="Times New Roman"/>
          <w:b/>
          <w:sz w:val="24"/>
          <w:szCs w:val="24"/>
        </w:rPr>
        <w:t xml:space="preserve"> Land-Wells v. Rain Way Sprinkler &amp; Landscape, LLC</w:t>
      </w:r>
      <w:r w:rsidRPr="00DC7533">
        <w:rPr>
          <w:rFonts w:eastAsia="Times New Roman"/>
          <w:sz w:val="24"/>
          <w:szCs w:val="24"/>
        </w:rPr>
        <w:t>, 187 P.3d 1152 (Colo. App. 2008).</w:t>
      </w:r>
    </w:p>
    <w:p w14:paraId="78D6D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DC7533">
        <w:rPr>
          <w:rFonts w:eastAsia="Times New Roman"/>
          <w:b/>
          <w:sz w:val="24"/>
          <w:szCs w:val="24"/>
        </w:rPr>
        <w:t>Union Pac. R.R. v. Martin</w:t>
      </w:r>
      <w:r w:rsidRPr="00DC7533">
        <w:rPr>
          <w:rFonts w:eastAsia="Times New Roman"/>
          <w:sz w:val="24"/>
          <w:szCs w:val="24"/>
        </w:rPr>
        <w:t xml:space="preserve">, 209 P.3d 185 (Colo. 2009); </w:t>
      </w:r>
      <w:r w:rsidRPr="00DC7533">
        <w:rPr>
          <w:rFonts w:eastAsia="Times New Roman"/>
          <w:i/>
          <w:iCs/>
          <w:sz w:val="24"/>
          <w:szCs w:val="24"/>
        </w:rPr>
        <w:t xml:space="preserve">see also </w:t>
      </w:r>
      <w:r w:rsidRPr="00DC7533">
        <w:rPr>
          <w:rFonts w:eastAsia="Times New Roman"/>
          <w:b/>
          <w:sz w:val="24"/>
          <w:szCs w:val="24"/>
        </w:rPr>
        <w:t>Reid v. Berkowitz</w:t>
      </w:r>
      <w:r w:rsidRPr="00DC7533">
        <w:rPr>
          <w:rFonts w:eastAsia="Times New Roman"/>
          <w:sz w:val="24"/>
          <w:szCs w:val="24"/>
        </w:rPr>
        <w:t xml:space="preserve">, 2013 COA 110M, ¶ 67, 315 P.3d 185 (remanding premises liability case to determine plaintiff’s comparative negligence); </w:t>
      </w:r>
      <w:r w:rsidRPr="00DC7533">
        <w:rPr>
          <w:rFonts w:eastAsia="Times New Roman"/>
          <w:b/>
          <w:bCs/>
          <w:sz w:val="24"/>
          <w:szCs w:val="24"/>
        </w:rPr>
        <w:t>Tucker v. Volunteers of Am. Colo. Branch</w:t>
      </w:r>
      <w:r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Pr="00DC7533">
        <w:rPr>
          <w:rFonts w:eastAsia="Times New Roman"/>
          <w:i/>
          <w:sz w:val="24"/>
          <w:szCs w:val="24"/>
        </w:rPr>
        <w:t>aff’d on other grounds sub nom.</w:t>
      </w:r>
      <w:r w:rsidRPr="00DC7533">
        <w:rPr>
          <w:rFonts w:eastAsia="Times New Roman"/>
          <w:sz w:val="24"/>
          <w:szCs w:val="24"/>
        </w:rPr>
        <w:t xml:space="preserve"> </w:t>
      </w:r>
      <w:r w:rsidRPr="00DC7533">
        <w:rPr>
          <w:rFonts w:eastAsia="Times New Roman"/>
          <w:b/>
          <w:sz w:val="24"/>
          <w:szCs w:val="24"/>
        </w:rPr>
        <w:t>Volunteers of Am. Colo. Branch v. Gardenswartz</w:t>
      </w:r>
      <w:r w:rsidRPr="00DC7533">
        <w:rPr>
          <w:rFonts w:eastAsia="Times New Roman"/>
          <w:sz w:val="24"/>
          <w:szCs w:val="24"/>
        </w:rPr>
        <w:t xml:space="preserve">, 242 P.3d 1080 (Colo. 2010); </w:t>
      </w:r>
      <w:r w:rsidRPr="00DC7533">
        <w:rPr>
          <w:rFonts w:eastAsia="Times New Roman"/>
          <w:b/>
          <w:bCs/>
          <w:sz w:val="24"/>
          <w:szCs w:val="24"/>
        </w:rPr>
        <w:t>DeWitt v. Tara Woods Ltd. P’ship</w:t>
      </w:r>
      <w:r w:rsidRPr="00DC7533">
        <w:rPr>
          <w:rFonts w:eastAsia="Times New Roman"/>
          <w:sz w:val="24"/>
          <w:szCs w:val="24"/>
        </w:rPr>
        <w:t>, 214 P.3d 466 (Colo. App. 2008) (same).</w:t>
      </w:r>
    </w:p>
    <w:p w14:paraId="654EB3A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3. Omit any numbered paragraph the facts of which are not in dispute, and make such other changes as are necessary in such circumstances to make the instruction understandable.</w:t>
      </w:r>
    </w:p>
    <w:p w14:paraId="174FF15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70EAED0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Though mitigation of damages is an affirmative defense, </w:t>
      </w:r>
      <w:r w:rsidRPr="00DC7533">
        <w:rPr>
          <w:rFonts w:eastAsia="Times New Roman"/>
          <w:i/>
          <w:sz w:val="24"/>
          <w:szCs w:val="24"/>
        </w:rPr>
        <w:t>see</w:t>
      </w:r>
      <w:r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94E00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6. For the appropriate instructions relating to causation, see Instructions 9:18 to 9:21, and for the definition of “reasonable care,” see Instruction 9:8.</w:t>
      </w:r>
    </w:p>
    <w:p w14:paraId="0D62E0A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The parenthetical clause in numbered paragraph 2 must be given in all cases, except when the “landowner’s real property is classified for property tax purposes as agricultural land or vacant land,” in which circumstance, the parenthetical clause must be omitted. </w:t>
      </w:r>
      <w:r w:rsidRPr="00DC7533">
        <w:rPr>
          <w:rFonts w:eastAsia="Times New Roman"/>
          <w:i/>
          <w:sz w:val="24"/>
          <w:szCs w:val="24"/>
        </w:rPr>
        <w:t>See</w:t>
      </w:r>
      <w:r w:rsidRPr="00DC7533">
        <w:rPr>
          <w:rFonts w:eastAsia="Times New Roman"/>
          <w:sz w:val="24"/>
          <w:szCs w:val="24"/>
        </w:rPr>
        <w:t xml:space="preserve"> § 13-21-115(3)(c)(II) (quoted in full in Source and Authority).</w:t>
      </w:r>
    </w:p>
    <w:p w14:paraId="25505EFA"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8. Because under section 13-21-115(4) it is for the court and not the jury to determine whether the person injured on the premises was a trespasser, licensee, or invitee, as defined in section 13-21-115(5) (quoted below in Source and Authority), it is not necessary to use the word “invitee” in this instruction nor provide the jury with its statutory definition.</w:t>
      </w:r>
    </w:p>
    <w:p w14:paraId="1758522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9.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10. The premises liability statute only applies if the injury occurs on the real property of another. § 13-21-115(2); </w:t>
      </w:r>
      <w:r w:rsidRPr="00DC7533">
        <w:rPr>
          <w:rFonts w:eastAsia="Times New Roman"/>
          <w:b/>
          <w:sz w:val="24"/>
          <w:szCs w:val="24"/>
        </w:rPr>
        <w:t>Trailside Townhome Ass’n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xml:space="preserve">, 2012 COA 208, ¶ 25 (road contractor ceased to be “landowner” when the city reassumed responsibility for the conditions and physical control over the site); </w:t>
      </w:r>
      <w:r w:rsidRPr="00DC7533">
        <w:rPr>
          <w:rFonts w:eastAsia="Times New Roman"/>
          <w:b/>
          <w:sz w:val="24"/>
          <w:szCs w:val="24"/>
        </w:rPr>
        <w:t>deBoer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11. In certain cases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12.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xml:space="preserve">,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“[a]ssuming,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r w:rsidRPr="00DC7533">
        <w:rPr>
          <w:rFonts w:eastAsia="Times New Roman"/>
          <w:i/>
          <w:sz w:val="24"/>
          <w:szCs w:val="24"/>
        </w:rPr>
        <w:t>rev’d on other grounds</w:t>
      </w:r>
      <w:r w:rsidRPr="00DC7533">
        <w:rPr>
          <w:rFonts w:eastAsia="Times New Roman"/>
          <w:sz w:val="24"/>
          <w:szCs w:val="24"/>
        </w:rPr>
        <w:t xml:space="preserve">, 187 P.3d 565 (Colo. 2008). </w:t>
      </w:r>
    </w:p>
    <w:p w14:paraId="2CF17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13-21-115(3)(c), which provides:</w:t>
      </w:r>
    </w:p>
    <w:p w14:paraId="2B7E1AB8"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 Except as otherwise provided in subparagraph (II) of this paragraph (c), an invitee may recover for damages caused by the landowner’s unreasonable failure to exercise reasonable care to protect against dangers of which he actually knew or should have known.</w:t>
      </w:r>
    </w:p>
    <w:p w14:paraId="1FD3D52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(II) If the landowner’s real property is classified for property tax purposes as agricultural land or vacant land, an invitee may recover for damages caused by the landowner’s unreasonable failure to exercise reasonable care to protect against dangers of which he actually knew.</w:t>
      </w:r>
    </w:p>
    <w:p w14:paraId="1CA5AD2D"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13-21-115(4), provides:</w:t>
      </w:r>
    </w:p>
    <w:p w14:paraId="1AF14B5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35E3017C"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13-21-115(5), provides:</w:t>
      </w:r>
    </w:p>
    <w:p w14:paraId="60BCC3D4"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lastRenderedPageBreak/>
        <w:t>As used in this section:</w:t>
      </w:r>
    </w:p>
    <w:p w14:paraId="44B1930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6B6151E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F90AC4B"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3C2E7FE7" w14:textId="5E32EC0C"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2</w:t>
      </w:r>
      <w:r w:rsidR="007B330F">
        <w:rPr>
          <w:rFonts w:eastAsia="Times New Roman"/>
          <w:sz w:val="24"/>
          <w:szCs w:val="24"/>
        </w:rPr>
        <w:t>66 P.3d 412 (Colo. App. 2011).</w:t>
      </w:r>
    </w:p>
    <w:p w14:paraId="5EEDA5C5"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Pr="00DC7533">
        <w:rPr>
          <w:rFonts w:eastAsia="Times New Roman"/>
          <w:b/>
          <w:sz w:val="24"/>
          <w:szCs w:val="24"/>
        </w:rPr>
        <w:t>Rucker v. Federal National Mortgage Ass’n</w:t>
      </w:r>
      <w:r w:rsidRPr="00DC7533">
        <w:rPr>
          <w:rFonts w:eastAsia="Times New Roman"/>
          <w:sz w:val="24"/>
          <w:szCs w:val="24"/>
        </w:rPr>
        <w:t>, 2016 COA 114, ¶ 36</w:t>
      </w:r>
      <w:r w:rsidR="00517CE6">
        <w:rPr>
          <w:rFonts w:eastAsia="Times New Roman"/>
          <w:sz w:val="24"/>
          <w:szCs w:val="24"/>
        </w:rPr>
        <w:t>, 410 P.3d 675</w:t>
      </w:r>
      <w:r w:rsidRPr="00DC7533">
        <w:rPr>
          <w:rFonts w:eastAsia="Times New Roman"/>
          <w:sz w:val="24"/>
          <w:szCs w:val="24"/>
        </w:rPr>
        <w:t xml:space="preserve"> (plaintiff was a trespasser, not an invitee, because “‘For Sale’ sign did not constitute an implied representation to the public to enter or remain on the property”);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Wycoff v. Seventh Day Adventist Ass’n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Pedge v. R.M.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xml:space="preserve">, 991 P.2d at 340 (housekeeper injured when glass shelf fell on her foot while supervising cleaning of condominium could recover against condominium owner only </w:t>
      </w:r>
      <w:r w:rsidRPr="00DC7533">
        <w:rPr>
          <w:rFonts w:eastAsia="Times New Roman"/>
          <w:sz w:val="24"/>
          <w:szCs w:val="24"/>
        </w:rPr>
        <w:lastRenderedPageBreak/>
        <w:t>under premises liability statute, § 13-21-115, and “not under any other theory of negligence, general, or otherwise”).</w:t>
      </w:r>
    </w:p>
    <w:p w14:paraId="5CD1171F"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5C70DF3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12F605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5" w:name="a12_04"/>
      <w:bookmarkEnd w:id="5"/>
      <w:r w:rsidRPr="00D347CA">
        <w:rPr>
          <w:rFonts w:eastAsia="Times New Roman"/>
          <w:b/>
          <w:sz w:val="24"/>
          <w:szCs w:val="24"/>
        </w:rPr>
        <w:lastRenderedPageBreak/>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on (his) (her)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
    <w:p w14:paraId="704AF4AE"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3. The plaintiff was on the premises at the time (he) (she) was injured;</w:t>
      </w:r>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4. The (activity) (or) (condition) was unusually attractive to children;</w:t>
      </w:r>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5. The (activity) (or) (condition) created an unreasonable risk of injury to children which the defendant knew, or, as a reasonably careful person, should have known;</w:t>
      </w:r>
    </w:p>
    <w:p w14:paraId="249DCCF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6. The plaintiff was too young to appreciate or realize the risk of injury to (himself) (herself)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7. The defendant failed to exercise reasonable care to protect persons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6BFB80D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w:t>
      </w:r>
      <w:r w:rsidR="00CE1336">
        <w:rPr>
          <w:rFonts w:eastAsia="Times New Roman"/>
          <w:b/>
          <w:sz w:val="24"/>
          <w:szCs w:val="24"/>
        </w:rPr>
        <w:t xml:space="preserve"> has</w:t>
      </w:r>
      <w:r w:rsidRPr="00D347CA">
        <w:rPr>
          <w:rFonts w:eastAsia="Times New Roman"/>
          <w:b/>
          <w:sz w:val="24"/>
          <w:szCs w:val="24"/>
        </w:rPr>
        <w:t>) (any one or more of these affirmative defenses</w:t>
      </w:r>
      <w:r w:rsidR="00CE1336">
        <w:rPr>
          <w:rFonts w:eastAsia="Times New Roman"/>
          <w:b/>
          <w:sz w:val="24"/>
          <w:szCs w:val="24"/>
        </w:rPr>
        <w:t xml:space="preserve"> have</w:t>
      </w:r>
      <w:r w:rsidRPr="00D347CA">
        <w:rPr>
          <w:rFonts w:eastAsia="Times New Roman"/>
          <w:b/>
          <w:sz w:val="24"/>
          <w:szCs w:val="24"/>
        </w:rPr>
        <w:t>) been proved by a preponderance of the evidence, then your verdict must be for the defendant.</w:t>
      </w:r>
    </w:p>
    <w:p w14:paraId="6E8DC2F0" w14:textId="2A8B1F69"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w:t>
      </w:r>
      <w:r w:rsidR="00CE1336">
        <w:rPr>
          <w:rFonts w:eastAsia="Times New Roman"/>
          <w:b/>
          <w:sz w:val="24"/>
          <w:szCs w:val="24"/>
        </w:rPr>
        <w:t xml:space="preserve"> has not</w:t>
      </w:r>
      <w:r w:rsidRPr="00D347CA">
        <w:rPr>
          <w:rFonts w:eastAsia="Times New Roman"/>
          <w:b/>
          <w:sz w:val="24"/>
          <w:szCs w:val="24"/>
        </w:rPr>
        <w:t>) (none of these affirmative defenses</w:t>
      </w:r>
      <w:r w:rsidR="00CE1336">
        <w:rPr>
          <w:rFonts w:eastAsia="Times New Roman"/>
          <w:b/>
          <w:sz w:val="24"/>
          <w:szCs w:val="24"/>
        </w:rPr>
        <w:t xml:space="preserve"> have</w:t>
      </w:r>
      <w:r w:rsidRPr="00D347CA">
        <w:rPr>
          <w:rFonts w:eastAsia="Times New Roman"/>
          <w:b/>
          <w:sz w:val="24"/>
          <w:szCs w:val="24"/>
        </w:rPr>
        <w:t>)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When supported by sufficient evidence, this instruction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3. Omit any numbered paragraph the facts of which are not in dispute, and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13-21-115(2),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1. This instruction is supported by section 13-21-115(2),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object that caused their injuries, regardless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2013 CO 72, ¶ 24.</w:t>
      </w:r>
    </w:p>
    <w:p w14:paraId="7780210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xml:space="preserve">, 2013 CO 72, ¶ 24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(doctrine </w:t>
      </w:r>
      <w:r w:rsidRPr="00D347CA">
        <w:rPr>
          <w:rFonts w:eastAsia="Times New Roman"/>
          <w:sz w:val="24"/>
          <w:szCs w:val="24"/>
        </w:rPr>
        <w:lastRenderedPageBreak/>
        <w:t xml:space="preserve">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Staley v. Sec. Athletic Ass’n</w:t>
      </w:r>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r w:rsidRPr="00D347CA">
        <w:rPr>
          <w:rFonts w:eastAsia="Times New Roman"/>
          <w:b/>
          <w:sz w:val="24"/>
          <w:szCs w:val="24"/>
        </w:rPr>
        <w:t>Niernberg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Esquibel v. City &amp; Cty.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6" w:name="a12_05"/>
      <w:bookmarkEnd w:id="6"/>
      <w:r w:rsidRPr="00D347CA">
        <w:rPr>
          <w:rFonts w:eastAsia="Times New Roman"/>
          <w:b/>
          <w:sz w:val="24"/>
          <w:szCs w:val="24"/>
        </w:rPr>
        <w:lastRenderedPageBreak/>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(he) (she) was capable of appreciating or realizing any risks of harm to (himself) (herself)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should be used only in conjunction with Instruction 12:4. It should also be used only when there is sufficient evidence that the plaintiff was “at least fourteen years of age but . . . less than eighteen years of age . . . .” § 13-21-115(2), C.R.S. In addition, as explained in the Notes on Use to Instruction 3:5, this instruction has been prepared on the assumption that the statutory presumption created by section 13-21-115(2)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This instruction is supported by section 13-21-115(2),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lastRenderedPageBreak/>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7" w:name="a12_06"/>
      <w:bookmarkEnd w:id="7"/>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on (his) (her)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1. At the time of the occurrence, the defendant (owned) (occupied) (controlled) (conducted activities on) the premises;</w:t>
      </w:r>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[b. This condition was one the defendant knew of, or reasonably should have known of, in sufficient time to have (removed it) (corrected it) (or) (adequately warned persons that the condition was there) so that injury could have been prevented, and [he] [she] failed to do so];)</w:t>
      </w:r>
    </w:p>
    <w:p w14:paraId="55294FF0"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4. The defendant was negligent because (he) (she) failed to use reasonable care (in the management or maintenance of [his] [her] premises) (with respect to the operation of [his] [her] business on the premises) (with respect to the conduct of [his] [her]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(losses).</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3640CE7F"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If you find that (this affirmative defense</w:t>
      </w:r>
      <w:r w:rsidR="00CE1336">
        <w:rPr>
          <w:rFonts w:eastAsia="Times New Roman"/>
          <w:b/>
          <w:sz w:val="24"/>
          <w:szCs w:val="24"/>
        </w:rPr>
        <w:t xml:space="preserve"> has</w:t>
      </w:r>
      <w:r w:rsidRPr="00FA333E">
        <w:rPr>
          <w:rFonts w:eastAsia="Times New Roman"/>
          <w:b/>
          <w:sz w:val="24"/>
          <w:szCs w:val="24"/>
        </w:rPr>
        <w:t>) (any one or more of these affirmative defenses</w:t>
      </w:r>
      <w:r w:rsidR="00CE1336">
        <w:rPr>
          <w:rFonts w:eastAsia="Times New Roman"/>
          <w:b/>
          <w:sz w:val="24"/>
          <w:szCs w:val="24"/>
        </w:rPr>
        <w:t xml:space="preserve"> have</w:t>
      </w:r>
      <w:r w:rsidRPr="00FA333E">
        <w:rPr>
          <w:rFonts w:eastAsia="Times New Roman"/>
          <w:b/>
          <w:sz w:val="24"/>
          <w:szCs w:val="24"/>
        </w:rPr>
        <w:t>) been proved by a preponderance of the evidence, then your verdict must be for the defendant.</w:t>
      </w:r>
    </w:p>
    <w:p w14:paraId="0A180FE2" w14:textId="6F3E9F52" w:rsidR="00FA333E" w:rsidRPr="00FA333E" w:rsidRDefault="00FA333E" w:rsidP="00FA333E">
      <w:pPr>
        <w:spacing w:after="240"/>
        <w:ind w:firstLine="720"/>
        <w:rPr>
          <w:rFonts w:eastAsia="Times New Roman"/>
          <w:b/>
          <w:sz w:val="24"/>
          <w:szCs w:val="24"/>
        </w:rPr>
      </w:pPr>
      <w:r w:rsidRPr="00FA333E">
        <w:rPr>
          <w:rFonts w:eastAsia="Times New Roman"/>
          <w:b/>
          <w:sz w:val="24"/>
          <w:szCs w:val="24"/>
        </w:rPr>
        <w:lastRenderedPageBreak/>
        <w:t>However, if you find that (this affirmative defense</w:t>
      </w:r>
      <w:r w:rsidR="00CE1336">
        <w:rPr>
          <w:rFonts w:eastAsia="Times New Roman"/>
          <w:b/>
          <w:sz w:val="24"/>
          <w:szCs w:val="24"/>
        </w:rPr>
        <w:t xml:space="preserve"> has not</w:t>
      </w:r>
      <w:r w:rsidRPr="00FA333E">
        <w:rPr>
          <w:rFonts w:eastAsia="Times New Roman"/>
          <w:b/>
          <w:sz w:val="24"/>
          <w:szCs w:val="24"/>
        </w:rPr>
        <w:t>) (none of these affirmative defenses</w:t>
      </w:r>
      <w:r w:rsidR="00CE1336">
        <w:rPr>
          <w:rFonts w:eastAsia="Times New Roman"/>
          <w:b/>
          <w:sz w:val="24"/>
          <w:szCs w:val="24"/>
        </w:rPr>
        <w:t xml:space="preserve"> have</w:t>
      </w:r>
      <w:r w:rsidRPr="00FA333E">
        <w:rPr>
          <w:rFonts w:eastAsia="Times New Roman"/>
          <w:b/>
          <w:sz w:val="24"/>
          <w:szCs w:val="24"/>
        </w:rPr>
        <w:t>)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4. Use whichever parenthesized or bracketed words and phrases are most appropriate, and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8. When the claimed negligence relates to the failure of the owner or occupant to have dealt adequately with an unreasonably dangerous condition, the plaintiff must prove that the 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t>
      </w:r>
      <w:r w:rsidRPr="00D5484F">
        <w:rPr>
          <w:rFonts w:eastAsia="Times New Roman"/>
          <w:sz w:val="24"/>
          <w:szCs w:val="24"/>
        </w:rPr>
        <w:lastRenderedPageBreak/>
        <w:t>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Bodeman v. Shutto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a of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r w:rsidRPr="00D5484F">
        <w:rPr>
          <w:rFonts w:eastAsia="Times New Roman"/>
          <w:b/>
          <w:sz w:val="24"/>
          <w:szCs w:val="24"/>
        </w:rPr>
        <w:t>CeBuzz,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persons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422F3BD0" w14:textId="77777777" w:rsidR="00D5484F" w:rsidRDefault="00D5484F">
      <w:pPr>
        <w:rPr>
          <w:rFonts w:eastAsia="Times New Roman"/>
          <w:sz w:val="24"/>
          <w:szCs w:val="24"/>
        </w:rPr>
      </w:pPr>
      <w:r>
        <w:rPr>
          <w:rFonts w:eastAsia="Times New Roman"/>
          <w:sz w:val="24"/>
          <w:szCs w:val="24"/>
        </w:rPr>
        <w:br w:type="page"/>
      </w:r>
    </w:p>
    <w:p w14:paraId="2916765A" w14:textId="77777777" w:rsidR="00D5484F" w:rsidRPr="009E3DA4" w:rsidRDefault="00A110C7" w:rsidP="00D5484F">
      <w:pPr>
        <w:spacing w:after="240"/>
        <w:ind w:left="720" w:hanging="720"/>
        <w:rPr>
          <w:rFonts w:eastAsia="Times New Roman"/>
          <w:b/>
          <w:sz w:val="24"/>
          <w:szCs w:val="24"/>
        </w:rPr>
      </w:pPr>
      <w:bookmarkStart w:id="8" w:name="a12_07"/>
      <w:bookmarkEnd w:id="8"/>
      <w:r w:rsidRPr="00A110C7">
        <w:rPr>
          <w:rFonts w:eastAsia="Times New Roman"/>
          <w:b/>
          <w:sz w:val="24"/>
          <w:szCs w:val="24"/>
        </w:rPr>
        <w:lastRenderedPageBreak/>
        <w:t xml:space="preserve">12:7 </w:t>
      </w:r>
      <w:r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a duty owed by a lessee of premises may depend on whether the lessee constructed, controlled, or maintained the portion of the premises that allegedly resulted in the dangerous condition. </w:t>
      </w:r>
      <w:r w:rsidRPr="00A110C7">
        <w:rPr>
          <w:rFonts w:eastAsia="Times New Roman"/>
          <w:i/>
          <w:iCs/>
          <w:sz w:val="24"/>
          <w:szCs w:val="24"/>
        </w:rPr>
        <w:t xml:space="preserve">See </w:t>
      </w:r>
      <w:r w:rsidRPr="00A110C7">
        <w:rPr>
          <w:rFonts w:eastAsia="Times New Roman"/>
          <w:b/>
          <w:bCs/>
          <w:sz w:val="24"/>
          <w:szCs w:val="24"/>
        </w:rPr>
        <w:t>Woods v. Delgar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lastRenderedPageBreak/>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9" w:name="a12_08"/>
      <w:bookmarkEnd w:id="9"/>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-511, C.R.S. In particular, section 38-12-503, C.R.S. imposes a statutory warranty of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10" w:name="a12_09"/>
      <w:bookmarkEnd w:id="10"/>
      <w:r w:rsidRPr="00A110C7">
        <w:rPr>
          <w:rFonts w:eastAsia="Times New Roman"/>
          <w:b/>
          <w:sz w:val="24"/>
          <w:szCs w:val="24"/>
        </w:rPr>
        <w:lastRenderedPageBreak/>
        <w:t xml:space="preserve">12:9 </w:t>
      </w:r>
      <w:r w:rsidRPr="00A110C7">
        <w:rPr>
          <w:rFonts w:eastAsia="Times New Roman"/>
          <w:b/>
          <w:sz w:val="24"/>
          <w:szCs w:val="24"/>
        </w:rPr>
        <w:tab/>
        <w:t>LESSOR’S LIABILITY FOR INJURY FROM LATENT DEFECT</w:t>
      </w:r>
    </w:p>
    <w:p w14:paraId="041894A5"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No instruction provided.</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0927064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1" w:name="a12_10"/>
      <w:bookmarkEnd w:id="11"/>
      <w:r w:rsidRPr="00EB113C">
        <w:rPr>
          <w:rFonts w:eastAsia="Times New Roman"/>
          <w:b/>
          <w:sz w:val="24"/>
          <w:szCs w:val="24"/>
        </w:rPr>
        <w:lastRenderedPageBreak/>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2" w:name="a12_11"/>
      <w:bookmarkEnd w:id="12"/>
      <w:r w:rsidRPr="00EB113C">
        <w:rPr>
          <w:rFonts w:eastAsia="Times New Roman"/>
          <w:b/>
          <w:sz w:val="24"/>
          <w:szCs w:val="24"/>
        </w:rPr>
        <w:lastRenderedPageBreak/>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persons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Western Stock Center, Inc. v. Sevit,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3" w:name="a12_12"/>
      <w:bookmarkEnd w:id="13"/>
      <w:r w:rsidRPr="00DA2814">
        <w:rPr>
          <w:rFonts w:eastAsia="Times New Roman"/>
          <w:b/>
          <w:sz w:val="24"/>
          <w:szCs w:val="24"/>
        </w:rPr>
        <w:lastRenderedPageBreak/>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see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see </w:t>
      </w:r>
      <w:r w:rsidRPr="00DA2814">
        <w:rPr>
          <w:rFonts w:eastAsia="Times New Roman"/>
          <w:b/>
          <w:sz w:val="24"/>
          <w:szCs w:val="24"/>
        </w:rPr>
        <w:t>Western Stock Center, Inc. v. Sevit, Inc.</w:t>
      </w:r>
      <w:r w:rsidRPr="00DA2814">
        <w:rPr>
          <w:rFonts w:eastAsia="Times New Roman"/>
          <w:sz w:val="24"/>
          <w:szCs w:val="24"/>
        </w:rPr>
        <w:t>, 195 Colo. 372, 578 P.2d 1045 (1978).</w:t>
      </w:r>
    </w:p>
    <w:p w14:paraId="16A2A69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lastRenderedPageBreak/>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4" w:name="a12_13"/>
      <w:bookmarkEnd w:id="14"/>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This instruction has been deleted in its entirety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5" w:name="a12_14"/>
      <w:bookmarkEnd w:id="15"/>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owner of the surface of the land is entitled to have that land remain in its natural state, both laterally and subjacently. Laterally means the right to support the land from the owner of adjoining land. Subjacently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2. In some communities, local ordinances, such as notice requirements, may have an effect on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Vikell Inv’rs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F. PUBLIC PLACES</w:t>
      </w:r>
    </w:p>
    <w:p w14:paraId="7EA52E11" w14:textId="77777777" w:rsidR="0049313F" w:rsidRPr="009E3DA4" w:rsidRDefault="00F062A4" w:rsidP="0049313F">
      <w:pPr>
        <w:spacing w:after="240"/>
        <w:ind w:left="720" w:hanging="720"/>
        <w:rPr>
          <w:rFonts w:eastAsia="Times New Roman"/>
          <w:b/>
          <w:sz w:val="24"/>
          <w:szCs w:val="24"/>
        </w:rPr>
      </w:pPr>
      <w:bookmarkStart w:id="16" w:name="a12_15"/>
      <w:bookmarkEnd w:id="16"/>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21E532A5"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 xml:space="preserve">No Instruction given. </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in light of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C.R.S.;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Daley v. Univ. of Colo. Health Scis.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r w:rsidRPr="0049313F">
        <w:rPr>
          <w:rFonts w:eastAsia="Times New Roman"/>
          <w:sz w:val="24"/>
          <w:szCs w:val="24"/>
        </w:rPr>
        <w:t xml:space="preserve">C.R.C.P.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hearing at which the parties may present evidence related to all issues of immunity, including facts not in dispute. After the hearing, the court must ‘weigh the evidence and decide the facts’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r w:rsidRPr="00CA4C39">
        <w:rPr>
          <w:rFonts w:eastAsia="Times New Roman"/>
          <w:b/>
          <w:sz w:val="24"/>
          <w:szCs w:val="24"/>
        </w:rPr>
        <w:t>Cty.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r w:rsidR="00194E2F">
        <w:rPr>
          <w:rFonts w:eastAsia="Times New Roman"/>
          <w:i/>
          <w:sz w:val="24"/>
          <w:szCs w:val="24"/>
        </w:rPr>
        <w:t xml:space="preserve">rev’d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5AEAF630" w14:textId="77777777" w:rsidR="0049313F" w:rsidRDefault="0049313F" w:rsidP="0049313F">
      <w:pPr>
        <w:spacing w:after="240"/>
        <w:ind w:firstLine="720"/>
        <w:rPr>
          <w:rFonts w:eastAsia="Times New Roman"/>
          <w:sz w:val="24"/>
          <w:szCs w:val="24"/>
        </w:rPr>
      </w:pPr>
      <w:r w:rsidRPr="0049313F">
        <w:rPr>
          <w:rFonts w:eastAsia="Times New Roman"/>
          <w:sz w:val="24"/>
          <w:szCs w:val="24"/>
        </w:rPr>
        <w:t xml:space="preserve">4. As to what public entities may be held liable under the Colorado Governmental Immunity Act, §§ 24-10-101 to -120, C.R.S., (CGIA)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38AC43B5" w14:textId="68066975" w:rsidR="0050790D" w:rsidRPr="0049313F" w:rsidRDefault="0050790D" w:rsidP="0049313F">
      <w:pPr>
        <w:spacing w:after="240"/>
        <w:ind w:firstLine="720"/>
        <w:rPr>
          <w:rFonts w:eastAsia="Times New Roman"/>
          <w:sz w:val="24"/>
          <w:szCs w:val="24"/>
        </w:rPr>
      </w:pPr>
      <w:r w:rsidRPr="0050790D">
        <w:rPr>
          <w:rFonts w:eastAsia="Times New Roman"/>
          <w:sz w:val="24"/>
          <w:szCs w:val="24"/>
        </w:rPr>
        <w:t xml:space="preserve">5. A low-income housing facility with a private investor with a 99% ownership interest is an “instrumentality” of a public entity entitled to governmental immunity under the CGIA because of the public’s “extensive control over its operations and because of its public purpose.” </w:t>
      </w:r>
      <w:r w:rsidRPr="0050790D">
        <w:rPr>
          <w:rFonts w:eastAsia="Times New Roman"/>
          <w:b/>
          <w:sz w:val="24"/>
          <w:szCs w:val="24"/>
        </w:rPr>
        <w:t>Martinez v. CSG Redevelopment</w:t>
      </w:r>
      <w:r>
        <w:rPr>
          <w:rFonts w:eastAsia="Times New Roman"/>
          <w:b/>
          <w:sz w:val="24"/>
          <w:szCs w:val="24"/>
        </w:rPr>
        <w:t xml:space="preserve"> Partners LLLP</w:t>
      </w:r>
      <w:r w:rsidRPr="0050790D">
        <w:rPr>
          <w:rFonts w:eastAsia="Times New Roman"/>
          <w:sz w:val="24"/>
          <w:szCs w:val="24"/>
        </w:rPr>
        <w:t>, 2019 COA 91, ¶ 32.</w:t>
      </w:r>
    </w:p>
    <w:p w14:paraId="02F374AB" w14:textId="70AD08A6" w:rsidR="0049313F" w:rsidRPr="0049313F" w:rsidRDefault="0050790D" w:rsidP="0049313F">
      <w:pPr>
        <w:spacing w:after="240"/>
        <w:ind w:firstLine="720"/>
        <w:rPr>
          <w:rFonts w:eastAsia="Times New Roman"/>
          <w:sz w:val="24"/>
          <w:szCs w:val="24"/>
        </w:rPr>
      </w:pPr>
      <w:r>
        <w:rPr>
          <w:rFonts w:eastAsia="Times New Roman"/>
          <w:sz w:val="24"/>
          <w:szCs w:val="24"/>
        </w:rPr>
        <w:t>6</w:t>
      </w:r>
      <w:r w:rsidR="0049313F" w:rsidRPr="0049313F">
        <w:rPr>
          <w:rFonts w:eastAsia="Times New Roman"/>
          <w:sz w:val="24"/>
          <w:szCs w:val="24"/>
        </w:rPr>
        <w:t xml:space="preserve">. Under the CGIA, claims based on an inadequate or negligent design of a public facility are barred. </w:t>
      </w:r>
      <w:r w:rsidR="0049313F" w:rsidRPr="0049313F">
        <w:rPr>
          <w:rFonts w:eastAsia="Times New Roman"/>
          <w:b/>
          <w:sz w:val="24"/>
          <w:szCs w:val="24"/>
        </w:rPr>
        <w:t>Willer v. City of Thornton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817 P.2d 514 (Colo. 1991) (city’s alleged negligent failure to post signs warning of a dip at intersection constituted inadequate or negligent design, </w:t>
      </w:r>
      <w:r w:rsidR="0049313F" w:rsidRPr="0049313F">
        <w:rPr>
          <w:rFonts w:eastAsia="Times New Roman"/>
          <w:sz w:val="24"/>
          <w:szCs w:val="24"/>
        </w:rPr>
        <w:lastRenderedPageBreak/>
        <w:t xml:space="preserve">and therefore, claims based on any such negligence were barred); </w:t>
      </w:r>
      <w:r w:rsidR="0049313F" w:rsidRPr="0049313F">
        <w:rPr>
          <w:rFonts w:eastAsia="Times New Roman"/>
          <w:b/>
          <w:sz w:val="24"/>
          <w:szCs w:val="24"/>
        </w:rPr>
        <w:t>Szymanski v. Dep’t of Highways</w:t>
      </w:r>
      <w:r w:rsidR="0049313F" w:rsidRPr="0049313F">
        <w:rPr>
          <w:rFonts w:eastAsia="Times New Roman"/>
          <w:sz w:val="24"/>
          <w:szCs w:val="24"/>
        </w:rPr>
        <w:t>, 776 P.2d 1124 (Colo. App. 1989) (allegations of “blind spot” in intersection, improper sight lines, an excessive speed limit, and a lack of warning signs were all related to inadequate design and claims based on such allegations were barred).</w:t>
      </w:r>
    </w:p>
    <w:p w14:paraId="50CF86CE" w14:textId="3931CF07" w:rsidR="0049313F" w:rsidRPr="0049313F" w:rsidRDefault="0050790D" w:rsidP="0049313F">
      <w:pPr>
        <w:spacing w:after="240"/>
        <w:ind w:firstLine="720"/>
        <w:rPr>
          <w:rFonts w:eastAsia="Times New Roman"/>
          <w:sz w:val="24"/>
          <w:szCs w:val="24"/>
        </w:rPr>
      </w:pPr>
      <w:r>
        <w:rPr>
          <w:rFonts w:eastAsia="Times New Roman"/>
          <w:sz w:val="24"/>
          <w:szCs w:val="24"/>
        </w:rPr>
        <w:t>7</w:t>
      </w:r>
      <w:r w:rsidR="0049313F" w:rsidRPr="0049313F">
        <w:rPr>
          <w:rFonts w:eastAsia="Times New Roman"/>
          <w:sz w:val="24"/>
          <w:szCs w:val="24"/>
        </w:rPr>
        <w:t xml:space="preserve">. To establish that a dangerous condition exists under the CGIA,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0049313F" w:rsidRPr="0049313F">
        <w:rPr>
          <w:rFonts w:eastAsia="Times New Roman"/>
          <w:b/>
          <w:sz w:val="24"/>
          <w:szCs w:val="24"/>
        </w:rPr>
        <w:t>Walton v. State</w:t>
      </w:r>
      <w:r w:rsidR="0049313F" w:rsidRPr="0049313F">
        <w:rPr>
          <w:rFonts w:eastAsia="Times New Roman"/>
          <w:sz w:val="24"/>
          <w:szCs w:val="24"/>
        </w:rPr>
        <w:t xml:space="preserve">, 968 P.2d 636 (Colo. 1998); </w:t>
      </w:r>
      <w:r w:rsidR="0049313F" w:rsidRPr="0049313F">
        <w:rPr>
          <w:rFonts w:eastAsia="Times New Roman"/>
          <w:b/>
          <w:sz w:val="24"/>
          <w:szCs w:val="24"/>
        </w:rPr>
        <w:t>Martinez v. Weld Cty. Sch. Dist. RE-1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60 P.3d 736 (Colo. App. 2002); </w:t>
      </w:r>
      <w:r w:rsidR="0049313F" w:rsidRPr="0049313F">
        <w:rPr>
          <w:rFonts w:eastAsia="Times New Roman"/>
          <w:b/>
          <w:sz w:val="24"/>
          <w:szCs w:val="24"/>
        </w:rPr>
        <w:t>Luenberger v. City of Golden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990 P.2d 1145 (Colo. App. 1999); </w:t>
      </w:r>
      <w:r w:rsidR="0049313F" w:rsidRPr="0049313F">
        <w:rPr>
          <w:rFonts w:eastAsia="Times New Roman"/>
          <w:b/>
          <w:sz w:val="24"/>
          <w:szCs w:val="24"/>
        </w:rPr>
        <w:t>Smith v. Town of Snowmass Village</w:t>
      </w:r>
      <w:r w:rsidR="0049313F" w:rsidRPr="0049313F">
        <w:rPr>
          <w:rFonts w:eastAsia="Times New Roman"/>
          <w:sz w:val="24"/>
          <w:szCs w:val="24"/>
        </w:rPr>
        <w:t xml:space="preserve">, 919 P.2d 868 (Colo. App. 1996). </w:t>
      </w:r>
    </w:p>
    <w:p w14:paraId="73119EF6" w14:textId="5CFD1031" w:rsidR="0050790D" w:rsidRDefault="0050790D" w:rsidP="0049313F">
      <w:pPr>
        <w:spacing w:after="240"/>
        <w:ind w:firstLine="720"/>
        <w:rPr>
          <w:rFonts w:eastAsia="Times New Roman"/>
          <w:sz w:val="24"/>
          <w:szCs w:val="24"/>
        </w:rPr>
      </w:pPr>
      <w:r>
        <w:rPr>
          <w:rFonts w:eastAsia="Times New Roman"/>
          <w:sz w:val="24"/>
          <w:szCs w:val="24"/>
        </w:rPr>
        <w:t xml:space="preserve">8. The CGIA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Pr>
          <w:rFonts w:eastAsia="Times New Roman"/>
          <w:b/>
          <w:sz w:val="24"/>
          <w:szCs w:val="24"/>
        </w:rPr>
        <w:t>City &amp; Cty. of Denver v. Dennis ex rel. Heyboer</w:t>
      </w:r>
      <w:r>
        <w:rPr>
          <w:rFonts w:eastAsia="Times New Roman"/>
          <w:sz w:val="24"/>
          <w:szCs w:val="24"/>
        </w:rPr>
        <w:t>, 2018 CO 37, ¶ 23, 418 P.3d 489.</w:t>
      </w:r>
    </w:p>
    <w:p w14:paraId="44738001" w14:textId="4F0B41FC" w:rsidR="0049313F" w:rsidRPr="0049313F" w:rsidRDefault="0050790D" w:rsidP="0049313F">
      <w:pPr>
        <w:spacing w:after="240"/>
        <w:ind w:firstLine="720"/>
        <w:rPr>
          <w:rFonts w:eastAsia="Times New Roman"/>
          <w:sz w:val="24"/>
          <w:szCs w:val="24"/>
        </w:rPr>
      </w:pPr>
      <w:r>
        <w:rPr>
          <w:rFonts w:eastAsia="Times New Roman"/>
          <w:sz w:val="24"/>
          <w:szCs w:val="24"/>
        </w:rPr>
        <w:t>9</w:t>
      </w:r>
      <w:r w:rsidR="0049313F" w:rsidRPr="0049313F">
        <w:rPr>
          <w:rFonts w:eastAsia="Times New Roman"/>
          <w:sz w:val="24"/>
          <w:szCs w:val="24"/>
        </w:rPr>
        <w:t xml:space="preserve">. The decisions of the Colorado Supreme Court in </w:t>
      </w:r>
      <w:r w:rsidR="0049313F" w:rsidRPr="0049313F">
        <w:rPr>
          <w:rFonts w:eastAsia="Times New Roman"/>
          <w:b/>
          <w:sz w:val="24"/>
          <w:szCs w:val="24"/>
        </w:rPr>
        <w:t>City of Longmont v. Henry-Hobbs</w:t>
      </w:r>
      <w:r w:rsidR="0049313F"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0049313F" w:rsidRPr="0049313F">
        <w:rPr>
          <w:rFonts w:eastAsia="Times New Roman"/>
          <w:b/>
          <w:sz w:val="24"/>
          <w:szCs w:val="24"/>
        </w:rPr>
        <w:t>City of Colorado Springs v. Powell</w:t>
      </w:r>
      <w:r w:rsidR="0049313F"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CGIA, effective July 1, 2003. § 24-10-103 (2.5), (5.5), and (5.7). This statutory amendment applies only prospectively. </w:t>
      </w:r>
      <w:r w:rsidR="0049313F" w:rsidRPr="0049313F">
        <w:rPr>
          <w:rFonts w:eastAsia="Times New Roman"/>
          <w:b/>
          <w:sz w:val="24"/>
          <w:szCs w:val="24"/>
        </w:rPr>
        <w:t>City of Colo. Springs v. Powell</w:t>
      </w:r>
      <w:r w:rsidR="0049313F" w:rsidRPr="0049313F">
        <w:rPr>
          <w:rFonts w:eastAsia="Times New Roman"/>
          <w:sz w:val="24"/>
          <w:szCs w:val="24"/>
        </w:rPr>
        <w:t>, 156 P.3d 461 (Colo. 2007).</w:t>
      </w:r>
    </w:p>
    <w:p w14:paraId="1E0277D0" w14:textId="7DEF3D14" w:rsidR="0049313F" w:rsidRPr="0049313F" w:rsidRDefault="0050790D" w:rsidP="0049313F">
      <w:pPr>
        <w:spacing w:after="240"/>
        <w:ind w:firstLine="720"/>
        <w:rPr>
          <w:rFonts w:eastAsia="Times New Roman"/>
          <w:sz w:val="24"/>
          <w:szCs w:val="24"/>
        </w:rPr>
      </w:pPr>
      <w:r>
        <w:rPr>
          <w:rFonts w:eastAsia="Times New Roman"/>
          <w:sz w:val="24"/>
          <w:szCs w:val="24"/>
        </w:rPr>
        <w:t>10</w:t>
      </w:r>
      <w:r w:rsidR="0049313F" w:rsidRPr="0049313F">
        <w:rPr>
          <w:rFonts w:eastAsia="Times New Roman"/>
          <w:sz w:val="24"/>
          <w:szCs w:val="24"/>
        </w:rPr>
        <w:t xml:space="preserve">. Before a municipality may be held liable for defects in a public way caused by a third person, the city must have been on notice of the defect. </w:t>
      </w:r>
      <w:r w:rsidR="0049313F" w:rsidRPr="0049313F">
        <w:rPr>
          <w:rFonts w:eastAsia="Times New Roman"/>
          <w:i/>
          <w:sz w:val="24"/>
          <w:szCs w:val="24"/>
        </w:rPr>
        <w:t>See, e.g</w:t>
      </w:r>
      <w:r w:rsidR="0049313F" w:rsidRPr="0049313F">
        <w:rPr>
          <w:rFonts w:eastAsia="Times New Roman"/>
          <w:sz w:val="24"/>
          <w:szCs w:val="24"/>
        </w:rPr>
        <w:t xml:space="preserve">., </w:t>
      </w:r>
      <w:r w:rsidR="0049313F" w:rsidRPr="0049313F">
        <w:rPr>
          <w:rFonts w:eastAsia="Times New Roman"/>
          <w:b/>
          <w:sz w:val="24"/>
          <w:szCs w:val="24"/>
        </w:rPr>
        <w:t>Wold v. City of Boulder</w:t>
      </w:r>
      <w:r w:rsidR="0049313F" w:rsidRPr="0049313F">
        <w:rPr>
          <w:rFonts w:eastAsia="Times New Roman"/>
          <w:sz w:val="24"/>
          <w:szCs w:val="24"/>
        </w:rPr>
        <w:t xml:space="preserve">, 91 Colo. 44, 9 P.2d 931 (1932); </w:t>
      </w:r>
      <w:r w:rsidR="0049313F" w:rsidRPr="0049313F">
        <w:rPr>
          <w:rFonts w:eastAsia="Times New Roman"/>
          <w:i/>
          <w:sz w:val="24"/>
          <w:szCs w:val="24"/>
        </w:rPr>
        <w:t xml:space="preserve">see also </w:t>
      </w:r>
      <w:r w:rsidR="0049313F" w:rsidRPr="0049313F">
        <w:rPr>
          <w:rFonts w:eastAsia="Times New Roman"/>
          <w:sz w:val="24"/>
          <w:szCs w:val="24"/>
        </w:rPr>
        <w:t xml:space="preserve">§ 24-10-103(1); </w:t>
      </w:r>
      <w:r w:rsidR="0049313F" w:rsidRPr="0049313F">
        <w:rPr>
          <w:rFonts w:eastAsia="Times New Roman"/>
          <w:b/>
          <w:sz w:val="24"/>
          <w:szCs w:val="24"/>
        </w:rPr>
        <w:t>Stephen v. City &amp; Cty. of Denver</w:t>
      </w:r>
      <w:r w:rsidR="0049313F" w:rsidRPr="0049313F">
        <w:rPr>
          <w:rFonts w:eastAsia="Times New Roman"/>
          <w:sz w:val="24"/>
          <w:szCs w:val="24"/>
        </w:rPr>
        <w:t xml:space="preserve">, 659 P.2d 666 (Colo. 1983) (interpreting, prior to 1986 amendment, section 24-10-106(1)(d) relating to dangerous conditions of public highways, etc.); </w:t>
      </w:r>
      <w:r w:rsidR="0049313F" w:rsidRPr="0049313F">
        <w:rPr>
          <w:rFonts w:eastAsia="Times New Roman"/>
          <w:b/>
          <w:sz w:val="24"/>
          <w:szCs w:val="24"/>
        </w:rPr>
        <w:t>Broderick v. City &amp; Cty.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727 P.2d 881 (Colo. App. 1986) (insufficient evidence that icy condition of sidewalk existed long enough for city to have had constructive notice of it).</w:t>
      </w:r>
    </w:p>
    <w:p w14:paraId="5FBB2B0C" w14:textId="5E0734FB" w:rsidR="0049313F" w:rsidRPr="0049313F" w:rsidRDefault="0050790D" w:rsidP="0049313F">
      <w:pPr>
        <w:spacing w:after="240"/>
        <w:ind w:firstLine="720"/>
        <w:rPr>
          <w:rFonts w:eastAsia="Times New Roman"/>
          <w:sz w:val="24"/>
          <w:szCs w:val="24"/>
        </w:rPr>
      </w:pPr>
      <w:r>
        <w:rPr>
          <w:rFonts w:eastAsia="Times New Roman"/>
          <w:sz w:val="24"/>
          <w:szCs w:val="24"/>
        </w:rPr>
        <w:t>11</w:t>
      </w:r>
      <w:r w:rsidR="0049313F" w:rsidRPr="0049313F">
        <w:rPr>
          <w:rFonts w:eastAsia="Times New Roman"/>
          <w:sz w:val="24"/>
          <w:szCs w:val="24"/>
        </w:rPr>
        <w:t xml:space="preserve">. Once a public entity takes affirmative steps to alleviate a problem, it has a duty to use reasonable care to protect foreseeable plaintiffs. </w:t>
      </w:r>
      <w:r w:rsidR="0049313F" w:rsidRPr="0049313F">
        <w:rPr>
          <w:rFonts w:eastAsia="Times New Roman"/>
          <w:b/>
          <w:sz w:val="24"/>
          <w:szCs w:val="24"/>
        </w:rPr>
        <w:t>Martinez v. City of Lakewood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655 P.2d 1388 (Colo. App. 1982).</w:t>
      </w:r>
    </w:p>
    <w:p w14:paraId="2A6F45F3" w14:textId="55885FD1"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2</w:t>
      </w:r>
      <w:r w:rsidRPr="0049313F">
        <w:rPr>
          <w:rFonts w:eastAsia="Times New Roman"/>
          <w:sz w:val="24"/>
          <w:szCs w:val="24"/>
        </w:rPr>
        <w:t xml:space="preserve">.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9313F">
        <w:rPr>
          <w:rFonts w:eastAsia="Times New Roman"/>
          <w:b/>
          <w:sz w:val="24"/>
          <w:szCs w:val="24"/>
        </w:rPr>
        <w:t>Lawrence v. Buena Vista Sanitation Dist.</w:t>
      </w:r>
      <w:r w:rsidRPr="0049313F">
        <w:rPr>
          <w:rFonts w:eastAsia="Times New Roman"/>
          <w:sz w:val="24"/>
          <w:szCs w:val="24"/>
        </w:rPr>
        <w:t>, 989 P.2d 254 (Colo. App. 1999).</w:t>
      </w:r>
    </w:p>
    <w:p w14:paraId="09DB45E9" w14:textId="6BD0BE93" w:rsidR="006B5583"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3</w:t>
      </w:r>
      <w:r w:rsidRPr="0049313F">
        <w:rPr>
          <w:rFonts w:eastAsia="Times New Roman"/>
          <w:sz w:val="24"/>
          <w:szCs w:val="24"/>
        </w:rPr>
        <w:t xml:space="preserve">. Independent contractors are not “public employees” under the CGIA. § 24-10-103(4)(a); </w:t>
      </w:r>
      <w:r w:rsidRPr="0049313F">
        <w:rPr>
          <w:rFonts w:eastAsia="Times New Roman"/>
          <w:b/>
          <w:sz w:val="24"/>
          <w:szCs w:val="24"/>
        </w:rPr>
        <w:t>Henisse v. First Transit, Inc.</w:t>
      </w:r>
      <w:r w:rsidRPr="0049313F">
        <w:rPr>
          <w:rFonts w:eastAsia="Times New Roman"/>
          <w:sz w:val="24"/>
          <w:szCs w:val="24"/>
        </w:rPr>
        <w:t xml:space="preserve">, 247 P.3d 577 (Colo. 2011) (employee of independent contractor was not protected by CGIA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CGIA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CGIA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CGIA purposes), </w:t>
      </w:r>
      <w:r w:rsidRPr="0049313F">
        <w:rPr>
          <w:rFonts w:eastAsia="Times New Roman"/>
          <w:i/>
          <w:sz w:val="24"/>
          <w:szCs w:val="24"/>
        </w:rPr>
        <w:t>aff’d in part and rev’d in part on other grounds</w:t>
      </w:r>
      <w:r w:rsidRPr="0049313F">
        <w:rPr>
          <w:rFonts w:eastAsia="Times New Roman"/>
          <w:sz w:val="24"/>
          <w:szCs w:val="24"/>
        </w:rPr>
        <w:t xml:space="preserve">, 179 P.3d 998 (Colo. 2008); </w:t>
      </w:r>
      <w:r w:rsidRPr="0049313F">
        <w:rPr>
          <w:rFonts w:eastAsia="Times New Roman"/>
          <w:b/>
          <w:sz w:val="24"/>
          <w:szCs w:val="24"/>
        </w:rPr>
        <w:t>Podboy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CGIA, and its members and officers are not public employees). </w:t>
      </w:r>
    </w:p>
    <w:p w14:paraId="3C15ABD3" w14:textId="422BEB96" w:rsidR="004E1634" w:rsidRDefault="004E1634" w:rsidP="0050790D">
      <w:pPr>
        <w:ind w:firstLine="720"/>
        <w:rPr>
          <w:rFonts w:eastAsia="Times New Roman"/>
          <w:sz w:val="24"/>
          <w:szCs w:val="24"/>
        </w:rPr>
      </w:pPr>
      <w:r>
        <w:rPr>
          <w:rFonts w:eastAsia="Times New Roman"/>
          <w:sz w:val="24"/>
          <w:szCs w:val="24"/>
        </w:rPr>
        <w:t>1</w:t>
      </w:r>
      <w:r w:rsidR="0050790D">
        <w:rPr>
          <w:rFonts w:eastAsia="Times New Roman"/>
          <w:sz w:val="24"/>
          <w:szCs w:val="24"/>
        </w:rPr>
        <w:t>4</w:t>
      </w:r>
      <w:r>
        <w:rPr>
          <w:rFonts w:eastAsia="Times New Roman"/>
          <w:sz w:val="24"/>
          <w:szCs w:val="24"/>
        </w:rPr>
        <w:t xml:space="preserve">.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xml:space="preserve">, 2018 COA 97, ¶ 50. </w:t>
      </w:r>
    </w:p>
    <w:p w14:paraId="542BBC06" w14:textId="77777777" w:rsidR="004E1634" w:rsidRDefault="004E1634" w:rsidP="0050790D">
      <w:pPr>
        <w:rPr>
          <w:rFonts w:eastAsia="Times New Roman"/>
          <w:sz w:val="24"/>
          <w:szCs w:val="24"/>
        </w:rPr>
      </w:pPr>
    </w:p>
    <w:p w14:paraId="2CD91649" w14:textId="29F9BFC5" w:rsidR="004E1634" w:rsidRDefault="004E1634" w:rsidP="004E1634">
      <w:pPr>
        <w:ind w:firstLine="720"/>
        <w:rPr>
          <w:rFonts w:eastAsia="Times New Roman"/>
          <w:i/>
          <w:sz w:val="24"/>
          <w:szCs w:val="24"/>
        </w:rPr>
      </w:pPr>
      <w:r>
        <w:rPr>
          <w:rFonts w:eastAsia="Times New Roman"/>
          <w:sz w:val="24"/>
          <w:szCs w:val="24"/>
        </w:rPr>
        <w:t>1</w:t>
      </w:r>
      <w:r w:rsidR="0050790D">
        <w:rPr>
          <w:rFonts w:eastAsia="Times New Roman"/>
          <w:sz w:val="24"/>
          <w:szCs w:val="24"/>
        </w:rPr>
        <w:t>5</w:t>
      </w:r>
      <w:r>
        <w:rPr>
          <w:rFonts w:eastAsia="Times New Roman"/>
          <w:sz w:val="24"/>
          <w:szCs w:val="24"/>
        </w:rPr>
        <w:t xml:space="preserve">. A government’s duty to maintain a road is triggered only after the road presents an unreasonable risk to the public. </w:t>
      </w:r>
      <w:r w:rsidRPr="00705096">
        <w:rPr>
          <w:rFonts w:eastAsia="Times New Roman"/>
          <w:i/>
          <w:sz w:val="24"/>
          <w:szCs w:val="24"/>
        </w:rPr>
        <w:t>Id.</w:t>
      </w:r>
      <w:r w:rsidRPr="00705096">
        <w:rPr>
          <w:rFonts w:eastAsia="Times New Roman"/>
          <w:sz w:val="24"/>
          <w:szCs w:val="24"/>
        </w:rPr>
        <w:t xml:space="preserve"> </w:t>
      </w:r>
      <w:r>
        <w:rPr>
          <w:rFonts w:eastAsia="Times New Roman"/>
          <w:sz w:val="24"/>
          <w:szCs w:val="24"/>
        </w:rPr>
        <w:t xml:space="preserve">at ¶ 18. A road does not automatically constitute an unreasonable risk because the government has not kept it in the general state of repair as it was initially constructed. </w:t>
      </w:r>
      <w:r>
        <w:rPr>
          <w:rFonts w:eastAsia="Times New Roman"/>
          <w:i/>
          <w:sz w:val="24"/>
          <w:szCs w:val="24"/>
        </w:rPr>
        <w:t>Id.</w:t>
      </w:r>
    </w:p>
    <w:p w14:paraId="1F38BBC6" w14:textId="77777777" w:rsidR="004E1634" w:rsidRPr="004E1634" w:rsidRDefault="004E1634" w:rsidP="004E1634">
      <w:pPr>
        <w:ind w:firstLine="720"/>
        <w:rPr>
          <w:rFonts w:eastAsia="Times New Roman"/>
          <w:sz w:val="24"/>
          <w:szCs w:val="24"/>
        </w:rPr>
      </w:pP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6D3EC015"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6</w:t>
      </w:r>
      <w:r w:rsidRPr="0049313F">
        <w:rPr>
          <w:rFonts w:eastAsia="Times New Roman"/>
          <w:sz w:val="24"/>
          <w:szCs w:val="24"/>
        </w:rPr>
        <w:t xml:space="preserve">. For Colorado Supreme Court cases holding that sovereign immunity was waived, see </w:t>
      </w:r>
      <w:r w:rsidR="00E559D8">
        <w:rPr>
          <w:rFonts w:eastAsia="Times New Roman"/>
          <w:b/>
          <w:sz w:val="24"/>
          <w:szCs w:val="24"/>
        </w:rPr>
        <w:t>Smokebrush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St. Vrain Valley School District RE-1J v. A.R.L.</w:t>
      </w:r>
      <w:r w:rsidRPr="0049313F">
        <w:rPr>
          <w:rFonts w:eastAsia="Times New Roman"/>
          <w:sz w:val="24"/>
          <w:szCs w:val="24"/>
        </w:rPr>
        <w:t xml:space="preserve">, 2014 CO 33, ¶¶ 35-36, 325 P.3d 1014 (playground of public elementary school is a “public facility” located in a “recreation area” under CGIA);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CGIA);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State v. 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w:t>
      </w:r>
      <w:r w:rsidRPr="0049313F">
        <w:rPr>
          <w:rFonts w:eastAsia="Times New Roman"/>
          <w:sz w:val="24"/>
          <w:szCs w:val="24"/>
        </w:rPr>
        <w:lastRenderedPageBreak/>
        <w:t xml:space="preserve">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1B5BC57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7</w:t>
      </w:r>
      <w:r w:rsidRPr="0049313F">
        <w:rPr>
          <w:rFonts w:eastAsia="Times New Roman"/>
          <w:sz w:val="24"/>
          <w:szCs w:val="24"/>
        </w:rPr>
        <w:t xml:space="preserve">. For recent Colorado Court of Appeals cases holding that sovereign immunity was waived, see </w:t>
      </w:r>
      <w:r w:rsidRPr="0049313F">
        <w:rPr>
          <w:rFonts w:eastAsia="Times New Roman"/>
          <w:b/>
          <w:sz w:val="24"/>
          <w:szCs w:val="24"/>
        </w:rPr>
        <w:t>McKinley v. City of Glenwood Springs</w:t>
      </w:r>
      <w:r w:rsidRPr="0049313F">
        <w:rPr>
          <w:rFonts w:eastAsia="Times New Roman"/>
          <w:sz w:val="24"/>
          <w:szCs w:val="24"/>
        </w:rPr>
        <w:t xml:space="preserve">, 2015 COA 126, ¶¶ 6-7, 11, 361 P.3d 1080 (five-inch depression in municipal parking lot was a dangerous condition that interfered with the 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CGIA);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r w:rsidRPr="0049313F">
        <w:rPr>
          <w:rFonts w:eastAsia="Times New Roman"/>
          <w:b/>
          <w:sz w:val="24"/>
          <w:szCs w:val="24"/>
        </w:rPr>
        <w:t>Jilot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35C57138"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8</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when she was struck by another vehicle after disembarking from bus while bus was stopped in 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 xml:space="preserve">Hendricks v. Weld County School District </w:t>
      </w:r>
      <w:r w:rsidRPr="0049313F">
        <w:rPr>
          <w:rFonts w:eastAsia="Times New Roman"/>
          <w:b/>
          <w:sz w:val="24"/>
          <w:szCs w:val="24"/>
        </w:rPr>
        <w:lastRenderedPageBreak/>
        <w:t>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Longbottom v. State Board of Community Colleges &amp; 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automobile on public highway); </w:t>
      </w:r>
      <w:r w:rsidRPr="0049313F">
        <w:rPr>
          <w:rFonts w:eastAsia="Times New Roman"/>
          <w:b/>
          <w:sz w:val="24"/>
          <w:szCs w:val="24"/>
        </w:rPr>
        <w:t>Morgan v. Board of Water Works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r w:rsidRPr="0049313F">
        <w:rPr>
          <w:rFonts w:eastAsia="Times New Roman"/>
          <w:b/>
          <w:sz w:val="24"/>
          <w:szCs w:val="24"/>
        </w:rPr>
        <w:t>Schlitters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7295330E"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9</w:t>
      </w:r>
      <w:r w:rsidRPr="0049313F">
        <w:rPr>
          <w:rFonts w:eastAsia="Times New Roman"/>
          <w:sz w:val="24"/>
          <w:szCs w:val="24"/>
        </w:rPr>
        <w:t xml:space="preserve">. For Colorado Supreme Court cases holding that sovereign immunity was not waived, see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3, 418 P.3d 489 (road did not constitute an unreasonable risk to health and safety of the public or physically interfere with the movement of traffic); </w:t>
      </w:r>
      <w:r w:rsidR="00517CE6">
        <w:rPr>
          <w:rFonts w:eastAsia="Times New Roman"/>
          <w:b/>
          <w:sz w:val="24"/>
          <w:szCs w:val="24"/>
        </w:rPr>
        <w:t>Smokebrush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Pr="0049313F">
        <w:rPr>
          <w:rFonts w:eastAsia="Times New Roman"/>
          <w:b/>
          <w:sz w:val="24"/>
          <w:szCs w:val="24"/>
        </w:rPr>
        <w:t>St. Vrain Valley School District RE-1J v. Loveland</w:t>
      </w:r>
      <w:r w:rsidRPr="0049313F">
        <w:rPr>
          <w:rFonts w:eastAsia="Times New Roman"/>
          <w:sz w:val="24"/>
          <w:szCs w:val="24"/>
        </w:rPr>
        <w:t xml:space="preserve">, 2017 CO 54, ¶ 24, 395 P.3d 751, 757 (“A non-negligently constructed and maintained piece of playground equipment cannot be a ‘dangerous condition’ under the CGIA’s recreation-area waiver.”); </w:t>
      </w:r>
      <w:r w:rsidRPr="0049313F">
        <w:rPr>
          <w:rFonts w:eastAsia="Times New Roman"/>
          <w:b/>
          <w:sz w:val="24"/>
          <w:szCs w:val="24"/>
        </w:rPr>
        <w:t>Burnett v. State Department of Natural Resources</w:t>
      </w:r>
      <w:r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Pr="0049313F">
        <w:rPr>
          <w:rFonts w:eastAsia="Times New Roman"/>
          <w:b/>
          <w:sz w:val="24"/>
          <w:szCs w:val="24"/>
        </w:rPr>
        <w:t>Rosales v. City &amp; County of Denver</w:t>
      </w:r>
      <w:r w:rsidRPr="0049313F">
        <w:rPr>
          <w:rFonts w:eastAsia="Times New Roman"/>
          <w:sz w:val="24"/>
          <w:szCs w:val="24"/>
        </w:rPr>
        <w:t xml:space="preserve">, 89 P.3d 507 (Colo. App. 2004)); </w:t>
      </w:r>
      <w:r w:rsidRPr="0049313F">
        <w:rPr>
          <w:rFonts w:eastAsia="Times New Roman"/>
          <w:b/>
          <w:sz w:val="24"/>
          <w:szCs w:val="24"/>
        </w:rPr>
        <w:t xml:space="preserve">Young v. Brighton School District 27J, </w:t>
      </w:r>
      <w:r w:rsidRPr="0049313F">
        <w:rPr>
          <w:rFonts w:eastAsia="Times New Roman"/>
          <w:sz w:val="24"/>
          <w:szCs w:val="24"/>
        </w:rPr>
        <w:t xml:space="preserve">2014 CO 32, ¶¶ 34-35, 325 P.3d 571 (walkway not, in and of itself, a “public facility” for purposes of CGIA waiver of immunity for “recreation areas”); </w:t>
      </w:r>
      <w:r w:rsidRPr="0049313F">
        <w:rPr>
          <w:rFonts w:eastAsia="Times New Roman"/>
          <w:b/>
          <w:sz w:val="24"/>
          <w:szCs w:val="24"/>
        </w:rPr>
        <w:t>Medina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at 454-55 (distinguishing between “maintenance” and “design” of public way and holding that immunity is waived for negligent maintenance but not for negligent design or failure to warn); </w:t>
      </w:r>
      <w:r w:rsidRPr="0049313F">
        <w:rPr>
          <w:rFonts w:eastAsia="Times New Roman"/>
          <w:b/>
          <w:sz w:val="24"/>
          <w:szCs w:val="24"/>
        </w:rPr>
        <w:t>Padilla v. School District No. 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25 P.3d 1176 (Colo. 2001) (injuries sustained by elementary school student when stroller tipped over); </w:t>
      </w:r>
      <w:r w:rsidRPr="0049313F">
        <w:rPr>
          <w:rFonts w:eastAsia="Times New Roman"/>
          <w:b/>
          <w:sz w:val="24"/>
          <w:szCs w:val="24"/>
        </w:rPr>
        <w:t>Swieckowski v. City of Fort Collins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934 P.2d 1380 (Colo. 1997) (hazard created by improvement to roadway since hazard was solely result of inadequate design); </w:t>
      </w:r>
      <w:r w:rsidRPr="0049313F">
        <w:rPr>
          <w:rFonts w:eastAsia="Times New Roman"/>
          <w:b/>
          <w:sz w:val="24"/>
          <w:szCs w:val="24"/>
        </w:rPr>
        <w:t>City &amp; County of Denver v. Gallegos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509 (Colo. 1996) (injuries sustained by pedestrian when he stepped on cover plate for water meter pit on private property); </w:t>
      </w:r>
      <w:r w:rsidRPr="0049313F">
        <w:rPr>
          <w:rFonts w:eastAsia="Times New Roman"/>
          <w:b/>
          <w:sz w:val="24"/>
          <w:szCs w:val="24"/>
        </w:rPr>
        <w:t>Jenks v. Sullivan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826 P.2d 825 (Colo. 1992) (action by person shot in county courthouse),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 v. Board of County Commissioners</w:t>
      </w:r>
      <w:r w:rsidRPr="0049313F">
        <w:rPr>
          <w:rFonts w:eastAsia="Times New Roman"/>
          <w:sz w:val="24"/>
          <w:szCs w:val="24"/>
        </w:rPr>
        <w:t xml:space="preserve">, 872 P.2d 223 (Colo. 1994); and </w:t>
      </w:r>
      <w:r w:rsidRPr="0049313F">
        <w:rPr>
          <w:rFonts w:eastAsia="Times New Roman"/>
          <w:b/>
          <w:sz w:val="24"/>
          <w:szCs w:val="24"/>
        </w:rPr>
        <w:t>Bloomer v. Board of County Commissioners</w:t>
      </w:r>
      <w:r w:rsidRPr="0049313F">
        <w:rPr>
          <w:rFonts w:eastAsia="Times New Roman"/>
          <w:sz w:val="24"/>
          <w:szCs w:val="24"/>
        </w:rPr>
        <w:t xml:space="preserve">, 799 P.2d 942 (Colo. 1990) (dangerous conditions on county roads),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w:t>
      </w:r>
      <w:r w:rsidRPr="0049313F">
        <w:rPr>
          <w:rFonts w:eastAsia="Times New Roman"/>
          <w:sz w:val="24"/>
          <w:szCs w:val="24"/>
        </w:rPr>
        <w:t>, 872 P.2d at 227.</w:t>
      </w:r>
    </w:p>
    <w:p w14:paraId="172945B1" w14:textId="0A4B1520" w:rsidR="0049313F" w:rsidRPr="0049313F" w:rsidRDefault="0050790D" w:rsidP="0049313F">
      <w:pPr>
        <w:spacing w:after="240"/>
        <w:ind w:firstLine="720"/>
        <w:rPr>
          <w:rFonts w:eastAsia="Times New Roman"/>
          <w:sz w:val="24"/>
          <w:szCs w:val="24"/>
        </w:rPr>
      </w:pPr>
      <w:r>
        <w:rPr>
          <w:rFonts w:eastAsia="Times New Roman"/>
          <w:sz w:val="24"/>
          <w:szCs w:val="24"/>
        </w:rPr>
        <w:t>20</w:t>
      </w:r>
      <w:r w:rsidR="0049313F" w:rsidRPr="0049313F">
        <w:rPr>
          <w:rFonts w:eastAsia="Times New Roman"/>
          <w:sz w:val="24"/>
          <w:szCs w:val="24"/>
        </w:rPr>
        <w:t xml:space="preserve">. For recent Colorado Court of Appeals cases holding that sovereign immunity was not waived, see </w:t>
      </w:r>
      <w:r w:rsidRPr="0050790D">
        <w:rPr>
          <w:rFonts w:eastAsia="Times New Roman"/>
          <w:b/>
          <w:sz w:val="24"/>
          <w:szCs w:val="24"/>
        </w:rPr>
        <w:t>Martinez v. CSG Redevelopment</w:t>
      </w:r>
      <w:r>
        <w:rPr>
          <w:rFonts w:eastAsia="Times New Roman"/>
          <w:b/>
          <w:sz w:val="24"/>
          <w:szCs w:val="24"/>
        </w:rPr>
        <w:t xml:space="preserve"> Partners LLLP</w:t>
      </w:r>
      <w:r w:rsidRPr="0050790D">
        <w:rPr>
          <w:rFonts w:eastAsia="Times New Roman"/>
          <w:sz w:val="24"/>
          <w:szCs w:val="24"/>
        </w:rPr>
        <w:t>, 2019 COA 91, ¶ 34 (injuries sustained by plaintiff on icy walkway since low-income housing facility is not a “public building open for public business” because it functions as a private residence)</w:t>
      </w:r>
      <w:r>
        <w:rPr>
          <w:rFonts w:eastAsia="Times New Roman"/>
          <w:sz w:val="24"/>
          <w:szCs w:val="24"/>
        </w:rPr>
        <w:t xml:space="preserve">; </w:t>
      </w:r>
      <w:r w:rsidR="0049313F" w:rsidRPr="0049313F">
        <w:rPr>
          <w:rFonts w:eastAsia="Times New Roman"/>
          <w:b/>
          <w:sz w:val="24"/>
          <w:szCs w:val="24"/>
        </w:rPr>
        <w:t>Ackerman v. City &amp; County of Denver</w:t>
      </w:r>
      <w:r w:rsidR="0049313F" w:rsidRPr="0049313F">
        <w:rPr>
          <w:rFonts w:eastAsia="Times New Roman"/>
          <w:sz w:val="24"/>
          <w:szCs w:val="24"/>
        </w:rPr>
        <w:t>, 2015 COA 96M, ¶ 30, 373 P.3d 665 (injuries sustained by plaintiffs when rocks fell from rock formation abutting city amphitheater</w:t>
      </w:r>
      <w:r>
        <w:rPr>
          <w:rFonts w:eastAsia="Times New Roman"/>
          <w:sz w:val="24"/>
          <w:szCs w:val="24"/>
        </w:rPr>
        <w:t xml:space="preserve"> since</w:t>
      </w:r>
      <w:r w:rsidR="0049313F" w:rsidRPr="0049313F">
        <w:rPr>
          <w:rFonts w:eastAsia="Times New Roman"/>
          <w:sz w:val="24"/>
          <w:szCs w:val="24"/>
        </w:rPr>
        <w:t xml:space="preserve"> the court held that a rock formation “is a natural condition of unimproved property”); </w:t>
      </w:r>
      <w:r w:rsidR="0049313F" w:rsidRPr="0049313F">
        <w:rPr>
          <w:rFonts w:eastAsia="Times New Roman"/>
          <w:b/>
          <w:sz w:val="24"/>
          <w:szCs w:val="24"/>
        </w:rPr>
        <w:t>Wark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47 P.3d 711 (Colo. App. 2002) (counties not included in statutory waiver of </w:t>
      </w:r>
      <w:r w:rsidR="0049313F" w:rsidRPr="0049313F">
        <w:rPr>
          <w:rFonts w:eastAsia="Times New Roman"/>
          <w:sz w:val="24"/>
          <w:szCs w:val="24"/>
        </w:rPr>
        <w:lastRenderedPageBreak/>
        <w:t xml:space="preserve">immunity for dangerous conditions of roadways); </w:t>
      </w:r>
      <w:r w:rsidR="0049313F" w:rsidRPr="0049313F">
        <w:rPr>
          <w:rFonts w:eastAsia="Times New Roman"/>
          <w:b/>
          <w:sz w:val="24"/>
          <w:szCs w:val="24"/>
        </w:rPr>
        <w:t>Moore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42 P.3d 82 (Colo. App. 2002) (injuries to pedestrian who was injured on crosswalk controlled by properly functioning pedestrian signal); </w:t>
      </w:r>
      <w:r w:rsidR="0049313F" w:rsidRPr="0049313F">
        <w:rPr>
          <w:rFonts w:eastAsia="Times New Roman"/>
          <w:b/>
          <w:sz w:val="24"/>
          <w:szCs w:val="24"/>
        </w:rPr>
        <w:t>Richardson v. Starks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36 P.3d 168 (Colo. App. 2001) (injuries suffered by elementary school pupil who was assaulted by another pupil on school playground); </w:t>
      </w:r>
      <w:r w:rsidR="0049313F" w:rsidRPr="0049313F">
        <w:rPr>
          <w:rFonts w:eastAsia="Times New Roman"/>
          <w:b/>
          <w:sz w:val="24"/>
          <w:szCs w:val="24"/>
        </w:rPr>
        <w:t>deBoer v. Ute Water Conservancy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17 P.3d 187 (Colo. App. 2000) (injuries sustained by plaintiff when she fell into water meter pit owned and operated by district since pit was not “public facility”); </w:t>
      </w:r>
      <w:r w:rsidR="0049313F" w:rsidRPr="0049313F">
        <w:rPr>
          <w:rFonts w:eastAsia="Times New Roman"/>
          <w:b/>
          <w:sz w:val="24"/>
          <w:szCs w:val="24"/>
        </w:rPr>
        <w:t>Jaffe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15 P.3d 806 (Colo. App. 2000) (city’s alleged failure to establish medical assistance system, automatic lighting system, foul weather detection system, or evacuation plan on golf course); </w:t>
      </w:r>
      <w:r w:rsidR="0049313F" w:rsidRPr="0049313F">
        <w:rPr>
          <w:rFonts w:eastAsia="Times New Roman"/>
          <w:b/>
          <w:sz w:val="24"/>
          <w:szCs w:val="24"/>
        </w:rPr>
        <w:t>Seder v. City of Fort Collins</w:t>
      </w:r>
      <w:r w:rsidR="0049313F"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0049313F" w:rsidRPr="0049313F">
        <w:rPr>
          <w:rFonts w:eastAsia="Times New Roman"/>
          <w:b/>
          <w:sz w:val="24"/>
          <w:szCs w:val="24"/>
        </w:rPr>
        <w:t>Lyons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7D763215" w:rsidR="0049313F" w:rsidRPr="0049313F" w:rsidRDefault="00517CE6" w:rsidP="0049313F">
      <w:pPr>
        <w:spacing w:after="240"/>
        <w:ind w:firstLine="720"/>
        <w:rPr>
          <w:rFonts w:eastAsia="Times New Roman"/>
          <w:sz w:val="24"/>
          <w:szCs w:val="24"/>
        </w:rPr>
      </w:pPr>
      <w:r>
        <w:rPr>
          <w:rFonts w:eastAsia="Times New Roman"/>
          <w:sz w:val="24"/>
          <w:szCs w:val="24"/>
        </w:rPr>
        <w:t>2</w:t>
      </w:r>
      <w:r w:rsidR="0050790D">
        <w:rPr>
          <w:rFonts w:eastAsia="Times New Roman"/>
          <w:sz w:val="24"/>
          <w:szCs w:val="24"/>
        </w:rPr>
        <w:t>1</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7" w:name="a12_16"/>
      <w:bookmarkEnd w:id="17"/>
      <w:r>
        <w:rPr>
          <w:rFonts w:eastAsia="Times New Roman"/>
          <w:b/>
          <w:sz w:val="24"/>
          <w:szCs w:val="24"/>
        </w:rPr>
        <w:lastRenderedPageBreak/>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Cty.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18" w:name="a12_17"/>
      <w:bookmarkEnd w:id="18"/>
      <w:r w:rsidRPr="00D53AC5">
        <w:rPr>
          <w:rFonts w:eastAsia="Times New Roman"/>
          <w:b/>
          <w:sz w:val="24"/>
          <w:szCs w:val="24"/>
        </w:rPr>
        <w:lastRenderedPageBreak/>
        <w:t xml:space="preserve">12:17 </w:t>
      </w:r>
      <w:r w:rsidRPr="00D53AC5">
        <w:rPr>
          <w:rFonts w:eastAsia="Times New Roman"/>
          <w:b/>
          <w:sz w:val="24"/>
          <w:szCs w:val="24"/>
        </w:rPr>
        <w:tab/>
        <w:t>NEGLIGENT CHOICE OF ROUTE</w:t>
      </w:r>
    </w:p>
    <w:p w14:paraId="51A026F4" w14:textId="77777777"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A person who takes a route when that person knows or ought reasonably to know of a safer route is negligent if a reasonably careful person would have taken the safer way under the same or similar circumstances to protect (himself)(herself)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r w:rsidRPr="00D53AC5">
        <w:rPr>
          <w:rFonts w:eastAsia="Times New Roman"/>
          <w:b/>
          <w:sz w:val="24"/>
          <w:szCs w:val="24"/>
        </w:rPr>
        <w:t>Betoney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p</w:t>
      </w:r>
      <w:smartTag w:uri="urn:schemas-microsoft-com:office:smarttags" w:element="PersonName">
        <w:r w:rsidRPr="00D53AC5">
          <w:rPr>
            <w:rFonts w:eastAsia="Times New Roman"/>
            <w:sz w:val="24"/>
            <w:szCs w:val="24"/>
          </w:rPr>
          <w:t>e</w:t>
        </w:r>
      </w:smartTag>
      <w:r w:rsidRPr="00D53AC5">
        <w:rPr>
          <w:rFonts w:eastAsia="Times New Roman"/>
          <w:sz w:val="24"/>
          <w:szCs w:val="24"/>
        </w:rPr>
        <w:t>rson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Denver &amp; Rio Grande R.R. v. Komfala</w:t>
      </w:r>
      <w:r w:rsidRPr="00D53AC5">
        <w:rPr>
          <w:rFonts w:eastAsia="Times New Roman"/>
          <w:sz w:val="24"/>
          <w:szCs w:val="24"/>
        </w:rPr>
        <w:t xml:space="preserve">, 69 </w:t>
      </w:r>
      <w:smartTag w:uri="urn:schemas-microsoft-com:office:smarttags" w:element="place">
        <w:smartTag w:uri="urn:schemas-microsoft-com:office:smarttags" w:element="Stat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42BCFC99" w:rsidR="00E70C9B" w:rsidRDefault="007B330F" w:rsidP="00E70C9B">
      <w:pPr>
        <w:spacing w:after="240"/>
        <w:jc w:val="center"/>
        <w:rPr>
          <w:rFonts w:eastAsia="Times New Roman"/>
          <w:b/>
          <w:sz w:val="24"/>
          <w:szCs w:val="24"/>
        </w:rPr>
      </w:pPr>
      <w:r>
        <w:rPr>
          <w:rFonts w:eastAsia="Times New Roman"/>
          <w:b/>
          <w:sz w:val="24"/>
          <w:szCs w:val="24"/>
        </w:rPr>
        <w:lastRenderedPageBreak/>
        <w:t xml:space="preserve">G. </w:t>
      </w:r>
      <w:r w:rsidR="00E70C9B" w:rsidRPr="00E70C9B">
        <w:rPr>
          <w:rFonts w:eastAsia="Times New Roman"/>
          <w:b/>
          <w:sz w:val="24"/>
          <w:szCs w:val="24"/>
        </w:rPr>
        <w:t>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19" w:name="a12_18"/>
      <w:bookmarkEnd w:id="19"/>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154BB3DE"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or building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defendants’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144010BC"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2. In premises liability cases brought under section 13-21-115, C.R.S., this instruction should be used instead of Instruction 9:14 (violation of statute or ordinance as negligence per se), which applies in negligence cases. </w:t>
      </w:r>
    </w:p>
    <w:p w14:paraId="78CEC1E7" w14:textId="1A827CE9" w:rsidR="00936D0A" w:rsidRPr="00936D0A" w:rsidRDefault="00936D0A" w:rsidP="00936D0A">
      <w:pPr>
        <w:spacing w:after="240"/>
        <w:ind w:firstLine="720"/>
        <w:rPr>
          <w:rFonts w:eastAsia="Times New Roman"/>
          <w:sz w:val="24"/>
          <w:szCs w:val="24"/>
        </w:rPr>
      </w:pPr>
      <w:r w:rsidRPr="00936D0A">
        <w:rPr>
          <w:rFonts w:eastAsia="Times New Roman"/>
          <w:sz w:val="24"/>
          <w:szCs w:val="24"/>
        </w:rPr>
        <w:t>3. For a definition of reasonable care, see Instruction 9:8</w:t>
      </w:r>
      <w:r w:rsidR="007B330F">
        <w:rPr>
          <w:rFonts w:eastAsia="Times New Roman"/>
          <w:sz w:val="24"/>
          <w:szCs w:val="24"/>
        </w:rPr>
        <w:t>.</w:t>
      </w:r>
      <w:r w:rsidRPr="00936D0A">
        <w:rPr>
          <w:rFonts w:eastAsia="Times New Roman"/>
          <w:sz w:val="24"/>
          <w:szCs w:val="24"/>
        </w:rPr>
        <w:t xml:space="preserve">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092BD6E1"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p w14:paraId="71DF2B89" w14:textId="77777777" w:rsidR="008F746C" w:rsidRPr="0052537F" w:rsidRDefault="008F746C" w:rsidP="00E007F8">
      <w:pPr>
        <w:spacing w:after="240"/>
        <w:ind w:firstLine="720"/>
        <w:rPr>
          <w:rFonts w:eastAsia="Times New Roman"/>
          <w:sz w:val="24"/>
          <w:szCs w:val="24"/>
        </w:rPr>
      </w:pP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80136" w14:textId="77777777" w:rsidR="00B73048" w:rsidRDefault="00B73048" w:rsidP="0054263B">
      <w:r>
        <w:separator/>
      </w:r>
    </w:p>
    <w:p w14:paraId="3A03471D" w14:textId="77777777" w:rsidR="00B73048" w:rsidRDefault="00B73048"/>
  </w:endnote>
  <w:endnote w:type="continuationSeparator" w:id="0">
    <w:p w14:paraId="6EAFFE73" w14:textId="77777777" w:rsidR="00B73048" w:rsidRDefault="00B73048" w:rsidP="0054263B">
      <w:r>
        <w:continuationSeparator/>
      </w:r>
    </w:p>
    <w:p w14:paraId="70C17803" w14:textId="77777777" w:rsidR="00B73048" w:rsidRDefault="00B73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92733B">
          <w:rPr>
            <w:noProof/>
          </w:rPr>
          <w:t>45</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9A7C5" w14:textId="77777777" w:rsidR="00B73048" w:rsidRDefault="00B73048" w:rsidP="0054263B">
      <w:r>
        <w:separator/>
      </w:r>
    </w:p>
    <w:p w14:paraId="71961A23" w14:textId="77777777" w:rsidR="00B73048" w:rsidRDefault="00B73048"/>
  </w:footnote>
  <w:footnote w:type="continuationSeparator" w:id="0">
    <w:p w14:paraId="0BAF3D85" w14:textId="77777777" w:rsidR="00B73048" w:rsidRDefault="00B73048" w:rsidP="0054263B">
      <w:r>
        <w:continuationSeparator/>
      </w:r>
    </w:p>
    <w:p w14:paraId="5CD7C3F9" w14:textId="77777777" w:rsidR="00B73048" w:rsidRDefault="00B730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6599"/>
    <w:rsid w:val="00037111"/>
    <w:rsid w:val="0006367C"/>
    <w:rsid w:val="000824C8"/>
    <w:rsid w:val="00085495"/>
    <w:rsid w:val="000921F1"/>
    <w:rsid w:val="000962C8"/>
    <w:rsid w:val="000A0872"/>
    <w:rsid w:val="000B1B7A"/>
    <w:rsid w:val="000C204E"/>
    <w:rsid w:val="000C503A"/>
    <w:rsid w:val="000C6F97"/>
    <w:rsid w:val="000D4956"/>
    <w:rsid w:val="001117D9"/>
    <w:rsid w:val="00112C8E"/>
    <w:rsid w:val="00112FF9"/>
    <w:rsid w:val="00126B7A"/>
    <w:rsid w:val="00144917"/>
    <w:rsid w:val="00164221"/>
    <w:rsid w:val="00172674"/>
    <w:rsid w:val="0018388B"/>
    <w:rsid w:val="001903CB"/>
    <w:rsid w:val="001913B1"/>
    <w:rsid w:val="00191498"/>
    <w:rsid w:val="00191C86"/>
    <w:rsid w:val="00194E2F"/>
    <w:rsid w:val="001A2648"/>
    <w:rsid w:val="001B6862"/>
    <w:rsid w:val="001C5713"/>
    <w:rsid w:val="001D448D"/>
    <w:rsid w:val="001E0D2C"/>
    <w:rsid w:val="001E0F3B"/>
    <w:rsid w:val="001F045F"/>
    <w:rsid w:val="00200BA5"/>
    <w:rsid w:val="00202B81"/>
    <w:rsid w:val="002065D8"/>
    <w:rsid w:val="002132CB"/>
    <w:rsid w:val="0021368F"/>
    <w:rsid w:val="0021730E"/>
    <w:rsid w:val="0022134E"/>
    <w:rsid w:val="002218BD"/>
    <w:rsid w:val="00223286"/>
    <w:rsid w:val="00227D3A"/>
    <w:rsid w:val="0024062B"/>
    <w:rsid w:val="0024597C"/>
    <w:rsid w:val="002547C3"/>
    <w:rsid w:val="002654B4"/>
    <w:rsid w:val="00273777"/>
    <w:rsid w:val="00285AE7"/>
    <w:rsid w:val="002937A4"/>
    <w:rsid w:val="00293F7E"/>
    <w:rsid w:val="002A23B0"/>
    <w:rsid w:val="002D163D"/>
    <w:rsid w:val="002E0970"/>
    <w:rsid w:val="002F48D6"/>
    <w:rsid w:val="00304398"/>
    <w:rsid w:val="00316D33"/>
    <w:rsid w:val="00320613"/>
    <w:rsid w:val="003247EA"/>
    <w:rsid w:val="00333886"/>
    <w:rsid w:val="00336CE4"/>
    <w:rsid w:val="00345533"/>
    <w:rsid w:val="00352111"/>
    <w:rsid w:val="00352433"/>
    <w:rsid w:val="00352696"/>
    <w:rsid w:val="00353044"/>
    <w:rsid w:val="003613FE"/>
    <w:rsid w:val="00361AAA"/>
    <w:rsid w:val="003837B6"/>
    <w:rsid w:val="003937B8"/>
    <w:rsid w:val="003A2F1C"/>
    <w:rsid w:val="003D370E"/>
    <w:rsid w:val="003E472A"/>
    <w:rsid w:val="003E5B38"/>
    <w:rsid w:val="003F108C"/>
    <w:rsid w:val="003F6E89"/>
    <w:rsid w:val="00434371"/>
    <w:rsid w:val="00435D3E"/>
    <w:rsid w:val="004425AA"/>
    <w:rsid w:val="00456038"/>
    <w:rsid w:val="00465FA4"/>
    <w:rsid w:val="00467B80"/>
    <w:rsid w:val="0047120C"/>
    <w:rsid w:val="00471618"/>
    <w:rsid w:val="00474B1B"/>
    <w:rsid w:val="0049313F"/>
    <w:rsid w:val="004A15C1"/>
    <w:rsid w:val="004B753E"/>
    <w:rsid w:val="004C62F9"/>
    <w:rsid w:val="004C723A"/>
    <w:rsid w:val="004E1634"/>
    <w:rsid w:val="004E7EF1"/>
    <w:rsid w:val="004F3B7D"/>
    <w:rsid w:val="005065E6"/>
    <w:rsid w:val="0050790D"/>
    <w:rsid w:val="00516447"/>
    <w:rsid w:val="00517CE6"/>
    <w:rsid w:val="0052537F"/>
    <w:rsid w:val="005272F2"/>
    <w:rsid w:val="00531F87"/>
    <w:rsid w:val="0054263B"/>
    <w:rsid w:val="00547D97"/>
    <w:rsid w:val="00550AFD"/>
    <w:rsid w:val="00557FCC"/>
    <w:rsid w:val="005648EF"/>
    <w:rsid w:val="00573D55"/>
    <w:rsid w:val="0057771F"/>
    <w:rsid w:val="005B3A78"/>
    <w:rsid w:val="005C56C9"/>
    <w:rsid w:val="005D1AD3"/>
    <w:rsid w:val="005D3156"/>
    <w:rsid w:val="005E077D"/>
    <w:rsid w:val="005E712D"/>
    <w:rsid w:val="005F1017"/>
    <w:rsid w:val="005F19FD"/>
    <w:rsid w:val="005F5A94"/>
    <w:rsid w:val="0060023A"/>
    <w:rsid w:val="006272FE"/>
    <w:rsid w:val="00647CC5"/>
    <w:rsid w:val="00651A64"/>
    <w:rsid w:val="00661D05"/>
    <w:rsid w:val="00672BAB"/>
    <w:rsid w:val="00675252"/>
    <w:rsid w:val="00682B93"/>
    <w:rsid w:val="0068336D"/>
    <w:rsid w:val="00683FA1"/>
    <w:rsid w:val="00687304"/>
    <w:rsid w:val="006A74B6"/>
    <w:rsid w:val="006B2457"/>
    <w:rsid w:val="006B26D7"/>
    <w:rsid w:val="006B5583"/>
    <w:rsid w:val="006E06ED"/>
    <w:rsid w:val="006E0D06"/>
    <w:rsid w:val="006E3575"/>
    <w:rsid w:val="006E62F0"/>
    <w:rsid w:val="006F7DC0"/>
    <w:rsid w:val="00702B5A"/>
    <w:rsid w:val="00705096"/>
    <w:rsid w:val="0070752A"/>
    <w:rsid w:val="007119D8"/>
    <w:rsid w:val="0071225B"/>
    <w:rsid w:val="00713866"/>
    <w:rsid w:val="007216DA"/>
    <w:rsid w:val="007523D9"/>
    <w:rsid w:val="007532AB"/>
    <w:rsid w:val="00774E59"/>
    <w:rsid w:val="00792028"/>
    <w:rsid w:val="007974E2"/>
    <w:rsid w:val="007A3A0E"/>
    <w:rsid w:val="007A5B99"/>
    <w:rsid w:val="007A612E"/>
    <w:rsid w:val="007B1633"/>
    <w:rsid w:val="007B330F"/>
    <w:rsid w:val="007B5B1F"/>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75064"/>
    <w:rsid w:val="008756BF"/>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8F7DB6"/>
    <w:rsid w:val="0090292A"/>
    <w:rsid w:val="00902A25"/>
    <w:rsid w:val="00914128"/>
    <w:rsid w:val="00925AE1"/>
    <w:rsid w:val="0092733B"/>
    <w:rsid w:val="00932723"/>
    <w:rsid w:val="00935DA8"/>
    <w:rsid w:val="00936D0A"/>
    <w:rsid w:val="009507A9"/>
    <w:rsid w:val="00952BBB"/>
    <w:rsid w:val="0095709A"/>
    <w:rsid w:val="00966B53"/>
    <w:rsid w:val="009725D8"/>
    <w:rsid w:val="00973884"/>
    <w:rsid w:val="009902F2"/>
    <w:rsid w:val="009931B9"/>
    <w:rsid w:val="009B18F0"/>
    <w:rsid w:val="009B6746"/>
    <w:rsid w:val="009E20C7"/>
    <w:rsid w:val="009E3DA4"/>
    <w:rsid w:val="00A01DB9"/>
    <w:rsid w:val="00A110C7"/>
    <w:rsid w:val="00A36457"/>
    <w:rsid w:val="00A632A0"/>
    <w:rsid w:val="00A73AE6"/>
    <w:rsid w:val="00A80C10"/>
    <w:rsid w:val="00A82D0A"/>
    <w:rsid w:val="00A85AAA"/>
    <w:rsid w:val="00A92C18"/>
    <w:rsid w:val="00AB2019"/>
    <w:rsid w:val="00AB71A7"/>
    <w:rsid w:val="00AC1A52"/>
    <w:rsid w:val="00AC78F7"/>
    <w:rsid w:val="00AD4B56"/>
    <w:rsid w:val="00AD6178"/>
    <w:rsid w:val="00AE667D"/>
    <w:rsid w:val="00AF7D47"/>
    <w:rsid w:val="00B0264D"/>
    <w:rsid w:val="00B06939"/>
    <w:rsid w:val="00B12BDB"/>
    <w:rsid w:val="00B3689C"/>
    <w:rsid w:val="00B37722"/>
    <w:rsid w:val="00B45E07"/>
    <w:rsid w:val="00B567C1"/>
    <w:rsid w:val="00B579DF"/>
    <w:rsid w:val="00B6275E"/>
    <w:rsid w:val="00B70D68"/>
    <w:rsid w:val="00B719C2"/>
    <w:rsid w:val="00B72D6B"/>
    <w:rsid w:val="00B73048"/>
    <w:rsid w:val="00B80FD1"/>
    <w:rsid w:val="00B937E4"/>
    <w:rsid w:val="00B97801"/>
    <w:rsid w:val="00BA2389"/>
    <w:rsid w:val="00BA27A8"/>
    <w:rsid w:val="00BA510E"/>
    <w:rsid w:val="00BC336C"/>
    <w:rsid w:val="00BC49BF"/>
    <w:rsid w:val="00BC65EF"/>
    <w:rsid w:val="00BD4988"/>
    <w:rsid w:val="00BE2B09"/>
    <w:rsid w:val="00BE3D70"/>
    <w:rsid w:val="00BE654D"/>
    <w:rsid w:val="00BE6634"/>
    <w:rsid w:val="00BF3BA2"/>
    <w:rsid w:val="00C26751"/>
    <w:rsid w:val="00C40968"/>
    <w:rsid w:val="00C473A2"/>
    <w:rsid w:val="00C60E95"/>
    <w:rsid w:val="00C65686"/>
    <w:rsid w:val="00C65E31"/>
    <w:rsid w:val="00C724B6"/>
    <w:rsid w:val="00C803F3"/>
    <w:rsid w:val="00C84E71"/>
    <w:rsid w:val="00C87463"/>
    <w:rsid w:val="00C8797B"/>
    <w:rsid w:val="00C93B0B"/>
    <w:rsid w:val="00C94C5E"/>
    <w:rsid w:val="00CA41CC"/>
    <w:rsid w:val="00CA4C39"/>
    <w:rsid w:val="00CA7EF2"/>
    <w:rsid w:val="00CB008B"/>
    <w:rsid w:val="00CC0502"/>
    <w:rsid w:val="00CC1AC8"/>
    <w:rsid w:val="00CC6A95"/>
    <w:rsid w:val="00CC7E17"/>
    <w:rsid w:val="00CD4A7D"/>
    <w:rsid w:val="00CE1336"/>
    <w:rsid w:val="00CE593D"/>
    <w:rsid w:val="00CF3788"/>
    <w:rsid w:val="00D014AE"/>
    <w:rsid w:val="00D048E6"/>
    <w:rsid w:val="00D05926"/>
    <w:rsid w:val="00D06D8D"/>
    <w:rsid w:val="00D07170"/>
    <w:rsid w:val="00D23BD0"/>
    <w:rsid w:val="00D333AA"/>
    <w:rsid w:val="00D347CA"/>
    <w:rsid w:val="00D503E5"/>
    <w:rsid w:val="00D51E80"/>
    <w:rsid w:val="00D53848"/>
    <w:rsid w:val="00D53AC5"/>
    <w:rsid w:val="00D5484F"/>
    <w:rsid w:val="00D8125F"/>
    <w:rsid w:val="00DA1796"/>
    <w:rsid w:val="00DA2814"/>
    <w:rsid w:val="00DB2C90"/>
    <w:rsid w:val="00DC63A9"/>
    <w:rsid w:val="00DC66A6"/>
    <w:rsid w:val="00DC7533"/>
    <w:rsid w:val="00DD5708"/>
    <w:rsid w:val="00DE2930"/>
    <w:rsid w:val="00DF2CB7"/>
    <w:rsid w:val="00DF3BF1"/>
    <w:rsid w:val="00E007F8"/>
    <w:rsid w:val="00E00FBD"/>
    <w:rsid w:val="00E058BA"/>
    <w:rsid w:val="00E111AA"/>
    <w:rsid w:val="00E172C8"/>
    <w:rsid w:val="00E210A4"/>
    <w:rsid w:val="00E24E10"/>
    <w:rsid w:val="00E50187"/>
    <w:rsid w:val="00E55147"/>
    <w:rsid w:val="00E551EB"/>
    <w:rsid w:val="00E559D8"/>
    <w:rsid w:val="00E61A72"/>
    <w:rsid w:val="00E67638"/>
    <w:rsid w:val="00E70C9B"/>
    <w:rsid w:val="00E7526A"/>
    <w:rsid w:val="00E87C31"/>
    <w:rsid w:val="00E87FFB"/>
    <w:rsid w:val="00E970B9"/>
    <w:rsid w:val="00EB113C"/>
    <w:rsid w:val="00EC17E3"/>
    <w:rsid w:val="00EC3919"/>
    <w:rsid w:val="00EC7C98"/>
    <w:rsid w:val="00ED5E52"/>
    <w:rsid w:val="00ED7176"/>
    <w:rsid w:val="00ED75EA"/>
    <w:rsid w:val="00EF4043"/>
    <w:rsid w:val="00F00B80"/>
    <w:rsid w:val="00F022D4"/>
    <w:rsid w:val="00F062A4"/>
    <w:rsid w:val="00F27B14"/>
    <w:rsid w:val="00F32AA4"/>
    <w:rsid w:val="00F573CF"/>
    <w:rsid w:val="00F57A2B"/>
    <w:rsid w:val="00F643FB"/>
    <w:rsid w:val="00F658E5"/>
    <w:rsid w:val="00F70F81"/>
    <w:rsid w:val="00F764F4"/>
    <w:rsid w:val="00F76D32"/>
    <w:rsid w:val="00F84802"/>
    <w:rsid w:val="00F86F49"/>
    <w:rsid w:val="00FA333E"/>
    <w:rsid w:val="00FA7B76"/>
    <w:rsid w:val="00FB0E65"/>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1D15164"/>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16192</Words>
  <Characters>92298</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2019-12-12T17:38:00Z</dcterms:created>
  <dcterms:modified xsi:type="dcterms:W3CDTF">2019-12-12T17:38:00Z</dcterms:modified>
</cp:coreProperties>
</file>