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F7B49">
        <w:t>34</w:t>
      </w:r>
    </w:p>
    <w:p w:rsidR="00EC7C98" w:rsidRPr="00914128" w:rsidRDefault="006F7B49" w:rsidP="00914128">
      <w:pPr>
        <w:pStyle w:val="Heading1"/>
      </w:pPr>
      <w:r w:rsidRPr="006F7B49">
        <w:t>WILLS</w:t>
      </w:r>
    </w:p>
    <w:p w:rsidR="00533E74" w:rsidRDefault="00701801" w:rsidP="00914128">
      <w:pPr>
        <w:pStyle w:val="ToC"/>
      </w:pPr>
      <w:hyperlink w:anchor="a34_01" w:history="1">
        <w:r w:rsidR="000E72CD" w:rsidRPr="001C5646">
          <w:rPr>
            <w:rStyle w:val="Hyperlink"/>
          </w:rPr>
          <w:t>34:1</w:t>
        </w:r>
      </w:hyperlink>
      <w:r w:rsidR="000E72CD" w:rsidRPr="001C5646">
        <w:t xml:space="preserve"> </w:t>
      </w:r>
      <w:r w:rsidR="000E72CD" w:rsidRPr="001C5646">
        <w:tab/>
        <w:t xml:space="preserve">Will Contest — Statement </w:t>
      </w:r>
      <w:r w:rsidR="000E72CD">
        <w:t>of the</w:t>
      </w:r>
      <w:r w:rsidR="000E72CD" w:rsidRPr="001C5646">
        <w:t xml:space="preserve"> Case</w:t>
      </w:r>
    </w:p>
    <w:p w:rsidR="001C5646" w:rsidRDefault="00701801" w:rsidP="00914128">
      <w:pPr>
        <w:pStyle w:val="ToC"/>
      </w:pPr>
      <w:hyperlink w:anchor="a34_02" w:history="1">
        <w:r w:rsidR="000E72CD" w:rsidRPr="001C5646">
          <w:rPr>
            <w:rStyle w:val="Hyperlink"/>
          </w:rPr>
          <w:t>34:2</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 xml:space="preserve">Properly Executed, Signed, </w:t>
      </w:r>
      <w:r w:rsidR="000E72CD">
        <w:t>and</w:t>
      </w:r>
      <w:r w:rsidR="000E72CD" w:rsidRPr="001C5646">
        <w:t xml:space="preserve"> Witnessed </w:t>
      </w:r>
      <w:r w:rsidR="000E72CD">
        <w:t>or</w:t>
      </w:r>
      <w:r w:rsidR="000E72CD" w:rsidRPr="001C5646">
        <w:t xml:space="preserve"> Acknowledged Will — All Wills Except Self-Proved </w:t>
      </w:r>
      <w:r w:rsidR="000E72CD">
        <w:t>and</w:t>
      </w:r>
      <w:r w:rsidR="000E72CD" w:rsidRPr="001C5646">
        <w:t xml:space="preserve"> Holographic</w:t>
      </w:r>
    </w:p>
    <w:p w:rsidR="001C5646" w:rsidRDefault="00701801" w:rsidP="00914128">
      <w:pPr>
        <w:pStyle w:val="ToC"/>
      </w:pPr>
      <w:hyperlink w:anchor="a34_03" w:history="1">
        <w:r w:rsidR="000E72CD" w:rsidRPr="001C5646">
          <w:rPr>
            <w:rStyle w:val="Hyperlink"/>
          </w:rPr>
          <w:t>34:3</w:t>
        </w:r>
      </w:hyperlink>
      <w:r w:rsidR="000E72CD" w:rsidRPr="001C5646">
        <w:t xml:space="preserve"> </w:t>
      </w:r>
      <w:r w:rsidR="000E72CD" w:rsidRPr="001C5646">
        <w:tab/>
        <w:t>Conscious Presence — Defined</w:t>
      </w:r>
    </w:p>
    <w:p w:rsidR="001C5646" w:rsidRDefault="00701801" w:rsidP="00914128">
      <w:pPr>
        <w:pStyle w:val="ToC"/>
      </w:pPr>
      <w:hyperlink w:anchor="a34_04" w:history="1">
        <w:r w:rsidR="000E72CD" w:rsidRPr="001C5646">
          <w:rPr>
            <w:rStyle w:val="Hyperlink"/>
          </w:rPr>
          <w:t>34:4</w:t>
        </w:r>
      </w:hyperlink>
      <w:r w:rsidR="000E72CD" w:rsidRPr="001C5646">
        <w:t xml:space="preserve"> </w:t>
      </w:r>
      <w:r w:rsidR="000E72CD" w:rsidRPr="001C5646">
        <w:tab/>
        <w:t xml:space="preserve">Witness Having </w:t>
      </w:r>
      <w:r w:rsidR="000E72CD">
        <w:t>an</w:t>
      </w:r>
      <w:r w:rsidR="000E72CD" w:rsidRPr="001C5646">
        <w:t xml:space="preserve"> Interest Under </w:t>
      </w:r>
      <w:r w:rsidR="000E72CD">
        <w:t>the</w:t>
      </w:r>
      <w:r w:rsidR="000E72CD" w:rsidRPr="001C5646">
        <w:t xml:space="preserve"> Will</w:t>
      </w:r>
    </w:p>
    <w:p w:rsidR="001C5646" w:rsidRDefault="00701801" w:rsidP="00914128">
      <w:pPr>
        <w:pStyle w:val="ToC"/>
      </w:pPr>
      <w:hyperlink w:anchor="a34_05" w:history="1">
        <w:r w:rsidR="000E72CD" w:rsidRPr="001C5646">
          <w:rPr>
            <w:rStyle w:val="Hyperlink"/>
          </w:rPr>
          <w:t>34:5</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Self-Proved Will</w:t>
      </w:r>
    </w:p>
    <w:p w:rsidR="001C5646" w:rsidRDefault="00701801" w:rsidP="00914128">
      <w:pPr>
        <w:pStyle w:val="ToC"/>
      </w:pPr>
      <w:hyperlink w:anchor="a34_06" w:history="1">
        <w:r w:rsidR="000E72CD" w:rsidRPr="001C5646">
          <w:rPr>
            <w:rStyle w:val="Hyperlink"/>
          </w:rPr>
          <w:t>34:6</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Holographic Will</w:t>
      </w:r>
    </w:p>
    <w:p w:rsidR="001C5646" w:rsidRDefault="00701801" w:rsidP="00914128">
      <w:pPr>
        <w:pStyle w:val="ToC"/>
      </w:pPr>
      <w:hyperlink w:anchor="a34_07" w:history="1">
        <w:r w:rsidR="000E72CD" w:rsidRPr="001C5646">
          <w:rPr>
            <w:rStyle w:val="Hyperlink"/>
          </w:rPr>
          <w:t>34:7</w:t>
        </w:r>
      </w:hyperlink>
      <w:r w:rsidR="000E72CD" w:rsidRPr="001C5646">
        <w:t xml:space="preserve"> </w:t>
      </w:r>
      <w:r w:rsidR="000E72CD" w:rsidRPr="001C5646">
        <w:tab/>
        <w:t>Testamentary Intent — Defined</w:t>
      </w:r>
    </w:p>
    <w:p w:rsidR="001C5646" w:rsidRDefault="00701801" w:rsidP="00914128">
      <w:pPr>
        <w:pStyle w:val="ToC"/>
      </w:pPr>
      <w:hyperlink w:anchor="a34_08" w:history="1">
        <w:r w:rsidR="000E72CD" w:rsidRPr="001C5646">
          <w:rPr>
            <w:rStyle w:val="Hyperlink"/>
          </w:rPr>
          <w:t>34:8</w:t>
        </w:r>
      </w:hyperlink>
      <w:r w:rsidR="000E72CD" w:rsidRPr="001C5646">
        <w:t xml:space="preserve"> </w:t>
      </w:r>
      <w:r w:rsidR="000E72CD" w:rsidRPr="001C5646">
        <w:tab/>
        <w:t xml:space="preserve">Revocation </w:t>
      </w:r>
      <w:r w:rsidR="000E72CD">
        <w:t>by</w:t>
      </w:r>
      <w:r w:rsidR="000E72CD" w:rsidRPr="001C5646">
        <w:t xml:space="preserve"> Burning, Tearing, Cancelling, Obliterating, </w:t>
      </w:r>
      <w:r w:rsidR="000E72CD">
        <w:t>or</w:t>
      </w:r>
      <w:r w:rsidR="000E72CD" w:rsidRPr="001C5646">
        <w:t xml:space="preserve"> Destroying — Defined</w:t>
      </w:r>
    </w:p>
    <w:p w:rsidR="001C5646" w:rsidRDefault="00701801" w:rsidP="00914128">
      <w:pPr>
        <w:pStyle w:val="ToC"/>
      </w:pPr>
      <w:hyperlink w:anchor="a34_09" w:history="1">
        <w:r w:rsidR="000E72CD" w:rsidRPr="001C5646">
          <w:rPr>
            <w:rStyle w:val="Hyperlink"/>
          </w:rPr>
          <w:t>34:9</w:t>
        </w:r>
      </w:hyperlink>
      <w:r w:rsidR="000E72CD" w:rsidRPr="001C5646">
        <w:t xml:space="preserve"> </w:t>
      </w:r>
      <w:r w:rsidR="000E72CD" w:rsidRPr="001C5646">
        <w:tab/>
        <w:t xml:space="preserve">Presumption </w:t>
      </w:r>
      <w:r w:rsidR="000E72CD">
        <w:t xml:space="preserve">of </w:t>
      </w:r>
      <w:r w:rsidR="000E72CD" w:rsidRPr="001C5646">
        <w:t xml:space="preserve">Revocation </w:t>
      </w:r>
      <w:r w:rsidR="000E72CD">
        <w:t xml:space="preserve">of </w:t>
      </w:r>
      <w:r w:rsidR="000E72CD" w:rsidRPr="001C5646">
        <w:t xml:space="preserve">Lost Will </w:t>
      </w:r>
      <w:r w:rsidR="000E72CD">
        <w:t>or</w:t>
      </w:r>
      <w:r w:rsidR="000E72CD" w:rsidRPr="001C5646">
        <w:t xml:space="preserve"> </w:t>
      </w:r>
      <w:r w:rsidR="000E72CD">
        <w:t xml:space="preserve">of </w:t>
      </w:r>
      <w:r w:rsidR="000E72CD" w:rsidRPr="001C5646">
        <w:t xml:space="preserve">Will </w:t>
      </w:r>
      <w:r w:rsidR="000E72CD">
        <w:t>or</w:t>
      </w:r>
      <w:r w:rsidR="000E72CD" w:rsidRPr="001C5646">
        <w:t xml:space="preserve"> Part(</w:t>
      </w:r>
      <w:r w:rsidR="000E72CD">
        <w:t>s</w:t>
      </w:r>
      <w:r w:rsidR="000E72CD" w:rsidRPr="001C5646">
        <w:t xml:space="preserve">) </w:t>
      </w:r>
      <w:r w:rsidR="000E72CD">
        <w:t xml:space="preserve">of </w:t>
      </w:r>
      <w:r w:rsidR="000E72CD" w:rsidRPr="001C5646">
        <w:t xml:space="preserve">Will Found Burned, Torn, Cancelled, Obliterated, </w:t>
      </w:r>
      <w:r w:rsidR="000E72CD">
        <w:t>or</w:t>
      </w:r>
      <w:r w:rsidR="000E72CD" w:rsidRPr="001C5646">
        <w:t xml:space="preserve"> Destroyed</w:t>
      </w:r>
    </w:p>
    <w:p w:rsidR="001C5646" w:rsidRDefault="00701801" w:rsidP="00914128">
      <w:pPr>
        <w:pStyle w:val="ToC"/>
      </w:pPr>
      <w:hyperlink w:anchor="a34_10" w:history="1">
        <w:r w:rsidR="000E72CD" w:rsidRPr="001C5646">
          <w:rPr>
            <w:rStyle w:val="Hyperlink"/>
          </w:rPr>
          <w:t>34:10</w:t>
        </w:r>
      </w:hyperlink>
      <w:r w:rsidR="000E72CD" w:rsidRPr="001C5646">
        <w:tab/>
        <w:t xml:space="preserve">Burden </w:t>
      </w:r>
      <w:r w:rsidR="000E72CD">
        <w:t xml:space="preserve">of </w:t>
      </w:r>
      <w:r w:rsidR="000E72CD" w:rsidRPr="001C5646">
        <w:t xml:space="preserve">Proof </w:t>
      </w:r>
      <w:r w:rsidR="000E72CD">
        <w:t>on</w:t>
      </w:r>
      <w:r w:rsidR="000E72CD" w:rsidRPr="001C5646">
        <w:t xml:space="preserve"> Issues </w:t>
      </w:r>
      <w:r w:rsidR="000E72CD">
        <w:t xml:space="preserve">of </w:t>
      </w:r>
      <w:r w:rsidR="000E72CD" w:rsidRPr="001C5646">
        <w:t xml:space="preserve">Sound Mind </w:t>
      </w:r>
      <w:r w:rsidR="000E72CD">
        <w:t>and</w:t>
      </w:r>
      <w:r w:rsidR="000E72CD" w:rsidRPr="001C5646">
        <w:t xml:space="preserve"> Memory (Testamentary Capacity) </w:t>
      </w:r>
      <w:r w:rsidR="000E72CD">
        <w:t>and</w:t>
      </w:r>
      <w:r w:rsidR="000E72CD" w:rsidRPr="001C5646">
        <w:t xml:space="preserve"> Undue Influence</w:t>
      </w:r>
    </w:p>
    <w:p w:rsidR="001C5646" w:rsidRDefault="00701801" w:rsidP="00914128">
      <w:pPr>
        <w:pStyle w:val="ToC"/>
      </w:pPr>
      <w:hyperlink w:anchor="a34_11" w:history="1">
        <w:r w:rsidR="000E72CD" w:rsidRPr="001C5646">
          <w:rPr>
            <w:rStyle w:val="Hyperlink"/>
          </w:rPr>
          <w:t>34:11</w:t>
        </w:r>
      </w:hyperlink>
      <w:r w:rsidR="000E72CD" w:rsidRPr="001C5646">
        <w:tab/>
        <w:t xml:space="preserve">Testamentary Capacity </w:t>
      </w:r>
      <w:r w:rsidR="000E72CD">
        <w:t>and</w:t>
      </w:r>
      <w:r w:rsidR="000E72CD" w:rsidRPr="001C5646">
        <w:t xml:space="preserve"> Sound Mind — Defined</w:t>
      </w:r>
    </w:p>
    <w:p w:rsidR="006153FA" w:rsidRDefault="00701801" w:rsidP="00914128">
      <w:pPr>
        <w:pStyle w:val="ToC"/>
      </w:pPr>
      <w:hyperlink w:anchor="a34_12" w:history="1">
        <w:r w:rsidR="000E72CD" w:rsidRPr="006153FA">
          <w:rPr>
            <w:rStyle w:val="Hyperlink"/>
          </w:rPr>
          <w:t>34:12</w:t>
        </w:r>
      </w:hyperlink>
      <w:r w:rsidR="000E72CD" w:rsidRPr="006153FA">
        <w:t xml:space="preserve"> </w:t>
      </w:r>
      <w:r w:rsidR="000E72CD" w:rsidRPr="006153FA">
        <w:tab/>
        <w:t>Insane Delusion — Defined</w:t>
      </w:r>
    </w:p>
    <w:p w:rsidR="006153FA" w:rsidRDefault="00701801" w:rsidP="00914128">
      <w:pPr>
        <w:pStyle w:val="ToC"/>
      </w:pPr>
      <w:hyperlink w:anchor="a34_13" w:history="1">
        <w:r w:rsidR="000E72CD" w:rsidRPr="006153FA">
          <w:rPr>
            <w:rStyle w:val="Hyperlink"/>
          </w:rPr>
          <w:t>34:13</w:t>
        </w:r>
      </w:hyperlink>
      <w:r w:rsidR="000E72CD" w:rsidRPr="006153FA">
        <w:tab/>
        <w:t xml:space="preserve">Effect </w:t>
      </w:r>
      <w:r w:rsidR="000E72CD">
        <w:t xml:space="preserve">of </w:t>
      </w:r>
      <w:r w:rsidR="000E72CD" w:rsidRPr="006153FA">
        <w:t xml:space="preserve">Attestation </w:t>
      </w:r>
      <w:r w:rsidR="000E72CD">
        <w:t xml:space="preserve">of </w:t>
      </w:r>
      <w:r w:rsidR="000E72CD" w:rsidRPr="006153FA">
        <w:t xml:space="preserve">Will </w:t>
      </w:r>
      <w:r w:rsidR="000E72CD">
        <w:t>by</w:t>
      </w:r>
      <w:r w:rsidR="000E72CD" w:rsidRPr="006153FA">
        <w:t xml:space="preserve"> Witnesses</w:t>
      </w:r>
    </w:p>
    <w:p w:rsidR="006153FA" w:rsidRDefault="00701801" w:rsidP="00914128">
      <w:pPr>
        <w:pStyle w:val="ToC"/>
      </w:pPr>
      <w:hyperlink w:anchor="a34_14" w:history="1">
        <w:r w:rsidR="000E72CD" w:rsidRPr="006153FA">
          <w:rPr>
            <w:rStyle w:val="Hyperlink"/>
          </w:rPr>
          <w:t>34:14</w:t>
        </w:r>
      </w:hyperlink>
      <w:r w:rsidR="000E72CD" w:rsidRPr="006153FA">
        <w:t xml:space="preserve"> </w:t>
      </w:r>
      <w:r w:rsidR="000E72CD" w:rsidRPr="006153FA">
        <w:tab/>
        <w:t>Undue Influence — Defined</w:t>
      </w:r>
    </w:p>
    <w:p w:rsidR="006153FA" w:rsidRDefault="00701801" w:rsidP="00914128">
      <w:pPr>
        <w:pStyle w:val="ToC"/>
      </w:pPr>
      <w:hyperlink w:anchor="a34_15" w:history="1">
        <w:r w:rsidR="000E72CD" w:rsidRPr="006153FA">
          <w:rPr>
            <w:rStyle w:val="Hyperlink"/>
          </w:rPr>
          <w:t>34:15</w:t>
        </w:r>
      </w:hyperlink>
      <w:r w:rsidR="000E72CD" w:rsidRPr="006153FA">
        <w:t xml:space="preserve"> </w:t>
      </w:r>
      <w:r w:rsidR="000E72CD" w:rsidRPr="006153FA">
        <w:tab/>
        <w:t xml:space="preserve">Factors </w:t>
      </w:r>
      <w:r w:rsidR="000E72CD">
        <w:t>to</w:t>
      </w:r>
      <w:r w:rsidR="000E72CD" w:rsidRPr="006153FA">
        <w:t xml:space="preserve"> Be Considered </w:t>
      </w:r>
      <w:r w:rsidR="000E72CD">
        <w:t>in</w:t>
      </w:r>
      <w:r w:rsidR="000E72CD" w:rsidRPr="006153FA">
        <w:t xml:space="preserve"> Determining Undue Influence</w:t>
      </w:r>
    </w:p>
    <w:p w:rsidR="00625453" w:rsidRDefault="00701801" w:rsidP="00914128">
      <w:pPr>
        <w:pStyle w:val="ToC"/>
      </w:pPr>
      <w:hyperlink w:anchor="a34_16" w:history="1">
        <w:r w:rsidR="000E72CD" w:rsidRPr="00625453">
          <w:rPr>
            <w:rStyle w:val="Hyperlink"/>
          </w:rPr>
          <w:t>34:16</w:t>
        </w:r>
      </w:hyperlink>
      <w:r w:rsidR="000E72CD" w:rsidRPr="00625453">
        <w:t xml:space="preserve"> </w:t>
      </w:r>
      <w:r w:rsidR="000E72CD" w:rsidRPr="00625453">
        <w:tab/>
        <w:t xml:space="preserve">Undue Influence — Presumption When Beneficiary </w:t>
      </w:r>
      <w:r w:rsidR="000E72CD">
        <w:t xml:space="preserve">in a </w:t>
      </w:r>
      <w:r w:rsidR="000E72CD" w:rsidRPr="00625453">
        <w:t xml:space="preserve">Confidential </w:t>
      </w:r>
      <w:r w:rsidR="000E72CD">
        <w:t>or</w:t>
      </w:r>
      <w:r w:rsidR="000E72CD" w:rsidRPr="00625453">
        <w:t xml:space="preserve"> Fiduciary Relationship</w:t>
      </w:r>
    </w:p>
    <w:p w:rsidR="00625453" w:rsidRDefault="00701801" w:rsidP="00914128">
      <w:pPr>
        <w:pStyle w:val="ToC"/>
      </w:pPr>
      <w:hyperlink w:anchor="a34_17" w:history="1">
        <w:r w:rsidR="000E72CD" w:rsidRPr="00625453">
          <w:rPr>
            <w:rStyle w:val="Hyperlink"/>
          </w:rPr>
          <w:t>34:17</w:t>
        </w:r>
      </w:hyperlink>
      <w:r w:rsidR="000E72CD" w:rsidRPr="00625453">
        <w:tab/>
        <w:t xml:space="preserve">Undue Influence ― Permissible Inference When Presumption </w:t>
      </w:r>
      <w:r w:rsidR="000E72CD">
        <w:t xml:space="preserve">of </w:t>
      </w:r>
      <w:r w:rsidR="000E72CD" w:rsidRPr="00625453">
        <w:t>Undue Influence Is Rebutted</w:t>
      </w:r>
    </w:p>
    <w:p w:rsidR="00625453" w:rsidRDefault="00701801" w:rsidP="00914128">
      <w:pPr>
        <w:pStyle w:val="ToC"/>
      </w:pPr>
      <w:hyperlink w:anchor="a34_18" w:history="1">
        <w:r w:rsidR="000E72CD" w:rsidRPr="00625453">
          <w:rPr>
            <w:rStyle w:val="Hyperlink"/>
          </w:rPr>
          <w:t>34:18</w:t>
        </w:r>
      </w:hyperlink>
      <w:r w:rsidR="000E72CD" w:rsidRPr="00625453">
        <w:t xml:space="preserve"> </w:t>
      </w:r>
      <w:r w:rsidR="000E72CD" w:rsidRPr="00625453">
        <w:tab/>
        <w:t>Confidential Relationship — Defined</w:t>
      </w:r>
    </w:p>
    <w:p w:rsidR="00625453" w:rsidRDefault="00701801" w:rsidP="00914128">
      <w:pPr>
        <w:pStyle w:val="ToC"/>
      </w:pPr>
      <w:hyperlink w:anchor="a34_19" w:history="1">
        <w:r w:rsidR="000E72CD" w:rsidRPr="00625453">
          <w:rPr>
            <w:rStyle w:val="Hyperlink"/>
          </w:rPr>
          <w:t>34:19</w:t>
        </w:r>
      </w:hyperlink>
      <w:r w:rsidR="000E72CD" w:rsidRPr="00625453">
        <w:tab/>
        <w:t>Fiduciary Relationship — Defined</w:t>
      </w:r>
    </w:p>
    <w:p w:rsidR="00625453" w:rsidRDefault="00701801" w:rsidP="00914128">
      <w:pPr>
        <w:pStyle w:val="ToC"/>
      </w:pPr>
      <w:hyperlink w:anchor="a34_20" w:history="1">
        <w:r w:rsidR="000E72CD" w:rsidRPr="00625453">
          <w:rPr>
            <w:rStyle w:val="Hyperlink"/>
          </w:rPr>
          <w:t>34:20</w:t>
        </w:r>
      </w:hyperlink>
      <w:r w:rsidR="000E72CD" w:rsidRPr="00625453">
        <w:t xml:space="preserve"> </w:t>
      </w:r>
      <w:r w:rsidR="000E72CD" w:rsidRPr="00625453">
        <w:tab/>
        <w:t xml:space="preserve">Verdict Form </w:t>
      </w:r>
      <w:r w:rsidR="000E72CD">
        <w:t>f</w:t>
      </w:r>
      <w:r w:rsidR="000E72CD" w:rsidRPr="00625453">
        <w:t>or Proponent</w:t>
      </w:r>
    </w:p>
    <w:p w:rsidR="00625453" w:rsidRDefault="00701801" w:rsidP="00914128">
      <w:pPr>
        <w:pStyle w:val="ToC"/>
      </w:pPr>
      <w:hyperlink w:anchor="a34_21" w:history="1">
        <w:r w:rsidR="000E72CD" w:rsidRPr="00625453">
          <w:rPr>
            <w:rStyle w:val="Hyperlink"/>
          </w:rPr>
          <w:t>34:21</w:t>
        </w:r>
      </w:hyperlink>
      <w:r w:rsidR="000E72CD">
        <w:t xml:space="preserve"> </w:t>
      </w:r>
      <w:r w:rsidR="000E72CD">
        <w:tab/>
        <w:t>Verdict Form f</w:t>
      </w:r>
      <w:r w:rsidR="000E72CD" w:rsidRPr="00625453">
        <w:t>or Contestant</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F7B49" w:rsidP="00CC0502">
      <w:pPr>
        <w:spacing w:after="240"/>
        <w:ind w:left="720" w:hanging="720"/>
        <w:rPr>
          <w:rFonts w:eastAsia="Times New Roman"/>
          <w:b/>
          <w:sz w:val="24"/>
          <w:szCs w:val="24"/>
        </w:rPr>
      </w:pPr>
      <w:bookmarkStart w:id="1" w:name="a34_01"/>
      <w:bookmarkEnd w:id="1"/>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will for probate, and the contestant, </w:t>
      </w:r>
      <w:r w:rsidRPr="006F7B49">
        <w:rPr>
          <w:rFonts w:eastAsia="Times New Roman"/>
          <w:i/>
          <w:sz w:val="24"/>
          <w:szCs w:val="24"/>
        </w:rPr>
        <w:t>(name)</w:t>
      </w:r>
      <w:r w:rsidRPr="006F7B49">
        <w:rPr>
          <w:rFonts w:eastAsia="Times New Roman"/>
          <w:b/>
          <w:sz w:val="24"/>
          <w:szCs w:val="24"/>
        </w:rPr>
        <w:t>, who is the party objecting to the admission of the will to probate.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will was properly signed by </w:t>
      </w:r>
      <w:r w:rsidRPr="006F7B49">
        <w:rPr>
          <w:rFonts w:eastAsia="Times New Roman"/>
          <w:i/>
          <w:sz w:val="24"/>
          <w:szCs w:val="24"/>
        </w:rPr>
        <w:t>[name of alleged testator]</w:t>
      </w:r>
      <w:r w:rsidRPr="006F7B49">
        <w:rPr>
          <w:rFonts w:eastAsia="Times New Roman"/>
          <w:b/>
          <w:sz w:val="24"/>
          <w:szCs w:val="24"/>
        </w:rPr>
        <w:t xml:space="preserve"> as [his] [her] [signed and witnessed] [signed and acknowledged] [self-proved]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will was not properly signed by </w:t>
      </w:r>
      <w:r w:rsidRPr="006F7B49">
        <w:rPr>
          <w:rFonts w:eastAsia="Times New Roman"/>
          <w:i/>
          <w:sz w:val="24"/>
          <w:szCs w:val="24"/>
        </w:rPr>
        <w:t>[name of alleged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[his] [her] [signed and witnessed] [signed and acknowledged]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contestant claims that the will should not be admitted to probate because:</w:t>
      </w:r>
    </w:p>
    <w:p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unnumbered parenthesized paragraph unless the court has determined as a matter of law under section 15-11-503(1), C.R.S., that the offered document or writing “was not executed in compliance with section 15-11-502.” Use the second unnumbered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 xml:space="preserve">In re </w:t>
      </w:r>
      <w:r w:rsidRPr="006F7B49">
        <w:rPr>
          <w:rFonts w:eastAsia="Times New Roman"/>
          <w:b/>
          <w:sz w:val="24"/>
          <w:szCs w:val="24"/>
        </w:rPr>
        <w:lastRenderedPageBreak/>
        <w:t>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3. If the parties have stipulated pursuant to C.R.C.P. 48 to having the jury’s verdict based on some stated majority rather than requiring it to be unanimous,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00F23E0D" w:rsidRPr="00706A17">
        <w:rPr>
          <w:rFonts w:eastAsia="Times New Roman"/>
          <w:sz w:val="24"/>
          <w:szCs w:val="24"/>
        </w:rPr>
        <w:t xml:space="preserve"> </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 </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This instruction is supported by sections 15-12-407 (contested cases), 15-10-306 (right to jury trial), and 15-11-502 to -504,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The requirements of a properly executed, signed, and witnessed or acknowledged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rsidR="006F7B49" w:rsidRDefault="006F7B49">
      <w:pPr>
        <w:rPr>
          <w:rFonts w:eastAsia="Times New Roman"/>
          <w:sz w:val="24"/>
          <w:szCs w:val="24"/>
        </w:rPr>
      </w:pPr>
      <w:r>
        <w:rPr>
          <w:rFonts w:eastAsia="Times New Roman"/>
          <w:sz w:val="24"/>
          <w:szCs w:val="24"/>
        </w:rPr>
        <w:br w:type="page"/>
      </w:r>
    </w:p>
    <w:p w:rsidR="006F7B49" w:rsidRPr="009E3DA4" w:rsidRDefault="006F7B49" w:rsidP="006F7B49">
      <w:pPr>
        <w:spacing w:after="240"/>
        <w:ind w:left="720" w:hanging="720"/>
        <w:rPr>
          <w:rFonts w:eastAsia="Times New Roman"/>
          <w:b/>
          <w:sz w:val="24"/>
          <w:szCs w:val="24"/>
        </w:rPr>
      </w:pPr>
      <w:bookmarkStart w:id="2" w:name="a34_02"/>
      <w:bookmarkEnd w:id="2"/>
      <w:r w:rsidRPr="006F7B49">
        <w:rPr>
          <w:rFonts w:eastAsia="Times New Roman"/>
          <w:b/>
          <w:sz w:val="24"/>
          <w:szCs w:val="24"/>
        </w:rPr>
        <w:lastRenderedPageBreak/>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 ACKNOWLEDGED WilL — All Wills Except Self-Proved and Holographic</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will of the testator, </w:t>
      </w:r>
      <w:r w:rsidRPr="006F7B49">
        <w:rPr>
          <w:rFonts w:eastAsia="Times New Roman"/>
          <w:i/>
          <w:sz w:val="24"/>
          <w:szCs w:val="24"/>
        </w:rPr>
        <w:t>(insert name of alleged testator)</w:t>
      </w:r>
      <w:r w:rsidRPr="006F7B49">
        <w:rPr>
          <w:rFonts w:eastAsia="Times New Roman"/>
          <w:b/>
          <w:sz w:val="24"/>
          <w:szCs w:val="24"/>
        </w:rPr>
        <w:t>, you must find the following have been proved by a preponderance of the evidence: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alleged testator)</w:t>
      </w:r>
      <w:r w:rsidRPr="006F7B49">
        <w:rPr>
          <w:rFonts w:eastAsia="Times New Roman"/>
          <w:b/>
          <w:sz w:val="24"/>
          <w:szCs w:val="24"/>
        </w:rPr>
        <w:t xml:space="preserve"> (or) (someone for </w:t>
      </w:r>
      <w:r w:rsidRPr="006F7B49">
        <w:rPr>
          <w:rFonts w:eastAsia="Times New Roman"/>
          <w:i/>
          <w:sz w:val="24"/>
          <w:szCs w:val="24"/>
        </w:rPr>
        <w:t>[name of alleged testator]</w:t>
      </w:r>
      <w:r w:rsidRPr="006F7B49">
        <w:rPr>
          <w:rFonts w:eastAsia="Times New Roman"/>
          <w:b/>
          <w:sz w:val="24"/>
          <w:szCs w:val="24"/>
        </w:rPr>
        <w:t>) in (his) (her) conscious presence and at (his) (her) direction; and</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 [either]: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Seeing </w:t>
      </w:r>
      <w:r w:rsidRPr="006F7B49">
        <w:rPr>
          <w:rFonts w:eastAsia="Times New Roman"/>
          <w:i/>
          <w:sz w:val="24"/>
          <w:szCs w:val="24"/>
        </w:rPr>
        <w:t xml:space="preserve">[name of alleged testator] </w:t>
      </w:r>
      <w:r w:rsidRPr="006F7B49">
        <w:rPr>
          <w:rFonts w:eastAsia="Times New Roman"/>
          <w:b/>
          <w:sz w:val="24"/>
          <w:szCs w:val="24"/>
        </w:rPr>
        <w:t>sign the writing]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Seeing </w:t>
      </w:r>
      <w:r w:rsidRPr="006F7B49">
        <w:rPr>
          <w:rFonts w:eastAsia="Times New Roman"/>
          <w:i/>
          <w:sz w:val="24"/>
          <w:szCs w:val="24"/>
        </w:rPr>
        <w:t>[name of alleged testator]</w:t>
      </w:r>
      <w:r w:rsidRPr="006F7B49">
        <w:rPr>
          <w:rFonts w:eastAsia="Times New Roman"/>
          <w:b/>
          <w:sz w:val="24"/>
          <w:szCs w:val="24"/>
        </w:rPr>
        <w:t xml:space="preserve"> acknowledge the signature on the writing as being (his) (hers)]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[c. Seeing </w:t>
      </w:r>
      <w:r w:rsidRPr="006F7B49">
        <w:rPr>
          <w:rFonts w:eastAsia="Times New Roman"/>
          <w:i/>
          <w:sz w:val="24"/>
          <w:szCs w:val="24"/>
        </w:rPr>
        <w:t>[name of alleged testator]</w:t>
      </w:r>
      <w:r w:rsidRPr="006F7B49">
        <w:rPr>
          <w:rFonts w:eastAsia="Times New Roman"/>
          <w:b/>
          <w:sz w:val="24"/>
          <w:szCs w:val="24"/>
        </w:rPr>
        <w:t xml:space="preserve"> acknowledge the writing as being (his) (her)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(3. The writing was acknowledged by the testator before [a notary public] [an individual authorized by law to take acknowledgements].) </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 then your verdict must be for the proponent.</w:t>
      </w:r>
    </w:p>
    <w:p w:rsidR="006F7B49" w:rsidRDefault="006F7B49" w:rsidP="006F7B49">
      <w:pPr>
        <w:jc w:val="center"/>
        <w:rPr>
          <w:rFonts w:eastAsia="Times New Roman"/>
          <w:sz w:val="24"/>
          <w:szCs w:val="24"/>
        </w:rPr>
      </w:pPr>
    </w:p>
    <w:p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lastRenderedPageBreak/>
        <w:t>2. Use either numbered paragraph 2 or numbered paragraph 3, as appropriate, with numbered paragraph 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3" w:name="_DV_X15"/>
      <w:bookmarkStart w:id="4" w:name="_DV_C16"/>
      <w:r w:rsidRPr="006F7B49">
        <w:rPr>
          <w:rFonts w:eastAsia="Times New Roman"/>
          <w:sz w:val="24"/>
          <w:szCs w:val="24"/>
        </w:rPr>
        <w:t>If the writing is one that would, at the most, constitute a holographic will, then Instruction 34:6 should be used rather than this instruction.</w:t>
      </w:r>
      <w:bookmarkEnd w:id="3"/>
      <w:bookmarkEnd w:id="4"/>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 defining “conscious presence,” should be given with this instruction whenever that phrase is given in numbered paragraph 1 of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8. If the death of the testator is in issue, and the proponent of the will in question has the burden of proving death under section 15-12-407,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9. This instruction must 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 must be modified to add as an element of the proponent’s claim the requirement that </w:t>
      </w:r>
      <w:r w:rsidRPr="006F7B49">
        <w:rPr>
          <w:rFonts w:eastAsia="Times New Roman"/>
          <w:sz w:val="24"/>
          <w:szCs w:val="24"/>
        </w:rPr>
        <w:lastRenderedPageBreak/>
        <w:t xml:space="preserve">the proponent prove “the will had not been revoked by </w:t>
      </w:r>
      <w:r w:rsidRPr="006F7B49">
        <w:rPr>
          <w:rFonts w:eastAsia="Times New Roman"/>
          <w:i/>
          <w:sz w:val="24"/>
          <w:szCs w:val="24"/>
        </w:rPr>
        <w:t>[name of alleged testator]</w:t>
      </w:r>
      <w:r w:rsidRPr="006F7B49">
        <w:rPr>
          <w:rFonts w:eastAsia="Times New Roman"/>
          <w:sz w:val="24"/>
          <w:szCs w:val="24"/>
        </w:rPr>
        <w:t xml:space="preserve">.” </w:t>
      </w:r>
      <w:r w:rsidRPr="006F7B49">
        <w:rPr>
          <w:rFonts w:eastAsia="Times New Roman"/>
          <w:i/>
          <w:sz w:val="24"/>
          <w:szCs w:val="24"/>
        </w:rPr>
        <w:t>See</w:t>
      </w:r>
      <w:r w:rsidRPr="006F7B49">
        <w:rPr>
          <w:rFonts w:eastAsia="Times New Roman"/>
          <w:sz w:val="24"/>
          <w:szCs w:val="24"/>
        </w:rPr>
        <w:t xml:space="preserve"> Instruction 34:8 and the accompanying Notes on Use. Instructions 34:8 and 34:9 should also be given if appropriate to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10. Section 15-12-402(3) refers to satisfying “the court” that an “unavailable” will has not been revoked. However, section 15-10-306(1), C.R.S., appears to permit the issue to be tried to a jury.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11.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6F7B49">
        <w:rPr>
          <w:rFonts w:eastAsia="Times New Roman"/>
          <w:i/>
          <w:sz w:val="24"/>
          <w:szCs w:val="24"/>
        </w:rPr>
        <w:t>see, e.g.</w:t>
      </w:r>
      <w:r w:rsidRPr="006F7B49">
        <w:rPr>
          <w:rFonts w:eastAsia="Times New Roman"/>
          <w:sz w:val="24"/>
          <w:szCs w:val="24"/>
        </w:rPr>
        <w:t xml:space="preserve">, </w:t>
      </w:r>
      <w:r w:rsidRPr="006F7B49">
        <w:rPr>
          <w:rFonts w:eastAsia="Times New Roman"/>
          <w:b/>
          <w:sz w:val="24"/>
          <w:szCs w:val="24"/>
        </w:rPr>
        <w:t>Hoff v. Armbruster</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6F7B49">
        <w:rPr>
          <w:rFonts w:eastAsia="Times New Roman"/>
          <w:i/>
          <w:sz w:val="24"/>
          <w:szCs w:val="24"/>
        </w:rPr>
        <w:t>See</w:t>
      </w:r>
      <w:r w:rsidRPr="006F7B49">
        <w:rPr>
          <w:rFonts w:eastAsia="Times New Roman"/>
          <w:sz w:val="24"/>
          <w:szCs w:val="24"/>
        </w:rPr>
        <w:t xml:space="preserve"> Instruction 34:9.</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12. This instruction should not be used when it is claimed only a part, as opposed to the entire will, is invalid because of fraud, etc.</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13.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 xml:space="preserve">(a) If the will is self-proved pursuant to section 15-11-504, the will satisfies the requirements for execution without the testimony of any attesting witness, upon filing the </w:t>
      </w:r>
      <w:r w:rsidRPr="006F7B49">
        <w:rPr>
          <w:rFonts w:eastAsia="Times New Roman"/>
          <w:sz w:val="24"/>
          <w:szCs w:val="24"/>
        </w:rPr>
        <w:lastRenderedPageBreak/>
        <w:t>will and the acknowledgement and affidavits annexed or attached to it, unless there is evidence of fraud or forgery affecting the acknowledgement or affidavit.</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18. If the contest relates only to a codicil or to a will with one or more codicils, appropriate modifications must also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19. When necessary and appropriate to the evidence in the case, Instruction 34:4 (witness having an interest under the will) should be given with this instruction as a cautionary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20. “Intent that [a] document constitute[s] the testator’s will can be established by extrinsic evidence. . . .” § 15-11-502(3).</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21.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C.R.S. </w:t>
      </w:r>
      <w:r w:rsidRPr="006F7B49">
        <w:rPr>
          <w:rFonts w:eastAsia="Times New Roman"/>
          <w:b/>
          <w:sz w:val="24"/>
          <w:szCs w:val="24"/>
        </w:rPr>
        <w:t>In re Estate of Schumacher</w:t>
      </w:r>
      <w:r w:rsidRPr="006F7B49">
        <w:rPr>
          <w:rFonts w:eastAsia="Times New Roman"/>
          <w:sz w:val="24"/>
          <w:szCs w:val="24"/>
        </w:rPr>
        <w:t xml:space="preserve">, 253 P.3d 1280 (Colo. App. 2011). </w:t>
      </w:r>
    </w:p>
    <w:p w:rsidR="006F7B49" w:rsidRPr="0054263B" w:rsidRDefault="006F7B49" w:rsidP="006F7B49">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This instruction is supported by section 15-11-502(1).</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5" w:name="a34_03"/>
      <w:bookmarkEnd w:id="5"/>
      <w:r w:rsidRPr="00F94E0B">
        <w:rPr>
          <w:rFonts w:eastAsia="Times New Roman"/>
          <w:b/>
          <w:sz w:val="24"/>
          <w:szCs w:val="24"/>
        </w:rPr>
        <w:lastRenderedPageBreak/>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 (his) (her) senses of the presence of the person signing the will at (his) (her) direction. “Presence” requires that that person was physically near the testator, though not necessarily in (his) (her) line of sight.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should be given in conjunction with Instruction 34:2 whenever the phrase “conscious presence” is used in numbered paragraph 1 of that Instruction.</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6" w:name="a34_04"/>
      <w:bookmarkEnd w:id="6"/>
      <w:r w:rsidRPr="00F94E0B">
        <w:rPr>
          <w:rFonts w:eastAsia="Times New Roman"/>
          <w:b/>
          <w:sz w:val="24"/>
          <w:szCs w:val="24"/>
        </w:rPr>
        <w:lastRenderedPageBreak/>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A will or any provision in it may be valid even if a person who signed the will as a witness is also a beneficiary under the will.</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 15-11-505(1), C.R.S., which provides that anyone who is “generally competent to be a witness may act as a witness to a will.” Under subsection (2) of that statute, the “signing of a will by an interested witness does not invalidate the will or any provision of it.”</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7" w:name="a34_05"/>
      <w:bookmarkEnd w:id="7"/>
      <w:r w:rsidRPr="00F94E0B">
        <w:rPr>
          <w:rFonts w:eastAsia="Times New Roman"/>
          <w:b/>
          <w:sz w:val="24"/>
          <w:szCs w:val="24"/>
        </w:rPr>
        <w:lastRenderedPageBreak/>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Exhibit </w:t>
      </w:r>
      <w:r w:rsidRPr="00F94E0B">
        <w:rPr>
          <w:rFonts w:eastAsia="Times New Roman"/>
          <w:i/>
          <w:sz w:val="24"/>
          <w:szCs w:val="24"/>
        </w:rPr>
        <w:t>(insert appropriate identification)</w:t>
      </w:r>
      <w:r w:rsidRPr="00F94E0B">
        <w:rPr>
          <w:rFonts w:eastAsia="Times New Roman"/>
          <w:b/>
          <w:sz w:val="24"/>
          <w:szCs w:val="24"/>
        </w:rPr>
        <w:t xml:space="preserve"> is what is known as a “self-proved” will. It has been offered by the proponent, </w:t>
      </w:r>
      <w:r w:rsidRPr="00F94E0B">
        <w:rPr>
          <w:rFonts w:eastAsia="Times New Roman"/>
          <w:i/>
          <w:sz w:val="24"/>
          <w:szCs w:val="24"/>
        </w:rPr>
        <w:t>(name)</w:t>
      </w:r>
      <w:r w:rsidRPr="00F94E0B">
        <w:rPr>
          <w:rFonts w:eastAsia="Times New Roman"/>
          <w:b/>
          <w:sz w:val="24"/>
          <w:szCs w:val="24"/>
        </w:rPr>
        <w:t xml:space="preserve">, as the will of </w:t>
      </w:r>
      <w:r w:rsidRPr="00F94E0B">
        <w:rPr>
          <w:rFonts w:eastAsia="Times New Roman"/>
          <w:i/>
          <w:sz w:val="24"/>
          <w:szCs w:val="24"/>
        </w:rPr>
        <w:t>(name of alleged testator)</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If you find that the contestant has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xml:space="preserve">, by a preponderance of the evidence, your verdict must be for the contestant, </w:t>
      </w:r>
      <w:r w:rsidRPr="00F94E0B">
        <w:rPr>
          <w:rFonts w:eastAsia="Times New Roman"/>
          <w:i/>
          <w:sz w:val="24"/>
          <w:szCs w:val="24"/>
        </w:rPr>
        <w:t>(name)</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On the other hand, if you find that the contestant has not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your verdict must be for the proponent.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lastRenderedPageBreak/>
        <w:t>5. The conclusive presumption of due execution of a self-proved will created by the acknowledgment of the testator and affidavits of witnesses to “an attested will” does not apply if there “is evidence of fraud or forgery affecting the acknowledgment or affidavit.” Section 15-12-406(1)(a). Although section 15-12-406(1)(a) is not explicit, it is assumed the burden of proving such fraud or forgery is on the contestant. C.R.C.P. 8(c). If there is sufficient evidence of such fraud or forgery, this instruction must be appropriately modified.</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 etc.</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11. This instruction may not be used for a lost will, even though the lost will would otherwise have qualified as a self-proved will. The presumption of valid execution requires filing of the will and the acknowledgment and affidavits annexed or affixed to it.</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p>
    <w:p w:rsidR="00081B09" w:rsidRDefault="00081B09">
      <w:pPr>
        <w:rPr>
          <w:rFonts w:eastAsia="Times New Roman"/>
          <w:sz w:val="24"/>
          <w:szCs w:val="24"/>
        </w:rPr>
      </w:pPr>
      <w:r>
        <w:rPr>
          <w:rFonts w:eastAsia="Times New Roman"/>
          <w:sz w:val="24"/>
          <w:szCs w:val="24"/>
        </w:rPr>
        <w:br w:type="page"/>
      </w:r>
    </w:p>
    <w:p w:rsidR="00081B09" w:rsidRPr="009E3DA4" w:rsidRDefault="00081B09" w:rsidP="00081B09">
      <w:pPr>
        <w:spacing w:after="240"/>
        <w:ind w:left="720" w:hanging="720"/>
        <w:rPr>
          <w:rFonts w:eastAsia="Times New Roman"/>
          <w:b/>
          <w:sz w:val="24"/>
          <w:szCs w:val="24"/>
        </w:rPr>
      </w:pPr>
      <w:bookmarkStart w:id="8" w:name="a34_06"/>
      <w:bookmarkEnd w:id="8"/>
      <w:r w:rsidRPr="00081B09">
        <w:rPr>
          <w:rFonts w:eastAsia="Times New Roman"/>
          <w:b/>
          <w:sz w:val="24"/>
          <w:szCs w:val="24"/>
        </w:rPr>
        <w:lastRenderedPageBreak/>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will of the testator, </w:t>
      </w:r>
      <w:r w:rsidRPr="00081B09">
        <w:rPr>
          <w:rFonts w:eastAsia="Times New Roman"/>
          <w:i/>
          <w:sz w:val="24"/>
          <w:szCs w:val="24"/>
        </w:rPr>
        <w:t>(insert name of alleged testator)</w:t>
      </w:r>
      <w:r w:rsidRPr="00081B09">
        <w:rPr>
          <w:rFonts w:eastAsia="Times New Roman"/>
          <w:b/>
          <w:sz w:val="24"/>
          <w:szCs w:val="24"/>
        </w:rPr>
        <w:t>, you must find the following have been proved by a preponderance of the evidence:</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1. The writing </w:t>
      </w:r>
      <w:r w:rsidRPr="00081B09">
        <w:rPr>
          <w:rFonts w:eastAsia="Times New Roman"/>
          <w:i/>
          <w:sz w:val="24"/>
          <w:szCs w:val="24"/>
        </w:rPr>
        <w:t>(insert appropriate description)</w:t>
      </w:r>
      <w:r w:rsidRPr="00081B09">
        <w:rPr>
          <w:rFonts w:eastAsia="Times New Roman"/>
          <w:b/>
          <w:sz w:val="24"/>
          <w:szCs w:val="24"/>
        </w:rPr>
        <w:t xml:space="preserve">, whether witnessed or not, was signed by the testator, </w:t>
      </w:r>
      <w:r w:rsidRPr="00081B09">
        <w:rPr>
          <w:rFonts w:eastAsia="Times New Roman"/>
          <w:i/>
          <w:sz w:val="24"/>
          <w:szCs w:val="24"/>
        </w:rPr>
        <w:t>(name)</w:t>
      </w:r>
      <w:r w:rsidRPr="00081B09">
        <w:rPr>
          <w:rFonts w:eastAsia="Times New Roman"/>
          <w:b/>
          <w:sz w:val="24"/>
          <w:szCs w:val="24"/>
        </w:rPr>
        <w:t>, in (his) (her) own handwriting; and</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2. Material portions of the writing were handwritten by the testator.</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If you find that either proposition 1 or 2 has not been proved by a preponderance of the evidence, then your verdict must be for the contestant, </w:t>
      </w:r>
      <w:r w:rsidRPr="00081B09">
        <w:rPr>
          <w:rFonts w:eastAsia="Times New Roman"/>
          <w:i/>
          <w:sz w:val="24"/>
          <w:szCs w:val="24"/>
        </w:rPr>
        <w:t>(name)</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On the other hand, if you find that both propositions 1 and 2 have been proved, (then your verdict must be for the proponent) (then you must consider the contestant’s claim[s] that </w:t>
      </w:r>
      <w:r w:rsidRPr="00081B0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If you find that (this claim has) (any one or more of these claims have) been proved by a preponderance of the evidence, then your verdict must be for the contestant.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However, if you find that (this claim has not) (none of these claims have) been proved, then your verdict must be for the proponent.</w:t>
      </w:r>
    </w:p>
    <w:p w:rsidR="00081B09" w:rsidRDefault="00081B09" w:rsidP="00081B09">
      <w:pPr>
        <w:jc w:val="center"/>
        <w:rPr>
          <w:rFonts w:eastAsia="Times New Roman"/>
          <w:sz w:val="24"/>
          <w:szCs w:val="24"/>
        </w:rPr>
      </w:pPr>
    </w:p>
    <w:p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This instruction should be used in cases in which there is sufficient evidence for a reasonable jury to find by a preponderance of the evidence that the alleged will was properly executed as a holographic will under section 15-11-502(2),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 The provisions of section 15-11-503, C.R.S., may apply if the evidence is not sufficient for a reasonable jury to find by a preponderance of the evidence that the will was properly executed either as a signed and witnessed will under section 15-11-502(1)(c)(I),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w:t>
      </w:r>
      <w:r w:rsidRPr="00081B09">
        <w:rPr>
          <w:rFonts w:eastAsia="Times New Roman"/>
          <w:sz w:val="24"/>
          <w:szCs w:val="24"/>
        </w:rPr>
        <w:lastRenderedPageBreak/>
        <w:t xml:space="preserve">revoked portion of the will,” § 15-11-503(1). </w:t>
      </w:r>
      <w:r w:rsidRPr="00081B09">
        <w:rPr>
          <w:rFonts w:eastAsia="Times New Roman"/>
          <w:i/>
          <w:sz w:val="24"/>
          <w:szCs w:val="24"/>
        </w:rPr>
        <w:t>See also</w:t>
      </w:r>
      <w:r w:rsidRPr="00081B09">
        <w:rPr>
          <w:rFonts w:eastAsia="Times New Roman"/>
          <w:sz w:val="24"/>
          <w:szCs w:val="24"/>
        </w:rPr>
        <w:t xml:space="preserve"> </w:t>
      </w:r>
      <w:r w:rsidRPr="00081B09">
        <w:rPr>
          <w:rFonts w:eastAsia="Times New Roman"/>
          <w:b/>
          <w:sz w:val="24"/>
          <w:szCs w:val="24"/>
        </w:rPr>
        <w:t>In re Estate of Wiltfong</w:t>
      </w:r>
      <w:r w:rsidRPr="00081B09">
        <w:rPr>
          <w:rFonts w:eastAsia="Times New Roman"/>
          <w:sz w:val="24"/>
          <w:szCs w:val="24"/>
        </w:rPr>
        <w:t xml:space="preserve">, 148 P.3d 465 (Colo. App. 2006) (a document acknowledged but not signed may be recognized as a will under this statute); </w:t>
      </w:r>
      <w:r w:rsidRPr="00081B09">
        <w:rPr>
          <w:rFonts w:eastAsia="Times New Roman"/>
          <w:b/>
          <w:sz w:val="24"/>
          <w:szCs w:val="24"/>
        </w:rPr>
        <w:t>In re Estate of Sky Dancer</w:t>
      </w:r>
      <w:r w:rsidRPr="00081B09">
        <w:rPr>
          <w:rFonts w:eastAsia="Times New Roman"/>
          <w:sz w:val="24"/>
          <w:szCs w:val="24"/>
        </w:rPr>
        <w:t>, 13 P.3d 1231 (Colo. App. 2000) (inadequate basis to find a will under this statute).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3.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 or unsound mind], undue influence, fraud, duress, mistake, or revocation,” § 15-12-407, C.R.S.), or there is insufficient evidence to support a jury finding as to any such matters.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4. If the death of the testator is in issue, and the proponent of the will in question has the burden of proving death under section 15-12-407, this instruction must be appropriately modified.</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5. This instruction must be appropriately modified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6. This instruction should not be used when it is claimed only a part, as opposed to the entire will, is invalid because of fraud, etc.</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7. Omit either numbered paragraph 1 or 2 if the facts are not in dispute, and make such other changes as are necessary in such circumstances.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b/>
          <w:sz w:val="24"/>
          <w:szCs w:val="24"/>
        </w:rPr>
        <w:t>O’Brien v. Wallace</w:t>
      </w:r>
      <w:r w:rsidRPr="00081B09">
        <w:rPr>
          <w:rFonts w:eastAsia="Times New Roman"/>
          <w:sz w:val="24"/>
          <w:szCs w:val="24"/>
        </w:rPr>
        <w:t>, 145 Colo. 291, 359 P.2d 1029 (1961) (where proof of due execution has been made, only such issues on which there is contrary evidence should be submitted to the jury).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8.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9.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10. If the contest relates only to a codicil or to a will with one or more codicils, appropriate modifications must also be made in this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11. When necessary and appropriate to the evidence in the case, Instruction 34:4 (witness having an interest under the will) should be given with this instruction as a cautionary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12. This instruction must 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must be modified to add as an element of the proponent’s claim the requirement that the proponent prove “the will had not been revoked by [name of alleged testator].” See Instruction 34:8 and the accompanying Notes on Use. Instructions 34:8 and 34:9 should also be given if appropriate to the case.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13. Section 15-12-402(3), refers to satisfying “the court” that an “unavailable” will has not been revoked. However, section 15-10-306(1), C.R.S., appears to permit the issue to be tried to a jury. </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14.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081B09">
        <w:rPr>
          <w:rFonts w:eastAsia="Times New Roman"/>
          <w:i/>
          <w:sz w:val="24"/>
          <w:szCs w:val="24"/>
        </w:rPr>
        <w:t>see, e.g.</w:t>
      </w:r>
      <w:r w:rsidRPr="00081B09">
        <w:rPr>
          <w:rFonts w:eastAsia="Times New Roman"/>
          <w:sz w:val="24"/>
          <w:szCs w:val="24"/>
        </w:rPr>
        <w:t xml:space="preserve">, </w:t>
      </w:r>
      <w:r w:rsidRPr="00081B09">
        <w:rPr>
          <w:rFonts w:eastAsia="Times New Roman"/>
          <w:b/>
          <w:sz w:val="24"/>
          <w:szCs w:val="24"/>
        </w:rPr>
        <w:t>Hoff v. Armbruster</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081B09">
        <w:rPr>
          <w:rFonts w:eastAsia="Times New Roman"/>
          <w:i/>
          <w:sz w:val="24"/>
          <w:szCs w:val="24"/>
        </w:rPr>
        <w:t>See</w:t>
      </w:r>
      <w:r w:rsidRPr="00081B09">
        <w:rPr>
          <w:rFonts w:eastAsia="Times New Roman"/>
          <w:sz w:val="24"/>
          <w:szCs w:val="24"/>
        </w:rPr>
        <w:t xml:space="preserve"> Instruction 34:9.</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15. There need be no witnesses to holographic wills. §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16.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Pr="00081B09">
        <w:rPr>
          <w:rFonts w:eastAsia="Times New Roman"/>
          <w:b/>
          <w:sz w:val="24"/>
          <w:szCs w:val="24"/>
        </w:rPr>
        <w:t>Nunez v. Jersin</w:t>
      </w:r>
      <w:r w:rsidRPr="00081B09">
        <w:rPr>
          <w:rFonts w:eastAsia="Times New Roman"/>
          <w:sz w:val="24"/>
          <w:szCs w:val="24"/>
        </w:rPr>
        <w:t>, 635 P.2d 231, 233 (Colo. App. 1981).</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17.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Pr="00081B09">
        <w:rPr>
          <w:rFonts w:eastAsia="Times New Roman"/>
          <w:b/>
          <w:sz w:val="24"/>
          <w:szCs w:val="24"/>
        </w:rPr>
        <w:t>In re Estate of Olschansky</w:t>
      </w:r>
      <w:r w:rsidRPr="00081B09">
        <w:rPr>
          <w:rFonts w:eastAsia="Times New Roman"/>
          <w:sz w:val="24"/>
          <w:szCs w:val="24"/>
        </w:rPr>
        <w:t>, 735 P.2d 927, 929 (Colo. App. 1987).</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18. “[T]he intent of the testator and not the location of his [signed] name is the crucial factor in determining whether a holographic will has been signed within the meaning of” the statute. </w:t>
      </w:r>
      <w:r w:rsidRPr="00081B09">
        <w:rPr>
          <w:rFonts w:eastAsia="Times New Roman"/>
          <w:b/>
          <w:sz w:val="24"/>
          <w:szCs w:val="24"/>
        </w:rPr>
        <w:t>In re Estate of Fegley</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42 Colo. App. 47, 48, 589 P.2d 80, 81 (1978).</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19. The “[i]ntent that [a] document constitute the testator’s will can be established by extrinsic evidence, including, for holographic wills, portions of the document that are not in the testator’s handwriting.” § 15-11-502(3).</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20. Under a previous version of the Probate Code, “the material provisions” of the offered will must have been in the handwriting of the testator. </w:t>
      </w:r>
      <w:r w:rsidRPr="00081B09">
        <w:rPr>
          <w:rFonts w:eastAsia="Times New Roman"/>
          <w:i/>
          <w:sz w:val="24"/>
          <w:szCs w:val="24"/>
        </w:rPr>
        <w:t>See</w:t>
      </w:r>
      <w:r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Pr="00081B09">
        <w:rPr>
          <w:rFonts w:eastAsia="Times New Roman"/>
          <w:i/>
          <w:sz w:val="24"/>
          <w:szCs w:val="24"/>
        </w:rPr>
        <w:t>See</w:t>
      </w:r>
      <w:r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smallCaps/>
          <w:sz w:val="24"/>
          <w:szCs w:val="24"/>
        </w:rPr>
        <w:t>Unif. Probate Code</w:t>
      </w:r>
      <w:r w:rsidRPr="00081B09">
        <w:rPr>
          <w:rFonts w:eastAsia="Times New Roman"/>
          <w:sz w:val="24"/>
          <w:szCs w:val="24"/>
        </w:rPr>
        <w:t xml:space="preserve"> § 2-502(b) cmt. (amended 2010).</w:t>
      </w:r>
    </w:p>
    <w:p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2. This instruction is also based on section 15-12-407, which provides that “[p]roponents of a will have the burden of establishing prima facie proof of due execution in all cases. . . .” Under section 13-25-127(1), C.R.S., the weight of the proponent’s burden of proof as to the issues covered by numbered paragraphs 1 and 2 is by a preponderance of the evidence.</w:t>
      </w:r>
    </w:p>
    <w:p w:rsidR="00907A8A" w:rsidRDefault="00907A8A">
      <w:pPr>
        <w:rPr>
          <w:rFonts w:eastAsia="Times New Roman"/>
          <w:sz w:val="24"/>
          <w:szCs w:val="24"/>
        </w:rPr>
      </w:pPr>
      <w:r>
        <w:rPr>
          <w:rFonts w:eastAsia="Times New Roman"/>
          <w:sz w:val="24"/>
          <w:szCs w:val="24"/>
        </w:rPr>
        <w:br w:type="page"/>
      </w:r>
    </w:p>
    <w:p w:rsidR="00907A8A" w:rsidRPr="009E3DA4" w:rsidRDefault="00907A8A" w:rsidP="00907A8A">
      <w:pPr>
        <w:spacing w:after="240"/>
        <w:ind w:left="720" w:hanging="720"/>
        <w:rPr>
          <w:rFonts w:eastAsia="Times New Roman"/>
          <w:b/>
          <w:sz w:val="24"/>
          <w:szCs w:val="24"/>
        </w:rPr>
      </w:pPr>
      <w:bookmarkStart w:id="9" w:name="a34_07"/>
      <w:bookmarkEnd w:id="9"/>
      <w:r w:rsidRPr="00907A8A">
        <w:rPr>
          <w:rFonts w:eastAsia="Times New Roman"/>
          <w:b/>
          <w:sz w:val="24"/>
          <w:szCs w:val="24"/>
        </w:rPr>
        <w:lastRenderedPageBreak/>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rsidR="00907A8A" w:rsidRPr="00907A8A" w:rsidRDefault="00907A8A" w:rsidP="00907A8A">
      <w:pPr>
        <w:spacing w:after="240"/>
        <w:ind w:firstLine="720"/>
        <w:rPr>
          <w:rFonts w:eastAsia="Times New Roman"/>
          <w:b/>
          <w:sz w:val="24"/>
          <w:szCs w:val="24"/>
        </w:rPr>
      </w:pPr>
      <w:r w:rsidRPr="00907A8A">
        <w:rPr>
          <w:rFonts w:eastAsia="Times New Roman"/>
          <w:b/>
          <w:sz w:val="24"/>
          <w:szCs w:val="24"/>
        </w:rPr>
        <w:t>Testamentary intent means the intent to direct how some or all of one’s property is to be disposed of after one’s death. A person need not express that intent by stating that a writing is his or her will. The intent may b</w:t>
      </w:r>
      <w:r>
        <w:rPr>
          <w:rFonts w:eastAsia="Times New Roman"/>
          <w:b/>
          <w:sz w:val="24"/>
          <w:szCs w:val="24"/>
        </w:rPr>
        <w:t>e shown by other words or acts.</w:t>
      </w:r>
    </w:p>
    <w:p w:rsidR="00907A8A" w:rsidRDefault="00907A8A" w:rsidP="00907A8A">
      <w:pPr>
        <w:jc w:val="center"/>
        <w:rPr>
          <w:rFonts w:eastAsia="Times New Roman"/>
          <w:sz w:val="24"/>
          <w:szCs w:val="24"/>
        </w:rPr>
      </w:pPr>
    </w:p>
    <w:p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1. Because the burden of proving lack of testamentary intent is on the contestant, section 15-12-407, C.R.S., this instruction should only be used in conjunction with Instruction 34:2, 34:5, or 34:6, when the contestant has raised lack of testamentary intent as an affirmative defense. </w:t>
      </w:r>
      <w:r w:rsidRPr="00907A8A">
        <w:rPr>
          <w:rFonts w:eastAsia="Times New Roman"/>
          <w:i/>
          <w:sz w:val="24"/>
          <w:szCs w:val="24"/>
        </w:rPr>
        <w:t xml:space="preserve">See </w:t>
      </w:r>
      <w:r w:rsidRPr="00907A8A">
        <w:rPr>
          <w:rFonts w:eastAsia="Times New Roman"/>
          <w:b/>
          <w:sz w:val="24"/>
          <w:szCs w:val="24"/>
        </w:rPr>
        <w:t>In re Estate of Grobman</w:t>
      </w:r>
      <w:r w:rsidRPr="00907A8A">
        <w:rPr>
          <w:rFonts w:eastAsia="Times New Roman"/>
          <w:sz w:val="24"/>
          <w:szCs w:val="24"/>
        </w:rPr>
        <w:t>, 635 P.2d 231 (Colo. App. 1981) (burden of proving lack of testamentary intent on the contestant of holographic will).</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Modification in the language of this instruction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It is also based on the following cases, which, though they were decided prior to the statutory change shifting the burden of proving the lack of testamentary intent to the contestant, would appear to be applicable: </w:t>
      </w:r>
      <w:r w:rsidRPr="00907A8A">
        <w:rPr>
          <w:rFonts w:eastAsia="Times New Roman"/>
          <w:b/>
          <w:sz w:val="24"/>
          <w:szCs w:val="24"/>
        </w:rPr>
        <w:t>In re Estate of Maikka</w:t>
      </w:r>
      <w:r w:rsidRPr="00907A8A">
        <w:rPr>
          <w:rFonts w:eastAsia="Times New Roman"/>
          <w:sz w:val="24"/>
          <w:szCs w:val="24"/>
        </w:rPr>
        <w:t xml:space="preserve">, 110 Colo. 433, 134 P.2d 723 (1942) (testator’s clear indication that instrument is the testator’s last will and testament is sufficient, and testator may authorize or ratify another’s request that witnesses act as such); and </w:t>
      </w:r>
      <w:r w:rsidRPr="00907A8A">
        <w:rPr>
          <w:rFonts w:eastAsia="Times New Roman"/>
          <w:b/>
          <w:sz w:val="24"/>
          <w:szCs w:val="24"/>
        </w:rPr>
        <w:t>Aquilini v. Chamblin</w:t>
      </w:r>
      <w:r w:rsidRPr="00907A8A">
        <w:rPr>
          <w:rFonts w:eastAsia="Times New Roman"/>
          <w:sz w:val="24"/>
          <w:szCs w:val="24"/>
        </w:rPr>
        <w:t>, 94 Colo. 367, 30 P.2d 325 (1934) (A testator need not use exact words of statute in publishing a will; words, signs, motions, or conduct clearly indicating the instrument is his last will and testament are sufficient).</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3. “The term testamentary intent can only mean that the testator’s frame of mind or intent is that the instrument or disposition of property which he makes shall pass no interest in the property until his death and that the act or instrument shall take effect only upon his death.” 1 </w:t>
      </w:r>
      <w:r w:rsidRPr="00907A8A">
        <w:rPr>
          <w:rFonts w:eastAsia="Times New Roman"/>
          <w:smallCaps/>
          <w:sz w:val="24"/>
          <w:szCs w:val="24"/>
        </w:rPr>
        <w:t>W. Bowe &amp; D. Parker, Page on the Law of Wills</w:t>
      </w:r>
      <w:r w:rsidRPr="00907A8A">
        <w:rPr>
          <w:rFonts w:eastAsia="Times New Roman"/>
          <w:sz w:val="24"/>
          <w:szCs w:val="24"/>
        </w:rPr>
        <w:t xml:space="preserve"> § 5.6, at 178 (rev. ed. 2003).</w:t>
      </w:r>
      <w:r w:rsidRPr="00907A8A">
        <w:rPr>
          <w:rFonts w:eastAsia="Times New Roman"/>
          <w:sz w:val="24"/>
          <w:szCs w:val="24"/>
        </w:rPr>
        <w:tab/>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0" w:name="a34_08"/>
      <w:bookmarkEnd w:id="10"/>
      <w:r w:rsidRPr="00896032">
        <w:rPr>
          <w:rFonts w:eastAsia="Times New Roman"/>
          <w:b/>
          <w:sz w:val="24"/>
          <w:szCs w:val="24"/>
        </w:rPr>
        <w:lastRenderedPageBreak/>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Revocation by Burning, Tearing, Cancelling, Obliterating, or Destroying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who has made a will may revoke (that will) (or) (any part of that will) by performing an act of revocation on the will with the intent to revoke (it) (or) (part of it). A person may also revoke a will by directing another person to perform an act of revocation if that other person performs the act of revocation in the conscious presence of the one who made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An act of revocation on (a will) (or) (any part of a will) includes burning, tearing, canceling, obliterating, or destroying the (will) (or) (part of the will). For a burning, tearing, or canceling to be an act of revocation on the will, it is not necessary that the burn, tear, or cancellation have touched any of the words on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(“Conscious” means that the one who made the will was aware through one or more of [his] [her] senses that the act of revocation was being performed by the other person. “Presence” requires that the other person was physically near the one who made the will, though not necessarily within [his] [her] line of sight.)</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This instruction should be given when appropriate to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Omit any portions of this instruction, whether parenthesized or not, which are not relevant to, or supported by,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When appropriate to the evidence, Instruction 34:9 (presumption of revocation) should also be given with this instruction.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4. There are two ways to revoke a will</w:t>
      </w:r>
      <w:r w:rsidR="00984936">
        <w:rPr>
          <w:rFonts w:eastAsia="Times New Roman"/>
          <w:sz w:val="24"/>
          <w:szCs w:val="24"/>
        </w:rPr>
        <w:t xml:space="preserve"> or any part thereof</w:t>
      </w:r>
      <w:r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Pr="00896032">
        <w:rPr>
          <w:rFonts w:eastAsia="Times New Roman"/>
          <w:sz w:val="24"/>
          <w:szCs w:val="24"/>
        </w:rPr>
        <w:t xml:space="preserve">, or (2) </w:t>
      </w:r>
      <w:r w:rsidR="00984936">
        <w:rPr>
          <w:rFonts w:eastAsia="Times New Roman"/>
          <w:sz w:val="24"/>
          <w:szCs w:val="24"/>
        </w:rPr>
        <w:t>by performing a revocatory act on the will</w:t>
      </w:r>
      <w:r w:rsidRPr="00896032">
        <w:rPr>
          <w:rFonts w:eastAsia="Times New Roman"/>
          <w:sz w:val="24"/>
          <w:szCs w:val="24"/>
        </w:rPr>
        <w:t xml:space="preserve">. § 15-11-507(1), C.R.S.; </w:t>
      </w:r>
      <w:r w:rsidRPr="00896032">
        <w:rPr>
          <w:rFonts w:eastAsia="Times New Roman"/>
          <w:b/>
          <w:sz w:val="24"/>
          <w:szCs w:val="24"/>
        </w:rPr>
        <w:t>In re Estate of Schumacher</w:t>
      </w:r>
      <w:r w:rsidRPr="00896032">
        <w:rPr>
          <w:rFonts w:eastAsia="Times New Roman"/>
          <w:sz w:val="24"/>
          <w:szCs w:val="24"/>
        </w:rPr>
        <w:t xml:space="preserve">, 253 P.3d 1280, 1282 (Colo. App. 2011)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Pr="00896032">
        <w:rPr>
          <w:rFonts w:eastAsia="Times New Roman"/>
          <w:i/>
          <w:sz w:val="24"/>
          <w:szCs w:val="24"/>
        </w:rPr>
        <w:t>See</w:t>
      </w:r>
      <w:r w:rsidRPr="00896032">
        <w:rPr>
          <w:rFonts w:eastAsia="Times New Roman"/>
          <w:sz w:val="24"/>
          <w:szCs w:val="24"/>
        </w:rPr>
        <w:t xml:space="preserve"> Ch. 152, sec. 8, § 15-12-402, 1979 Colo. Sess. Laws 649. However, under the 1979 amendment to section 15-12-402(3), the burden of proving that a lost, destroyed, or otherwise unavailable will was not revoked is on the proponent. Consequently, where the will has been lost, destroyed, or for any other reason is unavailable, Instruction 34:2 (for all but self-proved and holographic wills) or 34:6 (for holographic wills) must be modified to add as an element of the proponent’s claim the requirement that the proponent prove “the will had not been revoked by </w:t>
      </w:r>
      <w:r w:rsidRPr="00896032">
        <w:rPr>
          <w:rFonts w:eastAsia="Times New Roman"/>
          <w:i/>
          <w:sz w:val="24"/>
          <w:szCs w:val="24"/>
        </w:rPr>
        <w:t>[name of alleged testator]</w:t>
      </w:r>
      <w:r w:rsidRPr="00896032">
        <w:rPr>
          <w:rFonts w:eastAsia="Times New Roman"/>
          <w:sz w:val="24"/>
          <w:szCs w:val="24"/>
        </w:rPr>
        <w:t>.” The effect of this modification will be to place the burden of proving no revocation on the proponent, as required by the 1979 amendment.</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lastRenderedPageBreak/>
        <w:t xml:space="preserve">5. On the other hand, if the will has not been destroyed 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 Also, contrary to prior case law, </w:t>
      </w:r>
      <w:r w:rsidRPr="00896032">
        <w:rPr>
          <w:rFonts w:eastAsia="Times New Roman"/>
          <w:i/>
          <w:sz w:val="24"/>
          <w:szCs w:val="24"/>
        </w:rPr>
        <w:t>see, e.g.</w:t>
      </w:r>
      <w:r w:rsidRPr="00896032">
        <w:rPr>
          <w:rFonts w:eastAsia="Times New Roman"/>
          <w:sz w:val="24"/>
          <w:szCs w:val="24"/>
        </w:rPr>
        <w:t xml:space="preserve">, </w:t>
      </w:r>
      <w:r w:rsidRPr="00896032">
        <w:rPr>
          <w:rFonts w:eastAsia="Times New Roman"/>
          <w:b/>
          <w:sz w:val="24"/>
          <w:szCs w:val="24"/>
        </w:rPr>
        <w:t>Hoff v. Armbruster</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896032">
        <w:rPr>
          <w:rFonts w:eastAsia="Times New Roman"/>
          <w:i/>
          <w:sz w:val="24"/>
          <w:szCs w:val="24"/>
        </w:rPr>
        <w:t>See</w:t>
      </w:r>
      <w:r w:rsidRPr="00896032">
        <w:rPr>
          <w:rFonts w:eastAsia="Times New Roman"/>
          <w:sz w:val="24"/>
          <w:szCs w:val="24"/>
        </w:rPr>
        <w:t xml:space="preserve"> Instruction 34:9.</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If other rules relating to revocation would be relevant in light of the evidence in the case and would require the resolution of one or more disputed facts by the jury, an appropriate instruction must be given. </w:t>
      </w:r>
      <w:r w:rsidRPr="00896032">
        <w:rPr>
          <w:rFonts w:eastAsia="Times New Roman"/>
          <w:i/>
          <w:sz w:val="24"/>
          <w:szCs w:val="24"/>
        </w:rPr>
        <w:t>See, e.g.</w:t>
      </w:r>
      <w:r w:rsidRPr="00896032">
        <w:rPr>
          <w:rFonts w:eastAsia="Times New Roman"/>
          <w:sz w:val="24"/>
          <w:szCs w:val="24"/>
        </w:rPr>
        <w:t>, § 15-11-507(1)(a) (revocation by execution of subsequent will); § 15-11-508, C.R.S. (revocation by change of circumstances); § 15-11-509, C.R.S. (revival of revoked will).</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7.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8.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rsidR="00896032" w:rsidRPr="00896032" w:rsidRDefault="000E72CD" w:rsidP="00896032">
      <w:pPr>
        <w:spacing w:after="240"/>
        <w:ind w:firstLine="720"/>
        <w:rPr>
          <w:rFonts w:eastAsia="Times New Roman"/>
          <w:sz w:val="24"/>
          <w:szCs w:val="24"/>
        </w:rPr>
      </w:pPr>
      <w:r>
        <w:rPr>
          <w:rFonts w:eastAsia="Times New Roman"/>
          <w:sz w:val="24"/>
          <w:szCs w:val="24"/>
        </w:rPr>
        <w:t xml:space="preserve">9. </w:t>
      </w:r>
      <w:r w:rsidR="00896032"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00896032" w:rsidRPr="00896032">
        <w:rPr>
          <w:rFonts w:eastAsia="Times New Roman"/>
          <w:b/>
          <w:sz w:val="24"/>
          <w:szCs w:val="24"/>
        </w:rPr>
        <w:t>In re Estate of Sandstead</w:t>
      </w:r>
      <w:r w:rsidR="00896032" w:rsidRPr="00896032">
        <w:rPr>
          <w:rFonts w:eastAsia="Times New Roman"/>
          <w:sz w:val="24"/>
          <w:szCs w:val="24"/>
        </w:rPr>
        <w:t>, 2016 COA 49, ¶ 71</w:t>
      </w:r>
      <w:r w:rsidR="00F71286" w:rsidRPr="00F71286">
        <w:rPr>
          <w:rFonts w:eastAsia="Times New Roman"/>
          <w:sz w:val="24"/>
          <w:szCs w:val="24"/>
        </w:rPr>
        <w:t xml:space="preserve">, </w:t>
      </w:r>
      <w:r w:rsidR="00C86F05">
        <w:rPr>
          <w:rFonts w:eastAsia="Times New Roman"/>
          <w:sz w:val="24"/>
          <w:szCs w:val="24"/>
        </w:rPr>
        <w:t xml:space="preserve">412 P.3d 799, </w:t>
      </w:r>
      <w:r w:rsidR="00F71286" w:rsidRPr="00F71286">
        <w:rPr>
          <w:rFonts w:eastAsia="Times New Roman"/>
          <w:i/>
          <w:sz w:val="24"/>
          <w:szCs w:val="24"/>
        </w:rPr>
        <w:t>rev’d on other grounds sub nom.</w:t>
      </w:r>
      <w:r w:rsidR="00F71286" w:rsidRPr="00F71286">
        <w:rPr>
          <w:rFonts w:eastAsia="Times New Roman"/>
          <w:sz w:val="24"/>
          <w:szCs w:val="24"/>
        </w:rPr>
        <w:t xml:space="preserve"> </w:t>
      </w:r>
      <w:r w:rsidR="00F71286" w:rsidRPr="00F71286">
        <w:rPr>
          <w:rFonts w:eastAsia="Times New Roman"/>
          <w:b/>
          <w:sz w:val="24"/>
          <w:szCs w:val="24"/>
        </w:rPr>
        <w:t>Sandstead-Corona v. Sandstead</w:t>
      </w:r>
      <w:r w:rsidR="00F71286" w:rsidRPr="00F71286">
        <w:rPr>
          <w:rFonts w:eastAsia="Times New Roman"/>
          <w:sz w:val="24"/>
          <w:szCs w:val="24"/>
        </w:rPr>
        <w:t>, 2018 CO 26</w:t>
      </w:r>
      <w:r w:rsidR="000E187F">
        <w:rPr>
          <w:rFonts w:eastAsia="Times New Roman"/>
          <w:sz w:val="24"/>
          <w:szCs w:val="24"/>
        </w:rPr>
        <w:t>, 415 P.3d 310</w:t>
      </w:r>
      <w:r w:rsidR="00F71286" w:rsidRPr="00F71286">
        <w:rPr>
          <w:rFonts w:eastAsia="Times New Roman"/>
          <w:sz w:val="24"/>
          <w:szCs w:val="24"/>
        </w:rPr>
        <w:t xml:space="preserve">; </w:t>
      </w:r>
      <w:r w:rsidR="00C86F05">
        <w:rPr>
          <w:rFonts w:eastAsia="Times New Roman"/>
          <w:sz w:val="24"/>
          <w:szCs w:val="24"/>
        </w:rPr>
        <w:t>s</w:t>
      </w:r>
      <w:r w:rsidR="00F71286" w:rsidRPr="00F71286">
        <w:rPr>
          <w:rFonts w:eastAsia="Times New Roman"/>
          <w:i/>
          <w:sz w:val="24"/>
          <w:szCs w:val="24"/>
        </w:rPr>
        <w:t xml:space="preserve">ee </w:t>
      </w:r>
      <w:r w:rsidR="00F71286" w:rsidRPr="00F71286">
        <w:rPr>
          <w:rFonts w:eastAsia="Times New Roman"/>
          <w:b/>
          <w:sz w:val="24"/>
          <w:szCs w:val="24"/>
        </w:rPr>
        <w:t>In re Estate of Schumacher</w:t>
      </w:r>
      <w:r w:rsidR="00F71286" w:rsidRPr="00F71286">
        <w:rPr>
          <w:rFonts w:eastAsia="Times New Roman"/>
          <w:sz w:val="24"/>
          <w:szCs w:val="24"/>
        </w:rPr>
        <w:t xml:space="preserve">, 253 P.3d </w:t>
      </w:r>
      <w:r w:rsidR="00F71286">
        <w:rPr>
          <w:rFonts w:eastAsia="Times New Roman"/>
          <w:sz w:val="24"/>
          <w:szCs w:val="24"/>
        </w:rPr>
        <w:t>at</w:t>
      </w:r>
      <w:r w:rsidR="00F71286" w:rsidRPr="00F71286">
        <w:rPr>
          <w:rFonts w:eastAsia="Times New Roman"/>
          <w:sz w:val="24"/>
          <w:szCs w:val="24"/>
        </w:rPr>
        <w:t xml:space="preserve"> 1282; </w:t>
      </w:r>
      <w:r w:rsidR="00C86F05">
        <w:rPr>
          <w:rFonts w:eastAsia="Times New Roman"/>
          <w:b/>
          <w:sz w:val="24"/>
          <w:szCs w:val="24"/>
        </w:rPr>
        <w:t>In re Estate of</w:t>
      </w:r>
      <w:r w:rsidR="00F71286" w:rsidRPr="00F71286">
        <w:rPr>
          <w:rFonts w:eastAsia="Times New Roman"/>
          <w:b/>
          <w:sz w:val="24"/>
          <w:szCs w:val="24"/>
        </w:rPr>
        <w:t xml:space="preserve"> Haurin</w:t>
      </w:r>
      <w:r w:rsidR="00F71286" w:rsidRPr="00F71286">
        <w:rPr>
          <w:rFonts w:eastAsia="Times New Roman"/>
          <w:sz w:val="24"/>
          <w:szCs w:val="24"/>
        </w:rPr>
        <w:t xml:space="preserve">, </w:t>
      </w:r>
      <w:r w:rsidR="00F71286" w:rsidRPr="00F71286">
        <w:rPr>
          <w:bCs/>
          <w:color w:val="252525"/>
          <w:sz w:val="24"/>
          <w:szCs w:val="24"/>
        </w:rPr>
        <w:t>43 Colo. App. 296, 605 P.2d 65 (1979)</w:t>
      </w:r>
      <w:r w:rsidR="00896032" w:rsidRPr="00896032">
        <w:rPr>
          <w:rFonts w:eastAsia="Times New Roman"/>
          <w:sz w:val="24"/>
          <w:szCs w:val="24"/>
        </w:rPr>
        <w:t>.</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1" w:name="a34_09"/>
      <w:bookmarkEnd w:id="11"/>
      <w:r w:rsidRPr="00896032">
        <w:rPr>
          <w:rFonts w:eastAsia="Times New Roman"/>
          <w:b/>
          <w:sz w:val="24"/>
          <w:szCs w:val="24"/>
        </w:rPr>
        <w:lastRenderedPageBreak/>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Presumption of Revocation of Lost Will or of Will or Part(S) of Will Found Burned, Torn, Cancelled, Obliterated, or Destroyed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“Presumptions” are rules based upon experience or public policy and established in the law to help the jury decide the case.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by a preponderance of the evidence that the will of </w:t>
      </w:r>
      <w:r w:rsidRPr="00896032">
        <w:rPr>
          <w:rFonts w:eastAsia="Times New Roman"/>
          <w:i/>
          <w:sz w:val="24"/>
          <w:szCs w:val="24"/>
        </w:rPr>
        <w:t>(name of alleged testator)</w:t>
      </w:r>
      <w:r w:rsidRPr="00896032">
        <w:rPr>
          <w:rFonts w:eastAsia="Times New Roman"/>
          <w:b/>
          <w:sz w:val="24"/>
          <w:szCs w:val="24"/>
        </w:rPr>
        <w:t xml:space="preserve"> was last in (his) (her) possession, and after (his) (her) death (the will could not be found) ([the will] [or] [any one or more parts of the will] was found burned, torn, canceled, obliterated, or destroyed), then the law presumes (, and you must find,) that </w:t>
      </w:r>
      <w:r w:rsidRPr="00896032">
        <w:rPr>
          <w:rFonts w:eastAsia="Times New Roman"/>
          <w:i/>
          <w:sz w:val="24"/>
          <w:szCs w:val="24"/>
        </w:rPr>
        <w:t>(name of alleged testator)</w:t>
      </w:r>
      <w:r w:rsidRPr="00896032">
        <w:rPr>
          <w:rFonts w:eastAsia="Times New Roman"/>
          <w:b/>
          <w:sz w:val="24"/>
          <w:szCs w:val="24"/>
        </w:rPr>
        <w:t xml:space="preserve"> revoked (the will)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(You must consider this presumption together with all the other evidence in the case to determine whether </w:t>
      </w:r>
      <w:r w:rsidRPr="00896032">
        <w:rPr>
          <w:rFonts w:eastAsia="Times New Roman"/>
          <w:i/>
          <w:sz w:val="24"/>
          <w:szCs w:val="24"/>
        </w:rPr>
        <w:t>[name of alleged testator]</w:t>
      </w:r>
      <w:r w:rsidRPr="00896032">
        <w:rPr>
          <w:rFonts w:eastAsia="Times New Roman"/>
          <w:b/>
          <w:sz w:val="24"/>
          <w:szCs w:val="24"/>
        </w:rPr>
        <w:t xml:space="preserve"> revoked [the will] [or]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this presumption applies, you must determine, from all the evidence, whether </w:t>
      </w:r>
      <w:r w:rsidRPr="00896032">
        <w:rPr>
          <w:rFonts w:eastAsia="Times New Roman"/>
          <w:i/>
          <w:sz w:val="24"/>
          <w:szCs w:val="24"/>
        </w:rPr>
        <w:t>[name of alleged testator]</w:t>
      </w:r>
      <w:r w:rsidRPr="00896032">
        <w:rPr>
          <w:rFonts w:eastAsia="Times New Roman"/>
          <w:b/>
          <w:sz w:val="24"/>
          <w:szCs w:val="24"/>
        </w:rPr>
        <w:t xml:space="preserve"> intended to revoke the entire will or only one or more parts of the will.)</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Use whichever parenthesized and bracketed words and phrases are appropriate to the evidence in the case. Also, omit the parenthesized last paragraph if, based on the evidence in the case, a reasonable jury could only find that the will had been lost, or could only find (a) that the entire will had been revoked by burning, etc. or (b) that a part or parts of it had been so revoked.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This instruction should not be given unless there is sufficient evidence from which a reasonable jury could reasonably find the basic facts of the presumption, for example, possession by the testator, etc., to be proved.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must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must be given.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Under both CRE 301, and section 15-12-407, C.R.S., the presumption set out in this instruction does not shift the burden of disproving the presumed fact to the opponent of the presumption. For a discussion of CRE 301, see Notes 1-7 of the Notes on Use to Instruction 3:5. </w:t>
      </w:r>
      <w:r w:rsidRPr="00896032">
        <w:rPr>
          <w:rFonts w:eastAsia="Times New Roman"/>
          <w:sz w:val="24"/>
          <w:szCs w:val="24"/>
        </w:rPr>
        <w:lastRenderedPageBreak/>
        <w:t>Under section 15-12-407, a party has “the ultimate burden of persuasion as to matters with respect to which [that party has] the initial burden of proof.”</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A decedent does not need to have had exclusive possession of the torn or canceled will for this presumption to apply. </w:t>
      </w:r>
      <w:r w:rsidRPr="00896032">
        <w:rPr>
          <w:rFonts w:eastAsia="Times New Roman"/>
          <w:b/>
          <w:sz w:val="24"/>
          <w:szCs w:val="24"/>
        </w:rPr>
        <w:t>In re Estate of Schumacher</w:t>
      </w:r>
      <w:r w:rsidRPr="00896032">
        <w:rPr>
          <w:rFonts w:eastAsia="Times New Roman"/>
          <w:sz w:val="24"/>
          <w:szCs w:val="24"/>
        </w:rPr>
        <w:t>, 253 P.3d 1280 (Colo. App. 2011) (will was in decedent’s possession when it was found in a box of personal records decedent sent to his secretary to store in her garage six months before his death).</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Pr="00896032">
        <w:rPr>
          <w:rFonts w:eastAsia="Times New Roman"/>
          <w:b/>
          <w:sz w:val="24"/>
          <w:szCs w:val="24"/>
        </w:rPr>
        <w:t>In re Estate of Tong</w:t>
      </w:r>
      <w:r w:rsidRPr="00896032">
        <w:rPr>
          <w:rFonts w:eastAsia="Times New Roman"/>
          <w:sz w:val="24"/>
          <w:szCs w:val="24"/>
        </w:rPr>
        <w:t>, 619 P.2d 91, 92 (Colo. App. 1980). When the evidence is sufficient to support the application of this rule, this instruction must be appropriately modified.</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15-11-507(1)(b),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Am. Jur.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 and § 29.140 (presumption where will is torn, canceled) (rev. ed. 2004).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Perry</w:t>
      </w:r>
      <w:r w:rsidRPr="00896032">
        <w:rPr>
          <w:rFonts w:eastAsia="Times New Roman"/>
          <w:sz w:val="24"/>
          <w:szCs w:val="24"/>
        </w:rPr>
        <w:t>, 33 P.3d 1235 (Colo. App. 2001).</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2" w:name="a34_10"/>
      <w:bookmarkEnd w:id="12"/>
      <w:r>
        <w:rPr>
          <w:rFonts w:eastAsia="Times New Roman"/>
          <w:b/>
          <w:sz w:val="24"/>
          <w:szCs w:val="24"/>
        </w:rPr>
        <w:lastRenderedPageBreak/>
        <w:t>34:10</w:t>
      </w:r>
      <w:r w:rsidRPr="00896032">
        <w:rPr>
          <w:rFonts w:eastAsia="Times New Roman"/>
          <w:b/>
          <w:sz w:val="24"/>
          <w:szCs w:val="24"/>
        </w:rPr>
        <w:tab/>
      </w:r>
      <w:r w:rsidRPr="00896032">
        <w:rPr>
          <w:rFonts w:ascii="Times New Roman Bold" w:eastAsia="Times New Roman" w:hAnsi="Times New Roman Bold"/>
          <w:b/>
          <w:caps/>
          <w:sz w:val="24"/>
          <w:szCs w:val="24"/>
        </w:rPr>
        <w:t>Burden of Proof On Issues of Sound Mind and Memory (Testamentary Capacity) and Undue Influence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No separate instruction to be given.</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Instructions 34:11 and 34:14, when applicable, and the last paragraphs of Instructions 34:2, 34:5, and 34:6, when applicable, adequately inform the jury of the burden of proof with regard to the affirmative defenses of lack of testamentary capacity or the existence of undue influence.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3" w:name="a34_11"/>
      <w:bookmarkEnd w:id="13"/>
      <w:r w:rsidRPr="00896032">
        <w:rPr>
          <w:rFonts w:eastAsia="Times New Roman"/>
          <w:b/>
          <w:sz w:val="24"/>
          <w:szCs w:val="24"/>
        </w:rPr>
        <w:lastRenderedPageBreak/>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will that was signed when the person making the will did not have testamentary capacity is not valid and may not be admitted to probate. (</w:t>
      </w:r>
      <w:r w:rsidRPr="00896032">
        <w:rPr>
          <w:rFonts w:eastAsia="Times New Roman"/>
          <w:i/>
          <w:sz w:val="24"/>
          <w:szCs w:val="24"/>
        </w:rPr>
        <w:t>Name of alleged testator)</w:t>
      </w:r>
      <w:r w:rsidRPr="00896032">
        <w:rPr>
          <w:rFonts w:eastAsia="Times New Roman"/>
          <w:b/>
          <w:sz w:val="24"/>
          <w:szCs w:val="24"/>
        </w:rPr>
        <w:t xml:space="preserve"> did not have testamentary capacity if (he) (she) (was not eighteen years of age or older) (or) (was not of sound mind) when the will was signed.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is not of sound mind if, when signing a will, [(he) (she) was suffering from an insane delusion that affected or influenced (his) (her) decisions regarding property included in the will] [or] [the person does not understand all of the following:</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1. That (he) (she) is making a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 (he) (she) owns;</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3. How that property will be distributed under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4. That the will distributes the property as (he) (she) wishes; and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5. Those persons who would normally receive (his) (her) property.])</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When the issue of lack of testamentary capacity has been properly put in issue, this instruction should be given in conjunction with Instruction 34:2, 34:5, or 34:6.</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Use whichever parenthesized and bracketed portions of the instruction are appropriate in light of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3. For the definition of “insane delusion,” see Instruction 34:12.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1. This instruction is supported by section 15-11-501, C.R.S. (to have testamentary capacity the testator must have been of sound mind and eighteen years of age or more).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2. The definition of “sound mind” is based on </w:t>
      </w:r>
      <w:r w:rsidRPr="00896032">
        <w:rPr>
          <w:rFonts w:eastAsia="Times New Roman"/>
          <w:b/>
          <w:sz w:val="24"/>
          <w:szCs w:val="24"/>
        </w:rPr>
        <w:t>Cunningham v. Stender</w:t>
      </w:r>
      <w:r w:rsidRPr="00896032">
        <w:rPr>
          <w:rFonts w:eastAsia="Times New Roman"/>
          <w:sz w:val="24"/>
          <w:szCs w:val="24"/>
        </w:rPr>
        <w:t xml:space="preserve">, 127 Colo. 293, 255 P.2d 977 (1953), and reaffirmed in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 xml:space="preserve">, 992 P.2d at 1170; </w:t>
      </w:r>
      <w:r w:rsidRPr="00896032">
        <w:rPr>
          <w:rFonts w:eastAsia="Times New Roman"/>
          <w:b/>
          <w:sz w:val="24"/>
          <w:szCs w:val="24"/>
        </w:rPr>
        <w:t xml:space="preserve">In re Estate </w:t>
      </w:r>
      <w:r w:rsidRPr="00896032">
        <w:rPr>
          <w:rFonts w:eastAsia="Times New Roman"/>
          <w:b/>
          <w:sz w:val="24"/>
          <w:szCs w:val="24"/>
        </w:rPr>
        <w:lastRenderedPageBreak/>
        <w:t>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and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 xml:space="preserve">(Colo. 2006).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The burden of proving lack of testamentary capacity is on the contestant. § 15-12-407, C.R.S.</w:t>
      </w:r>
    </w:p>
    <w:p w:rsidR="00896032" w:rsidRDefault="00896032">
      <w:pPr>
        <w:rPr>
          <w:rFonts w:eastAsia="Times New Roman"/>
          <w:sz w:val="24"/>
          <w:szCs w:val="24"/>
        </w:rPr>
      </w:pPr>
      <w:r>
        <w:rPr>
          <w:rFonts w:eastAsia="Times New Roman"/>
          <w:sz w:val="24"/>
          <w:szCs w:val="24"/>
        </w:rPr>
        <w:br w:type="page"/>
      </w:r>
    </w:p>
    <w:p w:rsidR="00896032" w:rsidRPr="009E3DA4" w:rsidRDefault="00D81D01" w:rsidP="00896032">
      <w:pPr>
        <w:spacing w:after="240"/>
        <w:ind w:left="720" w:hanging="720"/>
        <w:rPr>
          <w:rFonts w:eastAsia="Times New Roman"/>
          <w:b/>
          <w:sz w:val="24"/>
          <w:szCs w:val="24"/>
        </w:rPr>
      </w:pPr>
      <w:bookmarkStart w:id="14" w:name="a34_12"/>
      <w:bookmarkEnd w:id="14"/>
      <w:r w:rsidRPr="00D81D01">
        <w:rPr>
          <w:rFonts w:eastAsia="Times New Roman"/>
          <w:b/>
          <w:sz w:val="24"/>
          <w:szCs w:val="24"/>
        </w:rPr>
        <w:lastRenderedPageBreak/>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An insane delusion is a persistent belief, resulting from illness or disorder, in the existence or non-existence of something that is contrary to all evidence.</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When appropriate to the evidence, this instruction should be used in conjunction with Instruction 34:11.</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5" w:name="a34_13"/>
      <w:bookmarkEnd w:id="15"/>
      <w:r w:rsidRPr="00D81D01">
        <w:rPr>
          <w:rFonts w:eastAsia="Times New Roman"/>
          <w:b/>
          <w:sz w:val="24"/>
          <w:szCs w:val="24"/>
        </w:rPr>
        <w:lastRenderedPageBreak/>
        <w:t xml:space="preserve">34:13 </w:t>
      </w:r>
      <w:r w:rsidRPr="00D81D01">
        <w:rPr>
          <w:rFonts w:eastAsia="Times New Roman"/>
          <w:b/>
          <w:sz w:val="24"/>
          <w:szCs w:val="24"/>
        </w:rPr>
        <w:tab/>
      </w:r>
      <w:r w:rsidRPr="00D81D01">
        <w:rPr>
          <w:rFonts w:ascii="Times New Roman Bold" w:eastAsia="Times New Roman" w:hAnsi="Times New Roman Bold"/>
          <w:b/>
          <w:caps/>
          <w:sz w:val="24"/>
          <w:szCs w:val="24"/>
        </w:rPr>
        <w:t>Effect of Attestation of Will by Witnesses</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No separate instruction to be given.</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In most if not all instances, an instruction on this subject would be an improper comment on the evidence.</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6" w:name="a34_14"/>
      <w:bookmarkEnd w:id="16"/>
      <w:r w:rsidRPr="00D81D01">
        <w:rPr>
          <w:rFonts w:eastAsia="Times New Roman"/>
          <w:b/>
          <w:sz w:val="24"/>
          <w:szCs w:val="24"/>
        </w:rPr>
        <w:lastRenderedPageBreak/>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Undue influence means words or conduct, or both, which, at the time of the making of a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Deprived the person making the will of (his) (her) free choice; 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2. Caused the person making the will to make it or part of it differently than (he) (she) otherwise would have.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This instruction should be given in conjunction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When this instruction is given, Instruction 34:15 (factors to be considered in determining undue influence) must also be given, and either Instruction 34:16 (presumption of undue influence when beneficiary in a confidential or fiduciary relationship) or Instruction 34:17 (inference of undue influence, when presumption of undue influence is rebutted) may be appropriate.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The burden of proof on the issue of undue influence is on the contestant. § 15-12-407, C.R.S.</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P.2d 138 (1947) (no undue influence found); </w:t>
      </w:r>
      <w:r w:rsidRPr="00D81D01">
        <w:rPr>
          <w:rFonts w:eastAsia="Times New Roman"/>
          <w:b/>
          <w:sz w:val="24"/>
          <w:szCs w:val="24"/>
        </w:rPr>
        <w:t>Snodgrass v. Smith</w:t>
      </w:r>
      <w:r w:rsidRPr="00D81D01">
        <w:rPr>
          <w:rFonts w:eastAsia="Times New Roman"/>
          <w:sz w:val="24"/>
          <w:szCs w:val="24"/>
        </w:rPr>
        <w:t xml:space="preserve">, 42 Colo. 60, 94 P. 312 (1908) (possible to have partially valid will);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28 Colo. 167, 63 P. 413 (1900) (no undue influence found).</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7" w:name="a34_15"/>
      <w:bookmarkEnd w:id="17"/>
      <w:r w:rsidRPr="00D81D01">
        <w:rPr>
          <w:rFonts w:eastAsia="Times New Roman"/>
          <w:b/>
          <w:sz w:val="24"/>
          <w:szCs w:val="24"/>
        </w:rPr>
        <w:lastRenderedPageBreak/>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alleged testator)</w:t>
      </w:r>
      <w:r w:rsidRPr="00D81D01">
        <w:rPr>
          <w:rFonts w:eastAsia="Times New Roman"/>
          <w:b/>
          <w:sz w:val="24"/>
          <w:szCs w:val="24"/>
        </w:rPr>
        <w:t xml:space="preserve"> in the making of (his) (her)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Influence gained by reason of love, affection or kindness, or by appeals to such feelings, is not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You may consider the provisions in the will in determining whether or not </w:t>
      </w:r>
      <w:r w:rsidRPr="00D81D01">
        <w:rPr>
          <w:rFonts w:eastAsia="Times New Roman"/>
          <w:i/>
          <w:sz w:val="24"/>
          <w:szCs w:val="24"/>
        </w:rPr>
        <w:t>(name of alleged testator)</w:t>
      </w:r>
      <w:r w:rsidRPr="00D81D01">
        <w:rPr>
          <w:rFonts w:eastAsia="Times New Roman"/>
          <w:b/>
          <w:sz w:val="24"/>
          <w:szCs w:val="24"/>
        </w:rPr>
        <w:t xml:space="preserve"> was acting under undue influence at the time (he) (she) made the (claimed) will. However, in considering any particular provisions in the (claimed) will, you must consider them along with all the other provisions in the will and along with all other evidence relating to the making of the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 person (18 years or older and) (of sound mind and) not acting under undue influence may will his or her property to whomever he or she desires. The fact that a will may contain provisions that differ from your idea of what would be proper is not enough to invalidate the will for undue influence.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This cautionary instruction should be given with Instruction 34:14 when undue influence is in issue. Either Instruction 34:16 (presumption of undue influence when beneficiary in a confidential or fiduciary relationship) or Instruction 34:17 (inference of undue influence, when presumption of undue influence is rebutted) may also be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The second paragraph should be omitted if there is no evidence in the case relating to the matters covered by it.</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3. Omit the parenthesized word “claimed” if the only dispute going to the validity of the will is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Scott v. Leonard</w:t>
      </w:r>
      <w:r w:rsidRPr="00D81D01">
        <w:rPr>
          <w:rFonts w:eastAsia="Times New Roman"/>
          <w:sz w:val="24"/>
          <w:szCs w:val="24"/>
        </w:rPr>
        <w:t xml:space="preserve">, 117 Colo. 54, 184 P.2d 138 (1947) (states the rule set out in the first paragraph); </w:t>
      </w:r>
      <w:r w:rsidRPr="00D81D01">
        <w:rPr>
          <w:rFonts w:eastAsia="Times New Roman"/>
          <w:b/>
          <w:sz w:val="24"/>
          <w:szCs w:val="24"/>
        </w:rPr>
        <w:t>In re Estate of Rentfro</w:t>
      </w:r>
      <w:r w:rsidRPr="00D81D01">
        <w:rPr>
          <w:rFonts w:eastAsia="Times New Roman"/>
          <w:sz w:val="24"/>
          <w:szCs w:val="24"/>
        </w:rPr>
        <w:t xml:space="preserve">, 102 Colo. 400, 79 P.2d 1042 (1938) (mere kindness of treatment, or reasonable solicitation, entreaty or persuasion not sufficient to invalidate a will); </w:t>
      </w:r>
      <w:r w:rsidRPr="00D81D01">
        <w:rPr>
          <w:rFonts w:eastAsia="Times New Roman"/>
          <w:b/>
          <w:sz w:val="24"/>
          <w:szCs w:val="24"/>
        </w:rPr>
        <w:t>Lamborn v. Kirkpatrick</w:t>
      </w:r>
      <w:r w:rsidRPr="00D81D01">
        <w:rPr>
          <w:rFonts w:eastAsia="Times New Roman"/>
          <w:sz w:val="24"/>
          <w:szCs w:val="24"/>
        </w:rPr>
        <w:t xml:space="preserve">, 97 Colo. 421, 50 P.2d 542 (1935) (if proponent and testator were living in unlawful cohabitation, proponent must show such </w:t>
      </w:r>
      <w:r w:rsidRPr="00D81D01">
        <w:rPr>
          <w:rFonts w:eastAsia="Times New Roman"/>
          <w:sz w:val="24"/>
          <w:szCs w:val="24"/>
        </w:rPr>
        <w:lastRenderedPageBreak/>
        <w:t xml:space="preserve">relationship was not used to influence the will); </w:t>
      </w:r>
      <w:r w:rsidRPr="00D81D01">
        <w:rPr>
          <w:rFonts w:eastAsia="Times New Roman"/>
          <w:b/>
          <w:sz w:val="24"/>
          <w:szCs w:val="24"/>
        </w:rPr>
        <w:t>Aquilini v. Chamblin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94 Colo. 367, 30 P.2d 325 (1934) (supports the second and fourth paragraphs); </w:t>
      </w:r>
      <w:r w:rsidRPr="00D81D01">
        <w:rPr>
          <w:rFonts w:eastAsia="Times New Roman"/>
          <w:b/>
          <w:sz w:val="24"/>
          <w:szCs w:val="24"/>
        </w:rPr>
        <w:t>Piggott v. Schachet</w:t>
      </w:r>
      <w:r w:rsidRPr="00D81D01">
        <w:rPr>
          <w:rFonts w:eastAsia="Times New Roman"/>
          <w:sz w:val="24"/>
          <w:szCs w:val="24"/>
        </w:rPr>
        <w:t xml:space="preserve">, 76 Colo. 434, 232 P. 1112 (1925) (states the rule set out in the first paragraph); </w:t>
      </w:r>
      <w:r w:rsidRPr="00D81D01">
        <w:rPr>
          <w:rFonts w:eastAsia="Times New Roman"/>
          <w:b/>
          <w:sz w:val="24"/>
          <w:szCs w:val="24"/>
        </w:rPr>
        <w:t>Davis v. Davis</w:t>
      </w:r>
      <w:r w:rsidRPr="00D81D01">
        <w:rPr>
          <w:rFonts w:eastAsia="Times New Roman"/>
          <w:sz w:val="24"/>
          <w:szCs w:val="24"/>
        </w:rPr>
        <w:t xml:space="preserve">, 64 Colo. 62, 170 P. 208 (1917) (supports the fourth paragraph); </w:t>
      </w:r>
      <w:r w:rsidRPr="00D81D01">
        <w:rPr>
          <w:rFonts w:eastAsia="Times New Roman"/>
          <w:b/>
          <w:sz w:val="24"/>
          <w:szCs w:val="24"/>
        </w:rPr>
        <w:t>Lehman v. Lindenmeyer</w:t>
      </w:r>
      <w:r w:rsidRPr="00D81D01">
        <w:rPr>
          <w:rFonts w:eastAsia="Times New Roman"/>
          <w:sz w:val="24"/>
          <w:szCs w:val="24"/>
        </w:rPr>
        <w:t xml:space="preserve">, 48 Colo. 305, 109 P. 956 (1909) (same); </w:t>
      </w:r>
      <w:r w:rsidRPr="00D81D01">
        <w:rPr>
          <w:rFonts w:eastAsia="Times New Roman"/>
          <w:b/>
          <w:sz w:val="24"/>
          <w:szCs w:val="24"/>
        </w:rPr>
        <w:t>Snodgrass v. Smith</w:t>
      </w:r>
      <w:r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28 Colo. 167, 63 P. 413 (1900) (states the rules set out in the first and fourth paragraphs); and </w:t>
      </w:r>
      <w:r w:rsidRPr="00D81D01">
        <w:rPr>
          <w:rFonts w:eastAsia="Times New Roman"/>
          <w:b/>
          <w:sz w:val="24"/>
          <w:szCs w:val="24"/>
        </w:rPr>
        <w:t>Blackman v. Edsall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17 Colo. App. 429, 68 P. 790 (1902) (supports the second paragraph and lists other matters for jury to consider).</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8" w:name="a34_16"/>
      <w:bookmarkEnd w:id="18"/>
      <w:r w:rsidRPr="00D81D01">
        <w:rPr>
          <w:rFonts w:eastAsia="Times New Roman"/>
          <w:b/>
          <w:sz w:val="24"/>
          <w:szCs w:val="24"/>
        </w:rPr>
        <w:lastRenderedPageBreak/>
        <w:t xml:space="preserve">34:16 </w:t>
      </w:r>
      <w:r w:rsidRPr="00D81D01">
        <w:rPr>
          <w:rFonts w:eastAsia="Times New Roman"/>
          <w:b/>
          <w:sz w:val="24"/>
          <w:szCs w:val="24"/>
        </w:rPr>
        <w:tab/>
        <w:t>UNDUE INFLUENCE — PRESUMPTION WHEN BENEFICIARY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[Deleted.]</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former instruction is incorrect under </w:t>
      </w:r>
      <w:r w:rsidRPr="00D81D01">
        <w:rPr>
          <w:rFonts w:eastAsia="Times New Roman"/>
          <w:b/>
          <w:sz w:val="24"/>
          <w:szCs w:val="24"/>
        </w:rPr>
        <w:t>Krueger v. Ary</w:t>
      </w:r>
      <w:r w:rsidRPr="00D81D01">
        <w:rPr>
          <w:rFonts w:eastAsia="Times New Roman"/>
          <w:sz w:val="24"/>
          <w:szCs w:val="24"/>
        </w:rPr>
        <w:t xml:space="preserve">, 205 P.3d 1150 (Colo. 2009), and should not be given. In </w:t>
      </w:r>
      <w:r w:rsidRPr="00D81D01">
        <w:rPr>
          <w:rFonts w:eastAsia="Times New Roman"/>
          <w:b/>
          <w:sz w:val="24"/>
          <w:szCs w:val="24"/>
        </w:rPr>
        <w:t>Krueger</w:t>
      </w:r>
      <w:r w:rsidRPr="00D81D01">
        <w:rPr>
          <w:rFonts w:eastAsia="Times New Roman"/>
          <w:sz w:val="24"/>
          <w:szCs w:val="24"/>
        </w:rPr>
        <w:t xml:space="preserve">, the Supreme Court held that the rebuttable presumption of undue influence due to a confidential or fiduciary relationship “shifts only the burden of going forward with evidence, and does not shift the entire burden of proof.” </w:t>
      </w:r>
      <w:r w:rsidRPr="00D81D01">
        <w:rPr>
          <w:rFonts w:eastAsia="Times New Roman"/>
          <w:i/>
          <w:sz w:val="24"/>
          <w:szCs w:val="24"/>
        </w:rPr>
        <w:t>Id.</w:t>
      </w:r>
      <w:r w:rsidRPr="00D81D01">
        <w:rPr>
          <w:rFonts w:eastAsia="Times New Roman"/>
          <w:sz w:val="24"/>
          <w:szCs w:val="24"/>
        </w:rPr>
        <w:t xml:space="preserve"> at 1154. The former instruction’s notes on use stated that the instruction was to be “given only if there is no or insufficient evidence rebutting the presumed fact of undue influence.” </w:t>
      </w:r>
      <w:r w:rsidRPr="00D81D01">
        <w:rPr>
          <w:rFonts w:eastAsia="Times New Roman"/>
          <w:b/>
          <w:sz w:val="24"/>
          <w:szCs w:val="24"/>
        </w:rPr>
        <w:t xml:space="preserve">Krueger </w:t>
      </w:r>
      <w:r w:rsidRPr="00D81D01">
        <w:rPr>
          <w:rFonts w:eastAsia="Times New Roman"/>
          <w:sz w:val="24"/>
          <w:szCs w:val="24"/>
        </w:rPr>
        <w:t xml:space="preserve">states, however, that “[a]fter a rebuttable presumption is raised and the burden of going forward is shifted, if the opponent does not meet her burden, the presumption establishes the presumed facts as a matter of law.” </w:t>
      </w:r>
      <w:r w:rsidRPr="00D81D01">
        <w:rPr>
          <w:rFonts w:eastAsia="Times New Roman"/>
          <w:i/>
          <w:sz w:val="24"/>
          <w:szCs w:val="24"/>
        </w:rPr>
        <w:t>Id</w:t>
      </w:r>
      <w:r w:rsidRPr="00D81D01">
        <w:rPr>
          <w:rFonts w:eastAsia="Times New Roman"/>
          <w:sz w:val="24"/>
          <w:szCs w:val="24"/>
        </w:rPr>
        <w:t xml:space="preserve">. at 1156.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In that event, the proper procedure would be either to direct a verdict in whole or in part or to instruct the jury that the fact of undue influence has been established as a matter of law. </w:t>
      </w:r>
      <w:r w:rsidRPr="00D81D01">
        <w:rPr>
          <w:rFonts w:eastAsia="Times New Roman"/>
          <w:i/>
          <w:sz w:val="24"/>
          <w:szCs w:val="24"/>
        </w:rPr>
        <w:t>See</w:t>
      </w:r>
      <w:r w:rsidRPr="00D81D01">
        <w:rPr>
          <w:rFonts w:eastAsia="Times New Roman"/>
          <w:sz w:val="24"/>
          <w:szCs w:val="24"/>
        </w:rPr>
        <w:t xml:space="preserve"> Instruction 2:5 (directed verdict). No jury issue as to the presumed fact would remain. </w:t>
      </w:r>
      <w:r w:rsidRPr="00D81D01">
        <w:rPr>
          <w:rFonts w:eastAsia="Times New Roman"/>
          <w:i/>
          <w:sz w:val="24"/>
          <w:szCs w:val="24"/>
        </w:rPr>
        <w:t>See also</w:t>
      </w:r>
      <w:r w:rsidRPr="00D81D01">
        <w:rPr>
          <w:rFonts w:eastAsia="Times New Roman"/>
          <w:sz w:val="24"/>
          <w:szCs w:val="24"/>
        </w:rPr>
        <w:t xml:space="preserve"> Notes on Use to Instruction 3:5 (permissible inference arising from rebuttable presumption).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t>
      </w:r>
      <w:r w:rsidRPr="00D81D01">
        <w:rPr>
          <w:rFonts w:eastAsia="Times New Roman"/>
          <w:b/>
          <w:sz w:val="24"/>
          <w:szCs w:val="24"/>
        </w:rPr>
        <w:t>Krueger</w:t>
      </w:r>
      <w:r w:rsidRPr="00D81D01">
        <w:rPr>
          <w:rFonts w:eastAsia="Times New Roman"/>
          <w:sz w:val="24"/>
          <w:szCs w:val="24"/>
        </w:rPr>
        <w:t xml:space="preserve"> is consistent with CRE 301 (discussed in the Notes on Use to Instruction 3:5) and the provisions of the Probate Code, which now clearly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Pr="00D81D01">
        <w:rPr>
          <w:rFonts w:eastAsia="Times New Roman"/>
          <w:i/>
          <w:sz w:val="24"/>
          <w:szCs w:val="24"/>
        </w:rPr>
        <w:t>Id.</w:t>
      </w:r>
      <w:r w:rsidRPr="00D81D01">
        <w:rPr>
          <w:rFonts w:eastAsia="Times New Roman"/>
          <w:sz w:val="24"/>
          <w:szCs w:val="24"/>
        </w:rPr>
        <w:t>;</w:t>
      </w:r>
      <w:r w:rsidRPr="00D81D01">
        <w:rPr>
          <w:rFonts w:eastAsia="Times New Roman"/>
          <w:i/>
          <w:sz w:val="24"/>
          <w:szCs w:val="24"/>
        </w:rPr>
        <w:t xml:space="preserve"> see also</w:t>
      </w:r>
      <w:r w:rsidRPr="00D81D01">
        <w:rPr>
          <w:rFonts w:eastAsia="Times New Roman"/>
          <w:sz w:val="24"/>
          <w:szCs w:val="24"/>
        </w:rPr>
        <w:t xml:space="preserve"> §§ 15-17-101(1), (2)(b), C.R.S. (applicability of Probate Code to events occurring prior to its adoption);</w:t>
      </w:r>
      <w:r w:rsidRPr="00D81D01">
        <w:rPr>
          <w:rFonts w:eastAsia="Times New Roman"/>
          <w:i/>
          <w:sz w:val="24"/>
          <w:szCs w:val="24"/>
        </w:rPr>
        <w:t xml:space="preserve"> </w:t>
      </w:r>
      <w:r w:rsidRPr="00D81D01">
        <w:rPr>
          <w:rFonts w:eastAsia="Times New Roman"/>
          <w:b/>
          <w:sz w:val="24"/>
          <w:szCs w:val="24"/>
        </w:rPr>
        <w:t>In re Estate of Schlagel</w:t>
      </w:r>
      <w:r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4.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In re Estate of Schlagel</w:t>
      </w:r>
      <w:r w:rsidRPr="00D81D01">
        <w:rPr>
          <w:rFonts w:eastAsia="Times New Roman"/>
          <w:sz w:val="24"/>
          <w:szCs w:val="24"/>
        </w:rPr>
        <w:t xml:space="preserve">, 89 P.3d at 422 (evidence of trust between parties to transaction and that beneficiary never made demands for property); </w:t>
      </w:r>
      <w:r w:rsidRPr="00D81D01">
        <w:rPr>
          <w:rFonts w:eastAsia="Times New Roman"/>
          <w:b/>
          <w:sz w:val="24"/>
          <w:szCs w:val="24"/>
        </w:rPr>
        <w:t>Arnold v. Abernathy</w:t>
      </w:r>
      <w:r w:rsidRPr="00D81D01">
        <w:rPr>
          <w:rFonts w:eastAsia="Times New Roman"/>
          <w:sz w:val="24"/>
          <w:szCs w:val="24"/>
        </w:rPr>
        <w:t xml:space="preserve">, 134 Colo. 573, 307 P.2d 1106 (1957) (evidence transaction was fair and reasonable), </w:t>
      </w:r>
      <w:r w:rsidRPr="00D81D01">
        <w:rPr>
          <w:rFonts w:eastAsia="Times New Roman"/>
          <w:i/>
          <w:sz w:val="24"/>
          <w:szCs w:val="24"/>
        </w:rPr>
        <w:t>overruled by</w:t>
      </w:r>
      <w:r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xml:space="preserve">, 205 P.3d at 1155; </w:t>
      </w:r>
      <w:r w:rsidRPr="00D81D01">
        <w:rPr>
          <w:rFonts w:eastAsia="Times New Roman"/>
          <w:b/>
          <w:sz w:val="24"/>
          <w:szCs w:val="24"/>
        </w:rPr>
        <w:t>In re Estate of Romero</w:t>
      </w:r>
      <w:r w:rsidRPr="00D81D01">
        <w:rPr>
          <w:rFonts w:eastAsia="Times New Roman"/>
          <w:sz w:val="24"/>
          <w:szCs w:val="24"/>
        </w:rPr>
        <w:t>, 126 P.3d 228 (Colo. App. 2005) (testator living independent of beneficiary and with access to others at time will executed).</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5. “[W]hether the opponent’s evidence meets the burden is a question of legal sufficiency for the trial court, not a question of fact for the jury.” </w:t>
      </w:r>
      <w:r w:rsidRPr="00D81D01">
        <w:rPr>
          <w:rFonts w:eastAsia="Times New Roman"/>
          <w:b/>
          <w:sz w:val="24"/>
          <w:szCs w:val="24"/>
        </w:rPr>
        <w:t>Krueger</w:t>
      </w:r>
      <w:r w:rsidRPr="00D81D01">
        <w:rPr>
          <w:rFonts w:eastAsia="Times New Roman"/>
          <w:sz w:val="24"/>
          <w:szCs w:val="24"/>
        </w:rPr>
        <w:t>, 205 P.3d at 1154.</w:t>
      </w:r>
      <w:r w:rsidRPr="00D81D01">
        <w:rPr>
          <w:rFonts w:eastAsia="Times New Roman"/>
          <w:b/>
          <w:sz w:val="24"/>
          <w:szCs w:val="24"/>
        </w:rPr>
        <w:t xml:space="preserve"> </w:t>
      </w:r>
      <w:r w:rsidRPr="00D81D01">
        <w:rPr>
          <w:rFonts w:eastAsia="Times New Roman"/>
          <w:sz w:val="24"/>
          <w:szCs w:val="24"/>
        </w:rPr>
        <w:t xml:space="preserve">If the opponent </w:t>
      </w:r>
      <w:r w:rsidRPr="00D81D01">
        <w:rPr>
          <w:rFonts w:eastAsia="Times New Roman"/>
          <w:sz w:val="24"/>
          <w:szCs w:val="24"/>
        </w:rPr>
        <w:lastRenderedPageBreak/>
        <w:t xml:space="preserve">of the presumption meets the burden, “the presumption does not continue in the case.” </w:t>
      </w:r>
      <w:r w:rsidRPr="00D81D01">
        <w:rPr>
          <w:rFonts w:eastAsia="Times New Roman"/>
          <w:i/>
          <w:sz w:val="24"/>
          <w:szCs w:val="24"/>
        </w:rPr>
        <w:t>Id</w:t>
      </w:r>
      <w:r w:rsidRPr="00D81D01">
        <w:rPr>
          <w:rFonts w:eastAsia="Times New Roman"/>
          <w:sz w:val="24"/>
          <w:szCs w:val="24"/>
        </w:rPr>
        <w:t xml:space="preserve">. at 1156. Nonetheless, a permissible inference of the presumed fact of undue influence remains. </w:t>
      </w:r>
      <w:r w:rsidRPr="00D81D01">
        <w:rPr>
          <w:rFonts w:eastAsia="Times New Roman"/>
          <w:i/>
          <w:sz w:val="24"/>
          <w:szCs w:val="24"/>
        </w:rPr>
        <w:t>Id</w:t>
      </w:r>
      <w:r w:rsidRPr="00D81D01">
        <w:rPr>
          <w:rFonts w:eastAsia="Times New Roman"/>
          <w:sz w:val="24"/>
          <w:szCs w:val="24"/>
        </w:rPr>
        <w:t xml:space="preserve">. “Whether the trial court instructs a jury on the permissible inference is within its discretion.” </w:t>
      </w:r>
      <w:r w:rsidRPr="00D81D01">
        <w:rPr>
          <w:rFonts w:eastAsia="Times New Roman"/>
          <w:i/>
          <w:sz w:val="24"/>
          <w:szCs w:val="24"/>
        </w:rPr>
        <w:t>Id</w:t>
      </w:r>
      <w:r w:rsidRPr="00D81D01">
        <w:rPr>
          <w:rFonts w:eastAsia="Times New Roman"/>
          <w:sz w:val="24"/>
          <w:szCs w:val="24"/>
        </w:rPr>
        <w:t xml:space="preserve">. at 1158. If the trial court decides to instruct on the permissible inference, use instruction 34:17. Note, however, that the Supreme Court “disfavor[s] instructions emphasizing specific evidence.” </w:t>
      </w:r>
      <w:r w:rsidRPr="00D81D01">
        <w:rPr>
          <w:rFonts w:eastAsia="Times New Roman"/>
          <w:i/>
          <w:sz w:val="24"/>
          <w:szCs w:val="24"/>
        </w:rPr>
        <w:t>Id</w:t>
      </w:r>
      <w:r w:rsidRPr="00D81D01">
        <w:rPr>
          <w:rFonts w:eastAsia="Times New Roman"/>
          <w:sz w:val="24"/>
          <w:szCs w:val="24"/>
        </w:rPr>
        <w:t xml:space="preserve">. at 1157. </w:t>
      </w:r>
      <w:r w:rsidRPr="00D81D01">
        <w:rPr>
          <w:rFonts w:eastAsia="Times New Roman"/>
          <w:b/>
          <w:sz w:val="24"/>
          <w:szCs w:val="24"/>
        </w:rPr>
        <w:t xml:space="preserve">Krueger </w:t>
      </w:r>
      <w:r w:rsidRPr="00D81D01">
        <w:rPr>
          <w:rFonts w:eastAsia="Times New Roman"/>
          <w:sz w:val="24"/>
          <w:szCs w:val="24"/>
        </w:rPr>
        <w:t xml:space="preserve">sets forth a detailed framework for a trial court to use in deciding whether to instruct on the permissible inference. </w:t>
      </w:r>
      <w:r w:rsidRPr="00D81D01">
        <w:rPr>
          <w:rFonts w:eastAsia="Times New Roman"/>
          <w:i/>
          <w:sz w:val="24"/>
          <w:szCs w:val="24"/>
        </w:rPr>
        <w:t>Id</w:t>
      </w:r>
      <w:r w:rsidRPr="00D81D01">
        <w:rPr>
          <w:rFonts w:eastAsia="Times New Roman"/>
          <w:sz w:val="24"/>
          <w:szCs w:val="24"/>
        </w:rPr>
        <w:t>. at 1157-58.</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9" w:name="a34_17"/>
      <w:bookmarkEnd w:id="19"/>
      <w:r w:rsidRPr="00D81D01">
        <w:rPr>
          <w:rFonts w:eastAsia="Times New Roman"/>
          <w:b/>
          <w:sz w:val="24"/>
          <w:szCs w:val="24"/>
        </w:rPr>
        <w:lastRenderedPageBreak/>
        <w:t>34:17</w:t>
      </w:r>
      <w:r w:rsidRPr="00D81D01">
        <w:rPr>
          <w:rFonts w:eastAsia="Times New Roman"/>
          <w:b/>
          <w:sz w:val="24"/>
          <w:szCs w:val="24"/>
        </w:rPr>
        <w:tab/>
        <w:t>UNDUE INFLUENCE ― PERMISSIBLE INFERENCE WHEN PRESUMPTION OF UNDUE INFLUENCE IS REBUTTED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You may, but are not required to, draw an inference that the will was signed under undue influence if you find by a preponderance of the evidence that </w:t>
      </w:r>
      <w:r w:rsidRPr="00D81D01">
        <w:rPr>
          <w:rFonts w:eastAsia="Times New Roman"/>
          <w:i/>
          <w:sz w:val="24"/>
          <w:szCs w:val="24"/>
        </w:rPr>
        <w:t>(name of beneficiary claimed to have been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Was a beneficiary under the will, and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2. Was in a (confidential) (and) (or) (fiduciary) relationship with </w:t>
      </w:r>
      <w:r w:rsidRPr="00D81D01">
        <w:rPr>
          <w:rFonts w:eastAsia="Times New Roman"/>
          <w:i/>
          <w:sz w:val="24"/>
          <w:szCs w:val="24"/>
        </w:rPr>
        <w:t xml:space="preserve">(name of testator) </w:t>
      </w:r>
      <w:r w:rsidRPr="00D81D01">
        <w:rPr>
          <w:rFonts w:eastAsia="Times New Roman"/>
          <w:b/>
          <w:sz w:val="24"/>
          <w:szCs w:val="24"/>
        </w:rPr>
        <w:t>at the time of the preparation or execution of the will,</w:t>
      </w:r>
      <w:r w:rsidRPr="00D81D01">
        <w:rPr>
          <w:rFonts w:eastAsia="Times New Roman"/>
          <w:i/>
          <w:sz w:val="24"/>
          <w:szCs w:val="24"/>
        </w:rPr>
        <w:t xml:space="preserve"> </w:t>
      </w:r>
      <w:r w:rsidRPr="00D81D01">
        <w:rPr>
          <w:rFonts w:eastAsia="Times New Roman"/>
          <w:b/>
          <w:sz w:val="24"/>
          <w:szCs w:val="24"/>
        </w:rPr>
        <w:t>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3. Was in some way actively involved with the preparation or signing of the will. </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or not </w:t>
      </w:r>
      <w:r w:rsidRPr="00D81D01">
        <w:rPr>
          <w:rFonts w:eastAsia="Times New Roman"/>
          <w:i/>
          <w:sz w:val="24"/>
          <w:szCs w:val="24"/>
        </w:rPr>
        <w:t xml:space="preserve">[name of testator] </w:t>
      </w:r>
      <w:r w:rsidRPr="00D81D01">
        <w:rPr>
          <w:rFonts w:eastAsia="Times New Roman"/>
          <w:b/>
          <w:sz w:val="24"/>
          <w:szCs w:val="24"/>
        </w:rPr>
        <w:t>signed the will under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You should not draw an inference, however, that a person exercised undue influence over another person solely because they were in a (confidential) (and) (or) (fiduciary) relationship.</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instruction may be used only when the trial court rules that the opponent of the presumption of undue influence has produced legally sufficient evidence to rebut the presumption.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Krueger v. Ary</w:t>
      </w:r>
      <w:r w:rsidRPr="00D81D01">
        <w:rPr>
          <w:rFonts w:eastAsia="Times New Roman"/>
          <w:sz w:val="24"/>
          <w:szCs w:val="24"/>
        </w:rPr>
        <w:t>, 205 P.3d 1150 (Colo. 2009);</w:t>
      </w:r>
      <w:r w:rsidRPr="00D81D01">
        <w:rPr>
          <w:rFonts w:eastAsia="Times New Roman"/>
          <w:b/>
          <w:sz w:val="24"/>
          <w:szCs w:val="24"/>
        </w:rPr>
        <w:t xml:space="preserve"> </w:t>
      </w:r>
      <w:r w:rsidRPr="00D81D01">
        <w:rPr>
          <w:rFonts w:eastAsia="Times New Roman"/>
          <w:sz w:val="24"/>
          <w:szCs w:val="24"/>
        </w:rPr>
        <w:t xml:space="preserve">Notes on Use to Instruction 34:16. In that event, the presumption does not continue in the case. </w:t>
      </w:r>
      <w:r w:rsidRPr="00D81D01">
        <w:rPr>
          <w:rFonts w:eastAsia="Times New Roman"/>
          <w:b/>
          <w:sz w:val="24"/>
          <w:szCs w:val="24"/>
        </w:rPr>
        <w:t>Krueger</w:t>
      </w:r>
      <w:r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Pr="00D81D01">
        <w:rPr>
          <w:rFonts w:eastAsia="Times New Roman"/>
          <w:i/>
          <w:sz w:val="24"/>
          <w:szCs w:val="24"/>
        </w:rPr>
        <w:t>Id</w:t>
      </w:r>
      <w:r w:rsidRPr="00D81D01">
        <w:rPr>
          <w:rFonts w:eastAsia="Times New Roman"/>
          <w:sz w:val="24"/>
          <w:szCs w:val="24"/>
        </w:rPr>
        <w:t xml:space="preserve">. The trial court has discretion whether to instruct on this permissible inference. </w:t>
      </w:r>
      <w:r w:rsidRPr="00D81D01">
        <w:rPr>
          <w:rFonts w:eastAsia="Times New Roman"/>
          <w:i/>
          <w:sz w:val="24"/>
          <w:szCs w:val="24"/>
        </w:rPr>
        <w:t>Id</w:t>
      </w:r>
      <w:r w:rsidRPr="00D81D01">
        <w:rPr>
          <w:rFonts w:eastAsia="Times New Roman"/>
          <w:sz w:val="24"/>
          <w:szCs w:val="24"/>
        </w:rPr>
        <w:t>. at 1156-57.</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For a definition of “inference,” see Instruction 3:8.</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 </w:t>
      </w:r>
      <w:r w:rsidRPr="00D81D01">
        <w:rPr>
          <w:rFonts w:eastAsia="Times New Roman"/>
          <w:i/>
          <w:sz w:val="24"/>
          <w:szCs w:val="24"/>
        </w:rPr>
        <w:t>see</w:t>
      </w:r>
      <w:r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1157-58. Nonetheless, the Supreme Court in </w:t>
      </w:r>
      <w:r w:rsidRPr="00D81D01">
        <w:rPr>
          <w:rFonts w:eastAsia="Times New Roman"/>
          <w:b/>
          <w:sz w:val="24"/>
          <w:szCs w:val="24"/>
        </w:rPr>
        <w:t>Krueger</w:t>
      </w:r>
      <w:r w:rsidRPr="00D81D01">
        <w:rPr>
          <w:rFonts w:eastAsia="Times New Roman"/>
          <w:sz w:val="24"/>
          <w:szCs w:val="24"/>
        </w:rPr>
        <w:t xml:space="preserve"> upheld the trial court’s decision not to instruct. </w:t>
      </w:r>
      <w:r w:rsidRPr="00D81D01">
        <w:rPr>
          <w:rFonts w:eastAsia="Times New Roman"/>
          <w:i/>
          <w:sz w:val="24"/>
          <w:szCs w:val="24"/>
        </w:rPr>
        <w:t>Id</w:t>
      </w:r>
      <w:r w:rsidRPr="00D81D01">
        <w:rPr>
          <w:rFonts w:eastAsia="Times New Roman"/>
          <w:sz w:val="24"/>
          <w:szCs w:val="24"/>
        </w:rPr>
        <w:t xml:space="preserve">. at 1158. </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xml:space="preserve">, 205 P.3d at 1156.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rsidR="00E2145F" w:rsidRPr="009E3DA4" w:rsidRDefault="00E2145F" w:rsidP="00E2145F">
      <w:pPr>
        <w:spacing w:after="240"/>
        <w:ind w:left="720" w:hanging="720"/>
        <w:rPr>
          <w:rFonts w:eastAsia="Times New Roman"/>
          <w:b/>
          <w:sz w:val="24"/>
          <w:szCs w:val="24"/>
        </w:rPr>
      </w:pPr>
      <w:bookmarkStart w:id="20" w:name="a34_18"/>
      <w:bookmarkEnd w:id="20"/>
      <w:r w:rsidRPr="00E2145F">
        <w:rPr>
          <w:rFonts w:eastAsia="Times New Roman"/>
          <w:b/>
          <w:sz w:val="24"/>
          <w:szCs w:val="24"/>
        </w:rPr>
        <w:lastRenderedPageBreak/>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p w:rsidR="00E2145F" w:rsidRPr="00E2145F" w:rsidRDefault="00E2145F" w:rsidP="00E2145F">
      <w:pPr>
        <w:spacing w:after="240"/>
        <w:ind w:firstLine="720"/>
        <w:rPr>
          <w:rFonts w:eastAsia="Times New Roman"/>
          <w:b/>
          <w:sz w:val="24"/>
          <w:szCs w:val="24"/>
        </w:rPr>
      </w:pPr>
      <w:r w:rsidRPr="00E2145F">
        <w:rPr>
          <w:rFonts w:eastAsia="Times New Roman"/>
          <w:b/>
          <w:sz w:val="24"/>
          <w:szCs w:val="24"/>
        </w:rPr>
        <w:t>A confidential relationship exists whenever one person gains the trust and confidence of the other person by acting or pretending to act for the benefit of or in the interest of the other (and, as a result, is put in a position to exercise influence and control over the other).</w:t>
      </w:r>
    </w:p>
    <w:p w:rsidR="00E2145F" w:rsidRDefault="00E2145F" w:rsidP="00E2145F">
      <w:pPr>
        <w:jc w:val="center"/>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When appropriate, this instruction should be used with Instructions 34:16 and 34:17 and such other instructions, as for example, Instruction 19:5 (duty to disclose), when a definition of “confidential relationship” is required. When this instruction is used with Instructions 34:16 and 34:17, the parenthesized last clause should be included. When it is used with other instructions, such as Instruction 19:5, the parenthesized last clause should be omitted.</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2. When instructing a jury on a claim for breach of a fiduciary duty arising out of a confidential relationship, Instructions 26:3 and 26:4 should be used, rather than this instruction.</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lastRenderedPageBreak/>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rsidR="00E2145F" w:rsidRDefault="00E2145F">
      <w:pPr>
        <w:rPr>
          <w:rFonts w:eastAsia="Times New Roman"/>
          <w:b/>
          <w:sz w:val="24"/>
          <w:szCs w:val="24"/>
        </w:rPr>
      </w:pPr>
      <w:r>
        <w:rPr>
          <w:rFonts w:eastAsia="Times New Roman"/>
          <w:b/>
          <w:sz w:val="24"/>
          <w:szCs w:val="24"/>
        </w:rPr>
        <w:br w:type="page"/>
      </w:r>
    </w:p>
    <w:p w:rsidR="00E2145F" w:rsidRPr="009E3DA4" w:rsidRDefault="00E2145F" w:rsidP="00E2145F">
      <w:pPr>
        <w:spacing w:after="240"/>
        <w:ind w:left="720" w:hanging="720"/>
        <w:rPr>
          <w:rFonts w:eastAsia="Times New Roman"/>
          <w:b/>
          <w:sz w:val="24"/>
          <w:szCs w:val="24"/>
        </w:rPr>
      </w:pPr>
      <w:bookmarkStart w:id="21" w:name="a34_19"/>
      <w:bookmarkEnd w:id="21"/>
      <w:r w:rsidRPr="00E2145F">
        <w:rPr>
          <w:rFonts w:eastAsia="Times New Roman"/>
          <w:b/>
          <w:sz w:val="24"/>
          <w:szCs w:val="24"/>
        </w:rPr>
        <w:lastRenderedPageBreak/>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2" w:name="a34_20"/>
      <w:bookmarkEnd w:id="22"/>
      <w:r w:rsidRPr="00E2145F">
        <w:rPr>
          <w:rFonts w:eastAsia="Times New Roman"/>
          <w:b/>
          <w:sz w:val="24"/>
          <w:szCs w:val="24"/>
        </w:rPr>
        <w:lastRenderedPageBreak/>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 xml:space="preserve">__________________________________,  </w:t>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3" w:name="a34_21"/>
      <w:bookmarkEnd w:id="23"/>
      <w:r w:rsidRPr="00E2145F">
        <w:rPr>
          <w:rFonts w:eastAsia="Times New Roman"/>
          <w:b/>
          <w:sz w:val="24"/>
          <w:szCs w:val="24"/>
        </w:rPr>
        <w:lastRenderedPageBreak/>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__________________________________,   )</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Source and Authority to Instruction 34:20.</w:t>
      </w:r>
    </w:p>
    <w:sectPr w:rsidR="00E2145F" w:rsidRPr="00E2145F"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801" w:rsidRDefault="00701801" w:rsidP="0054263B">
      <w:r>
        <w:separator/>
      </w:r>
    </w:p>
    <w:p w:rsidR="00701801" w:rsidRDefault="00701801"/>
  </w:endnote>
  <w:endnote w:type="continuationSeparator" w:id="0">
    <w:p w:rsidR="00701801" w:rsidRDefault="00701801" w:rsidP="0054263B">
      <w:r>
        <w:continuationSeparator/>
      </w:r>
    </w:p>
    <w:p w:rsidR="00701801" w:rsidRDefault="00701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D81D01" w:rsidRDefault="00D81D01">
        <w:pPr>
          <w:pStyle w:val="Footer"/>
          <w:jc w:val="center"/>
        </w:pPr>
        <w:r>
          <w:fldChar w:fldCharType="begin"/>
        </w:r>
        <w:r>
          <w:instrText xml:space="preserve"> PAGE   \* MERGEFORMAT </w:instrText>
        </w:r>
        <w:r>
          <w:fldChar w:fldCharType="separate"/>
        </w:r>
        <w:r w:rsidR="0064310D">
          <w:rPr>
            <w:noProof/>
          </w:rPr>
          <w:t>36</w:t>
        </w:r>
        <w:r>
          <w:rPr>
            <w:noProof/>
          </w:rPr>
          <w:fldChar w:fldCharType="end"/>
        </w:r>
      </w:p>
    </w:sdtContent>
  </w:sdt>
  <w:p w:rsidR="00D81D01" w:rsidRDefault="00D81D01">
    <w:pPr>
      <w:pStyle w:val="Footer"/>
    </w:pPr>
  </w:p>
  <w:p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801" w:rsidRDefault="00701801" w:rsidP="0054263B">
      <w:r>
        <w:separator/>
      </w:r>
    </w:p>
    <w:p w:rsidR="00701801" w:rsidRDefault="00701801"/>
  </w:footnote>
  <w:footnote w:type="continuationSeparator" w:id="0">
    <w:p w:rsidR="00701801" w:rsidRDefault="00701801" w:rsidP="0054263B">
      <w:r>
        <w:continuationSeparator/>
      </w:r>
    </w:p>
    <w:p w:rsidR="00701801" w:rsidRDefault="007018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B1B7A"/>
    <w:rsid w:val="000C204E"/>
    <w:rsid w:val="000C503A"/>
    <w:rsid w:val="000C6F97"/>
    <w:rsid w:val="000D4856"/>
    <w:rsid w:val="000E187F"/>
    <w:rsid w:val="000E72CD"/>
    <w:rsid w:val="000F205C"/>
    <w:rsid w:val="001117D9"/>
    <w:rsid w:val="00112C8E"/>
    <w:rsid w:val="00112FF9"/>
    <w:rsid w:val="00125209"/>
    <w:rsid w:val="00126B7A"/>
    <w:rsid w:val="001325AD"/>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3E0D"/>
    <w:rsid w:val="00293F7E"/>
    <w:rsid w:val="002A23B0"/>
    <w:rsid w:val="002A6EC7"/>
    <w:rsid w:val="002B5FCF"/>
    <w:rsid w:val="002D0987"/>
    <w:rsid w:val="002D163D"/>
    <w:rsid w:val="002E0970"/>
    <w:rsid w:val="002E1D1B"/>
    <w:rsid w:val="002E562A"/>
    <w:rsid w:val="002F0E75"/>
    <w:rsid w:val="002F48D6"/>
    <w:rsid w:val="002F5B7D"/>
    <w:rsid w:val="00304398"/>
    <w:rsid w:val="00316D33"/>
    <w:rsid w:val="00317364"/>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7771F"/>
    <w:rsid w:val="005A22A6"/>
    <w:rsid w:val="005B12DB"/>
    <w:rsid w:val="005B27FE"/>
    <w:rsid w:val="005B3A78"/>
    <w:rsid w:val="005C56C9"/>
    <w:rsid w:val="005C5CCB"/>
    <w:rsid w:val="005D1AD3"/>
    <w:rsid w:val="005D1F16"/>
    <w:rsid w:val="005D3156"/>
    <w:rsid w:val="005E712D"/>
    <w:rsid w:val="005F1017"/>
    <w:rsid w:val="005F19FD"/>
    <w:rsid w:val="005F5A94"/>
    <w:rsid w:val="00604F03"/>
    <w:rsid w:val="006053F6"/>
    <w:rsid w:val="00605C11"/>
    <w:rsid w:val="006153FA"/>
    <w:rsid w:val="00625453"/>
    <w:rsid w:val="00625AF7"/>
    <w:rsid w:val="006272FE"/>
    <w:rsid w:val="00631BFF"/>
    <w:rsid w:val="00642649"/>
    <w:rsid w:val="0064310D"/>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D2E09"/>
    <w:rsid w:val="006E0D06"/>
    <w:rsid w:val="006E3575"/>
    <w:rsid w:val="006E62F0"/>
    <w:rsid w:val="006F590D"/>
    <w:rsid w:val="006F7581"/>
    <w:rsid w:val="006F7B49"/>
    <w:rsid w:val="006F7DC0"/>
    <w:rsid w:val="00701801"/>
    <w:rsid w:val="00702B5A"/>
    <w:rsid w:val="00706A17"/>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1BE4"/>
    <w:rsid w:val="00813A6B"/>
    <w:rsid w:val="0082168C"/>
    <w:rsid w:val="00821D22"/>
    <w:rsid w:val="0083254A"/>
    <w:rsid w:val="0083264A"/>
    <w:rsid w:val="00832DB4"/>
    <w:rsid w:val="0083763B"/>
    <w:rsid w:val="00837F81"/>
    <w:rsid w:val="00845F81"/>
    <w:rsid w:val="00850A48"/>
    <w:rsid w:val="00853ECF"/>
    <w:rsid w:val="008557E1"/>
    <w:rsid w:val="0086735A"/>
    <w:rsid w:val="008703EF"/>
    <w:rsid w:val="00875064"/>
    <w:rsid w:val="008750D4"/>
    <w:rsid w:val="008812A8"/>
    <w:rsid w:val="00881431"/>
    <w:rsid w:val="008857D3"/>
    <w:rsid w:val="008859AF"/>
    <w:rsid w:val="00895065"/>
    <w:rsid w:val="00896032"/>
    <w:rsid w:val="008A1099"/>
    <w:rsid w:val="008A475A"/>
    <w:rsid w:val="008A6339"/>
    <w:rsid w:val="008A637B"/>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55C5"/>
    <w:rsid w:val="00935DA8"/>
    <w:rsid w:val="00936D0A"/>
    <w:rsid w:val="00950692"/>
    <w:rsid w:val="00952BBB"/>
    <w:rsid w:val="0095709A"/>
    <w:rsid w:val="009725D8"/>
    <w:rsid w:val="00973884"/>
    <w:rsid w:val="00984936"/>
    <w:rsid w:val="009902F2"/>
    <w:rsid w:val="009931B9"/>
    <w:rsid w:val="009A10F1"/>
    <w:rsid w:val="009A1D9F"/>
    <w:rsid w:val="009A5AA6"/>
    <w:rsid w:val="009B6746"/>
    <w:rsid w:val="009C0C3F"/>
    <w:rsid w:val="009E20C7"/>
    <w:rsid w:val="009E3DA4"/>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0EAB"/>
    <w:rsid w:val="00AF40E1"/>
    <w:rsid w:val="00AF7D47"/>
    <w:rsid w:val="00B0264D"/>
    <w:rsid w:val="00B2325C"/>
    <w:rsid w:val="00B338E2"/>
    <w:rsid w:val="00B34ABB"/>
    <w:rsid w:val="00B35185"/>
    <w:rsid w:val="00B37722"/>
    <w:rsid w:val="00B473E5"/>
    <w:rsid w:val="00B538B9"/>
    <w:rsid w:val="00B567C1"/>
    <w:rsid w:val="00B579DF"/>
    <w:rsid w:val="00B60EBD"/>
    <w:rsid w:val="00B6275E"/>
    <w:rsid w:val="00B70D68"/>
    <w:rsid w:val="00B719C2"/>
    <w:rsid w:val="00B72D6B"/>
    <w:rsid w:val="00B73121"/>
    <w:rsid w:val="00B80FD1"/>
    <w:rsid w:val="00B937E4"/>
    <w:rsid w:val="00B96786"/>
    <w:rsid w:val="00B97801"/>
    <w:rsid w:val="00BA2389"/>
    <w:rsid w:val="00BA27A8"/>
    <w:rsid w:val="00BA510E"/>
    <w:rsid w:val="00BB054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6F05"/>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81D01"/>
    <w:rsid w:val="00D852A7"/>
    <w:rsid w:val="00D90E67"/>
    <w:rsid w:val="00D93394"/>
    <w:rsid w:val="00D93487"/>
    <w:rsid w:val="00DA1796"/>
    <w:rsid w:val="00DA2814"/>
    <w:rsid w:val="00DB2C90"/>
    <w:rsid w:val="00DC0393"/>
    <w:rsid w:val="00DC63A9"/>
    <w:rsid w:val="00DC66A6"/>
    <w:rsid w:val="00DC7533"/>
    <w:rsid w:val="00DD5492"/>
    <w:rsid w:val="00DE2930"/>
    <w:rsid w:val="00DE5BAF"/>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2644"/>
    <w:rsid w:val="00E43BF9"/>
    <w:rsid w:val="00E50187"/>
    <w:rsid w:val="00E55147"/>
    <w:rsid w:val="00E551EB"/>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3E7B"/>
    <w:rsid w:val="00EC7C98"/>
    <w:rsid w:val="00ED5E52"/>
    <w:rsid w:val="00ED7176"/>
    <w:rsid w:val="00ED75EA"/>
    <w:rsid w:val="00EE11EE"/>
    <w:rsid w:val="00EE3CDC"/>
    <w:rsid w:val="00EF4043"/>
    <w:rsid w:val="00EF5096"/>
    <w:rsid w:val="00F022D4"/>
    <w:rsid w:val="00F062A4"/>
    <w:rsid w:val="00F23E0D"/>
    <w:rsid w:val="00F32AA4"/>
    <w:rsid w:val="00F573CF"/>
    <w:rsid w:val="00F57A28"/>
    <w:rsid w:val="00F57A2B"/>
    <w:rsid w:val="00F658E5"/>
    <w:rsid w:val="00F71286"/>
    <w:rsid w:val="00F755B7"/>
    <w:rsid w:val="00F764F4"/>
    <w:rsid w:val="00F86F49"/>
    <w:rsid w:val="00F94E0B"/>
    <w:rsid w:val="00FA333E"/>
    <w:rsid w:val="00FA7B76"/>
    <w:rsid w:val="00FC544C"/>
    <w:rsid w:val="00FD2DF4"/>
    <w:rsid w:val="00FD7D4E"/>
    <w:rsid w:val="00FE00D7"/>
    <w:rsid w:val="00FE0A94"/>
    <w:rsid w:val="00FE156B"/>
    <w:rsid w:val="00FE1F3D"/>
    <w:rsid w:val="00FE48F2"/>
    <w:rsid w:val="00FE56B8"/>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F325-6792-4D25-97E9-02B8679D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10383</Words>
  <Characters>59186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2020-12-05T16:12:00Z</dcterms:created>
  <dcterms:modified xsi:type="dcterms:W3CDTF">2020-12-05T16:12:00Z</dcterms:modified>
</cp:coreProperties>
</file>