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3628" w14:textId="77777777" w:rsidR="00CA41CC" w:rsidRPr="00914128" w:rsidRDefault="0068336D" w:rsidP="00914128">
      <w:pPr>
        <w:pStyle w:val="Heading1"/>
      </w:pPr>
      <w:bookmarkStart w:id="0" w:name="_GoBack"/>
      <w:bookmarkEnd w:id="0"/>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C24B64" w:rsidP="00914128">
      <w:pPr>
        <w:pStyle w:val="ToC"/>
      </w:pPr>
      <w:hyperlink w:anchor="a15_01" w:history="1">
        <w:r w:rsidR="007A6C75" w:rsidRPr="00A23713">
          <w:rPr>
            <w:rStyle w:val="Hyperlink"/>
          </w:rPr>
          <w:t>15:1</w:t>
        </w:r>
      </w:hyperlink>
      <w:r w:rsidR="007A6C75" w:rsidRPr="00A23713">
        <w:t xml:space="preserve"> </w:t>
      </w:r>
      <w:r w:rsidR="007A6C75" w:rsidRPr="00A23713">
        <w:tab/>
        <w:t xml:space="preserve">Elements </w:t>
      </w:r>
      <w:r w:rsidR="00F813F5">
        <w:t>of</w:t>
      </w:r>
      <w:r w:rsidR="007A6C75" w:rsidRPr="00A23713">
        <w:t xml:space="preserve"> Liability</w:t>
      </w:r>
    </w:p>
    <w:p w14:paraId="18332A85" w14:textId="77777777" w:rsidR="00A23713" w:rsidRDefault="00C24B64" w:rsidP="00914128">
      <w:pPr>
        <w:pStyle w:val="ToC"/>
      </w:pPr>
      <w:hyperlink w:anchor="a15_02" w:history="1">
        <w:r w:rsidR="007A6C75" w:rsidRPr="00A23713">
          <w:rPr>
            <w:rStyle w:val="Hyperlink"/>
          </w:rPr>
          <w:t>15:2</w:t>
        </w:r>
      </w:hyperlink>
      <w:r w:rsidR="007A6C75">
        <w:t xml:space="preserve"> </w:t>
      </w:r>
      <w:r w:rsidR="007A6C75">
        <w:tab/>
        <w:t xml:space="preserve">Negligence — </w:t>
      </w:r>
      <w:r w:rsidR="007A6C75" w:rsidRPr="00A23713">
        <w:t>Nonspecialist</w:t>
      </w:r>
      <w:r w:rsidR="007A6C75">
        <w:t xml:space="preserve"> — </w:t>
      </w:r>
      <w:r w:rsidR="007A6C75" w:rsidRPr="00A23713">
        <w:t>Defined</w:t>
      </w:r>
    </w:p>
    <w:p w14:paraId="7DF2E9A2" w14:textId="77777777" w:rsidR="00A23713" w:rsidRDefault="00C24B64" w:rsidP="00914128">
      <w:pPr>
        <w:pStyle w:val="ToC"/>
      </w:pPr>
      <w:hyperlink w:anchor="a15_03" w:history="1">
        <w:r w:rsidR="007A6C75" w:rsidRPr="00A23713">
          <w:rPr>
            <w:rStyle w:val="Hyperlink"/>
          </w:rPr>
          <w:t>15:3</w:t>
        </w:r>
      </w:hyperlink>
      <w:r w:rsidR="007A6C75">
        <w:t xml:space="preserve"> </w:t>
      </w:r>
      <w:r w:rsidR="007A6C75">
        <w:tab/>
        <w:t xml:space="preserve">Negligence — </w:t>
      </w:r>
      <w:r w:rsidR="007A6C75" w:rsidRPr="00A23713">
        <w:t xml:space="preserve">Specialist </w:t>
      </w:r>
      <w:r w:rsidR="00F813F5">
        <w:t>or</w:t>
      </w:r>
      <w:r w:rsidR="007A6C75" w:rsidRPr="00A23713">
        <w:t xml:space="preserve"> One Who Has </w:t>
      </w:r>
      <w:r w:rsidR="00F813F5">
        <w:t>or</w:t>
      </w:r>
      <w:r w:rsidR="007A6C75">
        <w:t xml:space="preserve"> Claims </w:t>
      </w:r>
      <w:r w:rsidR="00F813F5">
        <w:t>to</w:t>
      </w:r>
      <w:r w:rsidR="007A6C75">
        <w:t xml:space="preserve"> Have Special Skill — </w:t>
      </w:r>
      <w:r w:rsidR="007A6C75" w:rsidRPr="00A23713">
        <w:t>Defined</w:t>
      </w:r>
    </w:p>
    <w:p w14:paraId="6AF9EA54" w14:textId="77777777" w:rsidR="00A23713" w:rsidRDefault="00C24B64" w:rsidP="00914128">
      <w:pPr>
        <w:pStyle w:val="ToC"/>
      </w:pPr>
      <w:hyperlink w:anchor="a15_04" w:history="1">
        <w:r w:rsidR="007A6C75" w:rsidRPr="00A23713">
          <w:rPr>
            <w:rStyle w:val="Hyperlink"/>
          </w:rPr>
          <w:t>15:4</w:t>
        </w:r>
      </w:hyperlink>
      <w:r w:rsidR="007A6C75" w:rsidRPr="00A23713">
        <w:t xml:space="preserve"> </w:t>
      </w:r>
      <w:r w:rsidR="007A6C75" w:rsidRPr="00A23713">
        <w:tab/>
        <w:t xml:space="preserve">No Implied Warranty </w:t>
      </w:r>
      <w:r w:rsidR="00F813F5">
        <w:t>of</w:t>
      </w:r>
      <w:r w:rsidR="007A6C75" w:rsidRPr="00A23713">
        <w:t xml:space="preserve"> Successful Outcome</w:t>
      </w:r>
    </w:p>
    <w:p w14:paraId="109F89BC" w14:textId="77777777" w:rsidR="00A23713" w:rsidRDefault="00C24B64" w:rsidP="00914128">
      <w:pPr>
        <w:pStyle w:val="ToC"/>
      </w:pPr>
      <w:hyperlink w:anchor="a15_05" w:history="1">
        <w:r w:rsidR="007A6C75" w:rsidRPr="00A23713">
          <w:rPr>
            <w:rStyle w:val="Hyperlink"/>
          </w:rPr>
          <w:t>15:5</w:t>
        </w:r>
      </w:hyperlink>
      <w:r w:rsidR="007A6C75" w:rsidRPr="00A23713">
        <w:t xml:space="preserve"> </w:t>
      </w:r>
      <w:r w:rsidR="007A6C75" w:rsidRPr="00A23713">
        <w:tab/>
        <w:t xml:space="preserve">Referral </w:t>
      </w:r>
      <w:r w:rsidR="00F813F5">
        <w:t>of</w:t>
      </w:r>
      <w:r w:rsidR="007A6C75" w:rsidRPr="00A23713">
        <w:t xml:space="preserve"> Patient </w:t>
      </w:r>
      <w:r w:rsidR="00F813F5">
        <w:t>to</w:t>
      </w:r>
      <w:r w:rsidR="007A6C75" w:rsidRPr="00A23713">
        <w:t xml:space="preserve"> Another Physician</w:t>
      </w:r>
    </w:p>
    <w:p w14:paraId="5373B674" w14:textId="77777777" w:rsidR="00A23713" w:rsidRDefault="00C24B64" w:rsidP="00914128">
      <w:pPr>
        <w:pStyle w:val="ToC"/>
      </w:pPr>
      <w:hyperlink w:anchor="a15_06" w:history="1">
        <w:r w:rsidR="007A6C75" w:rsidRPr="00A23713">
          <w:rPr>
            <w:rStyle w:val="Hyperlink"/>
          </w:rPr>
          <w:t>15:6</w:t>
        </w:r>
      </w:hyperlink>
      <w:r w:rsidR="007A6C75" w:rsidRPr="00A23713">
        <w:t xml:space="preserve"> </w:t>
      </w:r>
      <w:r w:rsidR="007A6C75" w:rsidRPr="00A23713">
        <w:tab/>
        <w:t xml:space="preserve">Contributory Negligence </w:t>
      </w:r>
      <w:r w:rsidR="00F813F5">
        <w:t>of</w:t>
      </w:r>
      <w:r w:rsidR="007A6C75" w:rsidRPr="00A23713">
        <w:t xml:space="preserve"> Patient</w:t>
      </w:r>
      <w:r w:rsidR="007A6C75">
        <w:t xml:space="preserve"> — </w:t>
      </w:r>
      <w:r w:rsidR="007A6C75"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C24B64" w:rsidP="00E007F8">
      <w:pPr>
        <w:pStyle w:val="ToC"/>
      </w:pPr>
      <w:hyperlink w:anchor="a15_07" w:history="1">
        <w:r w:rsidR="007A6C75" w:rsidRPr="00A23713">
          <w:rPr>
            <w:rStyle w:val="Hyperlink"/>
          </w:rPr>
          <w:t>15:7</w:t>
        </w:r>
      </w:hyperlink>
      <w:r w:rsidR="007A6C75" w:rsidRPr="00A23713">
        <w:t xml:space="preserve"> </w:t>
      </w:r>
      <w:r w:rsidR="007A6C75" w:rsidRPr="00A23713">
        <w:tab/>
        <w:t xml:space="preserve">Operation </w:t>
      </w:r>
      <w:r w:rsidR="00F813F5">
        <w:t>or</w:t>
      </w:r>
      <w:r w:rsidR="007A6C75" w:rsidRPr="00A23713">
        <w:t xml:space="preserve"> Treatment Without Consent </w:t>
      </w:r>
      <w:r w:rsidR="00F813F5">
        <w:t>of</w:t>
      </w:r>
      <w:r w:rsidR="007A6C75" w:rsidRPr="00A23713">
        <w:t xml:space="preserve"> Patient</w:t>
      </w:r>
    </w:p>
    <w:p w14:paraId="7110096D" w14:textId="77777777" w:rsidR="00A23713" w:rsidRDefault="00C24B64" w:rsidP="00E007F8">
      <w:pPr>
        <w:pStyle w:val="ToC"/>
      </w:pPr>
      <w:hyperlink w:anchor="a15_08" w:history="1">
        <w:r w:rsidR="007A6C75" w:rsidRPr="00A23713">
          <w:rPr>
            <w:rStyle w:val="Hyperlink"/>
          </w:rPr>
          <w:t>15:8</w:t>
        </w:r>
      </w:hyperlink>
      <w:r w:rsidR="007A6C75" w:rsidRPr="00A23713">
        <w:t xml:space="preserve"> </w:t>
      </w:r>
      <w:r w:rsidR="007A6C75" w:rsidRPr="00A23713">
        <w:tab/>
        <w:t xml:space="preserve">Affirmative Defense — Consent, Express </w:t>
      </w:r>
      <w:r w:rsidR="00F813F5">
        <w:t>or</w:t>
      </w:r>
      <w:r w:rsidR="007A6C75" w:rsidRPr="00A23713">
        <w:t xml:space="preserve"> Implied</w:t>
      </w:r>
    </w:p>
    <w:p w14:paraId="0F46964F" w14:textId="77777777" w:rsidR="00A23713" w:rsidRDefault="00C24B64" w:rsidP="00E007F8">
      <w:pPr>
        <w:pStyle w:val="ToC"/>
      </w:pPr>
      <w:hyperlink w:anchor="a15_09" w:history="1">
        <w:r w:rsidR="007A6C75" w:rsidRPr="00A23713">
          <w:rPr>
            <w:rStyle w:val="Hyperlink"/>
          </w:rPr>
          <w:t>15:9</w:t>
        </w:r>
      </w:hyperlink>
      <w:r w:rsidR="007A6C75" w:rsidRPr="00A23713">
        <w:t xml:space="preserve"> </w:t>
      </w:r>
      <w:r w:rsidR="007A6C75" w:rsidRPr="00A23713">
        <w:tab/>
        <w:t xml:space="preserve">Affirmative Defense — Implied Consent Based </w:t>
      </w:r>
      <w:r w:rsidR="00F813F5">
        <w:t>on</w:t>
      </w:r>
      <w:r w:rsidR="007A6C75"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C24B64" w:rsidP="00E007F8">
      <w:pPr>
        <w:pStyle w:val="ToC"/>
      </w:pPr>
      <w:hyperlink w:anchor="a15_10" w:history="1">
        <w:r w:rsidR="007A6C75" w:rsidRPr="00AD7CE6">
          <w:rPr>
            <w:rStyle w:val="Hyperlink"/>
          </w:rPr>
          <w:t>15:10</w:t>
        </w:r>
      </w:hyperlink>
      <w:r w:rsidR="007A6C75" w:rsidRPr="00AD7CE6">
        <w:t xml:space="preserve"> </w:t>
      </w:r>
      <w:r w:rsidR="007A6C75" w:rsidRPr="00AD7CE6">
        <w:tab/>
        <w:t xml:space="preserve">Uninformed Consent — Elements </w:t>
      </w:r>
      <w:r w:rsidR="00F813F5">
        <w:t>of</w:t>
      </w:r>
      <w:r w:rsidR="007A6C75" w:rsidRPr="00AD7CE6">
        <w:t xml:space="preserve"> Liability</w:t>
      </w:r>
    </w:p>
    <w:p w14:paraId="6EFB011F" w14:textId="77777777" w:rsidR="00AD7CE6" w:rsidRDefault="00C24B64" w:rsidP="00E007F8">
      <w:pPr>
        <w:pStyle w:val="ToC"/>
      </w:pPr>
      <w:hyperlink w:anchor="a15_11" w:history="1">
        <w:r w:rsidR="007A6C75" w:rsidRPr="00AD7CE6">
          <w:rPr>
            <w:rStyle w:val="Hyperlink"/>
          </w:rPr>
          <w:t>15:11</w:t>
        </w:r>
      </w:hyperlink>
      <w:r w:rsidR="007A6C75" w:rsidRPr="00AD7CE6">
        <w:tab/>
        <w:t>Information Required</w:t>
      </w:r>
    </w:p>
    <w:p w14:paraId="2E66F9C6" w14:textId="77777777" w:rsidR="00AD7CE6" w:rsidRDefault="00C24B64" w:rsidP="00E007F8">
      <w:pPr>
        <w:pStyle w:val="ToC"/>
      </w:pPr>
      <w:hyperlink w:anchor="a15_12" w:history="1">
        <w:r w:rsidR="007A6C75" w:rsidRPr="00AD7CE6">
          <w:rPr>
            <w:rStyle w:val="Hyperlink"/>
          </w:rPr>
          <w:t>15:12</w:t>
        </w:r>
      </w:hyperlink>
      <w:r w:rsidR="007A6C75" w:rsidRPr="00AD7CE6">
        <w:tab/>
        <w:t>Substantial Risk — Defined</w:t>
      </w:r>
    </w:p>
    <w:p w14:paraId="3F88EFFB" w14:textId="77777777" w:rsidR="00AD7CE6" w:rsidRDefault="00C24B64" w:rsidP="00E007F8">
      <w:pPr>
        <w:pStyle w:val="ToC"/>
      </w:pPr>
      <w:hyperlink w:anchor="a15_13" w:history="1">
        <w:r w:rsidR="007A6C75" w:rsidRPr="00AD7CE6">
          <w:rPr>
            <w:rStyle w:val="Hyperlink"/>
          </w:rPr>
          <w:t>15:13</w:t>
        </w:r>
      </w:hyperlink>
      <w:r w:rsidR="007A6C75" w:rsidRPr="00AD7CE6">
        <w:t xml:space="preserve"> </w:t>
      </w:r>
      <w:r w:rsidR="007A6C75" w:rsidRPr="00AD7CE6">
        <w:tab/>
        <w:t xml:space="preserve">Proof </w:t>
      </w:r>
      <w:r w:rsidR="00F813F5">
        <w:t>of</w:t>
      </w:r>
      <w:r w:rsidR="007A6C75" w:rsidRPr="00AD7CE6">
        <w:t xml:space="preserve"> Negligent Failure </w:t>
      </w:r>
      <w:r w:rsidR="00F813F5">
        <w:t>to</w:t>
      </w:r>
      <w:r w:rsidR="007A6C75"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C24B64" w:rsidP="00E007F8">
      <w:pPr>
        <w:pStyle w:val="ToC"/>
      </w:pPr>
      <w:hyperlink w:anchor="a15_14" w:history="1">
        <w:r w:rsidR="007A6C75" w:rsidRPr="00AD7CE6">
          <w:rPr>
            <w:rStyle w:val="Hyperlink"/>
          </w:rPr>
          <w:t>15:14</w:t>
        </w:r>
      </w:hyperlink>
      <w:r w:rsidR="007A6C75" w:rsidRPr="00AD7CE6">
        <w:t xml:space="preserve"> </w:t>
      </w:r>
      <w:r w:rsidR="007A6C75" w:rsidRPr="00AD7CE6">
        <w:tab/>
        <w:t xml:space="preserve">Special Verdict — Mechanics For Submitting — Tort Actions Against Health Care Professionals </w:t>
      </w:r>
      <w:r w:rsidR="00F813F5">
        <w:t>or</w:t>
      </w:r>
      <w:r w:rsidR="007A6C75" w:rsidRPr="00AD7CE6">
        <w:t xml:space="preserve"> Health Care Institutions</w:t>
      </w:r>
    </w:p>
    <w:p w14:paraId="14B52766" w14:textId="77777777" w:rsidR="00AD7CE6" w:rsidRDefault="00C24B64" w:rsidP="00E007F8">
      <w:pPr>
        <w:pStyle w:val="ToC"/>
      </w:pPr>
      <w:hyperlink w:anchor="a15_15" w:history="1">
        <w:r w:rsidR="007A6C75" w:rsidRPr="00AD7CE6">
          <w:rPr>
            <w:rStyle w:val="Hyperlink"/>
          </w:rPr>
          <w:t>15:15</w:t>
        </w:r>
      </w:hyperlink>
      <w:r w:rsidR="007A6C75" w:rsidRPr="00AD7CE6">
        <w:t xml:space="preserve"> </w:t>
      </w:r>
      <w:r w:rsidR="007A6C75" w:rsidRPr="00AD7CE6">
        <w:tab/>
        <w:t xml:space="preserve">Special Verdict Forms — Tort Actions Against Health Care Professionals </w:t>
      </w:r>
      <w:r w:rsidR="00F813F5">
        <w:t>or</w:t>
      </w:r>
      <w:r w:rsidR="007A6C75" w:rsidRPr="00AD7CE6">
        <w:t xml:space="preserve"> Health Care Institutions — Forms A </w:t>
      </w:r>
      <w:r w:rsidR="00F813F5">
        <w:t>and</w:t>
      </w:r>
      <w:r w:rsidR="007A6C75" w:rsidRPr="00AD7CE6">
        <w:t xml:space="preserve"> B</w:t>
      </w:r>
    </w:p>
    <w:p w14:paraId="04B526DC" w14:textId="77777777" w:rsidR="00AD7CE6" w:rsidRDefault="00C24B64" w:rsidP="00E007F8">
      <w:pPr>
        <w:pStyle w:val="ToC"/>
      </w:pPr>
      <w:hyperlink w:anchor="a15_16" w:history="1">
        <w:r w:rsidR="007A6C75" w:rsidRPr="00AD7CE6">
          <w:rPr>
            <w:rStyle w:val="Hyperlink"/>
          </w:rPr>
          <w:t>15:16</w:t>
        </w:r>
      </w:hyperlink>
      <w:r w:rsidR="007A6C75" w:rsidRPr="00AD7CE6">
        <w:t xml:space="preserve"> </w:t>
      </w:r>
      <w:r w:rsidR="007A6C75" w:rsidRPr="00AD7CE6">
        <w:tab/>
        <w:t xml:space="preserve">Determining Present Value </w:t>
      </w:r>
      <w:r w:rsidR="00F813F5">
        <w:t>of</w:t>
      </w:r>
      <w:r w:rsidR="007A6C75" w:rsidRPr="00AD7CE6">
        <w:t xml:space="preserve"> Future Damages</w:t>
      </w:r>
    </w:p>
    <w:p w14:paraId="34A07F3E" w14:textId="77777777" w:rsidR="00AD7CE6" w:rsidRDefault="00C24B64" w:rsidP="00E007F8">
      <w:pPr>
        <w:pStyle w:val="ToC"/>
      </w:pPr>
      <w:hyperlink w:anchor="a15_17" w:history="1">
        <w:r w:rsidR="007A6C75" w:rsidRPr="00AD7CE6">
          <w:rPr>
            <w:rStyle w:val="Hyperlink"/>
          </w:rPr>
          <w:t>15:17</w:t>
        </w:r>
      </w:hyperlink>
      <w:r w:rsidR="007A6C75" w:rsidRPr="00AD7CE6">
        <w:t xml:space="preserve"> </w:t>
      </w:r>
      <w:r w:rsidR="007A6C75"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C24B64" w:rsidP="000F0B07">
      <w:pPr>
        <w:pStyle w:val="ToC"/>
      </w:pPr>
      <w:hyperlink w:anchor="a15_18" w:history="1">
        <w:r w:rsidR="007A6C75" w:rsidRPr="00AD7CE6">
          <w:rPr>
            <w:rStyle w:val="Hyperlink"/>
          </w:rPr>
          <w:t>15:18</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Not Involving </w:t>
      </w:r>
      <w:r w:rsidR="00F813F5">
        <w:t>an</w:t>
      </w:r>
      <w:r w:rsidR="007A6C75" w:rsidRPr="00AD7CE6">
        <w:t xml:space="preserve"> Underlying Claim </w:t>
      </w:r>
      <w:r w:rsidR="00F813F5">
        <w:t>or</w:t>
      </w:r>
      <w:r w:rsidR="007A6C75" w:rsidRPr="00AD7CE6">
        <w:t xml:space="preserve"> Case</w:t>
      </w:r>
    </w:p>
    <w:p w14:paraId="1CF113C1" w14:textId="77777777" w:rsidR="00AD7CE6" w:rsidRDefault="00C24B64" w:rsidP="000F0B07">
      <w:pPr>
        <w:pStyle w:val="ToC"/>
      </w:pPr>
      <w:hyperlink w:anchor="a15_19" w:history="1">
        <w:r w:rsidR="007A6C75" w:rsidRPr="00AD7CE6">
          <w:rPr>
            <w:rStyle w:val="Hyperlink"/>
          </w:rPr>
          <w:t>15:19</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-Case)</w:t>
      </w:r>
    </w:p>
    <w:p w14:paraId="678FA322" w14:textId="77777777" w:rsidR="00AD7CE6" w:rsidRDefault="00C24B64" w:rsidP="000F0B07">
      <w:pPr>
        <w:pStyle w:val="ToC"/>
      </w:pPr>
      <w:hyperlink w:anchor="a15_20" w:history="1">
        <w:r w:rsidR="007A6C75" w:rsidRPr="00AD7CE6">
          <w:rPr>
            <w:rStyle w:val="Hyperlink"/>
          </w:rPr>
          <w:t>15:20</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 xml:space="preserve">-Case) — Determining Whether Plaintiff Should Have Prevailed </w:t>
      </w:r>
      <w:r w:rsidR="00284FDB">
        <w:t>in</w:t>
      </w:r>
      <w:r w:rsidR="007A6C75" w:rsidRPr="00AD7CE6">
        <w:t xml:space="preserve"> </w:t>
      </w:r>
      <w:r w:rsidR="00284FDB">
        <w:t>the</w:t>
      </w:r>
      <w:r w:rsidR="007A6C75" w:rsidRPr="00AD7CE6">
        <w:t xml:space="preserve"> Underlying Matter</w:t>
      </w:r>
    </w:p>
    <w:p w14:paraId="0C724F42" w14:textId="77777777" w:rsidR="00AD7CE6" w:rsidRDefault="00C24B64" w:rsidP="000F0B07">
      <w:pPr>
        <w:pStyle w:val="ToC"/>
      </w:pPr>
      <w:hyperlink w:anchor="a15_21" w:history="1">
        <w:r w:rsidR="007A6C75" w:rsidRPr="00AD7CE6">
          <w:rPr>
            <w:rStyle w:val="Hyperlink"/>
          </w:rPr>
          <w:t>15:21</w:t>
        </w:r>
      </w:hyperlink>
      <w:r w:rsidR="007A6C75" w:rsidRPr="00AD7CE6">
        <w:t xml:space="preserve"> </w:t>
      </w:r>
      <w:r w:rsidR="007A6C75" w:rsidRPr="00AD7CE6">
        <w:tab/>
        <w:t>Negligence — Attorneys — Defined</w:t>
      </w:r>
    </w:p>
    <w:p w14:paraId="18574CC7" w14:textId="77777777" w:rsidR="00AD7CE6" w:rsidRDefault="00C24B64" w:rsidP="000F0B07">
      <w:pPr>
        <w:pStyle w:val="ToC"/>
      </w:pPr>
      <w:hyperlink w:anchor="a15_22" w:history="1">
        <w:r w:rsidR="007A6C75" w:rsidRPr="00AD7CE6">
          <w:rPr>
            <w:rStyle w:val="Hyperlink"/>
          </w:rPr>
          <w:t>15:22</w:t>
        </w:r>
      </w:hyperlink>
      <w:r w:rsidR="007A6C75" w:rsidRPr="00AD7CE6">
        <w:t xml:space="preserve"> </w:t>
      </w:r>
      <w:r w:rsidR="007A6C75" w:rsidRPr="00AD7CE6">
        <w:tab/>
        <w:t xml:space="preserve">No Implied Warranty </w:t>
      </w:r>
      <w:r w:rsidR="00F813F5">
        <w:t>of</w:t>
      </w:r>
      <w:r w:rsidR="007A6C75" w:rsidRPr="00AD7CE6">
        <w:t xml:space="preserve"> Successful Outcome</w:t>
      </w:r>
    </w:p>
    <w:p w14:paraId="682931CD" w14:textId="77777777" w:rsidR="00AD7CE6" w:rsidRDefault="00C24B64" w:rsidP="000F0B07">
      <w:pPr>
        <w:pStyle w:val="ToC"/>
      </w:pPr>
      <w:hyperlink w:anchor="a15_23" w:history="1">
        <w:r w:rsidR="007A6C75" w:rsidRPr="00AD7CE6">
          <w:rPr>
            <w:rStyle w:val="Hyperlink"/>
          </w:rPr>
          <w:t>15:23</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Attorney</w:t>
      </w:r>
    </w:p>
    <w:p w14:paraId="0F687891" w14:textId="77777777" w:rsidR="00AD7CE6" w:rsidRDefault="00C24B64" w:rsidP="000F0B07">
      <w:pPr>
        <w:pStyle w:val="ToC"/>
      </w:pPr>
      <w:hyperlink w:anchor="a15_24" w:history="1">
        <w:r w:rsidR="007A6C75" w:rsidRPr="00AD7CE6">
          <w:rPr>
            <w:rStyle w:val="Hyperlink"/>
          </w:rPr>
          <w:t>15:24</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C24B64" w:rsidP="00E007F8">
      <w:pPr>
        <w:pStyle w:val="ToC"/>
      </w:pPr>
      <w:hyperlink w:anchor="a15_25" w:history="1">
        <w:r w:rsidR="007A6C75" w:rsidRPr="00AD7CE6">
          <w:rPr>
            <w:rStyle w:val="Hyperlink"/>
          </w:rPr>
          <w:t>15:25</w:t>
        </w:r>
      </w:hyperlink>
      <w:r w:rsidR="007A6C75" w:rsidRPr="00AD7CE6">
        <w:t xml:space="preserve"> </w:t>
      </w:r>
      <w:r w:rsidR="007A6C75" w:rsidRPr="00AD7CE6">
        <w:tab/>
        <w:t xml:space="preserve">Elements </w:t>
      </w:r>
      <w:r w:rsidR="00F813F5">
        <w:t>of</w:t>
      </w:r>
      <w:r w:rsidR="007A6C75" w:rsidRPr="00AD7CE6">
        <w:t xml:space="preserve"> Liability — Accountants, Architects, Etc.</w:t>
      </w:r>
    </w:p>
    <w:p w14:paraId="7E9ED25C" w14:textId="77777777" w:rsidR="00AD7CE6" w:rsidRDefault="00C24B64" w:rsidP="00E007F8">
      <w:pPr>
        <w:pStyle w:val="ToC"/>
      </w:pPr>
      <w:hyperlink w:anchor="a15_26" w:history="1">
        <w:r w:rsidR="007A6C75" w:rsidRPr="00AD7CE6">
          <w:rPr>
            <w:rStyle w:val="Hyperlink"/>
          </w:rPr>
          <w:t>15:26</w:t>
        </w:r>
      </w:hyperlink>
      <w:r w:rsidR="007A6C75" w:rsidRPr="00AD7CE6">
        <w:t xml:space="preserve"> </w:t>
      </w:r>
      <w:r w:rsidR="007A6C75" w:rsidRPr="00AD7CE6">
        <w:tab/>
        <w:t>Negligence — Other Professionals — Defined</w:t>
      </w:r>
    </w:p>
    <w:p w14:paraId="2DF9058A" w14:textId="77777777" w:rsidR="00AD7CE6" w:rsidRDefault="00C24B64" w:rsidP="00E007F8">
      <w:pPr>
        <w:pStyle w:val="ToC"/>
      </w:pPr>
      <w:hyperlink w:anchor="a15_27" w:history="1">
        <w:r w:rsidR="007A6C75" w:rsidRPr="00AD7CE6">
          <w:rPr>
            <w:rStyle w:val="Hyperlink"/>
          </w:rPr>
          <w:t>15:27</w:t>
        </w:r>
      </w:hyperlink>
      <w:r w:rsidR="007A6C75" w:rsidRPr="00AD7CE6">
        <w:tab/>
        <w:t>Causation — Real Estate Brokers — Transactional Malpractice — Defined</w:t>
      </w:r>
    </w:p>
    <w:p w14:paraId="45564B2F" w14:textId="77777777" w:rsidR="00AD7CE6" w:rsidRDefault="00C24B64" w:rsidP="00E007F8">
      <w:pPr>
        <w:pStyle w:val="ToC"/>
      </w:pPr>
      <w:hyperlink w:anchor="a15_28" w:history="1">
        <w:r w:rsidR="007A6C75" w:rsidRPr="00AD7CE6">
          <w:rPr>
            <w:rStyle w:val="Hyperlink"/>
          </w:rPr>
          <w:t>15:28</w:t>
        </w:r>
      </w:hyperlink>
      <w:r w:rsidR="007A6C75" w:rsidRPr="00AD7CE6">
        <w:t xml:space="preserve"> </w:t>
      </w:r>
      <w:r w:rsidR="007A6C75" w:rsidRPr="00AD7CE6">
        <w:tab/>
        <w:t xml:space="preserve">No Implied Warranty </w:t>
      </w:r>
      <w:r w:rsidR="00F813F5">
        <w:t>of</w:t>
      </w:r>
      <w:r w:rsidR="007A6C75" w:rsidRPr="00AD7CE6">
        <w:t xml:space="preserve"> Successful Outcome — Other Professionals</w:t>
      </w:r>
    </w:p>
    <w:p w14:paraId="1A8F31ED" w14:textId="77777777" w:rsidR="00AD7CE6" w:rsidRDefault="00C24B64" w:rsidP="00E007F8">
      <w:pPr>
        <w:pStyle w:val="ToC"/>
      </w:pPr>
      <w:hyperlink w:anchor="a15_29" w:history="1">
        <w:r w:rsidR="007A6C75" w:rsidRPr="00AD7CE6">
          <w:rPr>
            <w:rStyle w:val="Hyperlink"/>
          </w:rPr>
          <w:t>15:29</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Professional Person</w:t>
      </w:r>
    </w:p>
    <w:p w14:paraId="027B2180" w14:textId="77777777" w:rsidR="00AD7CE6" w:rsidRDefault="00C24B64" w:rsidP="00E007F8">
      <w:pPr>
        <w:pStyle w:val="ToC"/>
      </w:pPr>
      <w:hyperlink w:anchor="a15_30" w:history="1">
        <w:r w:rsidR="007A6C75" w:rsidRPr="00AD7CE6">
          <w:rPr>
            <w:rStyle w:val="Hyperlink"/>
          </w:rPr>
          <w:t>15:30</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48C0DB27" w14:textId="77777777" w:rsidR="00352111" w:rsidRPr="00352111" w:rsidRDefault="00352111">
      <w:pPr>
        <w:rPr>
          <w:rFonts w:eastAsia="Times New Roman"/>
          <w:sz w:val="24"/>
          <w:szCs w:val="24"/>
        </w:rPr>
      </w:pPr>
      <w:r w:rsidRPr="00352111">
        <w:rPr>
          <w:rFonts w:eastAsia="Times New Roman"/>
          <w:sz w:val="24"/>
          <w:szCs w:val="24"/>
        </w:rPr>
        <w:br w:type="page"/>
      </w:r>
    </w:p>
    <w:p w14:paraId="29A45518" w14:textId="77777777" w:rsidR="00C63C71" w:rsidRDefault="00C63C71" w:rsidP="00C63C71">
      <w:pPr>
        <w:spacing w:after="240"/>
        <w:jc w:val="center"/>
        <w:rPr>
          <w:rFonts w:eastAsia="Times New Roman"/>
          <w:b/>
          <w:sz w:val="24"/>
          <w:szCs w:val="24"/>
        </w:rPr>
      </w:pPr>
      <w:r w:rsidRPr="00C63C71">
        <w:rPr>
          <w:rFonts w:eastAsia="Times New Roman"/>
          <w:b/>
          <w:sz w:val="24"/>
          <w:szCs w:val="24"/>
        </w:rPr>
        <w:lastRenderedPageBreak/>
        <w:t>I. PHYSICIANS AND PRACTITIONERS OF OTHER HEALING ARTS</w:t>
      </w:r>
    </w:p>
    <w:p w14:paraId="20612FBF" w14:textId="77777777" w:rsidR="009E3DA4" w:rsidRDefault="00C63C71" w:rsidP="009E3DA4">
      <w:pPr>
        <w:spacing w:after="240"/>
        <w:jc w:val="center"/>
        <w:rPr>
          <w:rFonts w:eastAsia="Times New Roman"/>
          <w:b/>
          <w:sz w:val="24"/>
          <w:szCs w:val="24"/>
        </w:rPr>
      </w:pPr>
      <w:r w:rsidRPr="00C63C71">
        <w:rPr>
          <w:rFonts w:eastAsia="Times New Roman"/>
          <w:b/>
          <w:sz w:val="24"/>
          <w:szCs w:val="24"/>
        </w:rPr>
        <w:t>A. MALPRACTICE</w:t>
      </w:r>
    </w:p>
    <w:p w14:paraId="4B716470" w14:textId="77777777" w:rsidR="009E3DA4" w:rsidRPr="009E3DA4" w:rsidRDefault="00C63C71" w:rsidP="00CC0502">
      <w:pPr>
        <w:spacing w:after="240"/>
        <w:ind w:left="720" w:hanging="720"/>
        <w:rPr>
          <w:rFonts w:eastAsia="Times New Roman"/>
          <w:b/>
          <w:sz w:val="24"/>
          <w:szCs w:val="24"/>
        </w:rPr>
      </w:pPr>
      <w:bookmarkStart w:id="1" w:name="a15_01"/>
      <w:bookmarkEnd w:id="1"/>
      <w:r w:rsidRPr="00C63C71">
        <w:rPr>
          <w:rFonts w:eastAsia="Times New Roman"/>
          <w:b/>
          <w:sz w:val="24"/>
          <w:szCs w:val="24"/>
        </w:rPr>
        <w:t xml:space="preserve">15:1 </w:t>
      </w:r>
      <w:r w:rsidRPr="00C63C71">
        <w:rPr>
          <w:rFonts w:eastAsia="Times New Roman"/>
          <w:b/>
          <w:sz w:val="24"/>
          <w:szCs w:val="24"/>
        </w:rPr>
        <w:tab/>
        <w:t>ELEMENTS OF LIABILITY</w:t>
      </w:r>
    </w:p>
    <w:p w14:paraId="5827036A" w14:textId="77777777" w:rsidR="00C63C71" w:rsidRPr="00C63C71" w:rsidRDefault="00C63C71" w:rsidP="00527A18">
      <w:pPr>
        <w:spacing w:after="240"/>
        <w:ind w:firstLine="720"/>
        <w:rPr>
          <w:rFonts w:eastAsia="Times New Roman"/>
          <w:sz w:val="24"/>
          <w:szCs w:val="24"/>
        </w:rPr>
      </w:pPr>
      <w:r w:rsidRPr="00C63C71">
        <w:rPr>
          <w:rFonts w:eastAsia="Times New Roman"/>
          <w:b/>
          <w:sz w:val="24"/>
          <w:szCs w:val="24"/>
        </w:rPr>
        <w:t>Use Instruction 9:1 or 9:22, whichever is appropriate in light of the evidence in the case.</w:t>
      </w:r>
    </w:p>
    <w:p w14:paraId="6BBAD478" w14:textId="77777777" w:rsidR="00832DB4" w:rsidRDefault="00832DB4" w:rsidP="0054263B">
      <w:pPr>
        <w:jc w:val="center"/>
        <w:rPr>
          <w:rFonts w:eastAsia="Times New Roman"/>
          <w:sz w:val="24"/>
          <w:szCs w:val="24"/>
        </w:rPr>
      </w:pPr>
    </w:p>
    <w:p w14:paraId="7975ED10"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C146730"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in light of the evidence in the case. For example, as to when the doctrine of res ipsa loquitur may be applicable in a malpractice case, see the cases cited in the Notes on Use to Instruction 9:17.</w:t>
      </w:r>
    </w:p>
    <w:p w14:paraId="75C7775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 For the standard of care required of nonspecialists, see the Source and Authority to Instruction 15:2 and, for specialists, see the Source and Authority to Instruction 15:3.</w:t>
      </w:r>
      <w:r w:rsidRPr="00C63C71">
        <w:rPr>
          <w:rFonts w:eastAsia="Times New Roman"/>
          <w:b/>
          <w:sz w:val="24"/>
          <w:szCs w:val="24"/>
        </w:rPr>
        <w:t xml:space="preserve"> </w:t>
      </w:r>
      <w:r w:rsidRPr="00C63C71">
        <w:rPr>
          <w:rFonts w:eastAsia="Times New Roman"/>
          <w:i/>
          <w:sz w:val="24"/>
          <w:szCs w:val="24"/>
        </w:rPr>
        <w:t>See</w:t>
      </w:r>
      <w:r w:rsidRPr="00C63C71">
        <w:rPr>
          <w:rFonts w:eastAsia="Times New Roman"/>
          <w:b/>
          <w:sz w:val="24"/>
          <w:szCs w:val="24"/>
        </w:rPr>
        <w:t xml:space="preserve"> Dotson v. Bernstein</w:t>
      </w:r>
      <w:r w:rsidRPr="00C63C71">
        <w:rPr>
          <w:rFonts w:eastAsia="Times New Roman"/>
          <w:sz w:val="24"/>
          <w:szCs w:val="24"/>
        </w:rPr>
        <w:t>, 207 P.3d 911, 913 (Colo. App. 2009) (“The distinction between an ordinary negligence claim and a medical negligence claim is that, in the latter, the duty is breached when a physician’s treatment falls below the applicable standard of care.”).</w:t>
      </w:r>
    </w:p>
    <w:p w14:paraId="003991A9"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rFonts w:eastAsia="Times New Roman"/>
          <w:b/>
          <w:sz w:val="24"/>
          <w:szCs w:val="24"/>
        </w:rPr>
        <w:t>Redden v. SCI Colorado Funeral Services, Inc.</w:t>
      </w:r>
      <w:r w:rsidRPr="00C63C71">
        <w:rPr>
          <w:rFonts w:eastAsia="Times New Roman"/>
          <w:sz w:val="24"/>
          <w:szCs w:val="24"/>
        </w:rPr>
        <w:t xml:space="preserve">, 38 P.3d 75 (Colo. 2001) (interpreting section 13-21-111.5(3)(b) (designation of nonparties), and section 13-20-602, C.R.S. (certificate of review)). </w:t>
      </w:r>
      <w:r w:rsidRPr="00C63C71">
        <w:rPr>
          <w:rFonts w:eastAsia="Times New Roman"/>
          <w:i/>
          <w:sz w:val="24"/>
          <w:szCs w:val="24"/>
        </w:rPr>
        <w:t>See also</w:t>
      </w:r>
      <w:r w:rsidRPr="00C63C71">
        <w:rPr>
          <w:rFonts w:eastAsia="Times New Roman"/>
          <w:sz w:val="24"/>
          <w:szCs w:val="24"/>
        </w:rPr>
        <w:t xml:space="preserve"> Source and Authority to Instruction 15:21, notes 2 &amp; 3 (discussing certificate of review).</w:t>
      </w:r>
    </w:p>
    <w:p w14:paraId="3B95A01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62B65D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 This instruction is supported by</w:t>
      </w:r>
      <w:r w:rsidRPr="00C63C71">
        <w:rPr>
          <w:rFonts w:eastAsia="Times New Roman"/>
          <w:b/>
          <w:sz w:val="24"/>
          <w:szCs w:val="24"/>
        </w:rPr>
        <w:t xml:space="preserve"> Day v. Johnson</w:t>
      </w:r>
      <w:r w:rsidRPr="00C63C71">
        <w:rPr>
          <w:rFonts w:eastAsia="Times New Roman"/>
          <w:sz w:val="24"/>
          <w:szCs w:val="24"/>
        </w:rPr>
        <w:t xml:space="preserve">, 255 P.3d 1064 (Colo. 2011) (listing the elements of a medical malpractice claim); </w:t>
      </w:r>
      <w:r w:rsidRPr="00C63C71">
        <w:rPr>
          <w:rFonts w:eastAsia="Times New Roman"/>
          <w:b/>
          <w:sz w:val="24"/>
          <w:szCs w:val="24"/>
        </w:rPr>
        <w:t>HealthONE v. Rodriguez ex rel. Rodriguez</w:t>
      </w:r>
      <w:r w:rsidRPr="00C63C71">
        <w:rPr>
          <w:rFonts w:eastAsia="Times New Roman"/>
          <w:sz w:val="24"/>
          <w:szCs w:val="24"/>
        </w:rPr>
        <w:t xml:space="preserve">, 50 P.3d 879 (Colo. 2002) (listing the elements of a medical malpractice claim); </w:t>
      </w:r>
      <w:r w:rsidRPr="00C63C71">
        <w:rPr>
          <w:rFonts w:eastAsia="Times New Roman"/>
          <w:b/>
          <w:sz w:val="24"/>
          <w:szCs w:val="24"/>
        </w:rPr>
        <w:t>Dotson</w:t>
      </w:r>
      <w:r w:rsidRPr="00C63C71">
        <w:rPr>
          <w:rFonts w:eastAsia="Times New Roman"/>
          <w:sz w:val="24"/>
          <w:szCs w:val="24"/>
        </w:rPr>
        <w:t xml:space="preserve">, 207 P.3d at 913 (listing the elements of a medical malpractice claim). </w:t>
      </w:r>
    </w:p>
    <w:p w14:paraId="79EE4536"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Medical Malpractice Claim</w:t>
      </w:r>
    </w:p>
    <w:p w14:paraId="44E228A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2. “A medical malpractice action is a particular type of negligence action.” </w:t>
      </w:r>
      <w:r w:rsidRPr="00C63C71">
        <w:rPr>
          <w:rFonts w:eastAsia="Times New Roman"/>
          <w:b/>
          <w:sz w:val="24"/>
          <w:szCs w:val="24"/>
        </w:rPr>
        <w:t>Day</w:t>
      </w:r>
      <w:r w:rsidRPr="00C63C71">
        <w:rPr>
          <w:rFonts w:eastAsia="Times New Roman"/>
          <w:sz w:val="24"/>
          <w:szCs w:val="24"/>
        </w:rPr>
        <w:t xml:space="preserve">, 255 P.3d at 1068 (citing </w:t>
      </w:r>
      <w:r w:rsidRPr="00C63C71">
        <w:rPr>
          <w:rFonts w:eastAsia="Times New Roman"/>
          <w:b/>
          <w:iCs/>
          <w:sz w:val="24"/>
          <w:szCs w:val="24"/>
        </w:rPr>
        <w:t>Greenberg v. Perkins</w:t>
      </w:r>
      <w:r w:rsidRPr="00562C29">
        <w:rPr>
          <w:rFonts w:eastAsia="Times New Roman"/>
          <w:iCs/>
          <w:sz w:val="24"/>
          <w:szCs w:val="24"/>
        </w:rPr>
        <w:t>,</w:t>
      </w:r>
      <w:r w:rsidRPr="00C63C71">
        <w:rPr>
          <w:rFonts w:eastAsia="Times New Roman"/>
          <w:sz w:val="24"/>
          <w:szCs w:val="24"/>
        </w:rPr>
        <w:t xml:space="preserve"> 845 P.2d 530 (Colo.</w:t>
      </w:r>
      <w:r w:rsidR="0029273E">
        <w:rPr>
          <w:rFonts w:eastAsia="Times New Roman"/>
          <w:sz w:val="24"/>
          <w:szCs w:val="24"/>
        </w:rPr>
        <w:t xml:space="preserve"> </w:t>
      </w:r>
      <w:r w:rsidRPr="00C63C71">
        <w:rPr>
          <w:rFonts w:eastAsia="Times New Roman"/>
          <w:sz w:val="24"/>
          <w:szCs w:val="24"/>
        </w:rPr>
        <w:t xml:space="preserve">1993)). “Like other negligence actions, the plaintiff must show a legal duty of care on the defendant’s part, breach of that duty, injury to the plaintiff, and that the defendant’s breach caused the plaintiff’s injury.” </w:t>
      </w:r>
      <w:r w:rsidRPr="00C63C71">
        <w:rPr>
          <w:rFonts w:eastAsia="Times New Roman"/>
          <w:i/>
          <w:sz w:val="24"/>
          <w:szCs w:val="24"/>
        </w:rPr>
        <w:t>Id.</w:t>
      </w:r>
      <w:r w:rsidRPr="00C63C71">
        <w:rPr>
          <w:rFonts w:eastAsia="Times New Roman"/>
          <w:sz w:val="24"/>
          <w:szCs w:val="24"/>
        </w:rPr>
        <w:t xml:space="preserve"> at 1068-69. “The duty of care on which a medical malpractice action is predicated arises out of the professional relationship between physician and patient.” </w:t>
      </w:r>
      <w:r w:rsidRPr="00C63C71">
        <w:rPr>
          <w:rFonts w:eastAsia="Times New Roman"/>
          <w:b/>
          <w:sz w:val="24"/>
          <w:szCs w:val="24"/>
        </w:rPr>
        <w:t>Greenberg</w:t>
      </w:r>
      <w:r w:rsidRPr="00C63C71">
        <w:rPr>
          <w:rFonts w:eastAsia="Times New Roman"/>
          <w:sz w:val="24"/>
          <w:szCs w:val="24"/>
        </w:rPr>
        <w:t xml:space="preserve">, 845 P.2d </w:t>
      </w:r>
      <w:r w:rsidR="00FF0B20">
        <w:rPr>
          <w:rFonts w:eastAsia="Times New Roman"/>
          <w:sz w:val="24"/>
          <w:szCs w:val="24"/>
        </w:rPr>
        <w:t>at</w:t>
      </w:r>
      <w:r w:rsidRPr="00C63C71">
        <w:rPr>
          <w:rFonts w:eastAsia="Times New Roman"/>
          <w:sz w:val="24"/>
          <w:szCs w:val="24"/>
        </w:rPr>
        <w:t xml:space="preserve"> 534.</w:t>
      </w:r>
    </w:p>
    <w:p w14:paraId="333F124C"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 xml:space="preserve">3. “To establish a breach of the </w:t>
      </w:r>
      <w:r w:rsidRPr="00C63C71">
        <w:rPr>
          <w:rFonts w:eastAsia="Times New Roman"/>
          <w:bCs/>
          <w:sz w:val="24"/>
          <w:szCs w:val="24"/>
        </w:rPr>
        <w:t>duty</w:t>
      </w:r>
      <w:r w:rsidRPr="00C63C71">
        <w:rPr>
          <w:rFonts w:eastAsia="Times New Roman"/>
          <w:sz w:val="24"/>
          <w:szCs w:val="24"/>
        </w:rPr>
        <w:t xml:space="preserve"> of care in a </w:t>
      </w:r>
      <w:r w:rsidRPr="00C63C71">
        <w:rPr>
          <w:rFonts w:eastAsia="Times New Roman"/>
          <w:bCs/>
          <w:sz w:val="24"/>
          <w:szCs w:val="24"/>
        </w:rPr>
        <w:t xml:space="preserve">medical malpractice </w:t>
      </w:r>
      <w:r w:rsidRPr="00C63C71">
        <w:rPr>
          <w:rFonts w:eastAsia="Times New Roman"/>
          <w:sz w:val="24"/>
          <w:szCs w:val="24"/>
        </w:rPr>
        <w:t xml:space="preserve">action, the plaintiff must show that the defendant failed to conform to the standard of care ordinarily possessed and exercised by members of the same school of medicine practiced by the defendant.” </w:t>
      </w:r>
      <w:r w:rsidRPr="00C63C71">
        <w:rPr>
          <w:rFonts w:eastAsia="Times New Roman"/>
          <w:b/>
          <w:sz w:val="24"/>
          <w:szCs w:val="24"/>
        </w:rPr>
        <w:t>Day</w:t>
      </w:r>
      <w:r w:rsidRPr="00C63C71">
        <w:rPr>
          <w:rFonts w:eastAsia="Times New Roman"/>
          <w:sz w:val="24"/>
          <w:szCs w:val="24"/>
        </w:rPr>
        <w:t xml:space="preserve">, 255 P.3d at 1069 (citing </w:t>
      </w:r>
      <w:r w:rsidRPr="00C63C71">
        <w:rPr>
          <w:rFonts w:eastAsia="Times New Roman"/>
          <w:b/>
          <w:iCs/>
          <w:sz w:val="24"/>
          <w:szCs w:val="24"/>
        </w:rPr>
        <w:t>Melville v. Southward</w:t>
      </w:r>
      <w:r w:rsidRPr="00C63C71">
        <w:rPr>
          <w:rFonts w:eastAsia="Times New Roman"/>
          <w:iCs/>
          <w:sz w:val="24"/>
          <w:szCs w:val="24"/>
        </w:rPr>
        <w:t>,</w:t>
      </w:r>
      <w:r w:rsidRPr="00C63C71">
        <w:rPr>
          <w:rFonts w:eastAsia="Times New Roman"/>
          <w:sz w:val="24"/>
          <w:szCs w:val="24"/>
        </w:rPr>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rFonts w:eastAsia="Times New Roman"/>
          <w:i/>
          <w:sz w:val="24"/>
          <w:szCs w:val="24"/>
        </w:rPr>
        <w:t>Id.</w:t>
      </w:r>
      <w:r w:rsidRPr="00C63C71">
        <w:rPr>
          <w:rFonts w:eastAsia="Times New Roman"/>
          <w:sz w:val="24"/>
          <w:szCs w:val="24"/>
        </w:rPr>
        <w:t xml:space="preserve"> (citing </w:t>
      </w:r>
      <w:r w:rsidRPr="00C63C71">
        <w:rPr>
          <w:rFonts w:eastAsia="Times New Roman"/>
          <w:b/>
          <w:iCs/>
          <w:sz w:val="24"/>
          <w:szCs w:val="24"/>
        </w:rPr>
        <w:t>Gorab v. Zook</w:t>
      </w:r>
      <w:r w:rsidRPr="00562C29">
        <w:rPr>
          <w:rFonts w:eastAsia="Times New Roman"/>
          <w:iCs/>
          <w:sz w:val="24"/>
          <w:szCs w:val="24"/>
        </w:rPr>
        <w:t>,</w:t>
      </w:r>
      <w:r w:rsidRPr="00C63C71">
        <w:rPr>
          <w:rFonts w:eastAsia="Times New Roman"/>
          <w:sz w:val="24"/>
          <w:szCs w:val="24"/>
        </w:rPr>
        <w:t xml:space="preserve"> 943 P.2d 423 (Colo.</w:t>
      </w:r>
      <w:r w:rsidR="0029273E">
        <w:rPr>
          <w:rFonts w:eastAsia="Times New Roman"/>
          <w:sz w:val="24"/>
          <w:szCs w:val="24"/>
        </w:rPr>
        <w:t xml:space="preserve"> </w:t>
      </w:r>
      <w:r w:rsidRPr="00C63C71">
        <w:rPr>
          <w:rFonts w:eastAsia="Times New Roman"/>
          <w:sz w:val="24"/>
          <w:szCs w:val="24"/>
        </w:rPr>
        <w:t xml:space="preserve">1997); </w:t>
      </w:r>
      <w:r w:rsidRPr="00C63C71">
        <w:rPr>
          <w:rFonts w:eastAsia="Times New Roman"/>
          <w:b/>
          <w:iCs/>
          <w:sz w:val="24"/>
          <w:szCs w:val="24"/>
        </w:rPr>
        <w:t>Greenberg</w:t>
      </w:r>
      <w:r w:rsidRPr="00562C29">
        <w:rPr>
          <w:rFonts w:eastAsia="Times New Roman"/>
          <w:iCs/>
          <w:sz w:val="24"/>
          <w:szCs w:val="24"/>
        </w:rPr>
        <w:t>,</w:t>
      </w:r>
      <w:r w:rsidRPr="00C63C71">
        <w:rPr>
          <w:rFonts w:eastAsia="Times New Roman"/>
          <w:sz w:val="24"/>
          <w:szCs w:val="24"/>
        </w:rPr>
        <w:t xml:space="preserve"> 845 P.2d at 534-35; </w:t>
      </w:r>
      <w:r w:rsidRPr="00C63C71">
        <w:rPr>
          <w:rFonts w:eastAsia="Times New Roman"/>
          <w:b/>
          <w:iCs/>
          <w:sz w:val="24"/>
          <w:szCs w:val="24"/>
        </w:rPr>
        <w:t>Melville</w:t>
      </w:r>
      <w:r w:rsidRPr="00562C29">
        <w:rPr>
          <w:rFonts w:eastAsia="Times New Roman"/>
          <w:iCs/>
          <w:sz w:val="24"/>
          <w:szCs w:val="24"/>
        </w:rPr>
        <w:t>,</w:t>
      </w:r>
      <w:r w:rsidRPr="00C63C71">
        <w:rPr>
          <w:rFonts w:eastAsia="Times New Roman"/>
          <w:sz w:val="24"/>
          <w:szCs w:val="24"/>
        </w:rPr>
        <w:t xml:space="preserve"> 791 P.2d at 387); </w:t>
      </w:r>
      <w:r w:rsidRPr="00C63C71">
        <w:rPr>
          <w:rFonts w:eastAsia="Times New Roman"/>
          <w:i/>
          <w:sz w:val="24"/>
          <w:szCs w:val="24"/>
        </w:rPr>
        <w:t>see also</w:t>
      </w:r>
      <w:r w:rsidRPr="00C63C71">
        <w:rPr>
          <w:rFonts w:eastAsia="Times New Roman"/>
          <w:sz w:val="24"/>
          <w:szCs w:val="24"/>
        </w:rPr>
        <w:t xml:space="preserve"> Notes on Use and Source and Authority to Instructions 15:2 &amp; 15:3.</w:t>
      </w:r>
    </w:p>
    <w:p w14:paraId="15ADAFD9"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4. To prove causation in a medical malpractice action, “the plaintiff must show by a preponderance of the evidence that the injury would not have occurred but for the defendant’s negligent conduct.” </w:t>
      </w:r>
      <w:r w:rsidRPr="00C63C71">
        <w:rPr>
          <w:rFonts w:eastAsia="Times New Roman"/>
          <w:b/>
          <w:sz w:val="24"/>
          <w:szCs w:val="24"/>
        </w:rPr>
        <w:t>Kaiser Found. Health Plan of Colo. v. Sharp</w:t>
      </w:r>
      <w:r w:rsidRPr="00C63C71">
        <w:rPr>
          <w:rFonts w:eastAsia="Times New Roman"/>
          <w:sz w:val="24"/>
          <w:szCs w:val="24"/>
        </w:rPr>
        <w:t>, 741 P.2d 714, 719 (Colo. 1987).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harm, or establish that the defendant’s negligence was the only cause of the injury suffered. However, the plaintiff must establish causation beyond mer</w:t>
      </w:r>
      <w:r w:rsidR="00FF223A">
        <w:rPr>
          <w:rFonts w:eastAsia="Times New Roman"/>
          <w:sz w:val="24"/>
          <w:szCs w:val="24"/>
        </w:rPr>
        <w:t xml:space="preserve">e possibility or speculation.” </w:t>
      </w:r>
      <w:r w:rsidRPr="00C63C71">
        <w:rPr>
          <w:rFonts w:eastAsia="Times New Roman"/>
          <w:i/>
          <w:sz w:val="24"/>
          <w:szCs w:val="24"/>
        </w:rPr>
        <w:t>Id.</w:t>
      </w:r>
      <w:r w:rsidRPr="00C63C71">
        <w:rPr>
          <w:rFonts w:eastAsia="Times New Roman"/>
          <w:sz w:val="24"/>
          <w:szCs w:val="24"/>
        </w:rPr>
        <w:t xml:space="preserve"> (citations omitted).</w:t>
      </w:r>
    </w:p>
    <w:p w14:paraId="433FE130" w14:textId="4EF0315A"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5. The court of appeals is split on whether Colorado allows recovery of damages for increased risk of harm or loss of chance. In </w:t>
      </w:r>
      <w:r w:rsidRPr="00C63C71">
        <w:rPr>
          <w:rFonts w:eastAsia="Times New Roman"/>
          <w:b/>
          <w:sz w:val="24"/>
          <w:szCs w:val="24"/>
        </w:rPr>
        <w:t>Sharp v. Kaiser Foundation Health Plan of Colorado</w:t>
      </w:r>
      <w:r w:rsidRPr="00562C29">
        <w:rPr>
          <w:rFonts w:eastAsia="Times New Roman"/>
          <w:sz w:val="24"/>
          <w:szCs w:val="24"/>
        </w:rPr>
        <w:t>,</w:t>
      </w:r>
      <w:r w:rsidRPr="00C63C71">
        <w:rPr>
          <w:rFonts w:eastAsia="Times New Roman"/>
          <w:sz w:val="24"/>
          <w:szCs w:val="24"/>
        </w:rPr>
        <w:t xml:space="preserve"> 710 P.2d 1153 (Colo. App. 1985), </w:t>
      </w:r>
      <w:r w:rsidRPr="00C63C71">
        <w:rPr>
          <w:rFonts w:eastAsia="Times New Roman"/>
          <w:i/>
          <w:sz w:val="24"/>
          <w:szCs w:val="24"/>
        </w:rPr>
        <w:t>aff’d</w:t>
      </w:r>
      <w:r w:rsidRPr="00C63C71">
        <w:rPr>
          <w:rFonts w:eastAsia="Times New Roman"/>
          <w:sz w:val="24"/>
          <w:szCs w:val="24"/>
        </w:rPr>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supreme court affirmed the result, it did so expressly without adopting loss of chance or increased risk of harm theory. </w:t>
      </w:r>
      <w:r w:rsidRPr="00C63C71">
        <w:rPr>
          <w:rFonts w:eastAsia="Times New Roman"/>
          <w:b/>
          <w:sz w:val="24"/>
          <w:szCs w:val="24"/>
        </w:rPr>
        <w:t>Kaiser Found. Health Plan of Colo.</w:t>
      </w:r>
      <w:r w:rsidRPr="00C63C71">
        <w:rPr>
          <w:rFonts w:eastAsia="Times New Roman"/>
          <w:sz w:val="24"/>
          <w:szCs w:val="24"/>
        </w:rPr>
        <w:t xml:space="preserve">, 741 P.2d at 718. However, in </w:t>
      </w:r>
      <w:r w:rsidRPr="00C63C71">
        <w:rPr>
          <w:rFonts w:eastAsia="Times New Roman"/>
          <w:b/>
          <w:sz w:val="24"/>
          <w:szCs w:val="24"/>
        </w:rPr>
        <w:t>Reigel v. SavaSeniorCare L.L.C.</w:t>
      </w:r>
      <w:r w:rsidRPr="00C63C71">
        <w:rPr>
          <w:rFonts w:eastAsia="Times New Roman"/>
          <w:sz w:val="24"/>
          <w:szCs w:val="24"/>
        </w:rPr>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r w:rsidRPr="00C63C71">
        <w:rPr>
          <w:rFonts w:eastAsia="Times New Roman"/>
          <w:i/>
          <w:sz w:val="24"/>
          <w:szCs w:val="24"/>
        </w:rPr>
        <w:t>Id.</w:t>
      </w:r>
      <w:r w:rsidRPr="00C63C71">
        <w:rPr>
          <w:rFonts w:eastAsia="Times New Roman"/>
          <w:sz w:val="24"/>
          <w:szCs w:val="24"/>
        </w:rPr>
        <w:t xml:space="preserve"> at 987</w:t>
      </w:r>
      <w:r w:rsidR="00324D4D">
        <w:rPr>
          <w:rFonts w:eastAsia="Times New Roman"/>
          <w:sz w:val="24"/>
          <w:szCs w:val="24"/>
        </w:rPr>
        <w:t xml:space="preserve">; </w:t>
      </w:r>
      <w:r w:rsidR="00324D4D" w:rsidRPr="000C0D29">
        <w:rPr>
          <w:rFonts w:eastAsia="Times New Roman"/>
          <w:i/>
          <w:sz w:val="24"/>
          <w:szCs w:val="24"/>
        </w:rPr>
        <w:t xml:space="preserve">see also </w:t>
      </w:r>
      <w:r w:rsidR="00324D4D" w:rsidRPr="000C0D29">
        <w:rPr>
          <w:rFonts w:eastAsia="Times New Roman"/>
          <w:b/>
          <w:sz w:val="24"/>
          <w:szCs w:val="24"/>
        </w:rPr>
        <w:t>Lorenzen v. Pinnacol</w:t>
      </w:r>
      <w:r w:rsidR="0045019F">
        <w:rPr>
          <w:rFonts w:eastAsia="Times New Roman"/>
          <w:b/>
          <w:sz w:val="24"/>
          <w:szCs w:val="24"/>
        </w:rPr>
        <w:t xml:space="preserve"> Assurance</w:t>
      </w:r>
      <w:r w:rsidR="00324D4D">
        <w:rPr>
          <w:rFonts w:eastAsia="Times New Roman"/>
          <w:sz w:val="24"/>
          <w:szCs w:val="24"/>
        </w:rPr>
        <w:t xml:space="preserve">, 2019 COA 54, ¶¶ 27-30 (criticizing the court of appeals’ decision in </w:t>
      </w:r>
      <w:r w:rsidR="00324D4D" w:rsidRPr="000C0D29">
        <w:rPr>
          <w:rFonts w:eastAsia="Times New Roman"/>
          <w:b/>
          <w:sz w:val="24"/>
          <w:szCs w:val="24"/>
        </w:rPr>
        <w:t>Sharp</w:t>
      </w:r>
      <w:r w:rsidR="00324D4D">
        <w:rPr>
          <w:rFonts w:eastAsia="Times New Roman"/>
          <w:sz w:val="24"/>
          <w:szCs w:val="24"/>
        </w:rPr>
        <w:t xml:space="preserve"> and explaining that but-for causation is a prerequisite to establishing the substantial factor test)</w:t>
      </w:r>
      <w:r w:rsidRPr="00C63C71">
        <w:rPr>
          <w:rFonts w:eastAsia="Times New Roman"/>
          <w:sz w:val="24"/>
          <w:szCs w:val="24"/>
        </w:rPr>
        <w:t>.</w:t>
      </w:r>
    </w:p>
    <w:p w14:paraId="04AEC19D" w14:textId="39FC4428"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6. Colorado recognizes a medical malpractice claim for “wrongful pregnancy,” a claim that a physician negligently failed to terminate the mother’s pregnancy. </w:t>
      </w:r>
      <w:r w:rsidRPr="00C63C71">
        <w:rPr>
          <w:rFonts w:eastAsia="Times New Roman"/>
          <w:b/>
          <w:sz w:val="24"/>
          <w:szCs w:val="24"/>
        </w:rPr>
        <w:t>Dotson</w:t>
      </w:r>
      <w:r w:rsidRPr="00C63C71">
        <w:rPr>
          <w:rFonts w:eastAsia="Times New Roman"/>
          <w:sz w:val="24"/>
          <w:szCs w:val="24"/>
        </w:rPr>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rsidR="00451167">
        <w:rPr>
          <w:rFonts w:eastAsia="Times New Roman"/>
          <w:sz w:val="24"/>
          <w:szCs w:val="24"/>
        </w:rPr>
        <w:t xml:space="preserve">of </w:t>
      </w:r>
      <w:r w:rsidRPr="00C63C71">
        <w:rPr>
          <w:rFonts w:eastAsia="Times New Roman"/>
          <w:sz w:val="24"/>
          <w:szCs w:val="24"/>
        </w:rPr>
        <w:t xml:space="preserve">impairment or birth defects. </w:t>
      </w:r>
      <w:r w:rsidRPr="00C63C71">
        <w:rPr>
          <w:rFonts w:eastAsia="Times New Roman"/>
          <w:b/>
          <w:sz w:val="24"/>
          <w:szCs w:val="24"/>
        </w:rPr>
        <w:t>Lininger v. Eisenbaum</w:t>
      </w:r>
      <w:r w:rsidRPr="00C63C71">
        <w:rPr>
          <w:rFonts w:eastAsia="Times New Roman"/>
          <w:sz w:val="24"/>
          <w:szCs w:val="24"/>
        </w:rPr>
        <w:t xml:space="preserve">, 764 P.2d 1202 (Colo. 1988) (entitled to recover those extraordinary medical and education expenses occasioned by the child’s blindness). However, </w:t>
      </w:r>
      <w:r w:rsidRPr="00C63C71">
        <w:rPr>
          <w:rFonts w:eastAsia="Times New Roman"/>
          <w:sz w:val="24"/>
          <w:szCs w:val="24"/>
        </w:rPr>
        <w:lastRenderedPageBreak/>
        <w:t xml:space="preserve">Colorado does not recognize the child’s separate claim for “wrongful life,” a claim brought by an impaired child under the theory that, but for the doctor’s negligence, the child would not have been born to suffer the impairment. </w:t>
      </w:r>
      <w:r w:rsidRPr="008A7E19">
        <w:rPr>
          <w:rFonts w:eastAsia="Times New Roman"/>
          <w:bCs/>
          <w:i/>
          <w:iCs/>
          <w:sz w:val="24"/>
          <w:szCs w:val="24"/>
        </w:rPr>
        <w:t>Id</w:t>
      </w:r>
      <w:r w:rsidRPr="008A7E19">
        <w:rPr>
          <w:rFonts w:eastAsia="Times New Roman"/>
          <w:i/>
          <w:iCs/>
          <w:sz w:val="24"/>
          <w:szCs w:val="24"/>
        </w:rPr>
        <w:t>.</w:t>
      </w:r>
      <w:r w:rsidR="00095E77">
        <w:rPr>
          <w:rFonts w:eastAsia="Times New Roman"/>
          <w:i/>
          <w:iCs/>
          <w:sz w:val="24"/>
          <w:szCs w:val="24"/>
        </w:rPr>
        <w:t xml:space="preserve"> </w:t>
      </w:r>
      <w:r w:rsidRPr="008A7E19">
        <w:rPr>
          <w:rFonts w:eastAsia="Times New Roman"/>
          <w:bCs/>
          <w:sz w:val="24"/>
          <w:szCs w:val="24"/>
        </w:rPr>
        <w:t>at</w:t>
      </w:r>
      <w:r w:rsidRPr="008A7E19">
        <w:rPr>
          <w:rFonts w:eastAsia="Times New Roman"/>
          <w:sz w:val="24"/>
          <w:szCs w:val="24"/>
        </w:rPr>
        <w:t xml:space="preserve"> </w:t>
      </w:r>
      <w:r w:rsidRPr="008A7E19">
        <w:rPr>
          <w:rFonts w:eastAsia="Times New Roman"/>
          <w:bCs/>
          <w:sz w:val="24"/>
          <w:szCs w:val="24"/>
        </w:rPr>
        <w:t>1210</w:t>
      </w:r>
      <w:r w:rsidRPr="008A7E19">
        <w:rPr>
          <w:rFonts w:eastAsia="Times New Roman"/>
          <w:sz w:val="24"/>
          <w:szCs w:val="24"/>
        </w:rPr>
        <w:t>.</w:t>
      </w:r>
    </w:p>
    <w:p w14:paraId="3F4648FA" w14:textId="77777777" w:rsidR="00C63C71" w:rsidRDefault="00C63C71" w:rsidP="00C63C71">
      <w:pPr>
        <w:spacing w:after="240"/>
        <w:ind w:firstLine="720"/>
        <w:rPr>
          <w:rFonts w:eastAsia="Times New Roman"/>
          <w:i/>
          <w:sz w:val="24"/>
          <w:szCs w:val="24"/>
        </w:rPr>
      </w:pPr>
      <w:r w:rsidRPr="00C63C71">
        <w:rPr>
          <w:rFonts w:eastAsia="Times New Roman"/>
          <w:sz w:val="24"/>
          <w:szCs w:val="24"/>
        </w:rPr>
        <w:t xml:space="preserve">7. Traditional negligence principles are applicable to “fear of cancer” claims in medical malpractice actions. </w:t>
      </w:r>
      <w:r w:rsidRPr="00C63C71">
        <w:rPr>
          <w:rFonts w:eastAsia="Times New Roman"/>
          <w:b/>
          <w:sz w:val="24"/>
          <w:szCs w:val="24"/>
        </w:rPr>
        <w:t>Boryla v. Pash</w:t>
      </w:r>
      <w:r w:rsidRPr="00C63C71">
        <w:rPr>
          <w:rFonts w:eastAsia="Times New Roman"/>
          <w:sz w:val="24"/>
          <w:szCs w:val="24"/>
        </w:rPr>
        <w:t xml:space="preserve">, 960 P.2d 123 (Colo. 1998). In </w:t>
      </w:r>
      <w:r w:rsidRPr="00C63C71">
        <w:rPr>
          <w:rFonts w:eastAsia="Times New Roman"/>
          <w:b/>
          <w:bCs/>
          <w:iCs/>
          <w:sz w:val="24"/>
          <w:szCs w:val="24"/>
        </w:rPr>
        <w:t>Boryla</w:t>
      </w:r>
      <w:r w:rsidRPr="00172935">
        <w:rPr>
          <w:rFonts w:eastAsia="Times New Roman"/>
          <w:iCs/>
          <w:sz w:val="24"/>
          <w:szCs w:val="24"/>
        </w:rPr>
        <w:t>,</w:t>
      </w:r>
      <w:r w:rsidRPr="00C63C71">
        <w:rPr>
          <w:rFonts w:eastAsia="Times New Roman"/>
          <w:sz w:val="24"/>
          <w:szCs w:val="24"/>
        </w:rPr>
        <w:t xml:space="preserve"> the plaintiff sought noneconomic damages for emotional distress including the fear of an increased risk of the recurrence of her cancer as a result of her physician’s failure to promptly diagnose her breast cancer. </w:t>
      </w:r>
      <w:r w:rsidRPr="00C63C71">
        <w:rPr>
          <w:rFonts w:eastAsia="Times New Roman"/>
          <w:i/>
          <w:sz w:val="24"/>
          <w:szCs w:val="24"/>
        </w:rPr>
        <w:t>Id.</w:t>
      </w:r>
      <w:r w:rsidRPr="00C63C71">
        <w:rPr>
          <w:rFonts w:eastAsia="Times New Roman"/>
          <w:sz w:val="24"/>
          <w:szCs w:val="24"/>
        </w:rPr>
        <w:t xml:space="preserve"> </w:t>
      </w:r>
      <w:r w:rsidRPr="00C63C71">
        <w:rPr>
          <w:rFonts w:eastAsia="Times New Roman"/>
          <w:bCs/>
          <w:sz w:val="24"/>
          <w:szCs w:val="24"/>
        </w:rPr>
        <w:t>at</w:t>
      </w:r>
      <w:r w:rsidRPr="00C63C71">
        <w:rPr>
          <w:rFonts w:eastAsia="Times New Roman"/>
          <w:sz w:val="24"/>
          <w:szCs w:val="24"/>
        </w:rPr>
        <w:t xml:space="preserve"> </w:t>
      </w:r>
      <w:r w:rsidRPr="00C63C71">
        <w:rPr>
          <w:rFonts w:eastAsia="Times New Roman"/>
          <w:bCs/>
          <w:sz w:val="24"/>
          <w:szCs w:val="24"/>
        </w:rPr>
        <w:t>125</w:t>
      </w:r>
      <w:r w:rsidRPr="00C63C71">
        <w:rPr>
          <w:rFonts w:eastAsia="Times New Roman"/>
          <w:sz w:val="24"/>
          <w:szCs w:val="24"/>
        </w:rPr>
        <w:t xml:space="preserve">. The supreme court stated, “In cases where the plaintiff demonstrates that her cancerous condition physically worsened as a result of the delayed diagnosis, the plaintiff has demonstrated a sufficient physical injury to permit the recovery of emotional distress damages.” </w:t>
      </w:r>
      <w:r w:rsidRPr="008A7E19">
        <w:rPr>
          <w:rFonts w:eastAsia="Times New Roman"/>
          <w:bCs/>
          <w:i/>
          <w:iCs/>
          <w:sz w:val="24"/>
          <w:szCs w:val="24"/>
        </w:rPr>
        <w:t>Id</w:t>
      </w:r>
      <w:r w:rsidRPr="008A7E19">
        <w:rPr>
          <w:rFonts w:eastAsia="Times New Roman"/>
          <w:sz w:val="24"/>
          <w:szCs w:val="24"/>
        </w:rPr>
        <w:t xml:space="preserve">. </w:t>
      </w:r>
      <w:r w:rsidRPr="008A7E19">
        <w:rPr>
          <w:rFonts w:eastAsia="Times New Roman"/>
          <w:bCs/>
          <w:sz w:val="24"/>
          <w:szCs w:val="24"/>
        </w:rPr>
        <w:t>at</w:t>
      </w:r>
      <w:r w:rsidRPr="008A7E19">
        <w:rPr>
          <w:rFonts w:eastAsia="Times New Roman"/>
          <w:sz w:val="24"/>
          <w:szCs w:val="24"/>
        </w:rPr>
        <w:t xml:space="preserve"> </w:t>
      </w:r>
      <w:r w:rsidRPr="008A7E19">
        <w:rPr>
          <w:rFonts w:eastAsia="Times New Roman"/>
          <w:bCs/>
          <w:sz w:val="24"/>
          <w:szCs w:val="24"/>
        </w:rPr>
        <w:t>129</w:t>
      </w:r>
      <w:r w:rsidRPr="008A7E19">
        <w:rPr>
          <w:rFonts w:eastAsia="Times New Roman"/>
          <w:sz w:val="24"/>
          <w:szCs w:val="24"/>
        </w:rPr>
        <w:t>.</w:t>
      </w:r>
      <w:r w:rsidRPr="00C63C71">
        <w:rPr>
          <w:rFonts w:eastAsia="Times New Roman"/>
          <w:sz w:val="24"/>
          <w:szCs w:val="24"/>
        </w:rPr>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rFonts w:eastAsia="Times New Roman"/>
          <w:i/>
          <w:sz w:val="24"/>
          <w:szCs w:val="24"/>
        </w:rPr>
        <w:t>Id.</w:t>
      </w:r>
    </w:p>
    <w:p w14:paraId="066A675B" w14:textId="0555DAE6" w:rsidR="00CA28A3" w:rsidRPr="00C63C71" w:rsidRDefault="00CA28A3" w:rsidP="00C63C71">
      <w:pPr>
        <w:spacing w:after="240"/>
        <w:ind w:firstLine="720"/>
        <w:rPr>
          <w:rFonts w:eastAsia="Times New Roman"/>
          <w:sz w:val="24"/>
          <w:szCs w:val="24"/>
        </w:rPr>
      </w:pPr>
      <w:r w:rsidRPr="00D33088">
        <w:rPr>
          <w:rFonts w:eastAsia="Times New Roman"/>
          <w:sz w:val="24"/>
          <w:szCs w:val="24"/>
        </w:rPr>
        <w:t>8.</w:t>
      </w:r>
      <w:r w:rsidRPr="00D33088">
        <w:rPr>
          <w:rFonts w:eastAsia="Times New Roman"/>
          <w:i/>
          <w:sz w:val="24"/>
          <w:szCs w:val="24"/>
        </w:rPr>
        <w:t xml:space="preserve"> </w:t>
      </w:r>
      <w:r w:rsidRPr="00D33088">
        <w:rPr>
          <w:rFonts w:eastAsia="Times New Roman"/>
          <w:color w:val="000000"/>
          <w:sz w:val="24"/>
          <w:szCs w:val="24"/>
        </w:rPr>
        <w:t>In</w:t>
      </w:r>
      <w:r w:rsidRPr="00D33088">
        <w:rPr>
          <w:rFonts w:eastAsia="Times New Roman"/>
          <w:b/>
          <w:color w:val="000000"/>
          <w:sz w:val="24"/>
          <w:szCs w:val="24"/>
        </w:rPr>
        <w:t xml:space="preserve"> Danko v. Conyers</w:t>
      </w:r>
      <w:r w:rsidRPr="00D33088">
        <w:rPr>
          <w:rFonts w:eastAsia="Times New Roman"/>
          <w:color w:val="000000"/>
          <w:sz w:val="24"/>
          <w:szCs w:val="24"/>
        </w:rPr>
        <w:t>, 2018 COA 14</w:t>
      </w:r>
      <w:r w:rsidRPr="00D33088">
        <w:rPr>
          <w:sz w:val="24"/>
          <w:szCs w:val="24"/>
        </w:rPr>
        <w:t xml:space="preserve">, </w:t>
      </w:r>
      <w:r>
        <w:rPr>
          <w:rFonts w:eastAsia="Times New Roman"/>
          <w:color w:val="000000"/>
          <w:sz w:val="24"/>
          <w:szCs w:val="24"/>
          <w:shd w:val="clear" w:color="auto" w:fill="FFFFFF"/>
        </w:rPr>
        <w:t xml:space="preserve">¶¶ 20-22, </w:t>
      </w:r>
      <w:r w:rsidR="00EA4092">
        <w:rPr>
          <w:rFonts w:eastAsia="Times New Roman"/>
          <w:color w:val="000000"/>
          <w:sz w:val="24"/>
          <w:szCs w:val="24"/>
          <w:shd w:val="clear" w:color="auto" w:fill="FFFFFF"/>
        </w:rPr>
        <w:t xml:space="preserve">432 P.3d 958, </w:t>
      </w:r>
      <w:r w:rsidRPr="00D33088">
        <w:rPr>
          <w:sz w:val="24"/>
          <w:szCs w:val="24"/>
        </w:rPr>
        <w:t>the court of appeals held that a defendant does not have to designate a nonparty</w:t>
      </w:r>
      <w:r>
        <w:rPr>
          <w:sz w:val="24"/>
          <w:szCs w:val="24"/>
        </w:rPr>
        <w:t xml:space="preserve"> </w:t>
      </w:r>
      <w:r w:rsidR="00555A3B">
        <w:rPr>
          <w:sz w:val="24"/>
          <w:szCs w:val="24"/>
        </w:rPr>
        <w:t>under</w:t>
      </w:r>
      <w:r>
        <w:rPr>
          <w:sz w:val="24"/>
          <w:szCs w:val="24"/>
        </w:rPr>
        <w:t xml:space="preserve"> section 13-21-111.5(3)(b)</w:t>
      </w:r>
      <w:r w:rsidRPr="00D33088">
        <w:rPr>
          <w:sz w:val="24"/>
          <w:szCs w:val="24"/>
        </w:rPr>
        <w:t xml:space="preserve"> to</w:t>
      </w:r>
      <w:r>
        <w:rPr>
          <w:sz w:val="24"/>
          <w:szCs w:val="24"/>
        </w:rPr>
        <w:t xml:space="preserve"> assert</w:t>
      </w:r>
      <w:r w:rsidRPr="00D33088">
        <w:rPr>
          <w:sz w:val="24"/>
          <w:szCs w:val="24"/>
        </w:rPr>
        <w:t xml:space="preserve"> a causation defense that</w:t>
      </w:r>
      <w:r w:rsidRPr="0068749A">
        <w:rPr>
          <w:rFonts w:eastAsia="Times New Roman"/>
          <w:color w:val="000000"/>
          <w:sz w:val="24"/>
          <w:szCs w:val="24"/>
          <w:shd w:val="clear" w:color="auto" w:fill="FFFFFF"/>
        </w:rPr>
        <w:t xml:space="preserve"> someone else</w:t>
      </w:r>
      <w:r>
        <w:rPr>
          <w:rFonts w:eastAsia="Times New Roman"/>
          <w:color w:val="000000"/>
          <w:sz w:val="24"/>
          <w:szCs w:val="24"/>
          <w:shd w:val="clear" w:color="auto" w:fill="FFFFFF"/>
        </w:rPr>
        <w:t>’</w:t>
      </w:r>
      <w:r w:rsidRPr="00D33088">
        <w:rPr>
          <w:rFonts w:eastAsia="Times New Roman"/>
          <w:color w:val="000000"/>
          <w:sz w:val="24"/>
          <w:szCs w:val="24"/>
          <w:shd w:val="clear" w:color="auto" w:fill="FFFFFF"/>
        </w:rPr>
        <w:t>s action or inaction was the sole cause of the injury. </w:t>
      </w:r>
      <w:r w:rsidRPr="00D358B7">
        <w:rPr>
          <w:rFonts w:eastAsia="Times New Roman"/>
          <w:color w:val="000000"/>
          <w:sz w:val="24"/>
          <w:szCs w:val="24"/>
          <w:shd w:val="clear" w:color="auto" w:fill="FFFFFF"/>
        </w:rPr>
        <w:t>Specifically</w:t>
      </w:r>
      <w:r>
        <w:rPr>
          <w:rFonts w:eastAsia="Times New Roman"/>
          <w:color w:val="000000"/>
          <w:sz w:val="24"/>
          <w:szCs w:val="24"/>
          <w:shd w:val="clear" w:color="auto" w:fill="FFFFFF"/>
        </w:rPr>
        <w:t>,</w:t>
      </w:r>
      <w:r w:rsidRPr="00D358B7">
        <w:rPr>
          <w:rFonts w:eastAsia="Times New Roman"/>
          <w:color w:val="000000"/>
          <w:sz w:val="24"/>
          <w:szCs w:val="24"/>
          <w:shd w:val="clear" w:color="auto" w:fill="FFFFFF"/>
        </w:rPr>
        <w:t xml:space="preserve"> a</w:t>
      </w:r>
      <w:r w:rsidRPr="00D33088">
        <w:rPr>
          <w:rFonts w:eastAsia="Times New Roman"/>
          <w:color w:val="000000"/>
          <w:sz w:val="24"/>
          <w:szCs w:val="24"/>
          <w:shd w:val="clear" w:color="auto" w:fill="FFFFFF"/>
        </w:rPr>
        <w:t xml:space="preserve"> “defendant may always attempt to interpose a complete defense that his acts or omissions were</w:t>
      </w:r>
      <w:r>
        <w:rPr>
          <w:rFonts w:eastAsia="Times New Roman"/>
          <w:color w:val="000000"/>
          <w:sz w:val="24"/>
          <w:szCs w:val="24"/>
          <w:shd w:val="clear" w:color="auto" w:fill="FFFFFF"/>
        </w:rPr>
        <w:t xml:space="preserve"> not the cause of the plaintiff’</w:t>
      </w:r>
      <w:r w:rsidRPr="00D33088">
        <w:rPr>
          <w:rFonts w:eastAsia="Times New Roman"/>
          <w:color w:val="000000"/>
          <w:sz w:val="24"/>
          <w:szCs w:val="24"/>
          <w:shd w:val="clear" w:color="auto" w:fill="FFFFFF"/>
        </w:rPr>
        <w:t>s injuries” because “[a] defense that the defendant did not cause the plaintiff</w:t>
      </w:r>
      <w:r w:rsidR="0015211F">
        <w:rPr>
          <w:rFonts w:eastAsia="Times New Roman"/>
          <w:color w:val="000000"/>
          <w:sz w:val="24"/>
          <w:szCs w:val="24"/>
          <w:shd w:val="clear" w:color="auto" w:fill="FFFFFF"/>
        </w:rPr>
        <w:t>’</w:t>
      </w:r>
      <w:r w:rsidRPr="00D33088">
        <w:rPr>
          <w:rFonts w:eastAsia="Times New Roman"/>
          <w:color w:val="000000"/>
          <w:sz w:val="24"/>
          <w:szCs w:val="24"/>
          <w:shd w:val="clear" w:color="auto" w:fill="FFFFFF"/>
        </w:rPr>
        <w:t>s injuries is not equivalent to the designation of a non-party because it cannot result in apportionment of liability, but rather is a complete defense if successful.”</w:t>
      </w:r>
      <w:r>
        <w:rPr>
          <w:rFonts w:eastAsia="Times New Roman"/>
          <w:color w:val="000000"/>
          <w:sz w:val="24"/>
          <w:szCs w:val="24"/>
          <w:shd w:val="clear" w:color="auto" w:fill="FFFFFF"/>
        </w:rPr>
        <w:t xml:space="preserve"> </w:t>
      </w:r>
      <w:r w:rsidRPr="00D33088">
        <w:rPr>
          <w:rFonts w:eastAsia="Times New Roman"/>
          <w:i/>
          <w:color w:val="000000"/>
          <w:sz w:val="24"/>
          <w:szCs w:val="24"/>
          <w:shd w:val="clear" w:color="auto" w:fill="FFFFFF"/>
        </w:rPr>
        <w:t>Id.</w:t>
      </w:r>
      <w:r w:rsidRPr="00CA28A3">
        <w:rPr>
          <w:rFonts w:eastAsia="Times New Roman"/>
          <w:color w:val="000000"/>
          <w:sz w:val="24"/>
          <w:szCs w:val="24"/>
          <w:shd w:val="clear" w:color="auto" w:fill="FFFFFF"/>
        </w:rPr>
        <w:t xml:space="preserve"> </w:t>
      </w:r>
      <w:r>
        <w:rPr>
          <w:rFonts w:eastAsia="Times New Roman"/>
          <w:color w:val="000000"/>
          <w:sz w:val="24"/>
          <w:szCs w:val="24"/>
          <w:shd w:val="clear" w:color="auto" w:fill="FFFFFF"/>
        </w:rPr>
        <w:t>at</w:t>
      </w:r>
      <w:r w:rsidRPr="00253AFF">
        <w:rPr>
          <w:sz w:val="24"/>
          <w:szCs w:val="24"/>
        </w:rPr>
        <w:t xml:space="preserve"> </w:t>
      </w:r>
      <w:r>
        <w:rPr>
          <w:rFonts w:eastAsia="Times New Roman"/>
          <w:color w:val="000000"/>
          <w:sz w:val="24"/>
          <w:szCs w:val="24"/>
          <w:shd w:val="clear" w:color="auto" w:fill="FFFFFF"/>
        </w:rPr>
        <w:t xml:space="preserve">¶ 21 </w:t>
      </w:r>
      <w:r w:rsidRPr="00866A11">
        <w:rPr>
          <w:rFonts w:eastAsia="Times New Roman"/>
          <w:color w:val="000000"/>
          <w:sz w:val="24"/>
          <w:szCs w:val="24"/>
          <w:shd w:val="clear" w:color="auto" w:fill="FFFFFF"/>
        </w:rPr>
        <w:t xml:space="preserve">(quoting </w:t>
      </w:r>
      <w:r w:rsidRPr="00D33088">
        <w:rPr>
          <w:rFonts w:eastAsia="Times New Roman"/>
          <w:b/>
          <w:iCs/>
          <w:color w:val="000000"/>
          <w:sz w:val="24"/>
          <w:szCs w:val="24"/>
        </w:rPr>
        <w:t>Redden</w:t>
      </w:r>
      <w:r w:rsidRPr="00D33088">
        <w:rPr>
          <w:rFonts w:eastAsia="Times New Roman"/>
          <w:color w:val="000000"/>
          <w:sz w:val="24"/>
          <w:szCs w:val="24"/>
          <w:shd w:val="clear" w:color="auto" w:fill="FFFFFF"/>
        </w:rPr>
        <w:t xml:space="preserve">, 38 P.3d </w:t>
      </w:r>
      <w:r>
        <w:rPr>
          <w:rFonts w:eastAsia="Times New Roman"/>
          <w:color w:val="000000"/>
          <w:sz w:val="24"/>
          <w:szCs w:val="24"/>
          <w:shd w:val="clear" w:color="auto" w:fill="FFFFFF"/>
        </w:rPr>
        <w:t>at</w:t>
      </w:r>
      <w:r w:rsidRPr="00D33088">
        <w:rPr>
          <w:rFonts w:eastAsia="Times New Roman"/>
          <w:color w:val="000000"/>
          <w:sz w:val="24"/>
          <w:szCs w:val="24"/>
          <w:shd w:val="clear" w:color="auto" w:fill="FFFFFF"/>
        </w:rPr>
        <w:t xml:space="preserve"> 81</w:t>
      </w:r>
      <w:r>
        <w:rPr>
          <w:rFonts w:eastAsia="Times New Roman"/>
          <w:color w:val="000000"/>
          <w:sz w:val="24"/>
          <w:szCs w:val="24"/>
          <w:shd w:val="clear" w:color="auto" w:fill="FFFFFF"/>
        </w:rPr>
        <w:t>)</w:t>
      </w:r>
      <w:r w:rsidRPr="00D33088">
        <w:rPr>
          <w:rFonts w:eastAsia="Times New Roman"/>
          <w:color w:val="000000"/>
          <w:sz w:val="24"/>
          <w:szCs w:val="24"/>
          <w:shd w:val="clear" w:color="auto" w:fill="FFFFFF"/>
        </w:rPr>
        <w:t>.</w:t>
      </w:r>
      <w:r w:rsidRPr="00D358B7">
        <w:rPr>
          <w:rFonts w:eastAsia="Times New Roman"/>
          <w:color w:val="000000"/>
          <w:sz w:val="24"/>
          <w:szCs w:val="24"/>
          <w:shd w:val="clear" w:color="auto" w:fill="FFFFFF"/>
        </w:rPr>
        <w:t xml:space="preserve"> </w:t>
      </w:r>
      <w:r w:rsidRPr="00D33088">
        <w:rPr>
          <w:rFonts w:eastAsia="Times New Roman"/>
          <w:color w:val="000000"/>
          <w:sz w:val="24"/>
          <w:szCs w:val="24"/>
          <w:shd w:val="clear" w:color="auto" w:fill="FFFFFF"/>
        </w:rPr>
        <w:t xml:space="preserve">However, </w:t>
      </w:r>
      <w:r w:rsidR="00555A3B">
        <w:rPr>
          <w:sz w:val="24"/>
          <w:szCs w:val="24"/>
        </w:rPr>
        <w:t>under</w:t>
      </w:r>
      <w:r w:rsidRPr="00D33088">
        <w:rPr>
          <w:sz w:val="24"/>
          <w:szCs w:val="24"/>
        </w:rPr>
        <w:t xml:space="preserve"> </w:t>
      </w:r>
      <w:r w:rsidRPr="00CA28A3">
        <w:rPr>
          <w:smallCaps/>
          <w:sz w:val="24"/>
          <w:szCs w:val="24"/>
        </w:rPr>
        <w:t>Restatement (Second) of Torts</w:t>
      </w:r>
      <w:r w:rsidRPr="00D33088">
        <w:rPr>
          <w:sz w:val="24"/>
          <w:szCs w:val="24"/>
        </w:rPr>
        <w:t xml:space="preserve"> § 457</w:t>
      </w:r>
      <w:r>
        <w:rPr>
          <w:sz w:val="24"/>
          <w:szCs w:val="24"/>
        </w:rPr>
        <w:t xml:space="preserve"> (1965)</w:t>
      </w:r>
      <w:r w:rsidRPr="00D33088">
        <w:rPr>
          <w:sz w:val="24"/>
          <w:szCs w:val="24"/>
        </w:rPr>
        <w:t>, an original tortfeasor is liable for any additional bodily harm caused by subsequent medical care</w:t>
      </w:r>
      <w:r>
        <w:rPr>
          <w:sz w:val="24"/>
          <w:szCs w:val="24"/>
        </w:rPr>
        <w:t xml:space="preserve"> reasonably required by the original injury</w:t>
      </w:r>
      <w:r w:rsidRPr="00D33088">
        <w:rPr>
          <w:sz w:val="24"/>
          <w:szCs w:val="24"/>
        </w:rPr>
        <w:t xml:space="preserve">, regardless of whether the </w:t>
      </w:r>
      <w:r>
        <w:rPr>
          <w:sz w:val="24"/>
          <w:szCs w:val="24"/>
        </w:rPr>
        <w:t xml:space="preserve">subsequent </w:t>
      </w:r>
      <w:r w:rsidRPr="00D33088">
        <w:rPr>
          <w:sz w:val="24"/>
          <w:szCs w:val="24"/>
        </w:rPr>
        <w:t xml:space="preserve">medical </w:t>
      </w:r>
      <w:r w:rsidRPr="00052D26">
        <w:rPr>
          <w:sz w:val="24"/>
          <w:szCs w:val="24"/>
        </w:rPr>
        <w:t>care was done</w:t>
      </w:r>
      <w:r w:rsidRPr="00D33088">
        <w:rPr>
          <w:sz w:val="24"/>
          <w:szCs w:val="24"/>
        </w:rPr>
        <w:t xml:space="preserve"> properly or negligently. </w:t>
      </w:r>
      <w:r w:rsidRPr="00D33088">
        <w:rPr>
          <w:rFonts w:eastAsia="Times New Roman"/>
          <w:b/>
          <w:color w:val="000000"/>
          <w:sz w:val="24"/>
          <w:szCs w:val="24"/>
        </w:rPr>
        <w:t>Danko</w:t>
      </w:r>
      <w:r w:rsidRPr="00D33088">
        <w:rPr>
          <w:rFonts w:eastAsia="Times New Roman"/>
          <w:color w:val="000000"/>
          <w:sz w:val="24"/>
          <w:szCs w:val="24"/>
        </w:rPr>
        <w:t xml:space="preserve">, </w:t>
      </w:r>
      <w:r>
        <w:rPr>
          <w:rFonts w:eastAsia="Times New Roman"/>
          <w:color w:val="000000"/>
          <w:sz w:val="24"/>
          <w:szCs w:val="24"/>
          <w:shd w:val="clear" w:color="auto" w:fill="FFFFFF"/>
        </w:rPr>
        <w:t>¶¶ 27-30</w:t>
      </w:r>
      <w:r w:rsidR="00EA4092">
        <w:rPr>
          <w:rFonts w:eastAsia="Times New Roman"/>
          <w:color w:val="000000"/>
          <w:sz w:val="24"/>
          <w:szCs w:val="24"/>
          <w:shd w:val="clear" w:color="auto" w:fill="FFFFFF"/>
        </w:rPr>
        <w:t xml:space="preserve">, </w:t>
      </w:r>
      <w:r w:rsidR="00EA4092">
        <w:rPr>
          <w:sz w:val="24"/>
          <w:szCs w:val="24"/>
        </w:rPr>
        <w:t>432 P.3d at 964</w:t>
      </w:r>
      <w:r w:rsidRPr="002C7F34">
        <w:rPr>
          <w:sz w:val="24"/>
          <w:szCs w:val="24"/>
        </w:rPr>
        <w:t xml:space="preserve">; </w:t>
      </w:r>
      <w:r w:rsidRPr="00D33088">
        <w:rPr>
          <w:rFonts w:eastAsia="Times New Roman"/>
          <w:i/>
          <w:color w:val="000000"/>
          <w:sz w:val="24"/>
          <w:szCs w:val="24"/>
          <w:shd w:val="clear" w:color="auto" w:fill="FFFFFF"/>
        </w:rPr>
        <w:t>see also</w:t>
      </w:r>
      <w:r w:rsidRPr="00D33088">
        <w:rPr>
          <w:rFonts w:eastAsia="Times New Roman"/>
          <w:color w:val="000000"/>
          <w:sz w:val="24"/>
          <w:szCs w:val="24"/>
          <w:shd w:val="clear" w:color="auto" w:fill="FFFFFF"/>
        </w:rPr>
        <w:t xml:space="preserve"> </w:t>
      </w:r>
      <w:r w:rsidRPr="00D33088">
        <w:rPr>
          <w:rFonts w:eastAsia="Times New Roman"/>
          <w:b/>
          <w:color w:val="000000"/>
          <w:sz w:val="24"/>
          <w:szCs w:val="24"/>
        </w:rPr>
        <w:t>Union Supply Co. v. Pust</w:t>
      </w:r>
      <w:r w:rsidRPr="00D33088">
        <w:rPr>
          <w:rFonts w:eastAsia="Times New Roman"/>
          <w:color w:val="000000"/>
          <w:sz w:val="24"/>
          <w:szCs w:val="24"/>
        </w:rPr>
        <w:t>, 196 Colo. 162, 583 P.2d 276 (1978)</w:t>
      </w:r>
      <w:r w:rsidRPr="002C7F34">
        <w:rPr>
          <w:rFonts w:eastAsia="Times New Roman"/>
          <w:sz w:val="24"/>
          <w:szCs w:val="24"/>
        </w:rPr>
        <w:t xml:space="preserve">; </w:t>
      </w:r>
      <w:r w:rsidRPr="00D33088">
        <w:rPr>
          <w:rFonts w:eastAsia="Times New Roman"/>
          <w:b/>
          <w:color w:val="000000"/>
          <w:sz w:val="24"/>
          <w:szCs w:val="24"/>
        </w:rPr>
        <w:t>Powell v. Brady</w:t>
      </w:r>
      <w:r w:rsidRPr="00D33088">
        <w:rPr>
          <w:rFonts w:eastAsia="Times New Roman"/>
          <w:color w:val="000000"/>
          <w:sz w:val="24"/>
          <w:szCs w:val="24"/>
        </w:rPr>
        <w:t>, 30 Colo. App. 406, 496 P.2d 328, (1972)</w:t>
      </w:r>
      <w:r>
        <w:rPr>
          <w:rFonts w:eastAsia="Times New Roman"/>
          <w:color w:val="000000"/>
          <w:sz w:val="24"/>
          <w:szCs w:val="24"/>
        </w:rPr>
        <w:t xml:space="preserve">, </w:t>
      </w:r>
      <w:r w:rsidRPr="00CA28A3">
        <w:rPr>
          <w:rFonts w:eastAsia="Times New Roman"/>
          <w:i/>
          <w:color w:val="000000"/>
          <w:sz w:val="24"/>
          <w:szCs w:val="24"/>
        </w:rPr>
        <w:t>aff’d</w:t>
      </w:r>
      <w:r>
        <w:rPr>
          <w:rFonts w:eastAsia="Times New Roman"/>
          <w:i/>
          <w:color w:val="000000"/>
          <w:sz w:val="24"/>
          <w:szCs w:val="24"/>
        </w:rPr>
        <w:t xml:space="preserve"> sub nom. </w:t>
      </w:r>
      <w:r w:rsidRPr="00CA28A3">
        <w:rPr>
          <w:rFonts w:eastAsia="Times New Roman"/>
          <w:b/>
          <w:color w:val="000000"/>
          <w:sz w:val="24"/>
          <w:szCs w:val="24"/>
        </w:rPr>
        <w:t>Brady v. City &amp; Cty</w:t>
      </w:r>
      <w:r w:rsidR="00BD0C53">
        <w:rPr>
          <w:rFonts w:eastAsia="Times New Roman"/>
          <w:b/>
          <w:color w:val="000000"/>
          <w:sz w:val="24"/>
          <w:szCs w:val="24"/>
        </w:rPr>
        <w:t>. of Denver</w:t>
      </w:r>
      <w:r>
        <w:rPr>
          <w:rFonts w:eastAsia="Times New Roman"/>
          <w:color w:val="000000"/>
          <w:sz w:val="24"/>
          <w:szCs w:val="24"/>
        </w:rPr>
        <w:t>, 181 Colo. 218, 508 P.2d 1254 (1973)</w:t>
      </w:r>
      <w:r w:rsidRPr="00D33088">
        <w:rPr>
          <w:rFonts w:eastAsia="Times New Roman"/>
          <w:color w:val="000000"/>
          <w:sz w:val="24"/>
          <w:szCs w:val="24"/>
        </w:rPr>
        <w:t>.</w:t>
      </w:r>
      <w:r w:rsidRPr="002C7F34">
        <w:rPr>
          <w:rFonts w:eastAsia="Times New Roman"/>
          <w:sz w:val="24"/>
          <w:szCs w:val="24"/>
        </w:rPr>
        <w:t xml:space="preserve"> </w:t>
      </w:r>
      <w:r w:rsidRPr="00D33088">
        <w:rPr>
          <w:sz w:val="24"/>
          <w:szCs w:val="24"/>
        </w:rPr>
        <w:t>The only exception is if the subsequent medical care cons</w:t>
      </w:r>
      <w:r>
        <w:rPr>
          <w:sz w:val="24"/>
          <w:szCs w:val="24"/>
        </w:rPr>
        <w:t>t</w:t>
      </w:r>
      <w:r w:rsidRPr="00D33088">
        <w:rPr>
          <w:sz w:val="24"/>
          <w:szCs w:val="24"/>
        </w:rPr>
        <w:t>itutes extraordinary misconduct or supervening cause.</w:t>
      </w:r>
      <w:r>
        <w:rPr>
          <w:sz w:val="24"/>
          <w:szCs w:val="24"/>
        </w:rPr>
        <w:t xml:space="preserve"> </w:t>
      </w:r>
      <w:r w:rsidRPr="0052474F">
        <w:rPr>
          <w:rFonts w:eastAsia="Times New Roman"/>
          <w:b/>
          <w:color w:val="000000"/>
          <w:sz w:val="24"/>
          <w:szCs w:val="24"/>
        </w:rPr>
        <w:t>Danko</w:t>
      </w:r>
      <w:r w:rsidRPr="0052474F">
        <w:rPr>
          <w:rFonts w:eastAsia="Times New Roman"/>
          <w:color w:val="000000"/>
          <w:sz w:val="24"/>
          <w:szCs w:val="24"/>
        </w:rPr>
        <w:t>,</w:t>
      </w:r>
      <w:r>
        <w:rPr>
          <w:sz w:val="24"/>
          <w:szCs w:val="24"/>
        </w:rPr>
        <w:t xml:space="preserve"> </w:t>
      </w:r>
      <w:r>
        <w:rPr>
          <w:rFonts w:eastAsia="Times New Roman"/>
          <w:color w:val="000000"/>
          <w:sz w:val="24"/>
          <w:szCs w:val="24"/>
          <w:shd w:val="clear" w:color="auto" w:fill="FFFFFF"/>
        </w:rPr>
        <w:t>¶ 31</w:t>
      </w:r>
      <w:r w:rsidR="00EA4092">
        <w:rPr>
          <w:rFonts w:eastAsia="Times New Roman"/>
          <w:color w:val="000000"/>
          <w:sz w:val="24"/>
          <w:szCs w:val="24"/>
          <w:shd w:val="clear" w:color="auto" w:fill="FFFFFF"/>
        </w:rPr>
        <w:t xml:space="preserve">, </w:t>
      </w:r>
      <w:r w:rsidR="00EA4092">
        <w:rPr>
          <w:sz w:val="24"/>
          <w:szCs w:val="24"/>
        </w:rPr>
        <w:t>432 P.3d at 965</w:t>
      </w:r>
      <w:r>
        <w:rPr>
          <w:rFonts w:eastAsia="Times New Roman"/>
          <w:color w:val="000000"/>
          <w:sz w:val="24"/>
          <w:szCs w:val="24"/>
          <w:shd w:val="clear" w:color="auto" w:fill="FFFFFF"/>
        </w:rPr>
        <w:t>.</w:t>
      </w:r>
    </w:p>
    <w:p w14:paraId="3B0BBAF1"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Expert Testimony</w:t>
      </w:r>
    </w:p>
    <w:p w14:paraId="4C0F81D2" w14:textId="1CAE9BB1" w:rsidR="00C63C71" w:rsidRPr="00C63C71" w:rsidRDefault="00CA28A3" w:rsidP="00C63C71">
      <w:pPr>
        <w:spacing w:after="240"/>
        <w:ind w:firstLine="720"/>
        <w:rPr>
          <w:rFonts w:eastAsia="Times New Roman"/>
          <w:sz w:val="24"/>
          <w:szCs w:val="24"/>
        </w:rPr>
      </w:pPr>
      <w:r>
        <w:rPr>
          <w:rFonts w:eastAsia="Times New Roman"/>
          <w:sz w:val="24"/>
          <w:szCs w:val="24"/>
        </w:rPr>
        <w:t>9</w:t>
      </w:r>
      <w:r w:rsidR="00C63C71" w:rsidRPr="00C63C71">
        <w:rPr>
          <w:rFonts w:eastAsia="Times New Roman"/>
          <w:sz w:val="24"/>
          <w:szCs w:val="24"/>
        </w:rPr>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00C63C71" w:rsidRPr="00C63C71">
        <w:rPr>
          <w:rFonts w:eastAsia="Times New Roman"/>
          <w:b/>
          <w:sz w:val="24"/>
          <w:szCs w:val="24"/>
        </w:rPr>
        <w:t>Melville</w:t>
      </w:r>
      <w:r w:rsidR="00C63C71" w:rsidRPr="00C63C71">
        <w:rPr>
          <w:rFonts w:eastAsia="Times New Roman"/>
          <w:sz w:val="24"/>
          <w:szCs w:val="24"/>
        </w:rPr>
        <w:t xml:space="preserve">, 791 P.2d at 387.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of fact would be left with no standard at all against which to evaluate the defendant’s conduct.” </w:t>
      </w:r>
      <w:r w:rsidR="00C63C71" w:rsidRPr="00C63C71">
        <w:rPr>
          <w:rFonts w:eastAsia="Times New Roman"/>
          <w:i/>
          <w:sz w:val="24"/>
          <w:szCs w:val="24"/>
        </w:rPr>
        <w:t>Id.</w:t>
      </w:r>
      <w:r w:rsidR="00C63C71" w:rsidRPr="008A7E19">
        <w:rPr>
          <w:rFonts w:eastAsia="Times New Roman"/>
          <w:sz w:val="24"/>
          <w:szCs w:val="24"/>
        </w:rPr>
        <w:t xml:space="preserve">; </w:t>
      </w:r>
      <w:r w:rsidR="00C63C71" w:rsidRPr="00C63C71">
        <w:rPr>
          <w:rFonts w:eastAsia="Times New Roman"/>
          <w:i/>
          <w:sz w:val="24"/>
          <w:szCs w:val="24"/>
        </w:rPr>
        <w:t>see, e.g.</w:t>
      </w:r>
      <w:r w:rsidR="00C63C71" w:rsidRPr="008A7E19">
        <w:rPr>
          <w:rFonts w:eastAsia="Times New Roman"/>
          <w:sz w:val="24"/>
          <w:szCs w:val="24"/>
        </w:rPr>
        <w:t xml:space="preserve">, </w:t>
      </w:r>
      <w:r w:rsidR="00C63C71" w:rsidRPr="00C63C71">
        <w:rPr>
          <w:rFonts w:eastAsia="Times New Roman"/>
          <w:b/>
          <w:sz w:val="24"/>
          <w:szCs w:val="24"/>
        </w:rPr>
        <w:t>Gorab</w:t>
      </w:r>
      <w:r w:rsidR="00C63C71" w:rsidRPr="00C63C71">
        <w:rPr>
          <w:rFonts w:eastAsia="Times New Roman"/>
          <w:sz w:val="24"/>
          <w:szCs w:val="24"/>
        </w:rPr>
        <w:t xml:space="preserve">, 943 P.2d at 427 (requiring expert testimony to lack of informed consent cases); </w:t>
      </w:r>
      <w:r w:rsidR="00C63C71" w:rsidRPr="00C63C71">
        <w:rPr>
          <w:rFonts w:eastAsia="Times New Roman"/>
          <w:b/>
          <w:sz w:val="24"/>
          <w:szCs w:val="24"/>
        </w:rPr>
        <w:t>Espand</w:t>
      </w:r>
      <w:r w:rsidR="000C5FA4">
        <w:rPr>
          <w:rFonts w:eastAsia="Times New Roman"/>
          <w:b/>
          <w:sz w:val="24"/>
          <w:szCs w:val="24"/>
        </w:rPr>
        <w:t>er</w:t>
      </w:r>
      <w:r w:rsidR="00C63C71" w:rsidRPr="00C63C71">
        <w:rPr>
          <w:rFonts w:eastAsia="Times New Roman"/>
          <w:b/>
          <w:sz w:val="24"/>
          <w:szCs w:val="24"/>
        </w:rPr>
        <w:t xml:space="preserve"> v. Cramer</w:t>
      </w:r>
      <w:r w:rsidR="00C63C71" w:rsidRPr="00C63C71">
        <w:rPr>
          <w:rFonts w:eastAsia="Times New Roman"/>
          <w:sz w:val="24"/>
          <w:szCs w:val="24"/>
        </w:rPr>
        <w:t xml:space="preserve">, 903 P.2d 1171, 1174 (Colo. App. 1995) (“even the determination whether the consent given [by a patient] was misinformed or given on the basis of incomplete or misleading disclosure concerning the degree of risk would require expert testimony”); </w:t>
      </w:r>
      <w:r w:rsidR="00C63C71" w:rsidRPr="00C63C71">
        <w:rPr>
          <w:rFonts w:eastAsia="Times New Roman"/>
          <w:b/>
          <w:sz w:val="24"/>
          <w:szCs w:val="24"/>
        </w:rPr>
        <w:t>Greene v. Thomas</w:t>
      </w:r>
      <w:r w:rsidR="00C63C71" w:rsidRPr="00C63C71">
        <w:rPr>
          <w:rFonts w:eastAsia="Times New Roman"/>
          <w:sz w:val="24"/>
          <w:szCs w:val="24"/>
        </w:rPr>
        <w:t xml:space="preserve">, 662 P.2d 491 (Colo. App. 1982) (expert testimony required to prove that a physician did not properly perform surgery); </w:t>
      </w:r>
      <w:r w:rsidR="00C63C71" w:rsidRPr="00C63C71">
        <w:rPr>
          <w:rFonts w:eastAsia="Times New Roman"/>
          <w:b/>
          <w:sz w:val="24"/>
          <w:szCs w:val="24"/>
        </w:rPr>
        <w:t>Smith v. Curran</w:t>
      </w:r>
      <w:r w:rsidR="00C63C71" w:rsidRPr="00C63C71">
        <w:rPr>
          <w:rFonts w:eastAsia="Times New Roman"/>
          <w:sz w:val="24"/>
          <w:szCs w:val="24"/>
        </w:rPr>
        <w:t>, 28 Colo. App. 358, 472 P.2d 769 (1970) (expert testimony required to prove the causes of infection or its source).</w:t>
      </w:r>
    </w:p>
    <w:p w14:paraId="09F44011" w14:textId="77777777" w:rsidR="00C63C71" w:rsidRPr="00C63C71" w:rsidRDefault="00BD0C53" w:rsidP="00C63C71">
      <w:pPr>
        <w:spacing w:after="240"/>
        <w:ind w:firstLine="720"/>
        <w:rPr>
          <w:rFonts w:eastAsia="Times New Roman"/>
          <w:sz w:val="24"/>
          <w:szCs w:val="24"/>
        </w:rPr>
      </w:pPr>
      <w:r>
        <w:rPr>
          <w:rFonts w:eastAsia="Times New Roman"/>
          <w:iCs/>
          <w:sz w:val="24"/>
          <w:szCs w:val="24"/>
        </w:rPr>
        <w:lastRenderedPageBreak/>
        <w:t>10</w:t>
      </w:r>
      <w:r w:rsidR="00C63C71" w:rsidRPr="00C63C71">
        <w:rPr>
          <w:rFonts w:eastAsia="Times New Roman"/>
          <w:iCs/>
          <w:sz w:val="24"/>
          <w:szCs w:val="24"/>
        </w:rPr>
        <w:t xml:space="preserve">. Similarly, expert testimony is generally required to prove causation in medical malpractice cases. </w:t>
      </w:r>
      <w:r w:rsidR="00C63C71" w:rsidRPr="00C63C71">
        <w:rPr>
          <w:rFonts w:eastAsia="Times New Roman"/>
          <w:b/>
          <w:iCs/>
          <w:sz w:val="24"/>
          <w:szCs w:val="24"/>
        </w:rPr>
        <w:t>Conrad v. Imatani</w:t>
      </w:r>
      <w:r w:rsidR="00C63C71" w:rsidRPr="000C5FA4">
        <w:rPr>
          <w:rFonts w:eastAsia="Times New Roman"/>
          <w:iCs/>
          <w:sz w:val="24"/>
          <w:szCs w:val="24"/>
        </w:rPr>
        <w:t>,</w:t>
      </w:r>
      <w:r w:rsidR="00C63C71" w:rsidRPr="00C63C71">
        <w:rPr>
          <w:rFonts w:eastAsia="Times New Roman"/>
          <w:sz w:val="24"/>
          <w:szCs w:val="24"/>
        </w:rPr>
        <w:t xml:space="preserve"> 724 P.2d 89 (Colo. App. 1986) (granting defendant summary judgment on medical malpractice negligence claim because plaintiff failed to present any expert testimony that her pain was caused by defendant’s negligence); </w:t>
      </w:r>
      <w:r w:rsidR="00C63C71" w:rsidRPr="00C63C71">
        <w:rPr>
          <w:rFonts w:eastAsia="Times New Roman"/>
          <w:b/>
          <w:iCs/>
          <w:sz w:val="24"/>
          <w:szCs w:val="24"/>
        </w:rPr>
        <w:t>Smith</w:t>
      </w:r>
      <w:r w:rsidR="00C63C71" w:rsidRPr="000C5FA4">
        <w:rPr>
          <w:rFonts w:eastAsia="Times New Roman"/>
          <w:iCs/>
          <w:sz w:val="24"/>
          <w:szCs w:val="24"/>
        </w:rPr>
        <w:t>,</w:t>
      </w:r>
      <w:r w:rsidR="00C63C71" w:rsidRPr="00C63C71">
        <w:rPr>
          <w:rFonts w:eastAsia="Times New Roman"/>
          <w:sz w:val="24"/>
          <w:szCs w:val="24"/>
        </w:rPr>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00C63C71" w:rsidRPr="00C63C71">
        <w:rPr>
          <w:rFonts w:eastAsia="Times New Roman"/>
          <w:b/>
          <w:iCs/>
          <w:sz w:val="24"/>
          <w:szCs w:val="24"/>
        </w:rPr>
        <w:t>Williams v. Boyle</w:t>
      </w:r>
      <w:r w:rsidR="00C63C71" w:rsidRPr="000C5FA4">
        <w:rPr>
          <w:rFonts w:eastAsia="Times New Roman"/>
          <w:iCs/>
          <w:sz w:val="24"/>
          <w:szCs w:val="24"/>
        </w:rPr>
        <w:t>,</w:t>
      </w:r>
      <w:r w:rsidR="00C63C71" w:rsidRPr="00C63C71">
        <w:rPr>
          <w:rFonts w:eastAsia="Times New Roman"/>
          <w:sz w:val="24"/>
          <w:szCs w:val="24"/>
        </w:rPr>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7A4A796E"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1</w:t>
      </w:r>
      <w:r w:rsidRPr="00C63C71">
        <w:rPr>
          <w:rFonts w:eastAsia="Times New Roman"/>
          <w:sz w:val="24"/>
          <w:szCs w:val="24"/>
        </w:rPr>
        <w:t xml:space="preserve">. The Health Care Availability Act 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rFonts w:eastAsia="Times New Roman"/>
          <w:i/>
          <w:sz w:val="24"/>
          <w:szCs w:val="24"/>
        </w:rPr>
        <w:t>Id.</w:t>
      </w:r>
      <w:r w:rsidRPr="00C63C71">
        <w:rPr>
          <w:rFonts w:eastAsia="Times New Roman"/>
          <w:sz w:val="24"/>
          <w:szCs w:val="24"/>
        </w:rPr>
        <w:t xml:space="preserve">;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Hall v. Frankel</w:t>
      </w:r>
      <w:r w:rsidRPr="00C63C71">
        <w:rPr>
          <w:rFonts w:eastAsia="Times New Roman"/>
          <w:sz w:val="24"/>
          <w:szCs w:val="24"/>
        </w:rPr>
        <w:t>, 190 P.3d 852 (Colo. App. 2008). However, these limitations do not apply to expert witnesses testifying as to the degree or permanency of medical or physical impairment. § 13-64-401.</w:t>
      </w:r>
    </w:p>
    <w:p w14:paraId="16216614"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Certificate of Review</w:t>
      </w:r>
    </w:p>
    <w:p w14:paraId="1A55BD26" w14:textId="18F62B3F"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2</w:t>
      </w:r>
      <w:r w:rsidRPr="00C63C71">
        <w:rPr>
          <w:rFonts w:eastAsia="Times New Roman"/>
          <w:sz w:val="24"/>
          <w:szCs w:val="24"/>
        </w:rPr>
        <w:t xml:space="preserve">. A certificate of review is required in all professional negligence cases where expert testimony is required to establish a prima facie cause of action. </w:t>
      </w:r>
      <w:r w:rsidRPr="00C63C71">
        <w:rPr>
          <w:rFonts w:eastAsia="Times New Roman"/>
          <w:b/>
          <w:sz w:val="24"/>
          <w:szCs w:val="24"/>
        </w:rPr>
        <w:t>Martinez v. Badis</w:t>
      </w:r>
      <w:r w:rsidRPr="00C63C71">
        <w:rPr>
          <w:rFonts w:eastAsia="Times New Roman"/>
          <w:sz w:val="24"/>
          <w:szCs w:val="24"/>
        </w:rPr>
        <w:t>, 842 P.2d 245 (Colo. 1992)</w:t>
      </w:r>
      <w:r w:rsidRPr="00C63C71">
        <w:rPr>
          <w:rFonts w:eastAsia="Times New Roman"/>
          <w:sz w:val="24"/>
          <w:szCs w:val="24"/>
        </w:rPr>
        <w:fldChar w:fldCharType="begin"/>
      </w:r>
      <w:r w:rsidRPr="00C63C71">
        <w:rPr>
          <w:rFonts w:eastAsia="Times New Roman"/>
          <w:sz w:val="24"/>
          <w:szCs w:val="24"/>
        </w:rPr>
        <w:instrText xml:space="preserve"> TA \l "</w:instrText>
      </w:r>
      <w:r w:rsidRPr="00C63C71">
        <w:rPr>
          <w:rFonts w:eastAsia="Times New Roman"/>
          <w:sz w:val="24"/>
          <w:szCs w:val="24"/>
          <w:u w:val="single"/>
        </w:rPr>
        <w:instrText>Martinez v. Badis</w:instrText>
      </w:r>
      <w:r w:rsidRPr="00C63C71">
        <w:rPr>
          <w:rFonts w:eastAsia="Times New Roman"/>
          <w:sz w:val="24"/>
          <w:szCs w:val="24"/>
        </w:rPr>
        <w:instrText xml:space="preserve">, 842 P.2d 245, 249 (Colo. 1992)" \s "Martinez v. Badis" \c 1 </w:instrText>
      </w:r>
      <w:r w:rsidRPr="00C63C71">
        <w:rPr>
          <w:rFonts w:eastAsia="Times New Roman"/>
          <w:sz w:val="24"/>
          <w:szCs w:val="24"/>
        </w:rPr>
        <w:fldChar w:fldCharType="end"/>
      </w:r>
      <w:r w:rsidRPr="00C63C71">
        <w:rPr>
          <w:rFonts w:eastAsia="Times New Roman"/>
          <w:sz w:val="24"/>
          <w:szCs w:val="24"/>
        </w:rPr>
        <w:t>. A certificate of review is required for a lack of informed consent claim.</w:t>
      </w:r>
      <w:r w:rsidRPr="00C63C71">
        <w:rPr>
          <w:rFonts w:eastAsia="Times New Roman"/>
          <w:sz w:val="24"/>
          <w:szCs w:val="24"/>
          <w:vertAlign w:val="superscript"/>
        </w:rPr>
        <w:t xml:space="preserve"> </w:t>
      </w:r>
      <w:r w:rsidRPr="00C63C71">
        <w:rPr>
          <w:rFonts w:eastAsia="Times New Roman"/>
          <w:b/>
          <w:sz w:val="24"/>
          <w:szCs w:val="24"/>
        </w:rPr>
        <w:t>Williams</w:t>
      </w:r>
      <w:r w:rsidRPr="00C63C71">
        <w:rPr>
          <w:rFonts w:eastAsia="Times New Roman"/>
          <w:sz w:val="24"/>
          <w:szCs w:val="24"/>
        </w:rPr>
        <w:t xml:space="preserve">, 72 P.3d at 396; </w:t>
      </w:r>
      <w:r w:rsidRPr="00C63C71">
        <w:rPr>
          <w:rFonts w:eastAsia="Times New Roman"/>
          <w:b/>
          <w:sz w:val="24"/>
          <w:szCs w:val="24"/>
        </w:rPr>
        <w:t>Espander</w:t>
      </w:r>
      <w:r w:rsidRPr="00C63C71">
        <w:rPr>
          <w:rFonts w:eastAsia="Times New Roman"/>
          <w:sz w:val="24"/>
          <w:szCs w:val="24"/>
        </w:rPr>
        <w:t xml:space="preserve">, 903 P.2d </w:t>
      </w:r>
      <w:r w:rsidR="00CE2540">
        <w:rPr>
          <w:rFonts w:eastAsia="Times New Roman"/>
          <w:sz w:val="24"/>
          <w:szCs w:val="24"/>
        </w:rPr>
        <w:t xml:space="preserve">at </w:t>
      </w:r>
      <w:r w:rsidRPr="00C63C71">
        <w:rPr>
          <w:rFonts w:eastAsia="Times New Roman"/>
          <w:sz w:val="24"/>
          <w:szCs w:val="24"/>
        </w:rPr>
        <w:t>117</w:t>
      </w:r>
      <w:r w:rsidR="00CE2540">
        <w:rPr>
          <w:rFonts w:eastAsia="Times New Roman"/>
          <w:sz w:val="24"/>
          <w:szCs w:val="24"/>
        </w:rPr>
        <w:t>4</w:t>
      </w:r>
      <w:r w:rsidRPr="00C63C71">
        <w:rPr>
          <w:rFonts w:eastAsia="Times New Roman"/>
          <w:sz w:val="24"/>
          <w:szCs w:val="24"/>
        </w:rPr>
        <w:t xml:space="preserve">. Similarly, a medical malpractice claim based upon the statute for deceptive trade practices requires a certificate of review. </w:t>
      </w:r>
      <w:r w:rsidRPr="00C63C71">
        <w:rPr>
          <w:rFonts w:eastAsia="Times New Roman"/>
          <w:b/>
          <w:sz w:val="24"/>
          <w:szCs w:val="24"/>
        </w:rPr>
        <w:t>Teiken v. Reynold</w:t>
      </w:r>
      <w:r w:rsidRPr="000C5FA4">
        <w:rPr>
          <w:rFonts w:eastAsia="Times New Roman"/>
          <w:b/>
          <w:sz w:val="24"/>
          <w:szCs w:val="24"/>
        </w:rPr>
        <w:t>s</w:t>
      </w:r>
      <w:r w:rsidRPr="00C63C71">
        <w:rPr>
          <w:rFonts w:eastAsia="Times New Roman"/>
          <w:sz w:val="24"/>
          <w:szCs w:val="24"/>
        </w:rPr>
        <w:t xml:space="preserve">, 904 P.2d 1387 (Colo. App. 1995); </w:t>
      </w:r>
      <w:r w:rsidRPr="00C63C71">
        <w:rPr>
          <w:rFonts w:eastAsia="Times New Roman"/>
          <w:b/>
          <w:sz w:val="24"/>
          <w:szCs w:val="24"/>
        </w:rPr>
        <w:t>Williams</w:t>
      </w:r>
      <w:r w:rsidRPr="00C63C71">
        <w:rPr>
          <w:rFonts w:eastAsia="Times New Roman"/>
          <w:sz w:val="24"/>
          <w:szCs w:val="24"/>
        </w:rPr>
        <w:t>, 72 P.3</w:t>
      </w:r>
      <w:r w:rsidR="000C5FA4">
        <w:rPr>
          <w:rFonts w:eastAsia="Times New Roman"/>
          <w:sz w:val="24"/>
          <w:szCs w:val="24"/>
        </w:rPr>
        <w:t>d</w:t>
      </w:r>
      <w:r w:rsidRPr="00C63C71">
        <w:rPr>
          <w:rFonts w:eastAsia="Times New Roman"/>
          <w:sz w:val="24"/>
          <w:szCs w:val="24"/>
        </w:rPr>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ipsa loquitur.</w:t>
      </w:r>
      <w:r w:rsidRPr="00C63C71">
        <w:rPr>
          <w:rFonts w:eastAsia="Times New Roman"/>
          <w:sz w:val="24"/>
          <w:szCs w:val="24"/>
          <w:vertAlign w:val="superscript"/>
        </w:rPr>
        <w:t xml:space="preserve"> </w:t>
      </w:r>
      <w:r w:rsidRPr="00C63C71">
        <w:rPr>
          <w:rFonts w:eastAsia="Times New Roman"/>
          <w:b/>
          <w:sz w:val="24"/>
          <w:szCs w:val="24"/>
        </w:rPr>
        <w:t>Shelton v. Penrose/St. Francis Healthcare System</w:t>
      </w:r>
      <w:r w:rsidRPr="00C63C71">
        <w:rPr>
          <w:rFonts w:eastAsia="Times New Roman"/>
          <w:sz w:val="24"/>
          <w:szCs w:val="24"/>
        </w:rPr>
        <w:t>, 984 P.2d 623 (Colo. 1999); </w:t>
      </w:r>
      <w:r w:rsidRPr="00C63C71">
        <w:rPr>
          <w:rFonts w:eastAsia="Times New Roman"/>
          <w:b/>
          <w:sz w:val="24"/>
          <w:szCs w:val="24"/>
        </w:rPr>
        <w:t>Bilawsky v. Faseehudin</w:t>
      </w:r>
      <w:r w:rsidRPr="00C63C71">
        <w:rPr>
          <w:rFonts w:eastAsia="Times New Roman"/>
          <w:sz w:val="24"/>
          <w:szCs w:val="24"/>
        </w:rPr>
        <w:t xml:space="preserve">, 916 P.2d 586 (Colo. App. 1995). </w:t>
      </w:r>
    </w:p>
    <w:p w14:paraId="664610E7"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3</w:t>
      </w:r>
      <w:r w:rsidRPr="00C63C71">
        <w:rPr>
          <w:rFonts w:eastAsia="Times New Roman"/>
          <w:sz w:val="24"/>
          <w:szCs w:val="24"/>
        </w:rPr>
        <w:t xml:space="preserve">. Section 13-20-602(1), C.R.S. requires a plaintiff to file a certificate of review within sixty days of the service of the complaint. </w:t>
      </w:r>
      <w:r w:rsidRPr="00C63C71">
        <w:rPr>
          <w:rFonts w:eastAsia="Times New Roman"/>
          <w:b/>
          <w:sz w:val="24"/>
          <w:szCs w:val="24"/>
        </w:rPr>
        <w:t>Shelton</w:t>
      </w:r>
      <w:r w:rsidRPr="00C63C71">
        <w:rPr>
          <w:rFonts w:eastAsia="Times New Roman"/>
          <w:sz w:val="24"/>
          <w:szCs w:val="24"/>
        </w:rPr>
        <w:t xml:space="preserve">, 984 P.2d at 626; </w:t>
      </w:r>
      <w:r w:rsidRPr="00C63C71">
        <w:rPr>
          <w:rFonts w:eastAsia="Times New Roman"/>
          <w:b/>
          <w:sz w:val="24"/>
          <w:szCs w:val="24"/>
        </w:rPr>
        <w:t>Yadon v. Southward</w:t>
      </w:r>
      <w:r w:rsidRPr="00C63C71">
        <w:rPr>
          <w:rFonts w:eastAsia="Times New Roman"/>
          <w:sz w:val="24"/>
          <w:szCs w:val="24"/>
        </w:rPr>
        <w:t xml:space="preserve">, 64 P.3d 909 (Colo. App. 2002) (finding that the certificate of review statute applies to pro se plaintiffs as well as plaintiffs represented by counsel). The certificate must include a declaration by the plaintiff’s attorney that he or she consulted with an appropriately licensed and qualified medical professional who, after reviewing relevant known facts, concluded that the claim “does not lack substantial justification.” § 13-20-602(3)(a)(II);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Redden</w:t>
      </w:r>
      <w:r w:rsidRPr="00C63C71">
        <w:rPr>
          <w:rFonts w:eastAsia="Times New Roman"/>
          <w:sz w:val="24"/>
          <w:szCs w:val="24"/>
        </w:rPr>
        <w:t xml:space="preserve">, 38 P.3d at 82; </w:t>
      </w:r>
      <w:r w:rsidRPr="00C63C71">
        <w:rPr>
          <w:rFonts w:eastAsia="Times New Roman"/>
          <w:b/>
          <w:sz w:val="24"/>
          <w:szCs w:val="24"/>
        </w:rPr>
        <w:t>Teiken</w:t>
      </w:r>
      <w:r w:rsidRPr="00C63C71">
        <w:rPr>
          <w:rFonts w:eastAsia="Times New Roman"/>
          <w:sz w:val="24"/>
          <w:szCs w:val="24"/>
        </w:rPr>
        <w:t xml:space="preserve">, 904 P.2d at 1388-89. When a certificate of review is required, the failure to file one in accordance with the statute requires dismissal of the complaint. § 13-20-602(4); </w:t>
      </w:r>
      <w:r w:rsidRPr="00C63C71">
        <w:rPr>
          <w:rFonts w:eastAsia="Times New Roman"/>
          <w:b/>
          <w:sz w:val="24"/>
          <w:szCs w:val="24"/>
        </w:rPr>
        <w:t>Giron v. Koktavy</w:t>
      </w:r>
      <w:r w:rsidRPr="00C63C71">
        <w:rPr>
          <w:rFonts w:eastAsia="Times New Roman"/>
          <w:sz w:val="24"/>
          <w:szCs w:val="24"/>
        </w:rPr>
        <w:t>, 124 P.3d 821 (Colo. App. 2005).</w:t>
      </w:r>
    </w:p>
    <w:p w14:paraId="29034D4E"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1</w:t>
      </w:r>
      <w:r w:rsidR="00BD0C53">
        <w:rPr>
          <w:rFonts w:eastAsia="Times New Roman"/>
          <w:sz w:val="24"/>
          <w:szCs w:val="24"/>
        </w:rPr>
        <w:t>4</w:t>
      </w:r>
      <w:r w:rsidRPr="00C63C71">
        <w:rPr>
          <w:rFonts w:eastAsia="Times New Roman"/>
          <w:sz w:val="24"/>
          <w:szCs w:val="24"/>
        </w:rPr>
        <w:t>. If a party wishes to file a </w:t>
      </w:r>
      <w:r w:rsidRPr="00C63C71">
        <w:rPr>
          <w:rFonts w:eastAsia="Times New Roman"/>
          <w:bCs/>
          <w:sz w:val="24"/>
          <w:szCs w:val="24"/>
        </w:rPr>
        <w:t>certificate</w:t>
      </w:r>
      <w:r w:rsidRPr="00C63C71">
        <w:rPr>
          <w:rFonts w:eastAsia="Times New Roman"/>
          <w:sz w:val="24"/>
          <w:szCs w:val="24"/>
        </w:rPr>
        <w:t> of </w:t>
      </w:r>
      <w:r w:rsidRPr="00C63C71">
        <w:rPr>
          <w:rFonts w:eastAsia="Times New Roman"/>
          <w:bCs/>
          <w:sz w:val="24"/>
          <w:szCs w:val="24"/>
        </w:rPr>
        <w:t>review</w:t>
      </w:r>
      <w:r w:rsidRPr="00C63C71">
        <w:rPr>
          <w:rFonts w:eastAsia="Times New Roman"/>
          <w:sz w:val="24"/>
          <w:szCs w:val="24"/>
        </w:rPr>
        <w:t> beyond the 60-day time period, good cause must be established for the late filing. § 13-20-602(1)(a).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rFonts w:eastAsia="Times New Roman"/>
          <w:sz w:val="24"/>
          <w:szCs w:val="24"/>
          <w:vertAlign w:val="superscript"/>
        </w:rPr>
        <w:t xml:space="preserve"> </w:t>
      </w:r>
      <w:r w:rsidRPr="00C63C71">
        <w:rPr>
          <w:rFonts w:eastAsia="Times New Roman"/>
          <w:b/>
          <w:sz w:val="24"/>
          <w:szCs w:val="24"/>
        </w:rPr>
        <w:t>RMB Servs., Inc. v. Truhlar</w:t>
      </w:r>
      <w:r w:rsidRPr="00C63C71">
        <w:rPr>
          <w:rFonts w:eastAsia="Times New Roman"/>
          <w:sz w:val="24"/>
          <w:szCs w:val="24"/>
        </w:rPr>
        <w:t xml:space="preserve">, 151 P.3d 673 (Colo. App. 2006); </w:t>
      </w:r>
      <w:r w:rsidRPr="00C63C71">
        <w:rPr>
          <w:rFonts w:eastAsia="Times New Roman"/>
          <w:b/>
          <w:sz w:val="24"/>
          <w:szCs w:val="24"/>
        </w:rPr>
        <w:t>Ehrlich Feedlot, Inc. v. Oldenburg</w:t>
      </w:r>
      <w:r w:rsidRPr="00C63C71">
        <w:rPr>
          <w:rFonts w:eastAsia="Times New Roman"/>
          <w:sz w:val="24"/>
          <w:szCs w:val="24"/>
        </w:rPr>
        <w:t xml:space="preserve">, 140 P.3d 265 (Colo. App. 2006); </w:t>
      </w:r>
      <w:r w:rsidRPr="00C63C71">
        <w:rPr>
          <w:rFonts w:eastAsia="Times New Roman"/>
          <w:b/>
          <w:sz w:val="24"/>
          <w:szCs w:val="24"/>
        </w:rPr>
        <w:t>Williams</w:t>
      </w:r>
      <w:r w:rsidRPr="00C63C71">
        <w:rPr>
          <w:rFonts w:eastAsia="Times New Roman"/>
          <w:sz w:val="24"/>
          <w:szCs w:val="24"/>
        </w:rPr>
        <w:t>, 72 P.3d at 396. Although a court may decline to accept a late </w:t>
      </w:r>
      <w:r w:rsidRPr="00C63C71">
        <w:rPr>
          <w:rFonts w:eastAsia="Times New Roman"/>
          <w:bCs/>
          <w:sz w:val="24"/>
          <w:szCs w:val="24"/>
        </w:rPr>
        <w:t>certificate</w:t>
      </w:r>
      <w:r w:rsidRPr="00C63C71">
        <w:rPr>
          <w:rFonts w:eastAsia="Times New Roman"/>
          <w:sz w:val="24"/>
          <w:szCs w:val="24"/>
        </w:rPr>
        <w:t xml:space="preserve"> if the plaintiff fails to satisfy any of these three criteria, the court must consider all of them because evidence relating to one factor might shed light upon another. </w:t>
      </w:r>
      <w:r w:rsidRPr="00C63C71">
        <w:rPr>
          <w:rFonts w:eastAsia="Times New Roman"/>
          <w:b/>
          <w:sz w:val="24"/>
          <w:szCs w:val="24"/>
        </w:rPr>
        <w:t>RMB Servs., Inc.</w:t>
      </w:r>
      <w:r w:rsidRPr="00C63C71">
        <w:rPr>
          <w:rFonts w:eastAsia="Times New Roman"/>
          <w:sz w:val="24"/>
          <w:szCs w:val="24"/>
        </w:rPr>
        <w:t xml:space="preserve">, 151 P.3d at 676; </w:t>
      </w:r>
      <w:r w:rsidRPr="00C63C71">
        <w:rPr>
          <w:rFonts w:eastAsia="Times New Roman"/>
          <w:b/>
          <w:sz w:val="24"/>
          <w:szCs w:val="24"/>
        </w:rPr>
        <w:t>Yadon</w:t>
      </w:r>
      <w:r w:rsidRPr="00C63C71">
        <w:rPr>
          <w:rFonts w:eastAsia="Times New Roman"/>
          <w:sz w:val="24"/>
          <w:szCs w:val="24"/>
        </w:rPr>
        <w:t xml:space="preserve">, 64 P.3d at 913. In determining whether good cause exists, the court should be guided by the general rule favoring resolution of disputes on their merits. </w:t>
      </w:r>
      <w:r w:rsidRPr="00C63C71">
        <w:rPr>
          <w:rFonts w:eastAsia="Times New Roman"/>
          <w:b/>
          <w:sz w:val="24"/>
          <w:szCs w:val="24"/>
        </w:rPr>
        <w:t>RMB Servs., Inc.</w:t>
      </w:r>
      <w:r w:rsidRPr="00C63C71">
        <w:rPr>
          <w:rFonts w:eastAsia="Times New Roman"/>
          <w:sz w:val="24"/>
          <w:szCs w:val="24"/>
        </w:rPr>
        <w:t>, 151 P.3d at 676.</w:t>
      </w:r>
    </w:p>
    <w:p w14:paraId="7EB96593"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Corporate Practice of Medicine</w:t>
      </w:r>
    </w:p>
    <w:p w14:paraId="297ABA1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5</w:t>
      </w:r>
      <w:r w:rsidRPr="00C63C71">
        <w:rPr>
          <w:rFonts w:eastAsia="Times New Roman"/>
          <w:sz w:val="24"/>
          <w:szCs w:val="24"/>
        </w:rPr>
        <w:t xml:space="preserve">. The corporate practice of medicine doctrine is a common law principle that recognizes “it is impossible for a fictional entity, a corporation, to perform medical actions or be licensed to practice medicine.” </w:t>
      </w:r>
      <w:r w:rsidRPr="00C63C71">
        <w:rPr>
          <w:rFonts w:eastAsia="Times New Roman"/>
          <w:b/>
          <w:sz w:val="24"/>
          <w:szCs w:val="24"/>
        </w:rPr>
        <w:t>Estate of Harper v. Denver Health &amp; Hosp. Auth.</w:t>
      </w:r>
      <w:r w:rsidRPr="00C63C71">
        <w:rPr>
          <w:rFonts w:eastAsia="Times New Roman"/>
          <w:sz w:val="24"/>
          <w:szCs w:val="24"/>
        </w:rPr>
        <w:t xml:space="preserve">, 140 P.3d 273, 275 (Colo. App. 2006) (quoting </w:t>
      </w:r>
      <w:r w:rsidRPr="00C63C71">
        <w:rPr>
          <w:rFonts w:eastAsia="Times New Roman"/>
          <w:b/>
          <w:sz w:val="24"/>
          <w:szCs w:val="24"/>
        </w:rPr>
        <w:t>Pediatric Neurosurgery, P.C. v. Russell</w:t>
      </w:r>
      <w:r w:rsidRPr="00C63C71">
        <w:rPr>
          <w:rFonts w:eastAsia="Times New Roman"/>
          <w:sz w:val="24"/>
          <w:szCs w:val="24"/>
        </w:rPr>
        <w:t xml:space="preserve">, 44 P.3d 1063, 1067 (Colo. 2002)). Under this doctrine, a corporation may not practice medicine or interfere with a physician’s independent medical judgment. </w:t>
      </w:r>
      <w:r w:rsidRPr="00C63C71">
        <w:rPr>
          <w:rFonts w:eastAsia="Times New Roman"/>
          <w:i/>
          <w:sz w:val="24"/>
          <w:szCs w:val="24"/>
        </w:rPr>
        <w:t>Id.</w:t>
      </w:r>
      <w:r w:rsidRPr="000C5FA4">
        <w:rPr>
          <w:rFonts w:eastAsia="Times New Roman"/>
          <w:sz w:val="24"/>
          <w:szCs w:val="24"/>
        </w:rPr>
        <w:t xml:space="preserve">; </w:t>
      </w:r>
      <w:r w:rsidRPr="00C63C71">
        <w:rPr>
          <w:rFonts w:eastAsia="Times New Roman"/>
          <w:b/>
          <w:sz w:val="24"/>
          <w:szCs w:val="24"/>
        </w:rPr>
        <w:t>Lufti v. Brighton Cmty. Hosp. Ass’n</w:t>
      </w:r>
      <w:r w:rsidRPr="000C5FA4">
        <w:rPr>
          <w:rFonts w:eastAsia="Times New Roman"/>
          <w:sz w:val="24"/>
          <w:szCs w:val="24"/>
        </w:rPr>
        <w:t>,</w:t>
      </w:r>
      <w:r w:rsidRPr="00C63C71">
        <w:rPr>
          <w:rFonts w:eastAsia="Times New Roman"/>
          <w:i/>
          <w:sz w:val="24"/>
          <w:szCs w:val="24"/>
        </w:rPr>
        <w:t xml:space="preserve"> </w:t>
      </w:r>
      <w:r w:rsidRPr="00C63C71">
        <w:rPr>
          <w:rFonts w:eastAsia="Times New Roman"/>
          <w:sz w:val="24"/>
          <w:szCs w:val="24"/>
        </w:rPr>
        <w:t xml:space="preserve">40 P.3d 51 (Colo. App. 2001); </w:t>
      </w:r>
      <w:r w:rsidRPr="00C63C71">
        <w:rPr>
          <w:rFonts w:eastAsia="Times New Roman"/>
          <w:i/>
          <w:sz w:val="24"/>
          <w:szCs w:val="24"/>
        </w:rPr>
        <w:t>see also</w:t>
      </w:r>
      <w:r w:rsidRPr="00C63C71">
        <w:rPr>
          <w:rFonts w:eastAsia="Times New Roman"/>
          <w:sz w:val="24"/>
          <w:szCs w:val="24"/>
        </w:rPr>
        <w:t xml:space="preserve"> §§ 12-36-134(7), 25-3-103.7, C.R.S.</w:t>
      </w:r>
      <w:r w:rsidRPr="00C63C71">
        <w:rPr>
          <w:rFonts w:eastAsia="Times New Roman"/>
          <w:i/>
          <w:sz w:val="24"/>
          <w:szCs w:val="24"/>
        </w:rPr>
        <w:t xml:space="preserve"> </w:t>
      </w:r>
      <w:r w:rsidRPr="00C63C71">
        <w:rPr>
          <w:rFonts w:eastAsia="Times New Roman"/>
          <w:sz w:val="24"/>
          <w:szCs w:val="24"/>
        </w:rPr>
        <w:t xml:space="preserve">Thus, entities such as hospitals or other medical facilities cannot be held liable for a doctor’s negligence based on respondeat superior. </w:t>
      </w:r>
      <w:r w:rsidRPr="00C63C71">
        <w:rPr>
          <w:rFonts w:eastAsia="Times New Roman"/>
          <w:b/>
          <w:sz w:val="24"/>
          <w:szCs w:val="24"/>
        </w:rPr>
        <w:t>Hall</w:t>
      </w:r>
      <w:r w:rsidRPr="00C63C71">
        <w:rPr>
          <w:rFonts w:eastAsia="Times New Roman"/>
          <w:sz w:val="24"/>
          <w:szCs w:val="24"/>
        </w:rPr>
        <w:t xml:space="preserve">, 190 P.3d at 861 (discussing policy considerations underlying prohibition); </w:t>
      </w:r>
      <w:r w:rsidRPr="00C63C71">
        <w:rPr>
          <w:rFonts w:eastAsia="Times New Roman"/>
          <w:b/>
          <w:sz w:val="24"/>
          <w:szCs w:val="24"/>
        </w:rPr>
        <w:t>Villalpando v. Denver Health &amp; Hosp. Auth.</w:t>
      </w:r>
      <w:r w:rsidRPr="00C63C71">
        <w:rPr>
          <w:rFonts w:eastAsia="Times New Roman"/>
          <w:sz w:val="24"/>
          <w:szCs w:val="24"/>
        </w:rPr>
        <w:t>, 181 P.3d 357 (Colo. App. 2007) (hospital);</w:t>
      </w:r>
      <w:r w:rsidRPr="00C63C71">
        <w:rPr>
          <w:rFonts w:eastAsia="Times New Roman"/>
          <w:b/>
          <w:sz w:val="24"/>
          <w:szCs w:val="24"/>
        </w:rPr>
        <w:t xml:space="preserve"> Estate of Harper</w:t>
      </w:r>
      <w:r w:rsidRPr="00C63C71">
        <w:rPr>
          <w:rFonts w:eastAsia="Times New Roman"/>
          <w:sz w:val="24"/>
          <w:szCs w:val="24"/>
        </w:rPr>
        <w:t xml:space="preserve">, 140 P.3d at 278 (hospital); </w:t>
      </w:r>
      <w:r w:rsidRPr="00C63C71">
        <w:rPr>
          <w:rFonts w:eastAsia="Times New Roman"/>
          <w:b/>
          <w:sz w:val="24"/>
          <w:szCs w:val="24"/>
        </w:rPr>
        <w:t>Daly v. Aspen Ctr. for Women’s Health, Inc.</w:t>
      </w:r>
      <w:r w:rsidRPr="00C63C71">
        <w:rPr>
          <w:rFonts w:eastAsia="Times New Roman"/>
          <w:sz w:val="24"/>
          <w:szCs w:val="24"/>
        </w:rPr>
        <w:t xml:space="preserve">, 134 P.3d 450 (Colo. App. 2005) (corporate midwife facility). However, the doctrine has not been extended to bar a hospital’s vicarious liability for the negligence of “other employees, such as nurses.” </w:t>
      </w:r>
      <w:r w:rsidRPr="00C63C71">
        <w:rPr>
          <w:rFonts w:eastAsia="Times New Roman"/>
          <w:b/>
          <w:sz w:val="24"/>
          <w:szCs w:val="24"/>
        </w:rPr>
        <w:t>Nieto v. State</w:t>
      </w:r>
      <w:r w:rsidRPr="00C63C71">
        <w:rPr>
          <w:rFonts w:eastAsia="Times New Roman"/>
          <w:sz w:val="24"/>
          <w:szCs w:val="24"/>
        </w:rPr>
        <w:t xml:space="preserve">, 952 P.2d 834, 840-41 (Colo. App. 1997) (citing </w:t>
      </w:r>
      <w:r w:rsidRPr="00C63C71">
        <w:rPr>
          <w:rFonts w:eastAsia="Times New Roman"/>
          <w:b/>
          <w:iCs/>
          <w:sz w:val="24"/>
          <w:szCs w:val="24"/>
        </w:rPr>
        <w:t>Bernardi v. Cmty. Hosp. Ass’n</w:t>
      </w:r>
      <w:r w:rsidRPr="00C63C71">
        <w:rPr>
          <w:rFonts w:eastAsia="Times New Roman"/>
          <w:iCs/>
          <w:sz w:val="24"/>
          <w:szCs w:val="24"/>
        </w:rPr>
        <w:t>,</w:t>
      </w:r>
      <w:r w:rsidRPr="00C63C71">
        <w:rPr>
          <w:rFonts w:eastAsia="Times New Roman"/>
          <w:sz w:val="24"/>
          <w:szCs w:val="24"/>
        </w:rPr>
        <w:t> 166 Colo. 280, 443 P.2d 708 (1968)), </w:t>
      </w:r>
      <w:r w:rsidRPr="00C63C71">
        <w:rPr>
          <w:rFonts w:eastAsia="Times New Roman"/>
          <w:i/>
          <w:sz w:val="24"/>
          <w:szCs w:val="24"/>
        </w:rPr>
        <w:t>aff’d in part, rev’d in part on other grounds</w:t>
      </w:r>
      <w:r w:rsidRPr="00C63C71">
        <w:rPr>
          <w:rFonts w:eastAsia="Times New Roman"/>
          <w:sz w:val="24"/>
          <w:szCs w:val="24"/>
        </w:rPr>
        <w:t>, 993 P.2d 493 (Colo. 2000).</w:t>
      </w:r>
    </w:p>
    <w:p w14:paraId="64426178"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6</w:t>
      </w:r>
      <w:r w:rsidRPr="00C63C71">
        <w:rPr>
          <w:rFonts w:eastAsia="Times New Roman"/>
          <w:sz w:val="24"/>
          <w:szCs w:val="24"/>
        </w:rPr>
        <w:t xml:space="preserve">. The supreme court interpreted section 12-36-134 to create an exception to the common-law rule by allowing doctors to form professional service corporations for the practice of medicine. </w:t>
      </w:r>
      <w:r w:rsidRPr="00C63C71">
        <w:rPr>
          <w:rFonts w:eastAsia="Times New Roman"/>
          <w:b/>
          <w:sz w:val="24"/>
          <w:szCs w:val="24"/>
        </w:rPr>
        <w:t>Russell</w:t>
      </w:r>
      <w:r w:rsidRPr="00C63C71">
        <w:rPr>
          <w:rFonts w:eastAsia="Times New Roman"/>
          <w:sz w:val="24"/>
          <w:szCs w:val="24"/>
        </w:rPr>
        <w:t xml:space="preserve">, 44 P.3d at 1067-71. However, by expressly disagreeing with that opinion and revising the statute to assure that professional service corporations “shall not practice medicine,” the legislature has decided that a physician’s employment under the statute is “not [to] be considered the corporate practice of medicine.” § 12-36-134(7), C.R.S. </w:t>
      </w:r>
      <w:r w:rsidRPr="00C63C71">
        <w:rPr>
          <w:rFonts w:eastAsia="Times New Roman"/>
          <w:i/>
          <w:sz w:val="24"/>
          <w:szCs w:val="24"/>
        </w:rPr>
        <w:t xml:space="preserve">See </w:t>
      </w:r>
      <w:r w:rsidRPr="00C63C71">
        <w:rPr>
          <w:rFonts w:eastAsia="Times New Roman"/>
          <w:b/>
          <w:sz w:val="24"/>
          <w:szCs w:val="24"/>
        </w:rPr>
        <w:t>Estate of Harper</w:t>
      </w:r>
      <w:r w:rsidRPr="00C63C71">
        <w:rPr>
          <w:rFonts w:eastAsia="Times New Roman"/>
          <w:sz w:val="24"/>
          <w:szCs w:val="24"/>
        </w:rPr>
        <w:t xml:space="preserve">, 140 P.3d </w:t>
      </w:r>
      <w:r w:rsidR="00095E77">
        <w:rPr>
          <w:rFonts w:eastAsia="Times New Roman"/>
          <w:sz w:val="24"/>
          <w:szCs w:val="24"/>
        </w:rPr>
        <w:t xml:space="preserve">at </w:t>
      </w:r>
      <w:r w:rsidRPr="00C63C71">
        <w:rPr>
          <w:rFonts w:eastAsia="Times New Roman"/>
          <w:sz w:val="24"/>
          <w:szCs w:val="24"/>
        </w:rPr>
        <w:t>27</w:t>
      </w:r>
      <w:r w:rsidR="00095E77">
        <w:rPr>
          <w:rFonts w:eastAsia="Times New Roman"/>
          <w:sz w:val="24"/>
          <w:szCs w:val="24"/>
        </w:rPr>
        <w:t>6</w:t>
      </w:r>
      <w:r w:rsidRPr="00C63C71">
        <w:rPr>
          <w:rFonts w:eastAsia="Times New Roman"/>
          <w:sz w:val="24"/>
          <w:szCs w:val="24"/>
        </w:rPr>
        <w:t xml:space="preserve"> (interpreting statute). Nor does the Governmental Immunity Act’s provision that a public entity is responsible for paying costs, judgments, and settlements of its public employees, § 24-10-110(1)(a), C.R.S., create any statutory exception to the doctrine. </w:t>
      </w:r>
      <w:r w:rsidRPr="00C63C71">
        <w:rPr>
          <w:rFonts w:eastAsia="Times New Roman"/>
          <w:b/>
          <w:sz w:val="24"/>
          <w:szCs w:val="24"/>
        </w:rPr>
        <w:t>Villalpando</w:t>
      </w:r>
      <w:r w:rsidRPr="00C63C71">
        <w:rPr>
          <w:rFonts w:eastAsia="Times New Roman"/>
          <w:sz w:val="24"/>
          <w:szCs w:val="24"/>
        </w:rPr>
        <w:t>, 181 P.3d at 3</w:t>
      </w:r>
      <w:r w:rsidR="00674309">
        <w:rPr>
          <w:rFonts w:eastAsia="Times New Roman"/>
          <w:sz w:val="24"/>
          <w:szCs w:val="24"/>
        </w:rPr>
        <w:t>64</w:t>
      </w:r>
      <w:r w:rsidRPr="00C63C71">
        <w:rPr>
          <w:rFonts w:eastAsia="Times New Roman"/>
          <w:sz w:val="24"/>
          <w:szCs w:val="24"/>
        </w:rPr>
        <w:t>.</w:t>
      </w:r>
    </w:p>
    <w:p w14:paraId="61A21341"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Captain of the Ship</w:t>
      </w:r>
    </w:p>
    <w:p w14:paraId="21C99C93" w14:textId="29CB59BA" w:rsidR="00C63C71" w:rsidRPr="00C63C71" w:rsidRDefault="00C63C71" w:rsidP="00C63C71">
      <w:pPr>
        <w:spacing w:after="240"/>
        <w:ind w:firstLine="720"/>
        <w:rPr>
          <w:rFonts w:eastAsia="Times New Roman"/>
          <w:b/>
          <w:sz w:val="24"/>
          <w:szCs w:val="24"/>
        </w:rPr>
      </w:pPr>
      <w:r w:rsidRPr="00C63C71">
        <w:rPr>
          <w:rFonts w:eastAsia="Times New Roman"/>
          <w:sz w:val="24"/>
          <w:szCs w:val="24"/>
        </w:rPr>
        <w:t>1</w:t>
      </w:r>
      <w:r w:rsidR="00BD0C53">
        <w:rPr>
          <w:rFonts w:eastAsia="Times New Roman"/>
          <w:sz w:val="24"/>
          <w:szCs w:val="24"/>
        </w:rPr>
        <w:t>7</w:t>
      </w:r>
      <w:r w:rsidRPr="00C63C71">
        <w:rPr>
          <w:rFonts w:eastAsia="Times New Roman"/>
          <w:sz w:val="24"/>
          <w:szCs w:val="24"/>
        </w:rPr>
        <w:t xml:space="preserve">. “The captain of the ship doctrine, which is grounded in respondeat superior, imposes vicarious liability on a surgeon for the negligence of hospital employees under the surgeon's control and supervision during surgery.” </w:t>
      </w:r>
      <w:r w:rsidRPr="00C63C71">
        <w:rPr>
          <w:rFonts w:eastAsia="Times New Roman"/>
          <w:b/>
          <w:sz w:val="24"/>
          <w:szCs w:val="24"/>
        </w:rPr>
        <w:t>Ochoa v. Vered</w:t>
      </w:r>
      <w:r w:rsidRPr="00C63C71">
        <w:rPr>
          <w:rFonts w:eastAsia="Times New Roman"/>
          <w:sz w:val="24"/>
          <w:szCs w:val="24"/>
        </w:rPr>
        <w:t xml:space="preserve">, 212 P.3d 963, 966 (Colo. App. 2009) </w:t>
      </w:r>
      <w:r w:rsidRPr="00C63C71">
        <w:rPr>
          <w:rFonts w:eastAsia="Times New Roman"/>
          <w:sz w:val="24"/>
          <w:szCs w:val="24"/>
        </w:rPr>
        <w:lastRenderedPageBreak/>
        <w:t xml:space="preserve">(citing </w:t>
      </w:r>
      <w:r w:rsidRPr="00C63C71">
        <w:rPr>
          <w:rFonts w:eastAsia="Times New Roman"/>
          <w:b/>
          <w:iCs/>
          <w:sz w:val="24"/>
          <w:szCs w:val="24"/>
        </w:rPr>
        <w:t>Beadles v. Metayka</w:t>
      </w:r>
      <w:r w:rsidRPr="000C5FA4">
        <w:rPr>
          <w:rFonts w:eastAsia="Times New Roman"/>
          <w:iCs/>
          <w:sz w:val="24"/>
          <w:szCs w:val="24"/>
        </w:rPr>
        <w:t xml:space="preserve">, </w:t>
      </w:r>
      <w:r w:rsidRPr="00C63C71">
        <w:rPr>
          <w:rFonts w:eastAsia="Times New Roman"/>
          <w:sz w:val="24"/>
          <w:szCs w:val="24"/>
        </w:rPr>
        <w:t xml:space="preserve">135 Colo. 366, 370-71, 311 P.2d 711, 713-14 (1957); </w:t>
      </w:r>
      <w:r w:rsidRPr="00C63C71">
        <w:rPr>
          <w:rFonts w:eastAsia="Times New Roman"/>
          <w:b/>
          <w:iCs/>
          <w:sz w:val="24"/>
          <w:szCs w:val="24"/>
        </w:rPr>
        <w:t>Young v. Carpenter</w:t>
      </w:r>
      <w:r w:rsidRPr="00C63C71">
        <w:rPr>
          <w:rFonts w:eastAsia="Times New Roman"/>
          <w:sz w:val="24"/>
          <w:szCs w:val="24"/>
        </w:rPr>
        <w:t xml:space="preserve">, 694 P.2d 861 (Colo. App. 1984)). “A licensed physician is the principal or master while performing medical services within a hospital, rather than an agent or a servant.” </w:t>
      </w:r>
      <w:r w:rsidRPr="00C63C71">
        <w:rPr>
          <w:rFonts w:eastAsia="Times New Roman"/>
          <w:b/>
          <w:sz w:val="24"/>
          <w:szCs w:val="24"/>
        </w:rPr>
        <w:t>O’Connell v. Biomet, Inc.</w:t>
      </w:r>
      <w:r w:rsidRPr="00C63C71">
        <w:rPr>
          <w:rFonts w:eastAsia="Times New Roman"/>
          <w:sz w:val="24"/>
          <w:szCs w:val="24"/>
        </w:rPr>
        <w:t xml:space="preserve">, 250 P.3d 1278, 1283 (Colo. App. 2010). Thus, hospital personnel assisting under the physician’s control and supervision “are borrowed servants, and the physician is liable for their acts of negligence.” </w:t>
      </w:r>
      <w:r w:rsidRPr="00C63C71">
        <w:rPr>
          <w:rFonts w:eastAsia="Times New Roman"/>
          <w:i/>
          <w:iCs/>
          <w:sz w:val="24"/>
          <w:szCs w:val="24"/>
        </w:rPr>
        <w:t>Id.</w:t>
      </w:r>
      <w:r w:rsidRPr="00C63C71">
        <w:rPr>
          <w:rFonts w:eastAsia="Times New Roman"/>
          <w:sz w:val="24"/>
          <w:szCs w:val="24"/>
        </w:rPr>
        <w:t xml:space="preserve"> In those cases, </w:t>
      </w:r>
      <w:r w:rsidR="00B0638C" w:rsidRPr="007F56DC">
        <w:rPr>
          <w:sz w:val="24"/>
          <w:szCs w:val="24"/>
        </w:rPr>
        <w:t>use the instructions from Chapter 8 (liability based on agency and respondeat superior) that are appropriate based on the facts</w:t>
      </w:r>
      <w:r w:rsidRPr="00C63C71">
        <w:rPr>
          <w:rFonts w:eastAsia="Times New Roman"/>
          <w:sz w:val="24"/>
          <w:szCs w:val="24"/>
        </w:rPr>
        <w:t xml:space="preserve">. </w:t>
      </w:r>
      <w:r w:rsidR="00B0638C" w:rsidRPr="003B56CB">
        <w:rPr>
          <w:i/>
          <w:sz w:val="24"/>
          <w:szCs w:val="24"/>
        </w:rPr>
        <w:t>See</w:t>
      </w:r>
      <w:r w:rsidR="00B0638C">
        <w:rPr>
          <w:sz w:val="24"/>
          <w:szCs w:val="24"/>
        </w:rPr>
        <w:t xml:space="preserve"> </w:t>
      </w:r>
      <w:r w:rsidRPr="00C63C71">
        <w:rPr>
          <w:rFonts w:eastAsia="Times New Roman"/>
          <w:b/>
          <w:sz w:val="24"/>
          <w:szCs w:val="24"/>
        </w:rPr>
        <w:t>Ochoa</w:t>
      </w:r>
      <w:r w:rsidRPr="00C63C71">
        <w:rPr>
          <w:rFonts w:eastAsia="Times New Roman"/>
          <w:sz w:val="24"/>
          <w:szCs w:val="24"/>
        </w:rPr>
        <w:t xml:space="preserve">, 212 P.3d at 967 (citing this </w:t>
      </w:r>
      <w:r w:rsidR="00B0638C">
        <w:rPr>
          <w:rFonts w:eastAsia="Times New Roman"/>
          <w:sz w:val="24"/>
          <w:szCs w:val="24"/>
        </w:rPr>
        <w:t>n</w:t>
      </w:r>
      <w:r w:rsidRPr="00C63C71">
        <w:rPr>
          <w:rFonts w:eastAsia="Times New Roman"/>
          <w:sz w:val="24"/>
          <w:szCs w:val="24"/>
        </w:rPr>
        <w:t xml:space="preserve">ote on </w:t>
      </w:r>
      <w:r w:rsidR="00B0638C">
        <w:rPr>
          <w:rFonts w:eastAsia="Times New Roman"/>
          <w:sz w:val="24"/>
          <w:szCs w:val="24"/>
        </w:rPr>
        <w:t>u</w:t>
      </w:r>
      <w:r w:rsidRPr="00C63C71">
        <w:rPr>
          <w:rFonts w:eastAsia="Times New Roman"/>
          <w:sz w:val="24"/>
          <w:szCs w:val="24"/>
        </w:rPr>
        <w:t xml:space="preserve">se and approving </w:t>
      </w:r>
      <w:r w:rsidR="00B0638C">
        <w:rPr>
          <w:rFonts w:eastAsia="Times New Roman"/>
          <w:sz w:val="24"/>
          <w:szCs w:val="24"/>
        </w:rPr>
        <w:t>prior version</w:t>
      </w:r>
      <w:r w:rsidRPr="00C63C71">
        <w:rPr>
          <w:rFonts w:eastAsia="Times New Roman"/>
          <w:sz w:val="24"/>
          <w:szCs w:val="24"/>
        </w:rPr>
        <w:t xml:space="preserve"> of Instruction 8:2</w:t>
      </w:r>
      <w:r w:rsidR="00B0638C">
        <w:rPr>
          <w:rFonts w:eastAsia="Times New Roman"/>
          <w:sz w:val="24"/>
          <w:szCs w:val="24"/>
        </w:rPr>
        <w:t xml:space="preserve">1 </w:t>
      </w:r>
      <w:r w:rsidR="00B0638C">
        <w:rPr>
          <w:sz w:val="24"/>
          <w:szCs w:val="24"/>
        </w:rPr>
        <w:t>(formerly Instruction 8:2)</w:t>
      </w:r>
      <w:r w:rsidRPr="00C63C71">
        <w:rPr>
          <w:rFonts w:eastAsia="Times New Roman"/>
          <w:sz w:val="24"/>
          <w:szCs w:val="24"/>
        </w:rPr>
        <w:t>).</w:t>
      </w:r>
      <w:r w:rsidRPr="00C63C71">
        <w:rPr>
          <w:rFonts w:eastAsia="Times New Roman"/>
          <w:b/>
          <w:sz w:val="24"/>
          <w:szCs w:val="24"/>
        </w:rPr>
        <w:t xml:space="preserve"> </w:t>
      </w:r>
    </w:p>
    <w:p w14:paraId="4E8885D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8</w:t>
      </w:r>
      <w:r w:rsidRPr="00C63C71">
        <w:rPr>
          <w:rFonts w:eastAsia="Times New Roman"/>
          <w:sz w:val="24"/>
          <w:szCs w:val="24"/>
        </w:rPr>
        <w:t xml:space="preserve">. The captain of the ship doctrine has been limited to medical care in the operating room. </w:t>
      </w:r>
      <w:r w:rsidRPr="00C63C71">
        <w:rPr>
          <w:rFonts w:eastAsia="Times New Roman"/>
          <w:i/>
          <w:sz w:val="24"/>
          <w:szCs w:val="24"/>
        </w:rPr>
        <w:t xml:space="preserve">See </w:t>
      </w:r>
      <w:r w:rsidRPr="00C63C71">
        <w:rPr>
          <w:rFonts w:eastAsia="Times New Roman"/>
          <w:b/>
          <w:bCs/>
          <w:sz w:val="24"/>
          <w:szCs w:val="24"/>
        </w:rPr>
        <w:t>Settle v. Basinger</w:t>
      </w:r>
      <w:r w:rsidRPr="00C63C71">
        <w:rPr>
          <w:rFonts w:eastAsia="Times New Roman"/>
          <w:bCs/>
          <w:sz w:val="24"/>
          <w:szCs w:val="24"/>
        </w:rPr>
        <w:t>, 2013</w:t>
      </w:r>
      <w:r w:rsidRPr="00C63C71">
        <w:rPr>
          <w:rFonts w:eastAsia="Times New Roman"/>
          <w:sz w:val="24"/>
          <w:szCs w:val="24"/>
        </w:rPr>
        <w:t xml:space="preserve"> COA 18, ¶ 44</w:t>
      </w:r>
      <w:r w:rsidR="0061116A">
        <w:rPr>
          <w:rFonts w:eastAsia="Times New Roman"/>
          <w:sz w:val="24"/>
          <w:szCs w:val="24"/>
        </w:rPr>
        <w:t>, 411 P.3d 717, 725</w:t>
      </w:r>
      <w:r w:rsidRPr="00C63C71">
        <w:rPr>
          <w:rFonts w:eastAsia="Times New Roman"/>
          <w:sz w:val="24"/>
          <w:szCs w:val="24"/>
        </w:rPr>
        <w:t xml:space="preserve"> (observing that “no Colorado appellate court has applied the captain of the ship doctrine to render a non-surgeon vicariously liable for the negligence of another providing medical care outside an operating room”); </w:t>
      </w:r>
      <w:r w:rsidRPr="00C63C71">
        <w:rPr>
          <w:rFonts w:eastAsia="Times New Roman"/>
          <w:b/>
          <w:sz w:val="24"/>
          <w:szCs w:val="24"/>
        </w:rPr>
        <w:t>Colo. Med. Soc. v. Hickenlooper</w:t>
      </w:r>
      <w:r w:rsidRPr="00C63C71">
        <w:rPr>
          <w:rFonts w:eastAsia="Times New Roman"/>
          <w:sz w:val="24"/>
          <w:szCs w:val="24"/>
        </w:rPr>
        <w:t xml:space="preserve">, 2012 COA 121, ¶ 53, 353 P.3d 396, 404 (noting that the captain of the ship doctrine “only applies when the surgeon has the right to supervise and control other personnel who are present in the operating room”), </w:t>
      </w:r>
      <w:r w:rsidRPr="00C63C71">
        <w:rPr>
          <w:rFonts w:eastAsia="Times New Roman"/>
          <w:i/>
          <w:sz w:val="24"/>
          <w:szCs w:val="24"/>
        </w:rPr>
        <w:t>aff’d on other grounds</w:t>
      </w:r>
      <w:r w:rsidRPr="00C63C71">
        <w:rPr>
          <w:rFonts w:eastAsia="Times New Roman"/>
          <w:sz w:val="24"/>
          <w:szCs w:val="24"/>
        </w:rPr>
        <w:t xml:space="preserve">, 2015 CO 41, 349 P.3d 1133; </w:t>
      </w:r>
      <w:r w:rsidRPr="00C63C71">
        <w:rPr>
          <w:rFonts w:eastAsia="Times New Roman"/>
          <w:b/>
          <w:sz w:val="24"/>
          <w:szCs w:val="24"/>
        </w:rPr>
        <w:t>O’Connell</w:t>
      </w:r>
      <w:r w:rsidRPr="00C63C71">
        <w:rPr>
          <w:rFonts w:eastAsia="Times New Roman"/>
          <w:sz w:val="24"/>
          <w:szCs w:val="24"/>
        </w:rPr>
        <w:t xml:space="preserve">, 250 P.3d at 1283 (doctrine is not limited to hospital employees and applies to nonmedical persons in operating room); </w:t>
      </w:r>
      <w:r w:rsidRPr="00C63C71">
        <w:rPr>
          <w:rFonts w:eastAsia="Times New Roman"/>
          <w:b/>
          <w:sz w:val="24"/>
          <w:szCs w:val="24"/>
        </w:rPr>
        <w:t>Nieto</w:t>
      </w:r>
      <w:r w:rsidRPr="00C63C71">
        <w:rPr>
          <w:rFonts w:eastAsia="Times New Roman"/>
          <w:sz w:val="24"/>
          <w:szCs w:val="24"/>
        </w:rPr>
        <w:t xml:space="preserve">, 952 P.2d at 840-41 (hospital liable for negligence of nurse where “captain of the ship” doctrine not applicable); </w:t>
      </w:r>
      <w:r w:rsidRPr="00C63C71">
        <w:rPr>
          <w:rFonts w:eastAsia="Times New Roman"/>
          <w:b/>
          <w:sz w:val="24"/>
          <w:szCs w:val="24"/>
        </w:rPr>
        <w:t>Spoor v. Serota</w:t>
      </w:r>
      <w:r w:rsidRPr="00C63C71">
        <w:rPr>
          <w:rFonts w:eastAsia="Times New Roman"/>
          <w:sz w:val="24"/>
          <w:szCs w:val="24"/>
        </w:rPr>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r w:rsidRPr="00C63C71">
        <w:rPr>
          <w:rFonts w:eastAsia="Times New Roman"/>
          <w:b/>
          <w:sz w:val="24"/>
          <w:szCs w:val="24"/>
        </w:rPr>
        <w:t>Krane v. Saint Anthony Hosp. Sys.</w:t>
      </w:r>
      <w:r w:rsidRPr="00C63C71">
        <w:rPr>
          <w:rFonts w:eastAsia="Times New Roman"/>
          <w:sz w:val="24"/>
          <w:szCs w:val="24"/>
        </w:rPr>
        <w:t>, 738 P.2d 75 (Colo. App. 1987) (hospital as employer not liable for negligence of nurse while nurse acting under operating surgeon’s supervision in operating room).</w:t>
      </w:r>
    </w:p>
    <w:p w14:paraId="6682C1FF"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Joint and Several Liability</w:t>
      </w:r>
    </w:p>
    <w:p w14:paraId="41594561" w14:textId="480F9C35"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9</w:t>
      </w:r>
      <w:r w:rsidRPr="00C63C71">
        <w:rPr>
          <w:rFonts w:eastAsia="Times New Roman"/>
          <w:sz w:val="24"/>
          <w:szCs w:val="24"/>
        </w:rPr>
        <w:t xml:space="preserve">. Section 13-21-111.5, which abolished the common law rule of joint and several liability,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r w:rsidRPr="00C63C71">
        <w:rPr>
          <w:rFonts w:eastAsia="Times New Roman"/>
          <w:b/>
          <w:sz w:val="24"/>
          <w:szCs w:val="24"/>
        </w:rPr>
        <w:t>Freyer v. Albin</w:t>
      </w:r>
      <w:r w:rsidRPr="00C63C71">
        <w:rPr>
          <w:rFonts w:eastAsia="Times New Roman"/>
          <w:sz w:val="24"/>
          <w:szCs w:val="24"/>
        </w:rPr>
        <w:t xml:space="preserve">, 5 P.3d 329, 331 (Colo. App. 1999). If the plaintiff is claiming that the defendant and the “actively” negligent physician had a relationship that would support vicarious liability on one of these other bases, e.g., a partnership, use the appropriate instructions from Chapters 7 or 8. </w:t>
      </w:r>
      <w:r w:rsidRPr="00C63C71">
        <w:rPr>
          <w:rFonts w:eastAsia="Times New Roman"/>
          <w:i/>
          <w:sz w:val="24"/>
          <w:szCs w:val="24"/>
        </w:rPr>
        <w:t xml:space="preserve">See </w:t>
      </w:r>
      <w:r w:rsidRPr="00C63C71">
        <w:rPr>
          <w:rFonts w:eastAsia="Times New Roman"/>
          <w:b/>
          <w:sz w:val="24"/>
          <w:szCs w:val="24"/>
        </w:rPr>
        <w:t>Hall</w:t>
      </w:r>
      <w:r w:rsidRPr="00C63C71">
        <w:rPr>
          <w:rFonts w:eastAsia="Times New Roman"/>
          <w:sz w:val="24"/>
          <w:szCs w:val="24"/>
        </w:rPr>
        <w:t>, 190 P.3d at 860 (where evidence is sufficient to establish agency relationship between surgeon or “attending physician” and his colleague, as “cover physician,” rejecting argument that former could not be vicariously liable for latter).</w:t>
      </w:r>
    </w:p>
    <w:p w14:paraId="18C769BD" w14:textId="77777777" w:rsidR="00C63C71" w:rsidRPr="00DF0B21" w:rsidRDefault="00C63C71" w:rsidP="00DF0B21">
      <w:pPr>
        <w:keepNext/>
        <w:rPr>
          <w:rFonts w:eastAsia="Times New Roman"/>
          <w:b/>
          <w:sz w:val="24"/>
          <w:szCs w:val="24"/>
          <w:u w:val="single"/>
        </w:rPr>
      </w:pPr>
      <w:r w:rsidRPr="00C63C71">
        <w:rPr>
          <w:rFonts w:eastAsia="Times New Roman"/>
          <w:b/>
          <w:sz w:val="24"/>
          <w:szCs w:val="24"/>
          <w:u w:val="single"/>
        </w:rPr>
        <w:t>Statutory Duty/Immunity</w:t>
      </w:r>
    </w:p>
    <w:p w14:paraId="353046C9" w14:textId="77777777" w:rsidR="00C63C71" w:rsidRPr="00C63C71" w:rsidRDefault="00BD0C53" w:rsidP="00C63C71">
      <w:pPr>
        <w:spacing w:after="240"/>
        <w:ind w:firstLine="720"/>
        <w:rPr>
          <w:rFonts w:eastAsia="Times New Roman"/>
          <w:sz w:val="24"/>
          <w:szCs w:val="24"/>
        </w:rPr>
      </w:pPr>
      <w:r>
        <w:rPr>
          <w:rFonts w:eastAsia="Times New Roman"/>
          <w:sz w:val="24"/>
          <w:szCs w:val="24"/>
        </w:rPr>
        <w:t>20</w:t>
      </w:r>
      <w:r w:rsidR="00C63C71" w:rsidRPr="00C63C71">
        <w:rPr>
          <w:rFonts w:eastAsia="Times New Roman"/>
          <w:sz w:val="24"/>
          <w:szCs w:val="24"/>
        </w:rPr>
        <w:t xml:space="preserve">. The Colorado Professional Review Act, §§ 12-36.5-101 to -203, C.R.S., immunizes hospitals and health care facilities that comply with the Act “from damages in any civil action brought against [them] with respect to [their] participation in a professional peer review proceeding.” </w:t>
      </w:r>
      <w:r w:rsidR="00C63C71" w:rsidRPr="00C63C71">
        <w:rPr>
          <w:rFonts w:eastAsia="Times New Roman"/>
          <w:b/>
          <w:sz w:val="24"/>
          <w:szCs w:val="24"/>
        </w:rPr>
        <w:t>Kauntz v. HCA-HealthONE</w:t>
      </w:r>
      <w:r w:rsidR="00C63C71" w:rsidRPr="00C63C71">
        <w:rPr>
          <w:rFonts w:eastAsia="Times New Roman"/>
          <w:sz w:val="24"/>
          <w:szCs w:val="24"/>
        </w:rPr>
        <w:t>,</w:t>
      </w:r>
      <w:r w:rsidR="00C63C71" w:rsidRPr="00C63C71">
        <w:rPr>
          <w:rFonts w:eastAsia="Times New Roman"/>
          <w:b/>
          <w:sz w:val="24"/>
          <w:szCs w:val="24"/>
        </w:rPr>
        <w:t xml:space="preserve"> LLC</w:t>
      </w:r>
      <w:r w:rsidR="00C63C71" w:rsidRPr="00C63C71">
        <w:rPr>
          <w:rFonts w:eastAsia="Times New Roman"/>
          <w:sz w:val="24"/>
          <w:szCs w:val="24"/>
        </w:rPr>
        <w:t xml:space="preserve">, 174 P.3d 813, 817 (Colo. App. 2007); </w:t>
      </w:r>
      <w:r w:rsidR="00C63C71" w:rsidRPr="00C63C71">
        <w:rPr>
          <w:rFonts w:eastAsia="Times New Roman"/>
          <w:i/>
          <w:sz w:val="24"/>
          <w:szCs w:val="24"/>
        </w:rPr>
        <w:t>see</w:t>
      </w:r>
      <w:r w:rsidR="00C63C71" w:rsidRPr="00C63C71">
        <w:rPr>
          <w:rFonts w:eastAsia="Times New Roman"/>
          <w:sz w:val="24"/>
          <w:szCs w:val="24"/>
        </w:rPr>
        <w:t xml:space="preserve"> § 12-36.5-203(1), C.R.S. However, the Professional Review Act no longer bars an action against hospitals and health care facilities credentialing a physician who is alleged to have been </w:t>
      </w:r>
      <w:r w:rsidR="00C63C71" w:rsidRPr="00C63C71">
        <w:rPr>
          <w:rFonts w:eastAsia="Times New Roman"/>
          <w:sz w:val="24"/>
          <w:szCs w:val="24"/>
        </w:rPr>
        <w:lastRenderedPageBreak/>
        <w:t xml:space="preserve">negligent in performing a medical procedure. </w:t>
      </w:r>
      <w:r w:rsidR="00C63C71" w:rsidRPr="00C63C71">
        <w:rPr>
          <w:rFonts w:eastAsia="Times New Roman"/>
          <w:b/>
          <w:sz w:val="24"/>
          <w:szCs w:val="24"/>
        </w:rPr>
        <w:t>Hickman v. Catholic Health Initiatives</w:t>
      </w:r>
      <w:r w:rsidR="00C63C71" w:rsidRPr="00C63C71">
        <w:rPr>
          <w:rFonts w:eastAsia="Times New Roman"/>
          <w:sz w:val="24"/>
          <w:szCs w:val="24"/>
        </w:rPr>
        <w:t>, 2013 COA 129, ¶ 1, 328 P.3d 266. Specifically, the 2012 amendment provides: “[N]othing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12-36.5-203(2)(a).</w:t>
      </w:r>
    </w:p>
    <w:p w14:paraId="18185FA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1</w:t>
      </w:r>
      <w:r w:rsidRPr="00C63C71">
        <w:rPr>
          <w:rFonts w:eastAsia="Times New Roman"/>
          <w:sz w:val="24"/>
          <w:szCs w:val="24"/>
        </w:rPr>
        <w:t>. For a discussion as to the duty of a mental health care provider to warn against violent behavior of a mental health patient, see</w:t>
      </w:r>
      <w:r w:rsidRPr="00C63C71">
        <w:rPr>
          <w:rFonts w:eastAsia="Times New Roman"/>
          <w:i/>
          <w:sz w:val="24"/>
          <w:szCs w:val="24"/>
        </w:rPr>
        <w:t xml:space="preserve"> </w:t>
      </w:r>
      <w:r w:rsidRPr="00C63C71">
        <w:rPr>
          <w:rFonts w:eastAsia="Times New Roman"/>
          <w:b/>
          <w:sz w:val="24"/>
          <w:szCs w:val="24"/>
        </w:rPr>
        <w:t>McCarty v. Kaiser-Hill Co.</w:t>
      </w:r>
      <w:r w:rsidRPr="00C63C71">
        <w:rPr>
          <w:rFonts w:eastAsia="Times New Roman"/>
          <w:sz w:val="24"/>
          <w:szCs w:val="24"/>
        </w:rPr>
        <w:t xml:space="preserve">, 15 P.3d 1122 (Colo. App. 2000); </w:t>
      </w:r>
      <w:r w:rsidRPr="00C63C71">
        <w:rPr>
          <w:rFonts w:eastAsia="Times New Roman"/>
          <w:b/>
          <w:sz w:val="24"/>
          <w:szCs w:val="24"/>
        </w:rPr>
        <w:t>Sheron v. Lutheran Medical Center</w:t>
      </w:r>
      <w:r w:rsidRPr="00C63C71">
        <w:rPr>
          <w:rFonts w:eastAsia="Times New Roman"/>
          <w:sz w:val="24"/>
          <w:szCs w:val="24"/>
        </w:rPr>
        <w:t xml:space="preserve">, 18 P.3d 796 (Colo. App. 2000); and </w:t>
      </w:r>
      <w:r w:rsidRPr="00C63C71">
        <w:rPr>
          <w:rFonts w:eastAsia="Times New Roman"/>
          <w:b/>
          <w:sz w:val="24"/>
          <w:szCs w:val="24"/>
        </w:rPr>
        <w:t>Halverson v. Pikes Peak Family Counseling &amp; Mental Health Center, Inc.</w:t>
      </w:r>
      <w:r w:rsidRPr="00C63C71">
        <w:rPr>
          <w:rFonts w:eastAsia="Times New Roman"/>
          <w:sz w:val="24"/>
          <w:szCs w:val="24"/>
        </w:rPr>
        <w:t xml:space="preserve">, 795 P.2d 1352 (Colo. App. 1990). </w:t>
      </w:r>
      <w:r w:rsidRPr="00C63C71">
        <w:rPr>
          <w:rFonts w:eastAsia="Times New Roman"/>
          <w:i/>
          <w:sz w:val="24"/>
          <w:szCs w:val="24"/>
        </w:rPr>
        <w:t>See also</w:t>
      </w:r>
      <w:r w:rsidRPr="00C63C71">
        <w:rPr>
          <w:rFonts w:eastAsia="Times New Roman"/>
          <w:sz w:val="24"/>
          <w:szCs w:val="24"/>
        </w:rPr>
        <w:t xml:space="preserve"> </w:t>
      </w:r>
      <w:r w:rsidRPr="00C63C71">
        <w:rPr>
          <w:rFonts w:eastAsia="Times New Roman"/>
          <w:b/>
          <w:sz w:val="24"/>
          <w:szCs w:val="24"/>
        </w:rPr>
        <w:t>Halverson v. Pikes Peak Family Counseling &amp; Mental Health Ctr., Inc.</w:t>
      </w:r>
      <w:r w:rsidRPr="00C63C71">
        <w:rPr>
          <w:rFonts w:eastAsia="Times New Roman"/>
          <w:sz w:val="24"/>
          <w:szCs w:val="24"/>
        </w:rPr>
        <w:t>, 851 P.2d 233 (Colo. App. 1992) (construing section 13-21-117, C.R.S.).</w:t>
      </w:r>
    </w:p>
    <w:p w14:paraId="7A1AE401"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2</w:t>
      </w:r>
      <w:r w:rsidRPr="00C63C71">
        <w:rPr>
          <w:rFonts w:eastAsia="Times New Roman"/>
          <w:sz w:val="24"/>
          <w:szCs w:val="24"/>
        </w:rPr>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rFonts w:eastAsia="Times New Roman"/>
          <w:b/>
          <w:sz w:val="24"/>
          <w:szCs w:val="24"/>
        </w:rPr>
        <w:t>Credit Serv. Co. v. Dauwe</w:t>
      </w:r>
      <w:r w:rsidRPr="00C63C71">
        <w:rPr>
          <w:rFonts w:eastAsia="Times New Roman"/>
          <w:sz w:val="24"/>
          <w:szCs w:val="24"/>
        </w:rPr>
        <w:t xml:space="preserve">, 134 P.3d 444 (Colo. App. 2005); </w:t>
      </w:r>
      <w:r w:rsidRPr="00C63C71">
        <w:rPr>
          <w:rFonts w:eastAsia="Times New Roman"/>
          <w:b/>
          <w:sz w:val="24"/>
          <w:szCs w:val="24"/>
        </w:rPr>
        <w:t>Montoya v. Bebensee</w:t>
      </w:r>
      <w:r w:rsidRPr="00C63C71">
        <w:rPr>
          <w:rFonts w:eastAsia="Times New Roman"/>
          <w:sz w:val="24"/>
          <w:szCs w:val="24"/>
        </w:rPr>
        <w:t xml:space="preserve">, 761 P.2d 285 (Colo. App. 1988), unless the plaintiff presents evidence that would show that the defendant’s conduct was “willful, wanton, and malicious.” § 19-3-309; </w:t>
      </w:r>
      <w:r w:rsidRPr="00C63C71">
        <w:rPr>
          <w:rFonts w:eastAsia="Times New Roman"/>
          <w:b/>
          <w:sz w:val="24"/>
          <w:szCs w:val="24"/>
        </w:rPr>
        <w:t>Dauwe</w:t>
      </w:r>
      <w:r w:rsidRPr="00C63C71">
        <w:rPr>
          <w:rFonts w:eastAsia="Times New Roman"/>
          <w:sz w:val="24"/>
          <w:szCs w:val="24"/>
        </w:rPr>
        <w:t xml:space="preserve">, 134 P.3d at 447;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Montoya</w:t>
      </w:r>
      <w:r w:rsidRPr="00C63C71">
        <w:rPr>
          <w:rFonts w:eastAsia="Times New Roman"/>
          <w:sz w:val="24"/>
          <w:szCs w:val="24"/>
        </w:rPr>
        <w:t xml:space="preserve">, 761 P.2d at 289 (decided under prior statute); </w:t>
      </w:r>
      <w:r w:rsidRPr="00C63C71">
        <w:rPr>
          <w:rFonts w:eastAsia="Times New Roman"/>
          <w:b/>
          <w:sz w:val="24"/>
          <w:szCs w:val="24"/>
        </w:rPr>
        <w:t>Martin v. Weld County</w:t>
      </w:r>
      <w:r w:rsidRPr="00C63C71">
        <w:rPr>
          <w:rFonts w:eastAsia="Times New Roman"/>
          <w:sz w:val="24"/>
          <w:szCs w:val="24"/>
        </w:rPr>
        <w:t>, 43 Colo. App. 49, 598 P.2d 532 (1979).</w:t>
      </w:r>
    </w:p>
    <w:p w14:paraId="74AA061A"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3</w:t>
      </w:r>
      <w:r w:rsidRPr="00C63C71">
        <w:rPr>
          <w:rFonts w:eastAsia="Times New Roman"/>
          <w:sz w:val="24"/>
          <w:szCs w:val="24"/>
        </w:rPr>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rFonts w:eastAsia="Times New Roman"/>
          <w:i/>
          <w:sz w:val="24"/>
          <w:szCs w:val="24"/>
        </w:rPr>
        <w:t>Id.</w:t>
      </w:r>
      <w:r w:rsidRPr="00C63C71">
        <w:rPr>
          <w:rFonts w:eastAsia="Times New Roman"/>
          <w:sz w:val="24"/>
          <w:szCs w:val="24"/>
        </w:rPr>
        <w:t xml:space="preserve"> This immunity extends to employers of such “Good Samaritans,” as long as the care in question was provided during the course of the employee’s employment and the employee was personally exempt under the statute.</w:t>
      </w:r>
      <w:r w:rsidRPr="00C63C71">
        <w:rPr>
          <w:rFonts w:eastAsia="Times New Roman"/>
          <w:sz w:val="24"/>
          <w:szCs w:val="24"/>
          <w:vertAlign w:val="superscript"/>
        </w:rPr>
        <w:t xml:space="preserve"> </w:t>
      </w:r>
      <w:r w:rsidRPr="00C63C71">
        <w:rPr>
          <w:rFonts w:eastAsia="Times New Roman"/>
          <w:sz w:val="24"/>
          <w:szCs w:val="24"/>
        </w:rPr>
        <w:t>§ 13-21-108(5). Similarly, those health-care providers who provide emergency care or emergency assistance to individuals who need it and who are engaged in a competitive sport have the same type of immunity.</w:t>
      </w:r>
      <w:r w:rsidRPr="00C63C71">
        <w:rPr>
          <w:rFonts w:eastAsia="Times New Roman"/>
          <w:sz w:val="24"/>
          <w:szCs w:val="24"/>
          <w:vertAlign w:val="superscript"/>
        </w:rPr>
        <w:t xml:space="preserve"> </w:t>
      </w:r>
      <w:r w:rsidRPr="00C63C71">
        <w:rPr>
          <w:rFonts w:eastAsia="Times New Roman"/>
          <w:sz w:val="24"/>
          <w:szCs w:val="24"/>
        </w:rPr>
        <w:t>§ 13-21-108.2, C.R.S.</w:t>
      </w:r>
    </w:p>
    <w:p w14:paraId="39B90A82" w14:textId="49BB6738"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4</w:t>
      </w:r>
      <w:r w:rsidRPr="00C63C71">
        <w:rPr>
          <w:rFonts w:eastAsia="Times New Roman"/>
          <w:sz w:val="24"/>
          <w:szCs w:val="24"/>
        </w:rPr>
        <w:t>.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corporation, a governmental entity, or a hospital has immunity from civil liability if: (I) the volunteer is immune from liability for the act or omission under the federal “Volunteer Protection Act of 1997”, as from time to time may be amended, codified at 42 U.S.C. § 14501 to -505</w:t>
      </w:r>
      <w:r w:rsidR="00EA4092">
        <w:rPr>
          <w:rFonts w:eastAsia="Times New Roman"/>
          <w:sz w:val="24"/>
          <w:szCs w:val="24"/>
        </w:rPr>
        <w:t xml:space="preserve"> (2018)</w:t>
      </w:r>
      <w:r w:rsidRPr="00C63C71">
        <w:rPr>
          <w:rFonts w:eastAsia="Times New Roman"/>
          <w:sz w:val="24"/>
          <w:szCs w:val="24"/>
        </w:rPr>
        <w:t>;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rFonts w:eastAsia="Times New Roman"/>
          <w:bCs/>
          <w:sz w:val="24"/>
          <w:szCs w:val="24"/>
        </w:rPr>
        <w:t>volunteer</w:t>
      </w:r>
      <w:r w:rsidRPr="00C63C71">
        <w:rPr>
          <w:rFonts w:eastAsia="Times New Roman"/>
          <w:sz w:val="24"/>
          <w:szCs w:val="24"/>
        </w:rPr>
        <w:t> provision of health care is immune from liability arising out of an </w:t>
      </w:r>
      <w:r w:rsidRPr="00C63C71">
        <w:rPr>
          <w:rFonts w:eastAsia="Times New Roman"/>
          <w:bCs/>
          <w:sz w:val="24"/>
          <w:szCs w:val="24"/>
        </w:rPr>
        <w:t>act</w:t>
      </w:r>
      <w:r w:rsidRPr="00C63C71">
        <w:rPr>
          <w:rFonts w:eastAsia="Times New Roman"/>
          <w:sz w:val="24"/>
          <w:szCs w:val="24"/>
        </w:rPr>
        <w:t> or omission of a </w:t>
      </w:r>
      <w:r w:rsidRPr="00C63C71">
        <w:rPr>
          <w:rFonts w:eastAsia="Times New Roman"/>
          <w:bCs/>
          <w:sz w:val="24"/>
          <w:szCs w:val="24"/>
        </w:rPr>
        <w:t>volunteer</w:t>
      </w:r>
      <w:r w:rsidRPr="00C63C71">
        <w:rPr>
          <w:rFonts w:eastAsia="Times New Roman"/>
          <w:b/>
          <w:bCs/>
          <w:sz w:val="24"/>
          <w:szCs w:val="24"/>
        </w:rPr>
        <w:t xml:space="preserve"> </w:t>
      </w:r>
      <w:r w:rsidRPr="00C63C71">
        <w:rPr>
          <w:rFonts w:eastAsia="Times New Roman"/>
          <w:sz w:val="24"/>
          <w:szCs w:val="24"/>
        </w:rPr>
        <w:t>who is immune from liability. § 13-21-115.5(4)(b)(II).</w:t>
      </w:r>
    </w:p>
    <w:p w14:paraId="0AD4E8D5"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2</w:t>
      </w:r>
      <w:r w:rsidR="00BD0C53">
        <w:rPr>
          <w:rFonts w:eastAsia="Times New Roman"/>
          <w:sz w:val="24"/>
          <w:szCs w:val="24"/>
        </w:rPr>
        <w:t>5</w:t>
      </w:r>
      <w:r w:rsidRPr="00C63C71">
        <w:rPr>
          <w:rFonts w:eastAsia="Times New Roman"/>
          <w:sz w:val="24"/>
          <w:szCs w:val="24"/>
        </w:rPr>
        <w:t>. Health-care professionals and institutions cannot be liable for birth-related injuries or injuries resulting from genetic disease or disorder, or other natural causes, that could not have been prevented or avoided by the exercise of ordinary care. § 13-64-502(1), C.R.S.</w:t>
      </w:r>
    </w:p>
    <w:p w14:paraId="24F4F16C" w14:textId="77777777" w:rsidR="00FB5784" w:rsidRDefault="00FB5784">
      <w:pPr>
        <w:rPr>
          <w:rFonts w:eastAsia="Times New Roman"/>
          <w:sz w:val="24"/>
          <w:szCs w:val="24"/>
        </w:rPr>
      </w:pPr>
      <w:r>
        <w:rPr>
          <w:rFonts w:eastAsia="Times New Roman"/>
          <w:sz w:val="24"/>
          <w:szCs w:val="24"/>
        </w:rPr>
        <w:br w:type="page"/>
      </w:r>
    </w:p>
    <w:p w14:paraId="63DE7EFE" w14:textId="77777777" w:rsidR="00FB5784" w:rsidRPr="009E3DA4" w:rsidRDefault="00FB5784" w:rsidP="00FB5784">
      <w:pPr>
        <w:spacing w:after="240"/>
        <w:ind w:left="720" w:hanging="720"/>
        <w:rPr>
          <w:rFonts w:eastAsia="Times New Roman"/>
          <w:b/>
          <w:sz w:val="24"/>
          <w:szCs w:val="24"/>
        </w:rPr>
      </w:pPr>
      <w:bookmarkStart w:id="2" w:name="a15_02"/>
      <w:bookmarkEnd w:id="2"/>
      <w:r w:rsidRPr="00FB5784">
        <w:rPr>
          <w:rFonts w:eastAsia="Times New Roman"/>
          <w:b/>
          <w:sz w:val="24"/>
          <w:szCs w:val="24"/>
        </w:rPr>
        <w:lastRenderedPageBreak/>
        <w:t xml:space="preserve">15:2 </w:t>
      </w:r>
      <w:r w:rsidRPr="00FB5784">
        <w:rPr>
          <w:rFonts w:eastAsia="Times New Roman"/>
          <w:b/>
          <w:sz w:val="24"/>
          <w:szCs w:val="24"/>
        </w:rPr>
        <w:tab/>
        <w:t>NEGLIGENCE ― NONSPECIALIST</w:t>
      </w:r>
      <w:r w:rsidR="007A6C75">
        <w:rPr>
          <w:rFonts w:eastAsia="Times New Roman"/>
          <w:b/>
          <w:sz w:val="24"/>
          <w:szCs w:val="24"/>
        </w:rPr>
        <w:t xml:space="preserve"> </w:t>
      </w:r>
      <w:r w:rsidRPr="00FB5784">
        <w:rPr>
          <w:rFonts w:eastAsia="Times New Roman"/>
          <w:b/>
          <w:sz w:val="24"/>
          <w:szCs w:val="24"/>
        </w:rPr>
        <w:t>― DEFINED</w:t>
      </w:r>
    </w:p>
    <w:p w14:paraId="69BAD068" w14:textId="77777777" w:rsidR="00FB5784" w:rsidRPr="00FB5784" w:rsidRDefault="00FB5784" w:rsidP="00FB5784">
      <w:pPr>
        <w:spacing w:after="240"/>
        <w:ind w:firstLine="720"/>
        <w:rPr>
          <w:rFonts w:eastAsia="Times New Roman"/>
          <w:b/>
          <w:sz w:val="24"/>
          <w:szCs w:val="24"/>
        </w:rPr>
      </w:pPr>
      <w:r w:rsidRPr="00FB5784">
        <w:rPr>
          <w:rFonts w:eastAsia="Times New Roman"/>
          <w:b/>
          <w:sz w:val="24"/>
          <w:szCs w:val="24"/>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rFonts w:eastAsia="Times New Roman"/>
          <w:b/>
          <w:sz w:val="24"/>
          <w:szCs w:val="24"/>
        </w:rPr>
      </w:pPr>
      <w:r w:rsidRPr="00FB5784">
        <w:rPr>
          <w:rFonts w:eastAsia="Times New Roman"/>
          <w:b/>
          <w:sz w:val="24"/>
          <w:szCs w:val="24"/>
        </w:rPr>
        <w:t>To determine whether a physician’s conduct was negligent, you must compare that conduct with what a physician having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rPr>
          <w:rFonts w:eastAsia="Times New Roman"/>
          <w:sz w:val="24"/>
          <w:szCs w:val="24"/>
        </w:rPr>
      </w:pPr>
    </w:p>
    <w:p w14:paraId="51CB5B8F" w14:textId="77777777" w:rsidR="00FB5784" w:rsidRPr="0054263B" w:rsidRDefault="00FB5784" w:rsidP="00FB5784">
      <w:pPr>
        <w:keepNext/>
        <w:spacing w:after="240"/>
        <w:jc w:val="center"/>
        <w:rPr>
          <w:rFonts w:eastAsia="Times New Roman"/>
          <w:b/>
          <w:sz w:val="24"/>
          <w:szCs w:val="24"/>
        </w:rPr>
      </w:pPr>
      <w:r w:rsidRPr="0054263B">
        <w:rPr>
          <w:rFonts w:eastAsia="Times New Roman"/>
          <w:b/>
          <w:sz w:val="24"/>
          <w:szCs w:val="24"/>
        </w:rPr>
        <w:t>Notes on Use</w:t>
      </w:r>
    </w:p>
    <w:p w14:paraId="0184596A"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1. See Notes on Use to Instruction 15:1. Use whichever parenthesized words are appropriate.</w:t>
      </w:r>
    </w:p>
    <w:p w14:paraId="4D66F087"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2. This instruction is generally applicable to members of other healing arts. In such cases, a more appropriate word describing the defendant’s profession, e.g., “surgeon,” “dentist,” “chiropractor,” should be substituted for the word “physician.” For the standard of care required of practitioners of professions other than the healing arts, see Instructions 15:18 and </w:t>
      </w:r>
      <w:smartTag w:uri="urn:schemas-microsoft-com:office:smarttags" w:element="time">
        <w:smartTagPr>
          <w:attr w:name="Minute" w:val="25"/>
          <w:attr w:name="Hour" w:val="15"/>
        </w:smartTagPr>
        <w:r w:rsidRPr="00FB5784">
          <w:rPr>
            <w:rFonts w:eastAsia="Times New Roman"/>
            <w:sz w:val="24"/>
            <w:szCs w:val="24"/>
          </w:rPr>
          <w:t>15:25</w:t>
        </w:r>
      </w:smartTag>
      <w:r w:rsidRPr="00FB5784">
        <w:rPr>
          <w:rFonts w:eastAsia="Times New Roman"/>
          <w:sz w:val="24"/>
          <w:szCs w:val="24"/>
        </w:rPr>
        <w:t>.</w:t>
      </w:r>
    </w:p>
    <w:p w14:paraId="01264DA7" w14:textId="54B23CE6"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rFonts w:eastAsia="Times New Roman"/>
          <w:b/>
          <w:sz w:val="24"/>
          <w:szCs w:val="24"/>
        </w:rPr>
        <w:t>Short v. Kinkade</w:t>
      </w:r>
      <w:r w:rsidRPr="00FB5784">
        <w:rPr>
          <w:rFonts w:eastAsia="Times New Roman"/>
          <w:sz w:val="24"/>
          <w:szCs w:val="24"/>
        </w:rPr>
        <w:t>, 685 P.2d 210 (</w:t>
      </w:r>
      <w:r w:rsidR="00735ECD">
        <w:rPr>
          <w:rFonts w:eastAsia="Times New Roman"/>
          <w:sz w:val="24"/>
          <w:szCs w:val="24"/>
        </w:rPr>
        <w:t>Colo. App.</w:t>
      </w:r>
      <w:r w:rsidR="00372ECB">
        <w:rPr>
          <w:rFonts w:eastAsia="Times New Roman"/>
          <w:sz w:val="24"/>
          <w:szCs w:val="24"/>
        </w:rPr>
        <w:t xml:space="preserve"> </w:t>
      </w:r>
      <w:r w:rsidRPr="00FB5784">
        <w:rPr>
          <w:rFonts w:eastAsia="Times New Roman"/>
          <w:sz w:val="24"/>
          <w:szCs w:val="24"/>
        </w:rPr>
        <w:t>198</w:t>
      </w:r>
      <w:r w:rsidR="00372ECB">
        <w:rPr>
          <w:rFonts w:eastAsia="Times New Roman"/>
          <w:sz w:val="24"/>
          <w:szCs w:val="24"/>
        </w:rPr>
        <w:t>3</w:t>
      </w:r>
      <w:r w:rsidRPr="00FB5784">
        <w:rPr>
          <w:rFonts w:eastAsia="Times New Roman"/>
          <w:sz w:val="24"/>
          <w:szCs w:val="24"/>
        </w:rPr>
        <w:t>)</w:t>
      </w:r>
      <w:r w:rsidR="00372ECB">
        <w:rPr>
          <w:rFonts w:eastAsia="Times New Roman"/>
          <w:sz w:val="24"/>
          <w:szCs w:val="24"/>
        </w:rPr>
        <w:t>;</w:t>
      </w:r>
      <w:r w:rsidRPr="00FB5784">
        <w:rPr>
          <w:rFonts w:eastAsia="Times New Roman"/>
          <w:sz w:val="24"/>
          <w:szCs w:val="24"/>
        </w:rPr>
        <w:t xml:space="preserve"> </w:t>
      </w:r>
      <w:r w:rsidR="00372ECB">
        <w:rPr>
          <w:rFonts w:eastAsia="Times New Roman"/>
          <w:i/>
          <w:sz w:val="24"/>
          <w:szCs w:val="24"/>
        </w:rPr>
        <w:t>s</w:t>
      </w:r>
      <w:r w:rsidRPr="00FB5784">
        <w:rPr>
          <w:rFonts w:eastAsia="Times New Roman"/>
          <w:i/>
          <w:sz w:val="24"/>
          <w:szCs w:val="24"/>
        </w:rPr>
        <w:t xml:space="preserve">ee </w:t>
      </w:r>
      <w:r w:rsidRPr="00FB5784">
        <w:rPr>
          <w:rFonts w:eastAsia="Times New Roman"/>
          <w:b/>
          <w:sz w:val="24"/>
          <w:szCs w:val="24"/>
        </w:rPr>
        <w:t>Hall v. Frankel</w:t>
      </w:r>
      <w:r w:rsidRPr="00FB5784">
        <w:rPr>
          <w:rFonts w:eastAsia="Times New Roman"/>
          <w:sz w:val="24"/>
          <w:szCs w:val="24"/>
        </w:rPr>
        <w:t>, 190 P.3d 852 (</w:t>
      </w:r>
      <w:r w:rsidR="00735ECD">
        <w:rPr>
          <w:rFonts w:eastAsia="Times New Roman"/>
          <w:sz w:val="24"/>
          <w:szCs w:val="24"/>
        </w:rPr>
        <w:t>Colo. App.</w:t>
      </w:r>
      <w:r w:rsidRPr="00FB5784">
        <w:rPr>
          <w:rFonts w:eastAsia="Times New Roman"/>
          <w:sz w:val="24"/>
          <w:szCs w:val="24"/>
        </w:rPr>
        <w:t xml:space="preserve"> 2008). </w:t>
      </w:r>
      <w:r w:rsidRPr="00FB5784">
        <w:rPr>
          <w:rFonts w:eastAsia="Times New Roman"/>
          <w:i/>
          <w:sz w:val="24"/>
          <w:szCs w:val="24"/>
        </w:rPr>
        <w:t>But</w:t>
      </w:r>
      <w:r w:rsidRPr="00FB5784">
        <w:rPr>
          <w:rFonts w:eastAsia="Times New Roman"/>
          <w:sz w:val="24"/>
          <w:szCs w:val="24"/>
        </w:rPr>
        <w:t xml:space="preserve"> </w:t>
      </w:r>
      <w:r w:rsidRPr="00FB5784">
        <w:rPr>
          <w:rFonts w:eastAsia="Times New Roman"/>
          <w:i/>
          <w:sz w:val="24"/>
          <w:szCs w:val="24"/>
        </w:rPr>
        <w:t>see</w:t>
      </w:r>
      <w:r w:rsidRPr="00FB5784">
        <w:rPr>
          <w:rFonts w:eastAsia="Times New Roman"/>
          <w:sz w:val="24"/>
          <w:szCs w:val="24"/>
        </w:rPr>
        <w:t xml:space="preserve"> </w:t>
      </w:r>
      <w:r w:rsidRPr="00FB5784">
        <w:rPr>
          <w:rFonts w:eastAsia="Times New Roman"/>
          <w:b/>
          <w:sz w:val="24"/>
          <w:szCs w:val="24"/>
        </w:rPr>
        <w:t>Jordan v. Bogner</w:t>
      </w:r>
      <w:r w:rsidRPr="00FB5784">
        <w:rPr>
          <w:rFonts w:eastAsia="Times New Roman"/>
          <w:sz w:val="24"/>
          <w:szCs w:val="24"/>
        </w:rPr>
        <w:t>, 844 P.2d 664 (</w:t>
      </w:r>
      <w:smartTag w:uri="urn:schemas-microsoft-com:office:smarttags" w:element="place">
        <w:smartTag w:uri="urn:schemas-microsoft-com:office:smarttags" w:element="State">
          <w:r w:rsidRPr="00FB5784">
            <w:rPr>
              <w:rFonts w:eastAsia="Times New Roman"/>
              <w:sz w:val="24"/>
              <w:szCs w:val="24"/>
            </w:rPr>
            <w:t>Colo.</w:t>
          </w:r>
        </w:smartTag>
      </w:smartTag>
      <w:r w:rsidRPr="00FB5784">
        <w:rPr>
          <w:rFonts w:eastAsia="Times New Roman"/>
          <w:sz w:val="24"/>
          <w:szCs w:val="24"/>
        </w:rPr>
        <w:t xml:space="preserve">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4. This instruction applies only if the standard of care applicable to the allegedly negligent act is a professional one. </w:t>
      </w:r>
      <w:r w:rsidRPr="00FB5784">
        <w:rPr>
          <w:rFonts w:eastAsia="Times New Roman"/>
          <w:i/>
          <w:sz w:val="24"/>
          <w:szCs w:val="24"/>
        </w:rPr>
        <w:t>See</w:t>
      </w:r>
      <w:r w:rsidRPr="00A81FD7">
        <w:rPr>
          <w:rFonts w:eastAsia="Times New Roman"/>
          <w:i/>
          <w:sz w:val="24"/>
          <w:szCs w:val="24"/>
        </w:rPr>
        <w:t xml:space="preserve">, </w:t>
      </w:r>
      <w:r w:rsidRPr="00FB5784">
        <w:rPr>
          <w:rFonts w:eastAsia="Times New Roman"/>
          <w:i/>
          <w:sz w:val="24"/>
          <w:szCs w:val="24"/>
        </w:rPr>
        <w:t>e.g.</w:t>
      </w:r>
      <w:r w:rsidRPr="001C560F">
        <w:rPr>
          <w:rFonts w:eastAsia="Times New Roman"/>
          <w:sz w:val="24"/>
          <w:szCs w:val="24"/>
        </w:rPr>
        <w:t>,</w:t>
      </w:r>
      <w:r w:rsidRPr="00FB5784">
        <w:rPr>
          <w:rFonts w:eastAsia="Times New Roman"/>
          <w:sz w:val="24"/>
          <w:szCs w:val="24"/>
        </w:rPr>
        <w:t xml:space="preserve"> </w:t>
      </w:r>
      <w:r w:rsidRPr="00FB5784">
        <w:rPr>
          <w:rFonts w:eastAsia="Times New Roman"/>
          <w:b/>
          <w:sz w:val="24"/>
          <w:szCs w:val="24"/>
        </w:rPr>
        <w:t>Myers v. Woodall</w:t>
      </w:r>
      <w:r w:rsidRPr="00FB5784">
        <w:rPr>
          <w:rFonts w:eastAsia="Times New Roman"/>
          <w:sz w:val="24"/>
          <w:szCs w:val="24"/>
        </w:rPr>
        <w:t xml:space="preserve">, 42 </w:t>
      </w:r>
      <w:r w:rsidR="00735ECD">
        <w:rPr>
          <w:rFonts w:eastAsia="Times New Roman"/>
          <w:sz w:val="24"/>
          <w:szCs w:val="24"/>
        </w:rPr>
        <w:t>Colo. App.</w:t>
      </w:r>
      <w:r w:rsidRPr="00FB5784">
        <w:rPr>
          <w:rFonts w:eastAsia="Times New Roman"/>
          <w:sz w:val="24"/>
          <w:szCs w:val="24"/>
        </w:rPr>
        <w:t xml:space="preserve"> 44, 592 P.2d 1343 (1978)</w:t>
      </w:r>
      <w:r w:rsidR="00706177">
        <w:rPr>
          <w:rFonts w:eastAsia="Times New Roman"/>
          <w:sz w:val="24"/>
          <w:szCs w:val="24"/>
        </w:rPr>
        <w:t>;</w:t>
      </w:r>
      <w:r w:rsidRPr="00FB5784">
        <w:rPr>
          <w:rFonts w:eastAsia="Times New Roman"/>
          <w:sz w:val="24"/>
          <w:szCs w:val="24"/>
        </w:rPr>
        <w:t xml:space="preserve"> </w:t>
      </w:r>
      <w:r w:rsidR="00706177">
        <w:rPr>
          <w:rFonts w:eastAsia="Times New Roman"/>
          <w:i/>
          <w:sz w:val="24"/>
          <w:szCs w:val="24"/>
        </w:rPr>
        <w:t>s</w:t>
      </w:r>
      <w:r w:rsidRPr="00FB5784">
        <w:rPr>
          <w:rFonts w:eastAsia="Times New Roman"/>
          <w:i/>
          <w:sz w:val="24"/>
          <w:szCs w:val="24"/>
        </w:rPr>
        <w:t>ee also</w:t>
      </w:r>
      <w:r w:rsidRPr="00FB5784">
        <w:rPr>
          <w:rFonts w:eastAsia="Times New Roman"/>
          <w:sz w:val="24"/>
          <w:szCs w:val="24"/>
        </w:rPr>
        <w:t xml:space="preserve"> </w:t>
      </w:r>
      <w:r w:rsidRPr="00FB5784">
        <w:rPr>
          <w:rFonts w:eastAsia="Times New Roman"/>
          <w:b/>
          <w:sz w:val="24"/>
          <w:szCs w:val="24"/>
        </w:rPr>
        <w:t>Redden v. SCI Colo. Funeral Servs., Inc.</w:t>
      </w:r>
      <w:r w:rsidRPr="00FB5784">
        <w:rPr>
          <w:rFonts w:eastAsia="Times New Roman"/>
          <w:sz w:val="24"/>
          <w:szCs w:val="24"/>
        </w:rPr>
        <w:t>,</w:t>
      </w:r>
      <w:r w:rsidRPr="00FB5784">
        <w:rPr>
          <w:rFonts w:eastAsia="Times New Roman"/>
          <w:b/>
          <w:sz w:val="24"/>
          <w:szCs w:val="24"/>
        </w:rPr>
        <w:t xml:space="preserve"> </w:t>
      </w:r>
      <w:r w:rsidRPr="00FB5784">
        <w:rPr>
          <w:rFonts w:eastAsia="Times New Roman"/>
          <w:sz w:val="24"/>
          <w:szCs w:val="24"/>
        </w:rPr>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rFonts w:eastAsia="Times New Roman"/>
          <w:b/>
          <w:sz w:val="24"/>
          <w:szCs w:val="24"/>
        </w:rPr>
        <w:t>United Blood Servs., Inc. v. Quintana</w:t>
      </w:r>
      <w:r w:rsidRPr="00FB5784">
        <w:rPr>
          <w:rFonts w:eastAsia="Times New Roman"/>
          <w:sz w:val="24"/>
          <w:szCs w:val="24"/>
        </w:rPr>
        <w:t>,</w:t>
      </w:r>
      <w:r w:rsidRPr="00FB5784">
        <w:rPr>
          <w:rFonts w:eastAsia="Times New Roman"/>
          <w:b/>
          <w:sz w:val="24"/>
          <w:szCs w:val="24"/>
        </w:rPr>
        <w:t xml:space="preserve"> </w:t>
      </w:r>
      <w:r w:rsidRPr="00FB5784">
        <w:rPr>
          <w:rFonts w:eastAsia="Times New Roman"/>
          <w:sz w:val="24"/>
          <w:szCs w:val="24"/>
        </w:rPr>
        <w:t>827 P.2d 509 (</w:t>
      </w:r>
      <w:smartTag w:uri="urn:schemas-microsoft-com:office:smarttags" w:element="place">
        <w:smartTag w:uri="urn:schemas-microsoft-com:office:smarttags" w:element="State">
          <w:r w:rsidRPr="00FB5784">
            <w:rPr>
              <w:rFonts w:eastAsia="Times New Roman"/>
              <w:sz w:val="24"/>
              <w:szCs w:val="24"/>
            </w:rPr>
            <w:t>Colo.</w:t>
          </w:r>
        </w:smartTag>
      </w:smartTag>
      <w:r w:rsidRPr="00FB5784">
        <w:rPr>
          <w:rFonts w:eastAsia="Times New Roman"/>
          <w:sz w:val="24"/>
          <w:szCs w:val="24"/>
        </w:rPr>
        <w:t xml:space="preserve"> 1992).</w:t>
      </w:r>
    </w:p>
    <w:p w14:paraId="09F9207A" w14:textId="2B8336F3"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6. As to the personal or vicarious liability of a “licensed physician, nurse, prehospital emergency medical personnel, or health care institution . . . for any act or omission resulting from the administration of services by a [direct-entry midwifery] registrant,” see </w:t>
      </w:r>
      <w:r w:rsidR="00706177">
        <w:rPr>
          <w:rFonts w:eastAsia="Times New Roman"/>
          <w:sz w:val="24"/>
          <w:szCs w:val="24"/>
        </w:rPr>
        <w:t>section</w:t>
      </w:r>
      <w:r w:rsidRPr="00FB5784">
        <w:rPr>
          <w:rFonts w:eastAsia="Times New Roman"/>
          <w:sz w:val="24"/>
          <w:szCs w:val="24"/>
        </w:rPr>
        <w:t xml:space="preserve"> 12-37-109(1)(a), C.R.S. When, in light of the evidence in the case, provisions of this section might be </w:t>
      </w:r>
      <w:r w:rsidRPr="00FB5784">
        <w:rPr>
          <w:rFonts w:eastAsia="Times New Roman"/>
          <w:sz w:val="24"/>
          <w:szCs w:val="24"/>
        </w:rPr>
        <w:lastRenderedPageBreak/>
        <w:t xml:space="preserve">applicable, this instruction must be appropriately modified, or one or more instructions based on </w:t>
      </w:r>
      <w:r w:rsidR="008D08D1">
        <w:rPr>
          <w:rFonts w:eastAsia="Times New Roman"/>
          <w:sz w:val="24"/>
          <w:szCs w:val="24"/>
        </w:rPr>
        <w:t>section</w:t>
      </w:r>
      <w:r w:rsidRPr="00FB5784">
        <w:rPr>
          <w:rFonts w:eastAsia="Times New Roman"/>
          <w:sz w:val="24"/>
          <w:szCs w:val="24"/>
        </w:rPr>
        <w:t xml:space="preserve"> 12-37-109(1)(a) should be given.</w:t>
      </w:r>
    </w:p>
    <w:p w14:paraId="355FA29E" w14:textId="77777777" w:rsidR="00FB5784" w:rsidRPr="0054263B" w:rsidRDefault="00FB5784" w:rsidP="00FB5784">
      <w:pPr>
        <w:keepNext/>
        <w:spacing w:after="240"/>
        <w:jc w:val="center"/>
        <w:rPr>
          <w:rFonts w:eastAsia="Times New Roman"/>
          <w:b/>
          <w:sz w:val="24"/>
          <w:szCs w:val="24"/>
        </w:rPr>
      </w:pPr>
      <w:r>
        <w:rPr>
          <w:rFonts w:eastAsia="Times New Roman"/>
          <w:b/>
          <w:sz w:val="24"/>
          <w:szCs w:val="24"/>
        </w:rPr>
        <w:t>Source and Authority</w:t>
      </w:r>
    </w:p>
    <w:p w14:paraId="30EE4704" w14:textId="403C470F" w:rsidR="00D11F9E" w:rsidRPr="00D11F9E" w:rsidRDefault="00D11F9E" w:rsidP="00D11F9E">
      <w:pPr>
        <w:spacing w:after="240"/>
        <w:ind w:firstLine="720"/>
        <w:rPr>
          <w:rFonts w:eastAsia="Times New Roman"/>
          <w:sz w:val="24"/>
          <w:szCs w:val="24"/>
        </w:rPr>
      </w:pPr>
      <w:r w:rsidRPr="00D11F9E">
        <w:rPr>
          <w:rFonts w:eastAsia="Times New Roman"/>
          <w:sz w:val="24"/>
          <w:szCs w:val="24"/>
        </w:rPr>
        <w:t xml:space="preserve">1. This instruction is supported by </w:t>
      </w:r>
      <w:r w:rsidRPr="00D11F9E">
        <w:rPr>
          <w:rFonts w:eastAsia="Times New Roman"/>
          <w:b/>
          <w:sz w:val="24"/>
          <w:szCs w:val="24"/>
        </w:rPr>
        <w:t>Larson v. Lindahl</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167 Colo. 409, 450 P.2d 77 (1968) (physician properly found negligent on basis of “community” standard); </w:t>
      </w:r>
      <w:r w:rsidRPr="00D11F9E">
        <w:rPr>
          <w:rFonts w:eastAsia="Times New Roman"/>
          <w:b/>
          <w:sz w:val="24"/>
          <w:szCs w:val="24"/>
        </w:rPr>
        <w:t>Klimkiewicz v. Karnick</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150 Colo. 267, 372 P.2d 736 (1962) (chiropractor); </w:t>
      </w:r>
      <w:r w:rsidRPr="00D11F9E">
        <w:rPr>
          <w:rFonts w:eastAsia="Times New Roman"/>
          <w:b/>
          <w:sz w:val="24"/>
          <w:szCs w:val="24"/>
        </w:rPr>
        <w:t>Foose v. Haymond</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135 Colo. 275, 310 P.2d 722 (1957) (physician); </w:t>
      </w:r>
      <w:r w:rsidRPr="00D11F9E">
        <w:rPr>
          <w:rFonts w:eastAsia="Times New Roman"/>
          <w:b/>
          <w:sz w:val="24"/>
          <w:szCs w:val="24"/>
        </w:rPr>
        <w:t>Brown v. Hughes</w:t>
      </w:r>
      <w:r w:rsidRPr="00D11F9E">
        <w:rPr>
          <w:rFonts w:eastAsia="Times New Roman"/>
          <w:sz w:val="24"/>
          <w:szCs w:val="24"/>
        </w:rPr>
        <w:t xml:space="preserve">, 94 Colo. 295, 30 P.2d 259 (1934) (dentist); </w:t>
      </w:r>
      <w:r w:rsidR="008D08D1">
        <w:rPr>
          <w:rFonts w:eastAsia="Times New Roman"/>
          <w:sz w:val="24"/>
          <w:szCs w:val="24"/>
        </w:rPr>
        <w:t xml:space="preserve">and </w:t>
      </w:r>
      <w:r w:rsidRPr="00D11F9E">
        <w:rPr>
          <w:rFonts w:eastAsia="Times New Roman"/>
          <w:b/>
          <w:sz w:val="24"/>
          <w:szCs w:val="24"/>
        </w:rPr>
        <w:t>Caro v. Bumpus</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30 </w:t>
      </w:r>
      <w:r w:rsidR="00735ECD">
        <w:rPr>
          <w:rFonts w:eastAsia="Times New Roman"/>
          <w:sz w:val="24"/>
          <w:szCs w:val="24"/>
        </w:rPr>
        <w:t>Colo. App.</w:t>
      </w:r>
      <w:r w:rsidRPr="00D11F9E">
        <w:rPr>
          <w:rFonts w:eastAsia="Times New Roman"/>
          <w:sz w:val="24"/>
          <w:szCs w:val="24"/>
        </w:rPr>
        <w:t xml:space="preserve"> 144, 491 P.2d 606 (1971) (“same field of practice” rule applied). </w:t>
      </w:r>
      <w:r w:rsidRPr="00D11F9E">
        <w:rPr>
          <w:rFonts w:eastAsia="Times New Roman"/>
          <w:i/>
          <w:sz w:val="24"/>
          <w:szCs w:val="24"/>
        </w:rPr>
        <w:t>See also</w:t>
      </w:r>
      <w:r w:rsidRPr="00D11F9E">
        <w:rPr>
          <w:rFonts w:eastAsia="Times New Roman"/>
          <w:sz w:val="24"/>
          <w:szCs w:val="24"/>
        </w:rPr>
        <w:t xml:space="preserve"> </w:t>
      </w:r>
      <w:r w:rsidRPr="00D11F9E">
        <w:rPr>
          <w:rFonts w:eastAsia="Times New Roman"/>
          <w:b/>
          <w:sz w:val="24"/>
          <w:szCs w:val="24"/>
        </w:rPr>
        <w:t>Gorab v. Zook</w:t>
      </w:r>
      <w:r w:rsidRPr="00D11F9E">
        <w:rPr>
          <w:rFonts w:eastAsia="Times New Roman"/>
          <w:sz w:val="24"/>
          <w:szCs w:val="24"/>
        </w:rPr>
        <w:t xml:space="preserve">, 943 P.2d 423 (Colo. 1997) (discussing negligence of physician); </w:t>
      </w:r>
      <w:r w:rsidRPr="00D11F9E">
        <w:rPr>
          <w:rFonts w:eastAsia="Times New Roman"/>
          <w:b/>
          <w:sz w:val="24"/>
          <w:szCs w:val="24"/>
        </w:rPr>
        <w:t>Melville v. Southward</w:t>
      </w:r>
      <w:r w:rsidRPr="00D11F9E">
        <w:rPr>
          <w:rFonts w:eastAsia="Times New Roman"/>
          <w:sz w:val="24"/>
          <w:szCs w:val="24"/>
        </w:rPr>
        <w:t xml:space="preserve">, 791 P.2d 383 (Colo. 1990) (podiatrist; qualifications of an expert witness trained in one “school” or field of practice to testify as to the standards of another); </w:t>
      </w:r>
      <w:r w:rsidRPr="00D11F9E">
        <w:rPr>
          <w:rFonts w:eastAsia="Times New Roman"/>
          <w:b/>
          <w:sz w:val="24"/>
          <w:szCs w:val="24"/>
        </w:rPr>
        <w:t>Hall</w:t>
      </w:r>
      <w:r w:rsidRPr="00D11F9E">
        <w:rPr>
          <w:rFonts w:eastAsia="Times New Roman"/>
          <w:sz w:val="24"/>
          <w:szCs w:val="24"/>
        </w:rPr>
        <w:t xml:space="preserve">, 190 P.3d </w:t>
      </w:r>
      <w:r w:rsidR="00372ECB">
        <w:rPr>
          <w:rFonts w:eastAsia="Times New Roman"/>
          <w:sz w:val="24"/>
          <w:szCs w:val="24"/>
        </w:rPr>
        <w:t xml:space="preserve">at </w:t>
      </w:r>
      <w:r w:rsidRPr="00D11F9E">
        <w:rPr>
          <w:rFonts w:eastAsia="Times New Roman"/>
          <w:sz w:val="24"/>
          <w:szCs w:val="24"/>
        </w:rPr>
        <w:t>85</w:t>
      </w:r>
      <w:r w:rsidR="00372ECB">
        <w:rPr>
          <w:rFonts w:eastAsia="Times New Roman"/>
          <w:sz w:val="24"/>
          <w:szCs w:val="24"/>
        </w:rPr>
        <w:t>8-59</w:t>
      </w:r>
      <w:r w:rsidRPr="00D11F9E">
        <w:rPr>
          <w:rFonts w:eastAsia="Times New Roman"/>
          <w:sz w:val="24"/>
          <w:szCs w:val="24"/>
        </w:rPr>
        <w:t xml:space="preserve"> (discussing appropriateness of allowing expert physicians in various specialties to testify as to general standard of care common to medical profession and applicable to any physician or fourth-year medical student); </w:t>
      </w:r>
      <w:r w:rsidRPr="00D11F9E">
        <w:rPr>
          <w:rFonts w:eastAsia="Times New Roman"/>
          <w:b/>
          <w:sz w:val="24"/>
          <w:szCs w:val="24"/>
        </w:rPr>
        <w:t>Tracz v. Charter Centennial Peaks Behavioral Health Sys., Inc.</w:t>
      </w:r>
      <w:r w:rsidRPr="00D11F9E">
        <w:rPr>
          <w:rFonts w:eastAsia="Times New Roman"/>
          <w:sz w:val="24"/>
          <w:szCs w:val="24"/>
        </w:rPr>
        <w:t>, 9 P.3d 1168 (</w:t>
      </w:r>
      <w:r w:rsidR="00735ECD">
        <w:rPr>
          <w:rFonts w:eastAsia="Times New Roman"/>
          <w:sz w:val="24"/>
          <w:szCs w:val="24"/>
        </w:rPr>
        <w:t>Colo. App.</w:t>
      </w:r>
      <w:r w:rsidR="00FF0B20">
        <w:rPr>
          <w:rFonts w:eastAsia="Times New Roman"/>
          <w:sz w:val="24"/>
          <w:szCs w:val="24"/>
        </w:rPr>
        <w:t xml:space="preserve"> </w:t>
      </w:r>
      <w:r w:rsidRPr="00D11F9E">
        <w:rPr>
          <w:rFonts w:eastAsia="Times New Roman"/>
          <w:sz w:val="24"/>
          <w:szCs w:val="24"/>
        </w:rPr>
        <w:t xml:space="preserve">2000) (psychiatrist); </w:t>
      </w:r>
      <w:r w:rsidRPr="00D11F9E">
        <w:rPr>
          <w:rFonts w:eastAsia="Times New Roman"/>
          <w:b/>
          <w:sz w:val="24"/>
          <w:szCs w:val="24"/>
        </w:rPr>
        <w:t>DeCordova v. State</w:t>
      </w:r>
      <w:r w:rsidRPr="00D11F9E">
        <w:rPr>
          <w:rFonts w:eastAsia="Times New Roman"/>
          <w:sz w:val="24"/>
          <w:szCs w:val="24"/>
        </w:rPr>
        <w:t>, 878 P.2d 73 (</w:t>
      </w:r>
      <w:r w:rsidR="00735ECD">
        <w:rPr>
          <w:rFonts w:eastAsia="Times New Roman"/>
          <w:sz w:val="24"/>
          <w:szCs w:val="24"/>
        </w:rPr>
        <w:t>Colo. App.</w:t>
      </w:r>
      <w:r w:rsidRPr="00D11F9E">
        <w:rPr>
          <w:rFonts w:eastAsia="Times New Roman"/>
          <w:sz w:val="24"/>
          <w:szCs w:val="24"/>
        </w:rPr>
        <w:t xml:space="preserve"> 1994) (discussing the “reasonably careful pharmacist” standard); </w:t>
      </w:r>
      <w:r w:rsidRPr="00D11F9E">
        <w:rPr>
          <w:rFonts w:eastAsia="Times New Roman"/>
          <w:b/>
          <w:sz w:val="24"/>
          <w:szCs w:val="24"/>
        </w:rPr>
        <w:t>Spoor v. Serota</w:t>
      </w:r>
      <w:r w:rsidRPr="00D11F9E">
        <w:rPr>
          <w:rFonts w:eastAsia="Times New Roman"/>
          <w:sz w:val="24"/>
          <w:szCs w:val="24"/>
        </w:rPr>
        <w:t>, 852 P.2d 1292 (</w:t>
      </w:r>
      <w:r w:rsidR="00735ECD">
        <w:rPr>
          <w:rFonts w:eastAsia="Times New Roman"/>
          <w:sz w:val="24"/>
          <w:szCs w:val="24"/>
        </w:rPr>
        <w:t>Colo. App.</w:t>
      </w:r>
      <w:r w:rsidRPr="00D11F9E">
        <w:rPr>
          <w:rFonts w:eastAsia="Times New Roman"/>
          <w:sz w:val="24"/>
          <w:szCs w:val="24"/>
        </w:rPr>
        <w:t xml:space="preserve"> 1992); </w:t>
      </w:r>
      <w:r w:rsidRPr="00D11F9E">
        <w:rPr>
          <w:rFonts w:eastAsia="Times New Roman"/>
          <w:b/>
          <w:sz w:val="24"/>
          <w:szCs w:val="24"/>
        </w:rPr>
        <w:t xml:space="preserve">Short v. </w:t>
      </w:r>
      <w:smartTag w:uri="urn:schemas-microsoft-com:office:smarttags" w:element="place">
        <w:r w:rsidRPr="00D11F9E">
          <w:rPr>
            <w:rFonts w:eastAsia="Times New Roman"/>
            <w:b/>
            <w:sz w:val="24"/>
            <w:szCs w:val="24"/>
          </w:rPr>
          <w:t>Downs</w:t>
        </w:r>
      </w:smartTag>
      <w:r w:rsidRPr="00D11F9E">
        <w:rPr>
          <w:rFonts w:eastAsia="Times New Roman"/>
          <w:sz w:val="24"/>
          <w:szCs w:val="24"/>
        </w:rPr>
        <w:t xml:space="preserve">, 36 </w:t>
      </w:r>
      <w:r w:rsidR="00735ECD">
        <w:rPr>
          <w:rFonts w:eastAsia="Times New Roman"/>
          <w:sz w:val="24"/>
          <w:szCs w:val="24"/>
        </w:rPr>
        <w:t>Colo. App.</w:t>
      </w:r>
      <w:r w:rsidRPr="00D11F9E">
        <w:rPr>
          <w:rFonts w:eastAsia="Times New Roman"/>
          <w:sz w:val="24"/>
          <w:szCs w:val="24"/>
        </w:rPr>
        <w:t xml:space="preserve"> 109, 537 P.2d 754 (1975).</w:t>
      </w:r>
    </w:p>
    <w:p w14:paraId="40272019" w14:textId="6071D686" w:rsidR="00D11F9E" w:rsidRPr="00D11F9E" w:rsidRDefault="00D11F9E" w:rsidP="00D11F9E">
      <w:pPr>
        <w:spacing w:after="240"/>
        <w:ind w:firstLine="720"/>
        <w:rPr>
          <w:rFonts w:eastAsia="Times New Roman"/>
          <w:sz w:val="24"/>
          <w:szCs w:val="24"/>
        </w:rPr>
      </w:pPr>
      <w:r w:rsidRPr="00D11F9E">
        <w:rPr>
          <w:rFonts w:eastAsia="Times New Roman"/>
          <w:sz w:val="24"/>
          <w:szCs w:val="24"/>
        </w:rPr>
        <w:t xml:space="preserve">2. For a discussion as to the duty of a physician retained by the defendant in a personal injury action to use due care in subjecting the plaintiff to medical tests, see </w:t>
      </w:r>
      <w:r w:rsidRPr="00D11F9E">
        <w:rPr>
          <w:rFonts w:eastAsia="Times New Roman"/>
          <w:b/>
          <w:sz w:val="24"/>
          <w:szCs w:val="24"/>
        </w:rPr>
        <w:t>Greenberg v. Perkins</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845 P.2d 530 (Colo. 1993). </w:t>
      </w:r>
      <w:r w:rsidR="00FF0B20" w:rsidRPr="00FF0B20">
        <w:rPr>
          <w:rFonts w:eastAsia="Times New Roman"/>
          <w:i/>
          <w:sz w:val="24"/>
          <w:szCs w:val="24"/>
        </w:rPr>
        <w:t>See also</w:t>
      </w:r>
      <w:r w:rsidRPr="00D11F9E">
        <w:rPr>
          <w:rFonts w:eastAsia="Times New Roman"/>
          <w:sz w:val="24"/>
          <w:szCs w:val="24"/>
        </w:rPr>
        <w:t xml:space="preserve"> </w:t>
      </w:r>
      <w:r w:rsidRPr="00D11F9E">
        <w:rPr>
          <w:rFonts w:eastAsia="Times New Roman"/>
          <w:b/>
          <w:sz w:val="24"/>
          <w:szCs w:val="24"/>
        </w:rPr>
        <w:t>Slack v. Farmers Ins. Exch.</w:t>
      </w:r>
      <w:r w:rsidRPr="00D11F9E">
        <w:rPr>
          <w:rFonts w:eastAsia="Times New Roman"/>
          <w:sz w:val="24"/>
          <w:szCs w:val="24"/>
        </w:rPr>
        <w:t xml:space="preserve">, 5 P.3d 280 (Colo. 2000); </w:t>
      </w:r>
      <w:r w:rsidR="00FF0B20" w:rsidRPr="00D11F9E">
        <w:rPr>
          <w:rFonts w:eastAsia="Times New Roman"/>
          <w:b/>
          <w:sz w:val="24"/>
          <w:szCs w:val="24"/>
        </w:rPr>
        <w:t>Martinez v. Lewis</w:t>
      </w:r>
      <w:r w:rsidR="00FF0B20" w:rsidRPr="00D11F9E">
        <w:rPr>
          <w:rFonts w:eastAsia="Times New Roman"/>
          <w:sz w:val="24"/>
          <w:szCs w:val="24"/>
        </w:rPr>
        <w:t>, 969 P.2d 213 (Colo. 1998) (physician retained by insurer to conduct medical examination of insured owed no duty of care to insured to use reasonable care in preparing and making report to insurer regarding insured’s medical condition)</w:t>
      </w:r>
      <w:r w:rsidR="00FF0B20">
        <w:rPr>
          <w:rFonts w:eastAsia="Times New Roman"/>
          <w:sz w:val="24"/>
          <w:szCs w:val="24"/>
        </w:rPr>
        <w:t xml:space="preserve">; </w:t>
      </w:r>
      <w:r w:rsidRPr="00D11F9E">
        <w:rPr>
          <w:rFonts w:eastAsia="Times New Roman"/>
          <w:b/>
          <w:sz w:val="24"/>
          <w:szCs w:val="24"/>
        </w:rPr>
        <w:t>Dalton v. Miller</w:t>
      </w:r>
      <w:r w:rsidRPr="00D11F9E">
        <w:rPr>
          <w:rFonts w:eastAsia="Times New Roman"/>
          <w:sz w:val="24"/>
          <w:szCs w:val="24"/>
        </w:rPr>
        <w:t>, 984 P.2d 666 (</w:t>
      </w:r>
      <w:r w:rsidR="00735ECD">
        <w:rPr>
          <w:rFonts w:eastAsia="Times New Roman"/>
          <w:sz w:val="24"/>
          <w:szCs w:val="24"/>
        </w:rPr>
        <w:t>Colo. App.</w:t>
      </w:r>
      <w:r w:rsidRPr="00D11F9E">
        <w:rPr>
          <w:rFonts w:eastAsia="Times New Roman"/>
          <w:sz w:val="24"/>
          <w:szCs w:val="24"/>
        </w:rPr>
        <w:t xml:space="preserve"> 1999).</w:t>
      </w:r>
    </w:p>
    <w:p w14:paraId="38072909" w14:textId="77777777" w:rsidR="00D11F9E" w:rsidRDefault="00D11F9E">
      <w:pPr>
        <w:rPr>
          <w:rFonts w:eastAsia="Times New Roman"/>
          <w:sz w:val="24"/>
          <w:szCs w:val="24"/>
        </w:rPr>
      </w:pPr>
      <w:r>
        <w:rPr>
          <w:rFonts w:eastAsia="Times New Roman"/>
          <w:sz w:val="24"/>
          <w:szCs w:val="24"/>
        </w:rPr>
        <w:br w:type="page"/>
      </w:r>
    </w:p>
    <w:p w14:paraId="05BE22D4" w14:textId="77777777" w:rsidR="00D11F9E" w:rsidRPr="009E3DA4" w:rsidRDefault="002F17D2" w:rsidP="00D11F9E">
      <w:pPr>
        <w:spacing w:after="240"/>
        <w:ind w:left="720" w:hanging="720"/>
        <w:rPr>
          <w:rFonts w:eastAsia="Times New Roman"/>
          <w:b/>
          <w:sz w:val="24"/>
          <w:szCs w:val="24"/>
        </w:rPr>
      </w:pPr>
      <w:bookmarkStart w:id="3" w:name="a15_03"/>
      <w:bookmarkEnd w:id="3"/>
      <w:r w:rsidRPr="002F17D2">
        <w:rPr>
          <w:rFonts w:eastAsia="Times New Roman"/>
          <w:b/>
          <w:sz w:val="24"/>
          <w:szCs w:val="24"/>
        </w:rPr>
        <w:lastRenderedPageBreak/>
        <w:t xml:space="preserve">15:3 </w:t>
      </w:r>
      <w:r w:rsidRPr="002F17D2">
        <w:rPr>
          <w:rFonts w:eastAsia="Times New Roman"/>
          <w:b/>
          <w:sz w:val="24"/>
          <w:szCs w:val="24"/>
        </w:rPr>
        <w:tab/>
        <w:t>NEGLIGENCE ― SPECIALIST OR ONE WHO HAS OR CLAIMS TO HAVE SPECIAL SKILL ― DEFINED</w:t>
      </w:r>
    </w:p>
    <w:p w14:paraId="6A4AC959"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rPr>
          <w:rFonts w:eastAsia="Times New Roman"/>
          <w:sz w:val="24"/>
          <w:szCs w:val="24"/>
        </w:rPr>
      </w:pPr>
    </w:p>
    <w:p w14:paraId="31918F53" w14:textId="77777777" w:rsidR="00D11F9E" w:rsidRPr="0054263B" w:rsidRDefault="00D11F9E" w:rsidP="00D11F9E">
      <w:pPr>
        <w:keepNext/>
        <w:spacing w:after="240"/>
        <w:jc w:val="center"/>
        <w:rPr>
          <w:rFonts w:eastAsia="Times New Roman"/>
          <w:b/>
          <w:sz w:val="24"/>
          <w:szCs w:val="24"/>
        </w:rPr>
      </w:pPr>
      <w:r w:rsidRPr="0054263B">
        <w:rPr>
          <w:rFonts w:eastAsia="Times New Roman"/>
          <w:b/>
          <w:sz w:val="24"/>
          <w:szCs w:val="24"/>
        </w:rPr>
        <w:t>Notes on Use</w:t>
      </w:r>
    </w:p>
    <w:p w14:paraId="383436B3" w14:textId="3DACC227" w:rsidR="002F17D2" w:rsidRPr="002F17D2" w:rsidRDefault="002F17D2" w:rsidP="002F17D2">
      <w:pPr>
        <w:spacing w:after="240"/>
        <w:ind w:firstLine="720"/>
        <w:rPr>
          <w:rFonts w:eastAsia="Times New Roman"/>
          <w:sz w:val="24"/>
          <w:szCs w:val="24"/>
        </w:rPr>
      </w:pPr>
      <w:r w:rsidRPr="002F17D2">
        <w:rPr>
          <w:rFonts w:eastAsia="Times New Roman"/>
          <w:sz w:val="24"/>
          <w:szCs w:val="24"/>
        </w:rPr>
        <w:t>1. Use whichever parenthesized and bracketed words and phrases are appropriate, and substitute other words, e.g., “dentist” for “physician” and “field of dentistry” for “field of medicine,” if appropriate.</w:t>
      </w:r>
    </w:p>
    <w:p w14:paraId="462338CF" w14:textId="7CCF5A45"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rFonts w:eastAsia="Times New Roman"/>
          <w:b/>
          <w:sz w:val="24"/>
          <w:szCs w:val="24"/>
        </w:rPr>
        <w:t>Hall v. Frankel</w:t>
      </w:r>
      <w:r w:rsidRPr="002F17D2">
        <w:rPr>
          <w:rFonts w:eastAsia="Times New Roman"/>
          <w:sz w:val="24"/>
          <w:szCs w:val="24"/>
        </w:rPr>
        <w:t>, 190 P.3d 852 (</w:t>
      </w:r>
      <w:r w:rsidR="00735ECD">
        <w:rPr>
          <w:rFonts w:eastAsia="Times New Roman"/>
          <w:sz w:val="24"/>
          <w:szCs w:val="24"/>
        </w:rPr>
        <w:t>Colo. App.</w:t>
      </w:r>
      <w:r w:rsidRPr="002F17D2">
        <w:rPr>
          <w:rFonts w:eastAsia="Times New Roman"/>
          <w:sz w:val="24"/>
          <w:szCs w:val="24"/>
        </w:rPr>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r w:rsidRPr="002F17D2">
        <w:rPr>
          <w:rFonts w:eastAsia="Times New Roman"/>
          <w:b/>
          <w:sz w:val="24"/>
          <w:szCs w:val="24"/>
        </w:rPr>
        <w:t>Gambrell v. Ravin</w:t>
      </w:r>
      <w:r w:rsidRPr="002F17D2">
        <w:rPr>
          <w:rFonts w:eastAsia="Times New Roman"/>
          <w:sz w:val="24"/>
          <w:szCs w:val="24"/>
        </w:rPr>
        <w:t>, 764 P.2d 362 (</w:t>
      </w:r>
      <w:r w:rsidR="00735ECD">
        <w:rPr>
          <w:rFonts w:eastAsia="Times New Roman"/>
          <w:sz w:val="24"/>
          <w:szCs w:val="24"/>
        </w:rPr>
        <w:t>Colo. App.</w:t>
      </w:r>
      <w:r w:rsidRPr="002F17D2">
        <w:rPr>
          <w:rFonts w:eastAsia="Times New Roman"/>
          <w:sz w:val="24"/>
          <w:szCs w:val="24"/>
        </w:rPr>
        <w:t xml:space="preserve"> 1988), </w:t>
      </w:r>
      <w:r w:rsidRPr="002F17D2">
        <w:rPr>
          <w:rFonts w:eastAsia="Times New Roman"/>
          <w:i/>
          <w:sz w:val="24"/>
          <w:szCs w:val="24"/>
        </w:rPr>
        <w:t>aff’d on other grounds</w:t>
      </w:r>
      <w:r w:rsidRPr="002F17D2">
        <w:rPr>
          <w:rFonts w:eastAsia="Times New Roman"/>
          <w:sz w:val="24"/>
          <w:szCs w:val="24"/>
        </w:rPr>
        <w:t>, 788 P.2d 817 (</w:t>
      </w:r>
      <w:smartTag w:uri="urn:schemas-microsoft-com:office:smarttags" w:element="State">
        <w:smartTag w:uri="urn:schemas-microsoft-com:office:smarttags" w:element="place">
          <w:r w:rsidRPr="002F17D2">
            <w:rPr>
              <w:rFonts w:eastAsia="Times New Roman"/>
              <w:sz w:val="24"/>
              <w:szCs w:val="24"/>
            </w:rPr>
            <w:t>Colo.</w:t>
          </w:r>
        </w:smartTag>
      </w:smartTag>
      <w:r w:rsidRPr="002F17D2">
        <w:rPr>
          <w:rFonts w:eastAsia="Times New Roman"/>
          <w:sz w:val="24"/>
          <w:szCs w:val="24"/>
        </w:rPr>
        <w:t xml:space="preserve"> 1990); </w:t>
      </w:r>
      <w:r w:rsidRPr="002F17D2">
        <w:rPr>
          <w:rFonts w:eastAsia="Times New Roman"/>
          <w:b/>
          <w:sz w:val="24"/>
          <w:szCs w:val="24"/>
        </w:rPr>
        <w:t>Short v. Kinkade</w:t>
      </w:r>
      <w:r w:rsidRPr="002F17D2">
        <w:rPr>
          <w:rFonts w:eastAsia="Times New Roman"/>
          <w:sz w:val="24"/>
          <w:szCs w:val="24"/>
        </w:rPr>
        <w:t>,</w:t>
      </w:r>
      <w:r w:rsidRPr="002F17D2">
        <w:rPr>
          <w:rFonts w:eastAsia="Times New Roman"/>
          <w:b/>
          <w:sz w:val="24"/>
          <w:szCs w:val="24"/>
        </w:rPr>
        <w:t xml:space="preserve"> </w:t>
      </w:r>
      <w:r w:rsidRPr="002F17D2">
        <w:rPr>
          <w:rFonts w:eastAsia="Times New Roman"/>
          <w:sz w:val="24"/>
          <w:szCs w:val="24"/>
        </w:rPr>
        <w:t>685 P.2d 210 (</w:t>
      </w:r>
      <w:r w:rsidR="00735ECD">
        <w:rPr>
          <w:rFonts w:eastAsia="Times New Roman"/>
          <w:sz w:val="24"/>
          <w:szCs w:val="24"/>
        </w:rPr>
        <w:t>Colo. App.</w:t>
      </w:r>
      <w:r w:rsidRPr="002F17D2">
        <w:rPr>
          <w:rFonts w:eastAsia="Times New Roman"/>
          <w:sz w:val="24"/>
          <w:szCs w:val="24"/>
        </w:rPr>
        <w:t xml:space="preserve"> 1983); </w:t>
      </w:r>
      <w:r w:rsidRPr="002F17D2">
        <w:rPr>
          <w:rFonts w:eastAsia="Times New Roman"/>
          <w:i/>
          <w:sz w:val="24"/>
          <w:szCs w:val="24"/>
        </w:rPr>
        <w:t xml:space="preserve">see </w:t>
      </w:r>
      <w:r w:rsidRPr="002F17D2">
        <w:rPr>
          <w:rFonts w:eastAsia="Times New Roman"/>
          <w:b/>
          <w:sz w:val="24"/>
          <w:szCs w:val="24"/>
        </w:rPr>
        <w:t>Hall</w:t>
      </w:r>
      <w:r w:rsidRPr="002F17D2">
        <w:rPr>
          <w:rFonts w:eastAsia="Times New Roman"/>
          <w:sz w:val="24"/>
          <w:szCs w:val="24"/>
        </w:rPr>
        <w:t xml:space="preserve">, 190 P.3d </w:t>
      </w:r>
      <w:r w:rsidR="00EA2BCD">
        <w:rPr>
          <w:rFonts w:eastAsia="Times New Roman"/>
          <w:sz w:val="24"/>
          <w:szCs w:val="24"/>
        </w:rPr>
        <w:t xml:space="preserve">at </w:t>
      </w:r>
      <w:r w:rsidRPr="002F17D2">
        <w:rPr>
          <w:rFonts w:eastAsia="Times New Roman"/>
          <w:sz w:val="24"/>
          <w:szCs w:val="24"/>
        </w:rPr>
        <w:t>85</w:t>
      </w:r>
      <w:r w:rsidR="00372ECB">
        <w:rPr>
          <w:rFonts w:eastAsia="Times New Roman"/>
          <w:sz w:val="24"/>
          <w:szCs w:val="24"/>
        </w:rPr>
        <w:t>8</w:t>
      </w:r>
      <w:r w:rsidRPr="002F17D2">
        <w:rPr>
          <w:rFonts w:eastAsia="Times New Roman"/>
          <w:sz w:val="24"/>
          <w:szCs w:val="24"/>
        </w:rPr>
        <w:t xml:space="preserve"> (although trial court allowed experts in various specialties to testify as to general standard of care for matters common to medical profession, it properly instructed jury under Instruction 15:3</w:t>
      </w:r>
      <w:r w:rsidR="00372ECB">
        <w:rPr>
          <w:rFonts w:eastAsia="Times New Roman"/>
          <w:sz w:val="24"/>
          <w:szCs w:val="24"/>
        </w:rPr>
        <w:t xml:space="preserve">, and surgeon </w:t>
      </w:r>
      <w:r w:rsidRPr="002F17D2">
        <w:rPr>
          <w:rFonts w:eastAsia="Times New Roman"/>
          <w:sz w:val="24"/>
          <w:szCs w:val="24"/>
        </w:rPr>
        <w:t xml:space="preserve">could not have been prejudiced </w:t>
      </w:r>
      <w:r w:rsidR="00372ECB">
        <w:rPr>
          <w:rFonts w:eastAsia="Times New Roman"/>
          <w:sz w:val="24"/>
          <w:szCs w:val="24"/>
        </w:rPr>
        <w:t>if jury</w:t>
      </w:r>
      <w:r w:rsidRPr="002F17D2">
        <w:rPr>
          <w:rFonts w:eastAsia="Times New Roman"/>
          <w:sz w:val="24"/>
          <w:szCs w:val="24"/>
        </w:rPr>
        <w:t xml:space="preserve"> </w:t>
      </w:r>
      <w:r w:rsidR="00372ECB">
        <w:rPr>
          <w:rFonts w:eastAsia="Times New Roman"/>
          <w:sz w:val="24"/>
          <w:szCs w:val="24"/>
        </w:rPr>
        <w:t xml:space="preserve">held him to </w:t>
      </w:r>
      <w:r w:rsidRPr="002F17D2">
        <w:rPr>
          <w:rFonts w:eastAsia="Times New Roman"/>
          <w:sz w:val="24"/>
          <w:szCs w:val="24"/>
        </w:rPr>
        <w:t>less stringent standard</w:t>
      </w:r>
      <w:r w:rsidR="00372ECB">
        <w:rPr>
          <w:rFonts w:eastAsia="Times New Roman"/>
          <w:sz w:val="24"/>
          <w:szCs w:val="24"/>
        </w:rPr>
        <w:t xml:space="preserve"> of care</w:t>
      </w:r>
      <w:r w:rsidRPr="002F17D2">
        <w:rPr>
          <w:rFonts w:eastAsia="Times New Roman"/>
          <w:sz w:val="24"/>
          <w:szCs w:val="24"/>
        </w:rPr>
        <w:t xml:space="preserve">). </w:t>
      </w:r>
      <w:r w:rsidRPr="002F17D2">
        <w:rPr>
          <w:rFonts w:eastAsia="Times New Roman"/>
          <w:i/>
          <w:sz w:val="24"/>
          <w:szCs w:val="24"/>
        </w:rPr>
        <w:t>But see</w:t>
      </w:r>
      <w:r w:rsidRPr="002F17D2">
        <w:rPr>
          <w:rFonts w:eastAsia="Times New Roman"/>
          <w:sz w:val="24"/>
          <w:szCs w:val="24"/>
        </w:rPr>
        <w:t xml:space="preserve"> </w:t>
      </w:r>
      <w:r w:rsidRPr="002F17D2">
        <w:rPr>
          <w:rFonts w:eastAsia="Times New Roman"/>
          <w:b/>
          <w:sz w:val="24"/>
          <w:szCs w:val="24"/>
        </w:rPr>
        <w:t>Jordan v. Bogner</w:t>
      </w:r>
      <w:r w:rsidRPr="002F17D2">
        <w:rPr>
          <w:rFonts w:eastAsia="Times New Roman"/>
          <w:sz w:val="24"/>
          <w:szCs w:val="24"/>
        </w:rPr>
        <w:t>, 844 P.2d 664 (</w:t>
      </w:r>
      <w:smartTag w:uri="urn:schemas-microsoft-com:office:smarttags" w:element="place">
        <w:smartTag w:uri="urn:schemas-microsoft-com:office:smarttags" w:element="State">
          <w:r w:rsidRPr="002F17D2">
            <w:rPr>
              <w:rFonts w:eastAsia="Times New Roman"/>
              <w:sz w:val="24"/>
              <w:szCs w:val="24"/>
            </w:rPr>
            <w:t>Colo.</w:t>
          </w:r>
        </w:smartTag>
      </w:smartTag>
      <w:r w:rsidRPr="002F17D2">
        <w:rPr>
          <w:rFonts w:eastAsia="Times New Roman"/>
          <w:sz w:val="24"/>
          <w:szCs w:val="24"/>
        </w:rPr>
        <w:t xml:space="preserve">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rFonts w:eastAsia="Times New Roman"/>
          <w:b/>
          <w:sz w:val="24"/>
          <w:szCs w:val="24"/>
        </w:rPr>
        <w:t>United Blood Servs., Inc. v. Quintana</w:t>
      </w:r>
      <w:r w:rsidRPr="002F17D2">
        <w:rPr>
          <w:rFonts w:eastAsia="Times New Roman"/>
          <w:sz w:val="24"/>
          <w:szCs w:val="24"/>
        </w:rPr>
        <w:t>,</w:t>
      </w:r>
      <w:r w:rsidRPr="002F17D2">
        <w:rPr>
          <w:rFonts w:eastAsia="Times New Roman"/>
          <w:b/>
          <w:sz w:val="24"/>
          <w:szCs w:val="24"/>
        </w:rPr>
        <w:t xml:space="preserve"> </w:t>
      </w:r>
      <w:r w:rsidRPr="002F17D2">
        <w:rPr>
          <w:rFonts w:eastAsia="Times New Roman"/>
          <w:sz w:val="24"/>
          <w:szCs w:val="24"/>
        </w:rPr>
        <w:t>827 P.2d 509 (</w:t>
      </w:r>
      <w:smartTag w:uri="urn:schemas-microsoft-com:office:smarttags" w:element="place">
        <w:smartTag w:uri="urn:schemas-microsoft-com:office:smarttags" w:element="State">
          <w:r w:rsidRPr="002F17D2">
            <w:rPr>
              <w:rFonts w:eastAsia="Times New Roman"/>
              <w:sz w:val="24"/>
              <w:szCs w:val="24"/>
            </w:rPr>
            <w:t>Colo.</w:t>
          </w:r>
        </w:smartTag>
      </w:smartTag>
      <w:r w:rsidRPr="002F17D2">
        <w:rPr>
          <w:rFonts w:eastAsia="Times New Roman"/>
          <w:sz w:val="24"/>
          <w:szCs w:val="24"/>
        </w:rPr>
        <w:t xml:space="preserve"> 1992).</w:t>
      </w:r>
    </w:p>
    <w:p w14:paraId="57288B87" w14:textId="77777777" w:rsidR="00D11F9E" w:rsidRPr="0054263B" w:rsidRDefault="00D11F9E" w:rsidP="00D11F9E">
      <w:pPr>
        <w:keepNext/>
        <w:spacing w:after="240"/>
        <w:jc w:val="center"/>
        <w:rPr>
          <w:rFonts w:eastAsia="Times New Roman"/>
          <w:b/>
          <w:sz w:val="24"/>
          <w:szCs w:val="24"/>
        </w:rPr>
      </w:pPr>
      <w:r>
        <w:rPr>
          <w:rFonts w:eastAsia="Times New Roman"/>
          <w:b/>
          <w:sz w:val="24"/>
          <w:szCs w:val="24"/>
        </w:rPr>
        <w:lastRenderedPageBreak/>
        <w:t>Source and Authority</w:t>
      </w:r>
    </w:p>
    <w:p w14:paraId="497DA112" w14:textId="6BBD9933"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1. This instruction is supported by </w:t>
      </w:r>
      <w:r w:rsidRPr="002F17D2">
        <w:rPr>
          <w:rFonts w:eastAsia="Times New Roman"/>
          <w:b/>
          <w:sz w:val="24"/>
          <w:szCs w:val="24"/>
        </w:rPr>
        <w:t>Short</w:t>
      </w:r>
      <w:r w:rsidRPr="002F17D2">
        <w:rPr>
          <w:rFonts w:eastAsia="Times New Roman"/>
          <w:sz w:val="24"/>
          <w:szCs w:val="24"/>
        </w:rPr>
        <w:t xml:space="preserve">, 685 P.2d </w:t>
      </w:r>
      <w:r w:rsidR="00372ECB">
        <w:rPr>
          <w:rFonts w:eastAsia="Times New Roman"/>
          <w:sz w:val="24"/>
          <w:szCs w:val="24"/>
        </w:rPr>
        <w:t xml:space="preserve">at </w:t>
      </w:r>
      <w:r w:rsidRPr="002F17D2">
        <w:rPr>
          <w:rFonts w:eastAsia="Times New Roman"/>
          <w:sz w:val="24"/>
          <w:szCs w:val="24"/>
        </w:rPr>
        <w:t>21</w:t>
      </w:r>
      <w:r w:rsidR="00372ECB">
        <w:rPr>
          <w:rFonts w:eastAsia="Times New Roman"/>
          <w:sz w:val="24"/>
          <w:szCs w:val="24"/>
        </w:rPr>
        <w:t>2</w:t>
      </w:r>
      <w:r w:rsidRPr="002F17D2">
        <w:rPr>
          <w:rFonts w:eastAsia="Times New Roman"/>
          <w:sz w:val="24"/>
          <w:szCs w:val="24"/>
        </w:rPr>
        <w:t xml:space="preserve">; </w:t>
      </w:r>
      <w:r w:rsidR="003634D2">
        <w:rPr>
          <w:rFonts w:eastAsia="Times New Roman"/>
          <w:sz w:val="24"/>
          <w:szCs w:val="24"/>
        </w:rPr>
        <w:t xml:space="preserve">and </w:t>
      </w:r>
      <w:r w:rsidRPr="002F17D2">
        <w:rPr>
          <w:rFonts w:eastAsia="Times New Roman"/>
          <w:b/>
          <w:sz w:val="24"/>
          <w:szCs w:val="24"/>
        </w:rPr>
        <w:t>Greene v. Thomas</w:t>
      </w:r>
      <w:r w:rsidRPr="002F17D2">
        <w:rPr>
          <w:rFonts w:eastAsia="Times New Roman"/>
          <w:sz w:val="24"/>
          <w:szCs w:val="24"/>
        </w:rPr>
        <w:t>, 662 P.2d 491 (</w:t>
      </w:r>
      <w:r w:rsidR="00735ECD">
        <w:rPr>
          <w:rFonts w:eastAsia="Times New Roman"/>
          <w:sz w:val="24"/>
          <w:szCs w:val="24"/>
        </w:rPr>
        <w:t>Colo. App.</w:t>
      </w:r>
      <w:r w:rsidR="003634D2">
        <w:rPr>
          <w:rFonts w:eastAsia="Times New Roman"/>
          <w:sz w:val="24"/>
          <w:szCs w:val="24"/>
        </w:rPr>
        <w:t xml:space="preserve"> </w:t>
      </w:r>
      <w:r w:rsidRPr="002F17D2">
        <w:rPr>
          <w:rFonts w:eastAsia="Times New Roman"/>
          <w:sz w:val="24"/>
          <w:szCs w:val="24"/>
        </w:rPr>
        <w:t>198</w:t>
      </w:r>
      <w:r w:rsidR="003634D2">
        <w:rPr>
          <w:rFonts w:eastAsia="Times New Roman"/>
          <w:sz w:val="24"/>
          <w:szCs w:val="24"/>
        </w:rPr>
        <w:t>2</w:t>
      </w:r>
      <w:r w:rsidRPr="002F17D2">
        <w:rPr>
          <w:rFonts w:eastAsia="Times New Roman"/>
          <w:sz w:val="24"/>
          <w:szCs w:val="24"/>
        </w:rPr>
        <w:t>) (in malpractice action against specialist plaintiff must prove defendant failed to meet the standard of care of physicians practicing in same specialty)</w:t>
      </w:r>
      <w:r w:rsidR="003634D2">
        <w:rPr>
          <w:rFonts w:eastAsia="Times New Roman"/>
          <w:sz w:val="24"/>
          <w:szCs w:val="24"/>
        </w:rPr>
        <w:t xml:space="preserve">. </w:t>
      </w:r>
      <w:r w:rsidRPr="002F17D2">
        <w:rPr>
          <w:rFonts w:eastAsia="Times New Roman"/>
          <w:i/>
          <w:sz w:val="24"/>
          <w:szCs w:val="24"/>
        </w:rPr>
        <w:t xml:space="preserve">See </w:t>
      </w:r>
      <w:r w:rsidR="003634D2">
        <w:rPr>
          <w:rFonts w:eastAsia="Times New Roman"/>
          <w:i/>
          <w:sz w:val="24"/>
          <w:szCs w:val="24"/>
        </w:rPr>
        <w:t xml:space="preserve">also </w:t>
      </w:r>
      <w:r w:rsidR="003634D2" w:rsidRPr="002F17D2">
        <w:rPr>
          <w:rFonts w:eastAsia="Times New Roman"/>
          <w:b/>
          <w:sz w:val="24"/>
          <w:szCs w:val="24"/>
        </w:rPr>
        <w:t>Jordan</w:t>
      </w:r>
      <w:r w:rsidR="003634D2" w:rsidRPr="002F17D2">
        <w:rPr>
          <w:rFonts w:eastAsia="Times New Roman"/>
          <w:sz w:val="24"/>
          <w:szCs w:val="24"/>
        </w:rPr>
        <w:t>,</w:t>
      </w:r>
      <w:r w:rsidR="003634D2" w:rsidRPr="002F17D2">
        <w:rPr>
          <w:rFonts w:eastAsia="Times New Roman"/>
          <w:b/>
          <w:sz w:val="24"/>
          <w:szCs w:val="24"/>
        </w:rPr>
        <w:t xml:space="preserve"> </w:t>
      </w:r>
      <w:r w:rsidR="003634D2" w:rsidRPr="002F17D2">
        <w:rPr>
          <w:rFonts w:eastAsia="Times New Roman"/>
          <w:sz w:val="24"/>
          <w:szCs w:val="24"/>
        </w:rPr>
        <w:t xml:space="preserve">844 P.2d </w:t>
      </w:r>
      <w:r w:rsidR="003634D2">
        <w:rPr>
          <w:rFonts w:eastAsia="Times New Roman"/>
          <w:sz w:val="24"/>
          <w:szCs w:val="24"/>
        </w:rPr>
        <w:t xml:space="preserve">at </w:t>
      </w:r>
      <w:r w:rsidR="003634D2" w:rsidRPr="002F17D2">
        <w:rPr>
          <w:rFonts w:eastAsia="Times New Roman"/>
          <w:sz w:val="24"/>
          <w:szCs w:val="24"/>
        </w:rPr>
        <w:t>66</w:t>
      </w:r>
      <w:r w:rsidR="003634D2">
        <w:rPr>
          <w:rFonts w:eastAsia="Times New Roman"/>
          <w:sz w:val="24"/>
          <w:szCs w:val="24"/>
        </w:rPr>
        <w:t xml:space="preserve">7-68; </w:t>
      </w:r>
      <w:r w:rsidRPr="002F17D2">
        <w:rPr>
          <w:rFonts w:eastAsia="Times New Roman"/>
          <w:b/>
          <w:sz w:val="24"/>
          <w:szCs w:val="24"/>
        </w:rPr>
        <w:t>Hall</w:t>
      </w:r>
      <w:r w:rsidRPr="002F17D2">
        <w:rPr>
          <w:rFonts w:eastAsia="Times New Roman"/>
          <w:sz w:val="24"/>
          <w:szCs w:val="24"/>
        </w:rPr>
        <w:t xml:space="preserve">, 190 P.3d </w:t>
      </w:r>
      <w:r w:rsidR="00372ECB">
        <w:rPr>
          <w:rFonts w:eastAsia="Times New Roman"/>
          <w:sz w:val="24"/>
          <w:szCs w:val="24"/>
        </w:rPr>
        <w:t xml:space="preserve">at </w:t>
      </w:r>
      <w:r w:rsidRPr="002F17D2">
        <w:rPr>
          <w:rFonts w:eastAsia="Times New Roman"/>
          <w:sz w:val="24"/>
          <w:szCs w:val="24"/>
        </w:rPr>
        <w:t>85</w:t>
      </w:r>
      <w:r w:rsidR="00372ECB">
        <w:rPr>
          <w:rFonts w:eastAsia="Times New Roman"/>
          <w:sz w:val="24"/>
          <w:szCs w:val="24"/>
        </w:rPr>
        <w:t>8</w:t>
      </w:r>
      <w:r w:rsidRPr="002F17D2">
        <w:rPr>
          <w:rFonts w:eastAsia="Times New Roman"/>
          <w:sz w:val="24"/>
          <w:szCs w:val="24"/>
        </w:rPr>
        <w:t xml:space="preserve">; </w:t>
      </w:r>
      <w:r w:rsidRPr="002F17D2">
        <w:rPr>
          <w:rFonts w:eastAsia="Times New Roman"/>
          <w:b/>
          <w:sz w:val="24"/>
          <w:szCs w:val="24"/>
        </w:rPr>
        <w:t>Spoor v. Serota</w:t>
      </w:r>
      <w:r w:rsidRPr="002F17D2">
        <w:rPr>
          <w:rFonts w:eastAsia="Times New Roman"/>
          <w:sz w:val="24"/>
          <w:szCs w:val="24"/>
        </w:rPr>
        <w:t>, 852 P.2d 1292 (</w:t>
      </w:r>
      <w:r w:rsidR="00735ECD">
        <w:rPr>
          <w:rFonts w:eastAsia="Times New Roman"/>
          <w:sz w:val="24"/>
          <w:szCs w:val="24"/>
        </w:rPr>
        <w:t>Colo. App.</w:t>
      </w:r>
      <w:r w:rsidRPr="002F17D2">
        <w:rPr>
          <w:rFonts w:eastAsia="Times New Roman"/>
          <w:sz w:val="24"/>
          <w:szCs w:val="24"/>
        </w:rPr>
        <w:t xml:space="preserve"> 1992); </w:t>
      </w:r>
      <w:r w:rsidRPr="002F17D2">
        <w:rPr>
          <w:rFonts w:eastAsia="Times New Roman"/>
          <w:b/>
          <w:sz w:val="24"/>
          <w:szCs w:val="24"/>
        </w:rPr>
        <w:t>Songer v. Bowman</w:t>
      </w:r>
      <w:r w:rsidRPr="002F17D2">
        <w:rPr>
          <w:rFonts w:eastAsia="Times New Roman"/>
          <w:sz w:val="24"/>
          <w:szCs w:val="24"/>
        </w:rPr>
        <w:t>, 804 P.2d 261 (</w:t>
      </w:r>
      <w:r w:rsidR="00735ECD">
        <w:rPr>
          <w:rFonts w:eastAsia="Times New Roman"/>
          <w:sz w:val="24"/>
          <w:szCs w:val="24"/>
        </w:rPr>
        <w:t>Colo. App.</w:t>
      </w:r>
      <w:r w:rsidRPr="002F17D2">
        <w:rPr>
          <w:rFonts w:eastAsia="Times New Roman"/>
          <w:sz w:val="24"/>
          <w:szCs w:val="24"/>
        </w:rPr>
        <w:t xml:space="preserve"> 1990)</w:t>
      </w:r>
      <w:r w:rsidR="003634D2">
        <w:rPr>
          <w:rFonts w:eastAsia="Times New Roman"/>
          <w:sz w:val="24"/>
          <w:szCs w:val="24"/>
        </w:rPr>
        <w:t xml:space="preserve"> </w:t>
      </w:r>
      <w:r w:rsidR="003634D2" w:rsidRPr="002F17D2">
        <w:rPr>
          <w:rFonts w:eastAsia="Times New Roman"/>
          <w:sz w:val="24"/>
          <w:szCs w:val="24"/>
        </w:rPr>
        <w:t>(specialist is required to exercise degree of care and to possess degree of knowledge and skill ordinarily possessed by persons practicing within that specialty)</w:t>
      </w:r>
      <w:r w:rsidRPr="002F17D2">
        <w:rPr>
          <w:rFonts w:eastAsia="Times New Roman"/>
          <w:sz w:val="24"/>
          <w:szCs w:val="24"/>
        </w:rPr>
        <w:t xml:space="preserve">, </w:t>
      </w:r>
      <w:r w:rsidRPr="002F17D2">
        <w:rPr>
          <w:rFonts w:eastAsia="Times New Roman"/>
          <w:i/>
          <w:sz w:val="24"/>
          <w:szCs w:val="24"/>
        </w:rPr>
        <w:t>overruled on other grounds by</w:t>
      </w:r>
      <w:r w:rsidRPr="002F17D2">
        <w:rPr>
          <w:rFonts w:eastAsia="Times New Roman"/>
          <w:sz w:val="24"/>
          <w:szCs w:val="24"/>
        </w:rPr>
        <w:t xml:space="preserve"> </w:t>
      </w:r>
      <w:r w:rsidRPr="002F17D2">
        <w:rPr>
          <w:rFonts w:eastAsia="Times New Roman"/>
          <w:b/>
          <w:sz w:val="24"/>
          <w:szCs w:val="24"/>
        </w:rPr>
        <w:t>People v. Ramirez</w:t>
      </w:r>
      <w:r w:rsidRPr="002F17D2">
        <w:rPr>
          <w:rFonts w:eastAsia="Times New Roman"/>
          <w:sz w:val="24"/>
          <w:szCs w:val="24"/>
        </w:rPr>
        <w:t>, 155 P.3d 371 (Colo. 2007)</w:t>
      </w:r>
      <w:r w:rsidR="003634D2">
        <w:rPr>
          <w:rFonts w:eastAsia="Times New Roman"/>
          <w:sz w:val="24"/>
          <w:szCs w:val="24"/>
        </w:rPr>
        <w:t>;</w:t>
      </w:r>
      <w:r w:rsidRPr="002F17D2">
        <w:rPr>
          <w:rFonts w:eastAsia="Times New Roman"/>
          <w:sz w:val="24"/>
          <w:szCs w:val="24"/>
        </w:rPr>
        <w:t xml:space="preserve"> </w:t>
      </w:r>
      <w:r w:rsidR="003634D2" w:rsidRPr="00B754BE">
        <w:rPr>
          <w:rFonts w:eastAsia="Times New Roman"/>
          <w:smallCaps/>
          <w:sz w:val="24"/>
          <w:szCs w:val="24"/>
        </w:rPr>
        <w:t>Restatement (Second) of Torts</w:t>
      </w:r>
      <w:r w:rsidR="003634D2" w:rsidRPr="002F17D2">
        <w:rPr>
          <w:rFonts w:eastAsia="Times New Roman"/>
          <w:sz w:val="24"/>
          <w:szCs w:val="24"/>
        </w:rPr>
        <w:t xml:space="preserve"> § 2</w:t>
      </w:r>
      <w:r w:rsidR="001642C7">
        <w:rPr>
          <w:rFonts w:eastAsia="Times New Roman"/>
          <w:sz w:val="24"/>
          <w:szCs w:val="24"/>
        </w:rPr>
        <w:t>9</w:t>
      </w:r>
      <w:r w:rsidR="003634D2" w:rsidRPr="002F17D2">
        <w:rPr>
          <w:rFonts w:eastAsia="Times New Roman"/>
          <w:sz w:val="24"/>
          <w:szCs w:val="24"/>
        </w:rPr>
        <w:t>9A cmt. d (1965)</w:t>
      </w:r>
      <w:r w:rsidRPr="002F17D2">
        <w:rPr>
          <w:rFonts w:eastAsia="Times New Roman"/>
          <w:sz w:val="24"/>
          <w:szCs w:val="24"/>
        </w:rPr>
        <w:t>.</w:t>
      </w:r>
    </w:p>
    <w:p w14:paraId="73990002"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instruction is also impliedly supported by several other </w:t>
      </w:r>
      <w:smartTag w:uri="urn:schemas-microsoft-com:office:smarttags" w:element="place">
        <w:smartTag w:uri="urn:schemas-microsoft-com:office:smarttags" w:element="State">
          <w:r w:rsidRPr="002F17D2">
            <w:rPr>
              <w:rFonts w:eastAsia="Times New Roman"/>
              <w:sz w:val="24"/>
              <w:szCs w:val="24"/>
            </w:rPr>
            <w:t>Colorado</w:t>
          </w:r>
        </w:smartTag>
      </w:smartTag>
      <w:r w:rsidRPr="002F17D2">
        <w:rPr>
          <w:rFonts w:eastAsia="Times New Roman"/>
          <w:sz w:val="24"/>
          <w:szCs w:val="24"/>
        </w:rPr>
        <w:t xml:space="preserve"> cases. </w:t>
      </w:r>
      <w:r w:rsidRPr="002F17D2">
        <w:rPr>
          <w:rFonts w:eastAsia="Times New Roman"/>
          <w:i/>
          <w:sz w:val="24"/>
          <w:szCs w:val="24"/>
        </w:rPr>
        <w:t>See, e.g.</w:t>
      </w:r>
      <w:r w:rsidRPr="002F17D2">
        <w:rPr>
          <w:rFonts w:eastAsia="Times New Roman"/>
          <w:sz w:val="24"/>
          <w:szCs w:val="24"/>
        </w:rPr>
        <w:t>,</w:t>
      </w:r>
      <w:r w:rsidRPr="002F17D2">
        <w:rPr>
          <w:rFonts w:eastAsia="Times New Roman"/>
          <w:i/>
          <w:sz w:val="24"/>
          <w:szCs w:val="24"/>
        </w:rPr>
        <w:t xml:space="preserve"> </w:t>
      </w:r>
      <w:r w:rsidRPr="002F17D2">
        <w:rPr>
          <w:rFonts w:eastAsia="Times New Roman"/>
          <w:b/>
          <w:sz w:val="24"/>
          <w:szCs w:val="24"/>
        </w:rPr>
        <w:t>Artist v. Butterweck</w:t>
      </w:r>
      <w:r w:rsidRPr="002F17D2">
        <w:rPr>
          <w:rFonts w:eastAsia="Times New Roman"/>
          <w:sz w:val="24"/>
          <w:szCs w:val="24"/>
        </w:rPr>
        <w:t xml:space="preserve">, 162 Colo. 365, 426 P.2d 559 (1967); </w:t>
      </w:r>
      <w:r w:rsidRPr="002F17D2">
        <w:rPr>
          <w:rFonts w:eastAsia="Times New Roman"/>
          <w:b/>
          <w:sz w:val="24"/>
          <w:szCs w:val="24"/>
        </w:rPr>
        <w:t>Brown v. Hughes</w:t>
      </w:r>
      <w:r w:rsidRPr="002F17D2">
        <w:rPr>
          <w:rFonts w:eastAsia="Times New Roman"/>
          <w:sz w:val="24"/>
          <w:szCs w:val="24"/>
        </w:rPr>
        <w:t xml:space="preserve">, 94 Colo. 295, 30 P.2d 259 (1934); </w:t>
      </w:r>
      <w:r w:rsidRPr="002F17D2">
        <w:rPr>
          <w:rFonts w:eastAsia="Times New Roman"/>
          <w:b/>
          <w:sz w:val="24"/>
          <w:szCs w:val="24"/>
        </w:rPr>
        <w:t>Bonnet v. Foote</w:t>
      </w:r>
      <w:r w:rsidRPr="002F17D2">
        <w:rPr>
          <w:rFonts w:eastAsia="Times New Roman"/>
          <w:sz w:val="24"/>
          <w:szCs w:val="24"/>
        </w:rPr>
        <w:t>, 47 Colo. 282, 107 P. 252 (1910).</w:t>
      </w:r>
    </w:p>
    <w:p w14:paraId="4FA25013" w14:textId="1C184A0D"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The generally accepted standard of care by a specialist cannot be determined simply by counting how many physicians follow a particular practice. </w:t>
      </w:r>
      <w:r w:rsidRPr="002F17D2">
        <w:rPr>
          <w:rFonts w:eastAsia="Times New Roman"/>
          <w:b/>
          <w:sz w:val="24"/>
          <w:szCs w:val="24"/>
        </w:rPr>
        <w:t>State Bd. of Med. Exam’rs v. McCroskey</w:t>
      </w:r>
      <w:r w:rsidRPr="002F17D2">
        <w:rPr>
          <w:rFonts w:eastAsia="Times New Roman"/>
          <w:sz w:val="24"/>
          <w:szCs w:val="24"/>
        </w:rPr>
        <w:t xml:space="preserve">, 880 P.2d 1188 (Colo. 1994); </w:t>
      </w:r>
      <w:r w:rsidRPr="002F17D2">
        <w:rPr>
          <w:rFonts w:eastAsia="Times New Roman"/>
          <w:b/>
          <w:sz w:val="24"/>
          <w:szCs w:val="24"/>
        </w:rPr>
        <w:t>Wallbank v. Rothenberg</w:t>
      </w:r>
      <w:r w:rsidRPr="002F17D2">
        <w:rPr>
          <w:rFonts w:eastAsia="Times New Roman"/>
          <w:sz w:val="24"/>
          <w:szCs w:val="24"/>
        </w:rPr>
        <w:t>, 74 P.3d 413 (</w:t>
      </w:r>
      <w:r w:rsidR="00735ECD">
        <w:rPr>
          <w:rFonts w:eastAsia="Times New Roman"/>
          <w:sz w:val="24"/>
          <w:szCs w:val="24"/>
        </w:rPr>
        <w:t>Colo. App.</w:t>
      </w:r>
      <w:r w:rsidRPr="002F17D2">
        <w:rPr>
          <w:rFonts w:eastAsia="Times New Roman"/>
          <w:sz w:val="24"/>
          <w:szCs w:val="24"/>
        </w:rPr>
        <w:t xml:space="preserve"> 2003). Nor may the relevant standard of care be established by testimony concerning the personal practices of expert witnesses. </w:t>
      </w:r>
      <w:r w:rsidRPr="002F17D2">
        <w:rPr>
          <w:rFonts w:eastAsia="Times New Roman"/>
          <w:b/>
          <w:sz w:val="24"/>
          <w:szCs w:val="24"/>
        </w:rPr>
        <w:t>Wallbank</w:t>
      </w:r>
      <w:r w:rsidRPr="002F17D2">
        <w:rPr>
          <w:rFonts w:eastAsia="Times New Roman"/>
          <w:sz w:val="24"/>
          <w:szCs w:val="24"/>
        </w:rPr>
        <w:t xml:space="preserve">, 74 P.3d </w:t>
      </w:r>
      <w:r w:rsidR="00230F6F">
        <w:rPr>
          <w:rFonts w:eastAsia="Times New Roman"/>
          <w:sz w:val="24"/>
          <w:szCs w:val="24"/>
        </w:rPr>
        <w:t xml:space="preserve">at </w:t>
      </w:r>
      <w:r w:rsidRPr="002F17D2">
        <w:rPr>
          <w:rFonts w:eastAsia="Times New Roman"/>
          <w:sz w:val="24"/>
          <w:szCs w:val="24"/>
        </w:rPr>
        <w:t>41</w:t>
      </w:r>
      <w:r w:rsidR="00230F6F">
        <w:rPr>
          <w:rFonts w:eastAsia="Times New Roman"/>
          <w:sz w:val="24"/>
          <w:szCs w:val="24"/>
        </w:rPr>
        <w:t>6</w:t>
      </w:r>
      <w:r w:rsidRPr="002F17D2">
        <w:rPr>
          <w:rFonts w:eastAsia="Times New Roman"/>
          <w:sz w:val="24"/>
          <w:szCs w:val="24"/>
        </w:rPr>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pPr>
        <w:rPr>
          <w:rFonts w:eastAsia="Times New Roman"/>
          <w:sz w:val="24"/>
          <w:szCs w:val="24"/>
        </w:rPr>
      </w:pPr>
      <w:r>
        <w:rPr>
          <w:rFonts w:eastAsia="Times New Roman"/>
          <w:sz w:val="24"/>
          <w:szCs w:val="24"/>
        </w:rPr>
        <w:br w:type="page"/>
      </w:r>
    </w:p>
    <w:p w14:paraId="5230E905" w14:textId="77777777" w:rsidR="002F17D2" w:rsidRPr="009E3DA4" w:rsidRDefault="002F17D2" w:rsidP="002F17D2">
      <w:pPr>
        <w:spacing w:after="240"/>
        <w:ind w:left="720" w:hanging="720"/>
        <w:rPr>
          <w:rFonts w:eastAsia="Times New Roman"/>
          <w:b/>
          <w:sz w:val="24"/>
          <w:szCs w:val="24"/>
        </w:rPr>
      </w:pPr>
      <w:bookmarkStart w:id="4" w:name="a15_04"/>
      <w:bookmarkEnd w:id="4"/>
      <w:r w:rsidRPr="002F17D2">
        <w:rPr>
          <w:rFonts w:eastAsia="Times New Roman"/>
          <w:b/>
          <w:sz w:val="24"/>
          <w:szCs w:val="24"/>
        </w:rPr>
        <w:lastRenderedPageBreak/>
        <w:t xml:space="preserve">15:4 </w:t>
      </w:r>
      <w:r w:rsidRPr="002F17D2">
        <w:rPr>
          <w:rFonts w:eastAsia="Times New Roman"/>
          <w:b/>
          <w:sz w:val="24"/>
          <w:szCs w:val="24"/>
        </w:rPr>
        <w:tab/>
        <w:t>NO IMPLIED WARRANTY OF SUCCESSFUL OUTCOME</w:t>
      </w:r>
    </w:p>
    <w:p w14:paraId="39683EA8"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(Unless a [physician] [nurse] states or agrees</w:t>
      </w:r>
      <w:r w:rsidR="00DB7CDC">
        <w:rPr>
          <w:rFonts w:eastAsia="Times New Roman"/>
          <w:b/>
          <w:sz w:val="24"/>
          <w:szCs w:val="24"/>
        </w:rPr>
        <w:t xml:space="preserve"> otherwise, a) (A) [physician] </w:t>
      </w:r>
      <w:r w:rsidRPr="002F17D2">
        <w:rPr>
          <w:rFonts w:eastAsia="Times New Roman"/>
          <w:b/>
          <w:sz w:val="24"/>
          <w:szCs w:val="24"/>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rPr>
          <w:rFonts w:eastAsia="Times New Roman"/>
          <w:sz w:val="24"/>
          <w:szCs w:val="24"/>
        </w:rPr>
      </w:pPr>
    </w:p>
    <w:p w14:paraId="6AA1B4F4" w14:textId="77777777" w:rsidR="002F17D2" w:rsidRPr="0054263B" w:rsidRDefault="002F17D2" w:rsidP="002F17D2">
      <w:pPr>
        <w:keepNext/>
        <w:spacing w:after="240"/>
        <w:jc w:val="center"/>
        <w:rPr>
          <w:rFonts w:eastAsia="Times New Roman"/>
          <w:b/>
          <w:sz w:val="24"/>
          <w:szCs w:val="24"/>
        </w:rPr>
      </w:pPr>
      <w:r w:rsidRPr="0054263B">
        <w:rPr>
          <w:rFonts w:eastAsia="Times New Roman"/>
          <w:b/>
          <w:sz w:val="24"/>
          <w:szCs w:val="24"/>
        </w:rPr>
        <w:t>Notes on Use</w:t>
      </w:r>
    </w:p>
    <w:p w14:paraId="58A7EDB9"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1. The Notes on Use to Instructions 15:1 and 15:2 are also applicable to this instruction.</w:t>
      </w:r>
    </w:p>
    <w:p w14:paraId="3D57C06D" w14:textId="1D5F714F"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cautionary instruction should be given in conjunction with Instruction 15:2 or 15:3 when the evidence of malpractice includes an unsuccessful outcome. </w:t>
      </w:r>
      <w:r w:rsidRPr="002F17D2">
        <w:rPr>
          <w:rFonts w:eastAsia="Times New Roman"/>
          <w:b/>
          <w:sz w:val="24"/>
          <w:szCs w:val="24"/>
        </w:rPr>
        <w:t>Schuessler v. Wolter</w:t>
      </w:r>
      <w:r w:rsidRPr="002F17D2">
        <w:rPr>
          <w:rFonts w:eastAsia="Times New Roman"/>
          <w:sz w:val="24"/>
          <w:szCs w:val="24"/>
        </w:rPr>
        <w:t xml:space="preserve">, 2012 COA 86, </w:t>
      </w:r>
      <w:r w:rsidR="00230F6F">
        <w:rPr>
          <w:rFonts w:eastAsia="Times New Roman"/>
          <w:sz w:val="24"/>
          <w:szCs w:val="24"/>
        </w:rPr>
        <w:t>¶</w:t>
      </w:r>
      <w:r w:rsidR="00144C78">
        <w:rPr>
          <w:rFonts w:eastAsia="Times New Roman"/>
          <w:sz w:val="24"/>
          <w:szCs w:val="24"/>
        </w:rPr>
        <w:t>¶</w:t>
      </w:r>
      <w:r w:rsidR="00230F6F">
        <w:rPr>
          <w:rFonts w:eastAsia="Times New Roman"/>
          <w:sz w:val="24"/>
          <w:szCs w:val="24"/>
        </w:rPr>
        <w:t xml:space="preserve"> </w:t>
      </w:r>
      <w:r w:rsidR="00144C78">
        <w:rPr>
          <w:rFonts w:eastAsia="Times New Roman"/>
          <w:sz w:val="24"/>
          <w:szCs w:val="24"/>
        </w:rPr>
        <w:t>8, 28, 310 P.3d 151</w:t>
      </w:r>
      <w:r w:rsidRPr="002F17D2">
        <w:rPr>
          <w:rFonts w:eastAsia="Times New Roman"/>
          <w:sz w:val="24"/>
          <w:szCs w:val="24"/>
        </w:rPr>
        <w:t xml:space="preserve"> (rejecting claim that instruction simply creates rebuttable presumption).</w:t>
      </w:r>
    </w:p>
    <w:p w14:paraId="6A7DF6DA"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This instruction, in the discretion of the trial court, may be applied to nurses. In such circumstances, the bracketed word “nurse” should be used. </w:t>
      </w:r>
      <w:r w:rsidRPr="002F17D2">
        <w:rPr>
          <w:rFonts w:eastAsia="Times New Roman"/>
          <w:b/>
          <w:sz w:val="24"/>
          <w:szCs w:val="24"/>
        </w:rPr>
        <w:t>Gasteazoro ex rel. Eder v. Catholic Health Initiatives Colo.</w:t>
      </w:r>
      <w:r w:rsidRPr="002F17D2">
        <w:rPr>
          <w:rFonts w:eastAsia="Times New Roman"/>
          <w:sz w:val="24"/>
          <w:szCs w:val="24"/>
        </w:rPr>
        <w:t>, 2014 COA 134, ¶ 35</w:t>
      </w:r>
      <w:r w:rsidR="0061116A">
        <w:rPr>
          <w:rFonts w:eastAsia="Times New Roman"/>
          <w:sz w:val="24"/>
          <w:szCs w:val="24"/>
        </w:rPr>
        <w:t>, 408 P.3d 874</w:t>
      </w:r>
      <w:r w:rsidRPr="002F17D2">
        <w:rPr>
          <w:rFonts w:eastAsia="Times New Roman"/>
          <w:sz w:val="24"/>
          <w:szCs w:val="24"/>
        </w:rPr>
        <w:t>.</w:t>
      </w:r>
    </w:p>
    <w:p w14:paraId="7D74008D" w14:textId="552311EC"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4. Use whichever parenthesized words are appropriate. Omit the first parenthesized clause unless there has been some evidence that the defendant may have so stated or agreed. If there is sufficient evidence that the defendant may have warranted or promised a cure, instructions based on that contractual theory of relief should be given either in addition to, or as an alternative to, any other theories, </w:t>
      </w:r>
      <w:r w:rsidR="00144C78">
        <w:rPr>
          <w:rFonts w:eastAsia="Times New Roman"/>
          <w:sz w:val="24"/>
          <w:szCs w:val="24"/>
        </w:rPr>
        <w:t>for example</w:t>
      </w:r>
      <w:r w:rsidRPr="002F17D2">
        <w:rPr>
          <w:rFonts w:eastAsia="Times New Roman"/>
          <w:sz w:val="24"/>
          <w:szCs w:val="24"/>
        </w:rPr>
        <w:t>, negligent malpractice</w:t>
      </w:r>
      <w:r w:rsidR="00144C78">
        <w:rPr>
          <w:rFonts w:eastAsia="Times New Roman"/>
          <w:sz w:val="24"/>
          <w:szCs w:val="24"/>
        </w:rPr>
        <w:t xml:space="preserve"> or</w:t>
      </w:r>
      <w:r w:rsidRPr="002F17D2">
        <w:rPr>
          <w:rFonts w:eastAsia="Times New Roman"/>
          <w:sz w:val="24"/>
          <w:szCs w:val="24"/>
        </w:rPr>
        <w:t xml:space="preserve"> battery, depending on the evidence in the case.</w:t>
      </w:r>
    </w:p>
    <w:p w14:paraId="66462EFC" w14:textId="77777777" w:rsidR="002F17D2" w:rsidRPr="0054263B" w:rsidRDefault="002F17D2" w:rsidP="002F17D2">
      <w:pPr>
        <w:keepNext/>
        <w:spacing w:after="240"/>
        <w:jc w:val="center"/>
        <w:rPr>
          <w:rFonts w:eastAsia="Times New Roman"/>
          <w:b/>
          <w:sz w:val="24"/>
          <w:szCs w:val="24"/>
        </w:rPr>
      </w:pPr>
      <w:r>
        <w:rPr>
          <w:rFonts w:eastAsia="Times New Roman"/>
          <w:b/>
          <w:sz w:val="24"/>
          <w:szCs w:val="24"/>
        </w:rPr>
        <w:t>Source and Authority</w:t>
      </w:r>
    </w:p>
    <w:p w14:paraId="2D856CDD" w14:textId="4AD26EF8"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This instruction is supported by </w:t>
      </w:r>
      <w:r w:rsidRPr="002F17D2">
        <w:rPr>
          <w:rFonts w:eastAsia="Times New Roman"/>
          <w:b/>
          <w:sz w:val="24"/>
          <w:szCs w:val="24"/>
        </w:rPr>
        <w:t>Day v. Johnson</w:t>
      </w:r>
      <w:r w:rsidRPr="002F17D2">
        <w:rPr>
          <w:rFonts w:eastAsia="Times New Roman"/>
          <w:sz w:val="24"/>
          <w:szCs w:val="24"/>
        </w:rPr>
        <w:t xml:space="preserve">, 255 P.3d 1064 (Colo. 2011) (supporting third parenthetical phrase of instruction); </w:t>
      </w:r>
      <w:r w:rsidRPr="002F17D2">
        <w:rPr>
          <w:rFonts w:eastAsia="Times New Roman"/>
          <w:b/>
          <w:sz w:val="24"/>
          <w:szCs w:val="24"/>
        </w:rPr>
        <w:t>Brown v. Hughes</w:t>
      </w:r>
      <w:r w:rsidRPr="002F17D2">
        <w:rPr>
          <w:rFonts w:eastAsia="Times New Roman"/>
          <w:sz w:val="24"/>
          <w:szCs w:val="24"/>
        </w:rPr>
        <w:t xml:space="preserve">, 94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295, 30 P.2d 259 (1934); </w:t>
      </w:r>
      <w:r w:rsidRPr="002F17D2">
        <w:rPr>
          <w:rFonts w:eastAsia="Times New Roman"/>
          <w:b/>
          <w:sz w:val="24"/>
          <w:szCs w:val="24"/>
        </w:rPr>
        <w:t>Locke v. Van Wyke</w:t>
      </w:r>
      <w:r w:rsidRPr="002F17D2">
        <w:rPr>
          <w:rFonts w:eastAsia="Times New Roman"/>
          <w:sz w:val="24"/>
          <w:szCs w:val="24"/>
        </w:rPr>
        <w:t xml:space="preserve">, 91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14, 11 P.2d 563 (1932) (supporting first and second parenthetical phrases of instruction); </w:t>
      </w:r>
      <w:r w:rsidRPr="002F17D2">
        <w:rPr>
          <w:rFonts w:eastAsia="Times New Roman"/>
          <w:b/>
          <w:sz w:val="24"/>
          <w:szCs w:val="24"/>
        </w:rPr>
        <w:t>Craghead v. McCullough</w:t>
      </w:r>
      <w:r w:rsidRPr="002F17D2">
        <w:rPr>
          <w:rFonts w:eastAsia="Times New Roman"/>
          <w:sz w:val="24"/>
          <w:szCs w:val="24"/>
        </w:rPr>
        <w:t xml:space="preserve">, 58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485, 146 P. 235 (1915); </w:t>
      </w:r>
      <w:r w:rsidRPr="002F17D2">
        <w:rPr>
          <w:rFonts w:eastAsia="Times New Roman"/>
          <w:b/>
          <w:sz w:val="24"/>
          <w:szCs w:val="24"/>
        </w:rPr>
        <w:t>Bonnet v. Foote</w:t>
      </w:r>
      <w:r w:rsidRPr="002F17D2">
        <w:rPr>
          <w:rFonts w:eastAsia="Times New Roman"/>
          <w:sz w:val="24"/>
          <w:szCs w:val="24"/>
        </w:rPr>
        <w:t xml:space="preserve">, 47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282, 107 P. 252 (1910); </w:t>
      </w:r>
      <w:r w:rsidRPr="002F17D2">
        <w:rPr>
          <w:rFonts w:eastAsia="Times New Roman"/>
          <w:b/>
          <w:sz w:val="24"/>
          <w:szCs w:val="24"/>
        </w:rPr>
        <w:t>Schuessler</w:t>
      </w:r>
      <w:r w:rsidRPr="002F17D2">
        <w:rPr>
          <w:rFonts w:eastAsia="Times New Roman"/>
          <w:sz w:val="24"/>
          <w:szCs w:val="24"/>
        </w:rPr>
        <w:t xml:space="preserve">, 2012 COA 86, </w:t>
      </w:r>
      <w:r w:rsidR="00144C78">
        <w:rPr>
          <w:rFonts w:eastAsia="Times New Roman"/>
          <w:sz w:val="24"/>
          <w:szCs w:val="24"/>
        </w:rPr>
        <w:t>¶ 29</w:t>
      </w:r>
      <w:r w:rsidRPr="002F17D2">
        <w:rPr>
          <w:rFonts w:eastAsia="Times New Roman"/>
          <w:sz w:val="24"/>
          <w:szCs w:val="24"/>
        </w:rPr>
        <w:t xml:space="preserve"> (supporting second parenthetical phrase of instruction); </w:t>
      </w:r>
      <w:r w:rsidRPr="002F17D2">
        <w:rPr>
          <w:rFonts w:eastAsia="Times New Roman"/>
          <w:b/>
          <w:sz w:val="24"/>
          <w:szCs w:val="24"/>
        </w:rPr>
        <w:t>Gasteazoro ex rel. Eder v. Catholic Health Initiatives Colo.</w:t>
      </w:r>
      <w:r w:rsidRPr="002F17D2">
        <w:rPr>
          <w:rFonts w:eastAsia="Times New Roman"/>
          <w:sz w:val="24"/>
          <w:szCs w:val="24"/>
        </w:rPr>
        <w:t>, 2014 COA 134, ¶ 35 (supporting a modified instruction that includes nurses).</w:t>
      </w:r>
    </w:p>
    <w:p w14:paraId="72AE22AA" w14:textId="77777777" w:rsidR="002F17D2" w:rsidRDefault="002F17D2">
      <w:pPr>
        <w:rPr>
          <w:rFonts w:eastAsia="Times New Roman"/>
          <w:sz w:val="24"/>
          <w:szCs w:val="24"/>
        </w:rPr>
      </w:pPr>
      <w:r>
        <w:rPr>
          <w:rFonts w:eastAsia="Times New Roman"/>
          <w:sz w:val="24"/>
          <w:szCs w:val="24"/>
        </w:rPr>
        <w:br w:type="page"/>
      </w:r>
    </w:p>
    <w:p w14:paraId="1D74BF6F" w14:textId="77777777" w:rsidR="002F17D2" w:rsidRPr="009E3DA4" w:rsidRDefault="006A6C12" w:rsidP="002F17D2">
      <w:pPr>
        <w:spacing w:after="240"/>
        <w:ind w:left="720" w:hanging="720"/>
        <w:rPr>
          <w:rFonts w:eastAsia="Times New Roman"/>
          <w:b/>
          <w:sz w:val="24"/>
          <w:szCs w:val="24"/>
        </w:rPr>
      </w:pPr>
      <w:bookmarkStart w:id="5" w:name="a15_05"/>
      <w:bookmarkEnd w:id="5"/>
      <w:r w:rsidRPr="006A6C12">
        <w:rPr>
          <w:rFonts w:eastAsia="Times New Roman"/>
          <w:b/>
          <w:sz w:val="24"/>
          <w:szCs w:val="24"/>
        </w:rPr>
        <w:lastRenderedPageBreak/>
        <w:t xml:space="preserve">15:5 </w:t>
      </w:r>
      <w:r w:rsidRPr="006A6C12">
        <w:rPr>
          <w:rFonts w:eastAsia="Times New Roman"/>
          <w:b/>
          <w:sz w:val="24"/>
          <w:szCs w:val="24"/>
        </w:rPr>
        <w:tab/>
        <w:t>REFERRAL OF PATIENT TO ANOTHER PHYSICIAN</w:t>
      </w:r>
    </w:p>
    <w:p w14:paraId="22E0B98D" w14:textId="77777777" w:rsidR="006A6C12" w:rsidRPr="006A6C12" w:rsidRDefault="006A6C12" w:rsidP="006A6C12">
      <w:pPr>
        <w:spacing w:after="240"/>
        <w:ind w:firstLine="720"/>
        <w:rPr>
          <w:rFonts w:eastAsia="Times New Roman"/>
          <w:b/>
          <w:sz w:val="24"/>
          <w:szCs w:val="24"/>
        </w:rPr>
      </w:pPr>
      <w:r w:rsidRPr="006A6C12">
        <w:rPr>
          <w:rFonts w:eastAsia="Times New Roman"/>
          <w:b/>
          <w:sz w:val="24"/>
          <w:szCs w:val="24"/>
        </w:rPr>
        <w:t xml:space="preserve">A (physician) (surgeon) who refers a patient to another (physician) (surgeon) for </w:t>
      </w:r>
      <w:r w:rsidRPr="006A6C12">
        <w:rPr>
          <w:rFonts w:eastAsia="Times New Roman"/>
          <w:i/>
          <w:sz w:val="24"/>
          <w:szCs w:val="24"/>
        </w:rPr>
        <w:t>(insert appropriate description, e.g., "diagnosis," "treatment," "care," etc.)</w:t>
      </w:r>
      <w:r w:rsidRPr="006A6C12">
        <w:rPr>
          <w:rFonts w:eastAsia="Times New Roman"/>
          <w:b/>
          <w:sz w:val="24"/>
          <w:szCs w:val="24"/>
        </w:rPr>
        <w:t xml:space="preserve"> is not responsible for any negligence on the part of the other (physician) (surgeon). A referring (physician) (surgeon) who fails to exercise reasonable care in selecting the other (physician) (surgeon) may be held responsible for (his) (her) own negligence.</w:t>
      </w:r>
    </w:p>
    <w:p w14:paraId="223B20DA" w14:textId="77777777" w:rsidR="002F17D2" w:rsidRDefault="002F17D2" w:rsidP="002F17D2">
      <w:pPr>
        <w:jc w:val="center"/>
        <w:rPr>
          <w:rFonts w:eastAsia="Times New Roman"/>
          <w:sz w:val="24"/>
          <w:szCs w:val="24"/>
        </w:rPr>
      </w:pPr>
    </w:p>
    <w:p w14:paraId="516821BD" w14:textId="77777777" w:rsidR="002F17D2" w:rsidRPr="0054263B" w:rsidRDefault="002F17D2" w:rsidP="002F17D2">
      <w:pPr>
        <w:keepNext/>
        <w:spacing w:after="240"/>
        <w:jc w:val="center"/>
        <w:rPr>
          <w:rFonts w:eastAsia="Times New Roman"/>
          <w:b/>
          <w:sz w:val="24"/>
          <w:szCs w:val="24"/>
        </w:rPr>
      </w:pPr>
      <w:r w:rsidRPr="0054263B">
        <w:rPr>
          <w:rFonts w:eastAsia="Times New Roman"/>
          <w:b/>
          <w:sz w:val="24"/>
          <w:szCs w:val="24"/>
        </w:rPr>
        <w:t>Notes on Use</w:t>
      </w:r>
    </w:p>
    <w:p w14:paraId="22E321A2"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1. Use whichever parenthesized words are appropriate.</w:t>
      </w:r>
    </w:p>
    <w:p w14:paraId="7E8E12BF" w14:textId="075642B5" w:rsidR="006A6C12" w:rsidRPr="006A6C12" w:rsidRDefault="006A6C12" w:rsidP="006A6C12">
      <w:pPr>
        <w:spacing w:after="240"/>
        <w:ind w:firstLine="720"/>
        <w:rPr>
          <w:rFonts w:eastAsia="Times New Roman"/>
          <w:i/>
          <w:sz w:val="24"/>
          <w:szCs w:val="24"/>
        </w:rPr>
      </w:pPr>
      <w:r w:rsidRPr="006A6C12">
        <w:rPr>
          <w:rFonts w:eastAsia="Times New Roman"/>
          <w:sz w:val="24"/>
          <w:szCs w:val="24"/>
        </w:rPr>
        <w:t>2. This instruction should not be given, or must be appropriately modified, if there is a basis in the evidence in the case for imposing vicarious liability on the professional person because the other professional person is an agent, employee</w:t>
      </w:r>
      <w:r w:rsidR="00706177">
        <w:rPr>
          <w:rFonts w:eastAsia="Times New Roman"/>
          <w:sz w:val="24"/>
          <w:szCs w:val="24"/>
        </w:rPr>
        <w:t>,</w:t>
      </w:r>
      <w:r w:rsidRPr="006A6C12">
        <w:rPr>
          <w:rFonts w:eastAsia="Times New Roman"/>
          <w:sz w:val="24"/>
          <w:szCs w:val="24"/>
        </w:rPr>
        <w:t xml:space="preserve"> or partner. </w:t>
      </w:r>
      <w:r w:rsidRPr="006A6C12">
        <w:rPr>
          <w:rFonts w:eastAsia="Times New Roman"/>
          <w:i/>
          <w:sz w:val="24"/>
          <w:szCs w:val="24"/>
        </w:rPr>
        <w:t xml:space="preserve">See </w:t>
      </w:r>
      <w:r w:rsidRPr="006A6C12">
        <w:rPr>
          <w:rFonts w:eastAsia="Times New Roman"/>
          <w:b/>
          <w:sz w:val="24"/>
          <w:szCs w:val="24"/>
        </w:rPr>
        <w:t>Hall v. Frankel</w:t>
      </w:r>
      <w:r w:rsidRPr="006A6C12">
        <w:rPr>
          <w:rFonts w:eastAsia="Times New Roman"/>
          <w:sz w:val="24"/>
          <w:szCs w:val="24"/>
        </w:rPr>
        <w:t>, 190 P.3d 852 (</w:t>
      </w:r>
      <w:r w:rsidR="00735ECD">
        <w:rPr>
          <w:rFonts w:eastAsia="Times New Roman"/>
          <w:sz w:val="24"/>
          <w:szCs w:val="24"/>
        </w:rPr>
        <w:t>Colo. App.</w:t>
      </w:r>
      <w:r w:rsidRPr="006A6C12">
        <w:rPr>
          <w:rFonts w:eastAsia="Times New Roman"/>
          <w:sz w:val="24"/>
          <w:szCs w:val="24"/>
        </w:rPr>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3. If there is any other personal basis for imposing liability on the professional person making the reference, </w:t>
      </w:r>
      <w:r w:rsidR="0064045C">
        <w:rPr>
          <w:rFonts w:eastAsia="Times New Roman"/>
          <w:sz w:val="24"/>
          <w:szCs w:val="24"/>
        </w:rPr>
        <w:t>such as</w:t>
      </w:r>
      <w:r w:rsidRPr="006A6C12">
        <w:rPr>
          <w:rFonts w:eastAsia="Times New Roman"/>
          <w:sz w:val="24"/>
          <w:szCs w:val="24"/>
        </w:rPr>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4. This instruction, with any n</w:t>
      </w:r>
      <w:smartTag w:uri="urn:schemas-microsoft-com:office:smarttags" w:element="PersonName">
        <w:r w:rsidRPr="006A6C12">
          <w:rPr>
            <w:rFonts w:eastAsia="Times New Roman"/>
            <w:sz w:val="24"/>
            <w:szCs w:val="24"/>
          </w:rPr>
          <w:t>e</w:t>
        </w:r>
      </w:smartTag>
      <w:r w:rsidRPr="006A6C12">
        <w:rPr>
          <w:rFonts w:eastAsia="Times New Roman"/>
          <w:sz w:val="24"/>
          <w:szCs w:val="24"/>
        </w:rPr>
        <w:t>c</w:t>
      </w:r>
      <w:smartTag w:uri="urn:schemas-microsoft-com:office:smarttags" w:element="PersonName">
        <w:r w:rsidRPr="006A6C12">
          <w:rPr>
            <w:rFonts w:eastAsia="Times New Roman"/>
            <w:sz w:val="24"/>
            <w:szCs w:val="24"/>
          </w:rPr>
          <w:t>e</w:t>
        </w:r>
      </w:smartTag>
      <w:r w:rsidRPr="006A6C12">
        <w:rPr>
          <w:rFonts w:eastAsia="Times New Roman"/>
          <w:sz w:val="24"/>
          <w:szCs w:val="24"/>
        </w:rPr>
        <w:t>ssary modifications, may also b</w:t>
      </w:r>
      <w:smartTag w:uri="urn:schemas-microsoft-com:office:smarttags" w:element="PersonName">
        <w:r w:rsidRPr="006A6C12">
          <w:rPr>
            <w:rFonts w:eastAsia="Times New Roman"/>
            <w:sz w:val="24"/>
            <w:szCs w:val="24"/>
          </w:rPr>
          <w:t>e</w:t>
        </w:r>
      </w:smartTag>
      <w:r w:rsidRPr="006A6C12">
        <w:rPr>
          <w:rFonts w:eastAsia="Times New Roman"/>
          <w:sz w:val="24"/>
          <w:szCs w:val="24"/>
        </w:rPr>
        <w:t xml:space="preserve"> applicabl</w:t>
      </w:r>
      <w:smartTag w:uri="urn:schemas-microsoft-com:office:smarttags" w:element="PersonName">
        <w:r w:rsidRPr="006A6C12">
          <w:rPr>
            <w:rFonts w:eastAsia="Times New Roman"/>
            <w:sz w:val="24"/>
            <w:szCs w:val="24"/>
          </w:rPr>
          <w:t>e</w:t>
        </w:r>
      </w:smartTag>
      <w:r w:rsidRPr="006A6C12">
        <w:rPr>
          <w:rFonts w:eastAsia="Times New Roman"/>
          <w:sz w:val="24"/>
          <w:szCs w:val="24"/>
        </w:rPr>
        <w:t xml:space="preserve"> in uninform</w:t>
      </w:r>
      <w:smartTag w:uri="urn:schemas-microsoft-com:office:smarttags" w:element="PersonName">
        <w:r w:rsidRPr="006A6C12">
          <w:rPr>
            <w:rFonts w:eastAsia="Times New Roman"/>
            <w:sz w:val="24"/>
            <w:szCs w:val="24"/>
          </w:rPr>
          <w:t>e</w:t>
        </w:r>
      </w:smartTag>
      <w:r w:rsidRPr="006A6C12">
        <w:rPr>
          <w:rFonts w:eastAsia="Times New Roman"/>
          <w:sz w:val="24"/>
          <w:szCs w:val="24"/>
        </w:rPr>
        <w:t>d cons</w:t>
      </w:r>
      <w:smartTag w:uri="urn:schemas-microsoft-com:office:smarttags" w:element="PersonName">
        <w:r w:rsidRPr="006A6C12">
          <w:rPr>
            <w:rFonts w:eastAsia="Times New Roman"/>
            <w:sz w:val="24"/>
            <w:szCs w:val="24"/>
          </w:rPr>
          <w:t>e</w:t>
        </w:r>
      </w:smartTag>
      <w:r w:rsidRPr="006A6C12">
        <w:rPr>
          <w:rFonts w:eastAsia="Times New Roman"/>
          <w:sz w:val="24"/>
          <w:szCs w:val="24"/>
        </w:rPr>
        <w:t>nt cas</w:t>
      </w:r>
      <w:smartTag w:uri="urn:schemas-microsoft-com:office:smarttags" w:element="PersonName">
        <w:r w:rsidRPr="006A6C12">
          <w:rPr>
            <w:rFonts w:eastAsia="Times New Roman"/>
            <w:sz w:val="24"/>
            <w:szCs w:val="24"/>
          </w:rPr>
          <w:t>e</w:t>
        </w:r>
      </w:smartTag>
      <w:r w:rsidRPr="006A6C12">
        <w:rPr>
          <w:rFonts w:eastAsia="Times New Roman"/>
          <w:sz w:val="24"/>
          <w:szCs w:val="24"/>
        </w:rPr>
        <w:t>s (Instruction 15:10).</w:t>
      </w:r>
    </w:p>
    <w:p w14:paraId="39835A74"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5. In cases alleging a negligent referral, use Instruction 9:1 or </w:t>
      </w:r>
      <w:smartTag w:uri="urn:schemas-microsoft-com:office:smarttags" w:element="time">
        <w:smartTagPr>
          <w:attr w:name="Hour" w:val="9"/>
          <w:attr w:name="Minute" w:val="22"/>
        </w:smartTagPr>
        <w:r w:rsidRPr="006A6C12">
          <w:rPr>
            <w:rFonts w:eastAsia="Times New Roman"/>
            <w:sz w:val="24"/>
            <w:szCs w:val="24"/>
          </w:rPr>
          <w:t>9:22</w:t>
        </w:r>
      </w:smartTag>
      <w:r w:rsidRPr="006A6C12">
        <w:rPr>
          <w:rFonts w:eastAsia="Times New Roman"/>
          <w:sz w:val="24"/>
          <w:szCs w:val="24"/>
        </w:rPr>
        <w:t>.</w:t>
      </w:r>
    </w:p>
    <w:p w14:paraId="7F31EF53" w14:textId="77777777" w:rsidR="002F17D2" w:rsidRPr="0054263B" w:rsidRDefault="002F17D2" w:rsidP="002F17D2">
      <w:pPr>
        <w:keepNext/>
        <w:spacing w:after="240"/>
        <w:jc w:val="center"/>
        <w:rPr>
          <w:rFonts w:eastAsia="Times New Roman"/>
          <w:b/>
          <w:sz w:val="24"/>
          <w:szCs w:val="24"/>
        </w:rPr>
      </w:pPr>
      <w:r>
        <w:rPr>
          <w:rFonts w:eastAsia="Times New Roman"/>
          <w:b/>
          <w:sz w:val="24"/>
          <w:szCs w:val="24"/>
        </w:rPr>
        <w:t>Source and Authority</w:t>
      </w:r>
    </w:p>
    <w:p w14:paraId="39B74587" w14:textId="0C943E8F"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There appear to be no </w:t>
      </w:r>
      <w:smartTag w:uri="urn:schemas-microsoft-com:office:smarttags" w:element="place">
        <w:smartTag w:uri="urn:schemas-microsoft-com:office:smarttags" w:element="State">
          <w:r w:rsidRPr="006A6C12">
            <w:rPr>
              <w:rFonts w:eastAsia="Times New Roman"/>
              <w:sz w:val="24"/>
              <w:szCs w:val="24"/>
            </w:rPr>
            <w:t>Colorado</w:t>
          </w:r>
        </w:smartTag>
      </w:smartTag>
      <w:r w:rsidRPr="006A6C12">
        <w:rPr>
          <w:rFonts w:eastAsia="Times New Roman"/>
          <w:sz w:val="24"/>
          <w:szCs w:val="24"/>
        </w:rPr>
        <w:t xml:space="preserve"> cases specifically establishing the rule stated in this instruction. There are, however, cases from other jurisdictions that do so. </w:t>
      </w:r>
      <w:r w:rsidRPr="006A6C12">
        <w:rPr>
          <w:rFonts w:eastAsia="Times New Roman"/>
          <w:i/>
          <w:sz w:val="24"/>
          <w:szCs w:val="24"/>
        </w:rPr>
        <w:t>See</w:t>
      </w:r>
      <w:r w:rsidRPr="006A6C12">
        <w:rPr>
          <w:rFonts w:eastAsia="Times New Roman"/>
          <w:sz w:val="24"/>
          <w:szCs w:val="24"/>
        </w:rPr>
        <w:t xml:space="preserve"> </w:t>
      </w:r>
      <w:r w:rsidR="0064045C">
        <w:rPr>
          <w:rFonts w:eastAsia="Times New Roman"/>
          <w:sz w:val="24"/>
          <w:szCs w:val="24"/>
        </w:rPr>
        <w:t xml:space="preserve">W.R. Habeeb, Annotation, </w:t>
      </w:r>
      <w:r w:rsidRPr="00C41BF6">
        <w:rPr>
          <w:rFonts w:eastAsia="Times New Roman"/>
          <w:i/>
          <w:sz w:val="24"/>
          <w:szCs w:val="24"/>
        </w:rPr>
        <w:t xml:space="preserve">Liability of </w:t>
      </w:r>
      <w:r w:rsidR="0064045C" w:rsidRPr="00C41BF6">
        <w:rPr>
          <w:rFonts w:eastAsia="Times New Roman"/>
          <w:i/>
          <w:sz w:val="24"/>
          <w:szCs w:val="24"/>
        </w:rPr>
        <w:t>O</w:t>
      </w:r>
      <w:r w:rsidRPr="00C41BF6">
        <w:rPr>
          <w:rFonts w:eastAsia="Times New Roman"/>
          <w:i/>
          <w:sz w:val="24"/>
          <w:szCs w:val="24"/>
        </w:rPr>
        <w:t xml:space="preserve">ne </w:t>
      </w:r>
      <w:r w:rsidR="0064045C" w:rsidRPr="00C41BF6">
        <w:rPr>
          <w:rFonts w:eastAsia="Times New Roman"/>
          <w:i/>
          <w:sz w:val="24"/>
          <w:szCs w:val="24"/>
        </w:rPr>
        <w:t>P</w:t>
      </w:r>
      <w:r w:rsidRPr="00C41BF6">
        <w:rPr>
          <w:rFonts w:eastAsia="Times New Roman"/>
          <w:i/>
          <w:sz w:val="24"/>
          <w:szCs w:val="24"/>
        </w:rPr>
        <w:t xml:space="preserve">hysician or </w:t>
      </w:r>
      <w:r w:rsidR="0064045C" w:rsidRPr="00C41BF6">
        <w:rPr>
          <w:rFonts w:eastAsia="Times New Roman"/>
          <w:i/>
          <w:sz w:val="24"/>
          <w:szCs w:val="24"/>
        </w:rPr>
        <w:t>S</w:t>
      </w:r>
      <w:r w:rsidRPr="00C41BF6">
        <w:rPr>
          <w:rFonts w:eastAsia="Times New Roman"/>
          <w:i/>
          <w:sz w:val="24"/>
          <w:szCs w:val="24"/>
        </w:rPr>
        <w:t xml:space="preserve">urgeon for </w:t>
      </w:r>
      <w:r w:rsidR="0064045C" w:rsidRPr="00C41BF6">
        <w:rPr>
          <w:rFonts w:eastAsia="Times New Roman"/>
          <w:i/>
          <w:sz w:val="24"/>
          <w:szCs w:val="24"/>
        </w:rPr>
        <w:t>M</w:t>
      </w:r>
      <w:r w:rsidRPr="00C41BF6">
        <w:rPr>
          <w:rFonts w:eastAsia="Times New Roman"/>
          <w:i/>
          <w:sz w:val="24"/>
          <w:szCs w:val="24"/>
        </w:rPr>
        <w:t xml:space="preserve">alpractice of </w:t>
      </w:r>
      <w:r w:rsidR="0064045C" w:rsidRPr="00C41BF6">
        <w:rPr>
          <w:rFonts w:eastAsia="Times New Roman"/>
          <w:i/>
          <w:sz w:val="24"/>
          <w:szCs w:val="24"/>
        </w:rPr>
        <w:t>A</w:t>
      </w:r>
      <w:r w:rsidRPr="00C41BF6">
        <w:rPr>
          <w:rFonts w:eastAsia="Times New Roman"/>
          <w:i/>
          <w:sz w:val="24"/>
          <w:szCs w:val="24"/>
        </w:rPr>
        <w:t>nother</w:t>
      </w:r>
      <w:r w:rsidRPr="006A6C12">
        <w:rPr>
          <w:rFonts w:eastAsia="Times New Roman"/>
          <w:sz w:val="24"/>
          <w:szCs w:val="24"/>
        </w:rPr>
        <w:t>, 85 A</w:t>
      </w:r>
      <w:r w:rsidR="0064045C">
        <w:rPr>
          <w:rFonts w:eastAsia="Times New Roman"/>
          <w:sz w:val="24"/>
          <w:szCs w:val="24"/>
        </w:rPr>
        <w:t>.</w:t>
      </w:r>
      <w:r w:rsidRPr="006A6C12">
        <w:rPr>
          <w:rFonts w:eastAsia="Times New Roman"/>
          <w:sz w:val="24"/>
          <w:szCs w:val="24"/>
        </w:rPr>
        <w:t>L</w:t>
      </w:r>
      <w:r w:rsidR="0064045C">
        <w:rPr>
          <w:rFonts w:eastAsia="Times New Roman"/>
          <w:sz w:val="24"/>
          <w:szCs w:val="24"/>
        </w:rPr>
        <w:t>.</w:t>
      </w:r>
      <w:r w:rsidRPr="006A6C12">
        <w:rPr>
          <w:rFonts w:eastAsia="Times New Roman"/>
          <w:sz w:val="24"/>
          <w:szCs w:val="24"/>
        </w:rPr>
        <w:t>R</w:t>
      </w:r>
      <w:r w:rsidR="0064045C">
        <w:rPr>
          <w:rFonts w:eastAsia="Times New Roman"/>
          <w:sz w:val="24"/>
          <w:szCs w:val="24"/>
        </w:rPr>
        <w:t>.</w:t>
      </w:r>
      <w:r w:rsidRPr="006A6C12">
        <w:rPr>
          <w:rFonts w:eastAsia="Times New Roman"/>
          <w:sz w:val="24"/>
          <w:szCs w:val="24"/>
        </w:rPr>
        <w:t>2d 889</w:t>
      </w:r>
      <w:r w:rsidR="0064045C">
        <w:rPr>
          <w:rFonts w:eastAsia="Times New Roman"/>
          <w:sz w:val="24"/>
          <w:szCs w:val="24"/>
        </w:rPr>
        <w:t xml:space="preserve"> (1962);</w:t>
      </w:r>
      <w:r w:rsidRPr="006A6C12">
        <w:rPr>
          <w:rFonts w:eastAsia="Times New Roman"/>
          <w:sz w:val="24"/>
          <w:szCs w:val="24"/>
        </w:rPr>
        <w:t xml:space="preserve"> </w:t>
      </w:r>
      <w:r w:rsidR="0064045C">
        <w:rPr>
          <w:rFonts w:eastAsia="Times New Roman"/>
          <w:i/>
          <w:sz w:val="24"/>
          <w:szCs w:val="24"/>
        </w:rPr>
        <w:t>s</w:t>
      </w:r>
      <w:r w:rsidRPr="006A6C12">
        <w:rPr>
          <w:rFonts w:eastAsia="Times New Roman"/>
          <w:i/>
          <w:sz w:val="24"/>
          <w:szCs w:val="24"/>
        </w:rPr>
        <w:t>ee also</w:t>
      </w:r>
      <w:r w:rsidRPr="006A6C12">
        <w:rPr>
          <w:rFonts w:eastAsia="Times New Roman"/>
          <w:sz w:val="24"/>
          <w:szCs w:val="24"/>
        </w:rPr>
        <w:t xml:space="preserve"> Source and Authority to Instruction </w:t>
      </w:r>
      <w:r w:rsidR="0064045C">
        <w:rPr>
          <w:rFonts w:eastAsia="Times New Roman"/>
          <w:sz w:val="24"/>
          <w:szCs w:val="24"/>
        </w:rPr>
        <w:t>1</w:t>
      </w:r>
      <w:r w:rsidRPr="006A6C12">
        <w:rPr>
          <w:rFonts w:eastAsia="Times New Roman"/>
          <w:sz w:val="24"/>
          <w:szCs w:val="24"/>
        </w:rPr>
        <w:t>5:1.</w:t>
      </w:r>
    </w:p>
    <w:p w14:paraId="46F327FB" w14:textId="77777777" w:rsidR="006A6C12" w:rsidRDefault="006A6C12">
      <w:pPr>
        <w:rPr>
          <w:rFonts w:eastAsia="Times New Roman"/>
          <w:sz w:val="24"/>
          <w:szCs w:val="24"/>
        </w:rPr>
      </w:pPr>
      <w:r>
        <w:rPr>
          <w:rFonts w:eastAsia="Times New Roman"/>
          <w:sz w:val="24"/>
          <w:szCs w:val="24"/>
        </w:rPr>
        <w:br w:type="page"/>
      </w:r>
    </w:p>
    <w:p w14:paraId="79519D26" w14:textId="77777777" w:rsidR="006A6C12" w:rsidRPr="009E3DA4" w:rsidRDefault="005D235E" w:rsidP="006A6C12">
      <w:pPr>
        <w:spacing w:after="240"/>
        <w:ind w:left="720" w:hanging="720"/>
        <w:rPr>
          <w:rFonts w:eastAsia="Times New Roman"/>
          <w:b/>
          <w:sz w:val="24"/>
          <w:szCs w:val="24"/>
        </w:rPr>
      </w:pPr>
      <w:bookmarkStart w:id="6" w:name="a15_06"/>
      <w:bookmarkEnd w:id="6"/>
      <w:r w:rsidRPr="005D235E">
        <w:rPr>
          <w:rFonts w:eastAsia="Times New Roman"/>
          <w:b/>
          <w:sz w:val="24"/>
          <w:szCs w:val="24"/>
        </w:rPr>
        <w:lastRenderedPageBreak/>
        <w:t xml:space="preserve">15:6 </w:t>
      </w:r>
      <w:r w:rsidRPr="005D235E">
        <w:rPr>
          <w:rFonts w:eastAsia="Times New Roman"/>
          <w:b/>
          <w:sz w:val="24"/>
          <w:szCs w:val="24"/>
        </w:rPr>
        <w:tab/>
        <w:t>CONTRIBUTORY NEGLIGENCE OF PATIENT — DEFINED</w:t>
      </w:r>
    </w:p>
    <w:p w14:paraId="4B06BA42" w14:textId="77777777" w:rsidR="005D235E" w:rsidRPr="005D235E" w:rsidRDefault="005D235E" w:rsidP="005D235E">
      <w:pPr>
        <w:spacing w:after="240"/>
        <w:ind w:firstLine="720"/>
        <w:rPr>
          <w:rFonts w:eastAsia="Times New Roman"/>
          <w:b/>
          <w:sz w:val="24"/>
          <w:szCs w:val="24"/>
        </w:rPr>
      </w:pPr>
      <w:r w:rsidRPr="005D235E">
        <w:rPr>
          <w:rFonts w:eastAsia="Times New Roman"/>
          <w:b/>
          <w:sz w:val="24"/>
          <w:szCs w:val="24"/>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rPr>
          <w:rFonts w:eastAsia="Times New Roman"/>
          <w:sz w:val="24"/>
          <w:szCs w:val="24"/>
        </w:rPr>
      </w:pPr>
    </w:p>
    <w:p w14:paraId="77EE9868" w14:textId="77777777" w:rsidR="006A6C12" w:rsidRPr="0054263B" w:rsidRDefault="006A6C12" w:rsidP="006A6C12">
      <w:pPr>
        <w:keepNext/>
        <w:spacing w:after="240"/>
        <w:jc w:val="center"/>
        <w:rPr>
          <w:rFonts w:eastAsia="Times New Roman"/>
          <w:b/>
          <w:sz w:val="24"/>
          <w:szCs w:val="24"/>
        </w:rPr>
      </w:pPr>
      <w:r w:rsidRPr="0054263B">
        <w:rPr>
          <w:rFonts w:eastAsia="Times New Roman"/>
          <w:b/>
          <w:sz w:val="24"/>
          <w:szCs w:val="24"/>
        </w:rPr>
        <w:t>Notes on Use</w:t>
      </w:r>
    </w:p>
    <w:p w14:paraId="1759BA81"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1. Use whichever parenthesized words are appropriate.</w:t>
      </w:r>
    </w:p>
    <w:p w14:paraId="6854AFEB"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13EDA809"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C41BF6">
        <w:rPr>
          <w:rFonts w:eastAsia="Times New Roman"/>
          <w:i/>
          <w:sz w:val="24"/>
          <w:szCs w:val="24"/>
        </w:rPr>
        <w:t>See</w:t>
      </w:r>
      <w:r w:rsidRPr="005D235E">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rFonts w:eastAsia="Times New Roman"/>
          <w:i/>
          <w:sz w:val="24"/>
          <w:szCs w:val="24"/>
        </w:rPr>
        <w:t>See</w:t>
      </w:r>
      <w:r w:rsidRPr="005D235E">
        <w:rPr>
          <w:rFonts w:eastAsia="Times New Roman"/>
          <w:i/>
          <w:sz w:val="24"/>
          <w:szCs w:val="24"/>
        </w:rPr>
        <w:t xml:space="preserve"> </w:t>
      </w:r>
      <w:r w:rsidRPr="005D235E">
        <w:rPr>
          <w:rFonts w:eastAsia="Times New Roman"/>
          <w:sz w:val="24"/>
          <w:szCs w:val="24"/>
        </w:rPr>
        <w:t>Instruction 9:6.</w:t>
      </w:r>
    </w:p>
    <w:p w14:paraId="1F5416B2" w14:textId="49F104E9"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4. The defense of comparative negligence is not available when the allegedly negligent conduct of the patient created the need for medical treatment in the first place, but did not contribute to the injuries directly resulting from the negligent medical treatment itself. </w:t>
      </w:r>
      <w:r w:rsidRPr="005D235E">
        <w:rPr>
          <w:rFonts w:eastAsia="Times New Roman"/>
          <w:b/>
          <w:sz w:val="24"/>
          <w:szCs w:val="24"/>
        </w:rPr>
        <w:t>Kildahl v. Tagge</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942 P.2d 1283 (</w:t>
      </w:r>
      <w:r w:rsidR="00735ECD">
        <w:rPr>
          <w:rFonts w:eastAsia="Times New Roman"/>
          <w:sz w:val="24"/>
          <w:szCs w:val="24"/>
        </w:rPr>
        <w:t>Colo. App.</w:t>
      </w:r>
      <w:r w:rsidRPr="005D235E">
        <w:rPr>
          <w:rFonts w:eastAsia="Times New Roman"/>
          <w:sz w:val="24"/>
          <w:szCs w:val="24"/>
        </w:rPr>
        <w:t xml:space="preserve"> 1996).</w:t>
      </w:r>
    </w:p>
    <w:p w14:paraId="77F771B1"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r w:rsidRPr="005D235E">
        <w:rPr>
          <w:rFonts w:eastAsia="Times New Roman"/>
          <w:b/>
          <w:sz w:val="24"/>
          <w:szCs w:val="24"/>
        </w:rPr>
        <w:t>P.W. v. Children’s Hosp. Colo.</w:t>
      </w:r>
      <w:r w:rsidRPr="005D235E">
        <w:rPr>
          <w:rFonts w:eastAsia="Times New Roman"/>
          <w:sz w:val="24"/>
          <w:szCs w:val="24"/>
        </w:rPr>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rPr>
          <w:rFonts w:eastAsia="Times New Roman"/>
          <w:sz w:val="24"/>
          <w:szCs w:val="24"/>
        </w:rPr>
        <w:lastRenderedPageBreak/>
        <w:t xml:space="preserve">preventing the patient from attempting suicide. </w:t>
      </w:r>
      <w:r w:rsidRPr="005D235E">
        <w:rPr>
          <w:rFonts w:eastAsia="Times New Roman"/>
          <w:i/>
          <w:sz w:val="24"/>
          <w:szCs w:val="24"/>
        </w:rPr>
        <w:t>Id.</w:t>
      </w:r>
      <w:r w:rsidRPr="005D235E">
        <w:rPr>
          <w:rFonts w:eastAsia="Times New Roman"/>
          <w:sz w:val="24"/>
          <w:szCs w:val="24"/>
        </w:rPr>
        <w:t xml:space="preserve"> at ¶ 27. </w:t>
      </w:r>
      <w:r w:rsidRPr="005D235E">
        <w:rPr>
          <w:rFonts w:eastAsia="Times New Roman"/>
          <w:i/>
          <w:sz w:val="24"/>
          <w:szCs w:val="24"/>
        </w:rPr>
        <w:t>But see</w:t>
      </w:r>
      <w:r w:rsidRPr="005D235E">
        <w:rPr>
          <w:rFonts w:eastAsia="Times New Roman"/>
          <w:sz w:val="24"/>
          <w:szCs w:val="24"/>
        </w:rPr>
        <w:t xml:space="preserve"> </w:t>
      </w:r>
      <w:r w:rsidRPr="005D235E">
        <w:rPr>
          <w:rFonts w:eastAsia="Times New Roman"/>
          <w:b/>
          <w:sz w:val="24"/>
          <w:szCs w:val="24"/>
        </w:rPr>
        <w:t>Sheron v. Lutheran Med. Ctr.</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18 P.3d 796 (Colo. App. 2000) (patient who is treated by health care providers at the hospital for suicidal ideations, and who later commits suicide a day after being discharged from the hospital may be fou</w:t>
      </w:r>
      <w:r w:rsidR="0075053F">
        <w:rPr>
          <w:rFonts w:eastAsia="Times New Roman"/>
          <w:sz w:val="24"/>
          <w:szCs w:val="24"/>
        </w:rPr>
        <w:t>nd comparatively negligent).</w:t>
      </w:r>
    </w:p>
    <w:p w14:paraId="6AD19AFE" w14:textId="77777777" w:rsidR="006A6C12" w:rsidRPr="0054263B" w:rsidRDefault="006A6C12" w:rsidP="006A6C12">
      <w:pPr>
        <w:keepNext/>
        <w:spacing w:after="240"/>
        <w:jc w:val="center"/>
        <w:rPr>
          <w:rFonts w:eastAsia="Times New Roman"/>
          <w:b/>
          <w:sz w:val="24"/>
          <w:szCs w:val="24"/>
        </w:rPr>
      </w:pPr>
      <w:r>
        <w:rPr>
          <w:rFonts w:eastAsia="Times New Roman"/>
          <w:b/>
          <w:sz w:val="24"/>
          <w:szCs w:val="24"/>
        </w:rPr>
        <w:t>Source and Authority</w:t>
      </w:r>
    </w:p>
    <w:p w14:paraId="063400AE" w14:textId="7BFA058C"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This instruction is supported by </w:t>
      </w:r>
      <w:r w:rsidRPr="005D235E">
        <w:rPr>
          <w:rFonts w:eastAsia="Times New Roman"/>
          <w:b/>
          <w:sz w:val="24"/>
          <w:szCs w:val="24"/>
        </w:rPr>
        <w:t>Sheron</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18 P.3d </w:t>
      </w:r>
      <w:r w:rsidR="0099151D">
        <w:rPr>
          <w:rFonts w:eastAsia="Times New Roman"/>
          <w:sz w:val="24"/>
          <w:szCs w:val="24"/>
        </w:rPr>
        <w:t xml:space="preserve">at </w:t>
      </w:r>
      <w:r w:rsidRPr="005D235E">
        <w:rPr>
          <w:rFonts w:eastAsia="Times New Roman"/>
          <w:sz w:val="24"/>
          <w:szCs w:val="24"/>
        </w:rPr>
        <w:t>79</w:t>
      </w:r>
      <w:r w:rsidR="0099151D">
        <w:rPr>
          <w:rFonts w:eastAsia="Times New Roman"/>
          <w:sz w:val="24"/>
          <w:szCs w:val="24"/>
        </w:rPr>
        <w:t>9</w:t>
      </w:r>
      <w:r w:rsidRPr="005D235E">
        <w:rPr>
          <w:rFonts w:eastAsia="Times New Roman"/>
          <w:sz w:val="24"/>
          <w:szCs w:val="24"/>
        </w:rPr>
        <w:t xml:space="preserve">; </w:t>
      </w:r>
      <w:r w:rsidRPr="005D235E">
        <w:rPr>
          <w:rFonts w:eastAsia="Times New Roman"/>
          <w:b/>
          <w:iCs/>
          <w:sz w:val="24"/>
          <w:szCs w:val="24"/>
        </w:rPr>
        <w:t>Songer v. Bowman</w:t>
      </w:r>
      <w:r w:rsidRPr="005D235E">
        <w:rPr>
          <w:rFonts w:eastAsia="Times New Roman"/>
          <w:iCs/>
          <w:sz w:val="24"/>
          <w:szCs w:val="24"/>
        </w:rPr>
        <w:t>,</w:t>
      </w:r>
      <w:r w:rsidRPr="005D235E">
        <w:rPr>
          <w:rFonts w:eastAsia="Times New Roman"/>
          <w:i/>
          <w:sz w:val="24"/>
          <w:szCs w:val="24"/>
        </w:rPr>
        <w:t xml:space="preserve"> </w:t>
      </w:r>
      <w:r w:rsidRPr="005D235E">
        <w:rPr>
          <w:rFonts w:eastAsia="Times New Roman"/>
          <w:sz w:val="24"/>
          <w:szCs w:val="24"/>
        </w:rPr>
        <w:t>804 P.2d 261 (</w:t>
      </w:r>
      <w:r w:rsidR="00735ECD">
        <w:rPr>
          <w:rFonts w:eastAsia="Times New Roman"/>
          <w:sz w:val="24"/>
          <w:szCs w:val="24"/>
        </w:rPr>
        <w:t>Colo. App.</w:t>
      </w:r>
      <w:r w:rsidR="00DB7CDC">
        <w:rPr>
          <w:rFonts w:eastAsia="Times New Roman"/>
          <w:sz w:val="24"/>
          <w:szCs w:val="24"/>
        </w:rPr>
        <w:t xml:space="preserve"> </w:t>
      </w:r>
      <w:r w:rsidRPr="005D235E">
        <w:rPr>
          <w:rFonts w:eastAsia="Times New Roman"/>
          <w:sz w:val="24"/>
          <w:szCs w:val="24"/>
        </w:rPr>
        <w:t xml:space="preserve">1990), </w:t>
      </w:r>
      <w:r w:rsidRPr="005D235E">
        <w:rPr>
          <w:rFonts w:eastAsia="Times New Roman"/>
          <w:i/>
          <w:sz w:val="24"/>
          <w:szCs w:val="24"/>
        </w:rPr>
        <w:t>overruled on other grounds by</w:t>
      </w:r>
      <w:r w:rsidRPr="005D235E">
        <w:rPr>
          <w:rFonts w:eastAsia="Times New Roman"/>
          <w:sz w:val="24"/>
          <w:szCs w:val="24"/>
        </w:rPr>
        <w:t xml:space="preserve"> </w:t>
      </w:r>
      <w:r w:rsidRPr="005D235E">
        <w:rPr>
          <w:rFonts w:eastAsia="Times New Roman"/>
          <w:b/>
          <w:sz w:val="24"/>
          <w:szCs w:val="24"/>
        </w:rPr>
        <w:t>People v. Ramirez</w:t>
      </w:r>
      <w:r w:rsidRPr="005D235E">
        <w:rPr>
          <w:rFonts w:eastAsia="Times New Roman"/>
          <w:sz w:val="24"/>
          <w:szCs w:val="24"/>
        </w:rPr>
        <w:t xml:space="preserve">, 155 P.3d 371 (Colo. 2007); </w:t>
      </w:r>
      <w:r w:rsidR="00F6773F">
        <w:rPr>
          <w:rFonts w:eastAsia="Times New Roman"/>
          <w:sz w:val="24"/>
          <w:szCs w:val="24"/>
        </w:rPr>
        <w:t xml:space="preserve">and </w:t>
      </w:r>
      <w:r w:rsidRPr="005D235E">
        <w:rPr>
          <w:rFonts w:eastAsia="Times New Roman"/>
          <w:b/>
          <w:iCs/>
          <w:sz w:val="24"/>
          <w:szCs w:val="24"/>
        </w:rPr>
        <w:t>Blackman v. Rifkin</w:t>
      </w:r>
      <w:r w:rsidRPr="005D235E">
        <w:rPr>
          <w:rFonts w:eastAsia="Times New Roman"/>
          <w:iCs/>
          <w:sz w:val="24"/>
          <w:szCs w:val="24"/>
        </w:rPr>
        <w:t>,</w:t>
      </w:r>
      <w:r w:rsidRPr="005D235E">
        <w:rPr>
          <w:rFonts w:eastAsia="Times New Roman"/>
          <w:sz w:val="24"/>
          <w:szCs w:val="24"/>
        </w:rPr>
        <w:t xml:space="preserve"> 759 P.2d 54 (</w:t>
      </w:r>
      <w:r w:rsidR="00735ECD">
        <w:rPr>
          <w:rFonts w:eastAsia="Times New Roman"/>
          <w:sz w:val="24"/>
          <w:szCs w:val="24"/>
        </w:rPr>
        <w:t>Colo. App.</w:t>
      </w:r>
      <w:r w:rsidR="00DB7CDC">
        <w:rPr>
          <w:rFonts w:eastAsia="Times New Roman"/>
          <w:sz w:val="24"/>
          <w:szCs w:val="24"/>
        </w:rPr>
        <w:t xml:space="preserve"> </w:t>
      </w:r>
      <w:r w:rsidRPr="005D235E">
        <w:rPr>
          <w:rFonts w:eastAsia="Times New Roman"/>
          <w:sz w:val="24"/>
          <w:szCs w:val="24"/>
        </w:rPr>
        <w:t>1988)</w:t>
      </w:r>
      <w:r w:rsidR="00F6773F">
        <w:rPr>
          <w:rFonts w:eastAsia="Times New Roman"/>
          <w:sz w:val="24"/>
          <w:szCs w:val="24"/>
        </w:rPr>
        <w:t>.</w:t>
      </w:r>
      <w:r w:rsidRPr="005D235E">
        <w:rPr>
          <w:rFonts w:eastAsia="Times New Roman"/>
          <w:sz w:val="24"/>
          <w:szCs w:val="24"/>
        </w:rPr>
        <w:t xml:space="preserve"> </w:t>
      </w:r>
      <w:r w:rsidR="00F6773F" w:rsidRPr="00F6773F">
        <w:rPr>
          <w:rFonts w:eastAsia="Times New Roman"/>
          <w:i/>
          <w:sz w:val="24"/>
          <w:szCs w:val="24"/>
        </w:rPr>
        <w:t>See also</w:t>
      </w:r>
      <w:r w:rsidR="00F6773F">
        <w:rPr>
          <w:rFonts w:eastAsia="Times New Roman"/>
          <w:sz w:val="24"/>
          <w:szCs w:val="24"/>
        </w:rPr>
        <w:t xml:space="preserve"> </w:t>
      </w:r>
      <w:r w:rsidRPr="005D235E">
        <w:rPr>
          <w:rFonts w:eastAsia="Times New Roman"/>
          <w:b/>
          <w:sz w:val="24"/>
          <w:szCs w:val="24"/>
        </w:rPr>
        <w:t>Hanley v. Spencer</w:t>
      </w:r>
      <w:r w:rsidRPr="005D235E">
        <w:rPr>
          <w:rFonts w:eastAsia="Times New Roman"/>
          <w:sz w:val="24"/>
          <w:szCs w:val="24"/>
        </w:rPr>
        <w:t>, 108 Colo. 184, 115 P.2d 399 (1941)</w:t>
      </w:r>
      <w:r w:rsidR="00F6773F">
        <w:rPr>
          <w:rFonts w:eastAsia="Times New Roman"/>
          <w:sz w:val="24"/>
          <w:szCs w:val="24"/>
        </w:rPr>
        <w:t>;</w:t>
      </w:r>
      <w:r w:rsidRPr="005D235E">
        <w:rPr>
          <w:rFonts w:eastAsia="Times New Roman"/>
          <w:sz w:val="24"/>
          <w:szCs w:val="24"/>
        </w:rPr>
        <w:t xml:space="preserve"> Source and Authority to Instruction 9:6. For a discussion of the failure of a patient to follow a physician’s advice as constituting contributory negligence, see </w:t>
      </w:r>
      <w:r w:rsidRPr="005D235E">
        <w:rPr>
          <w:rFonts w:eastAsia="Times New Roman"/>
          <w:b/>
          <w:sz w:val="24"/>
          <w:szCs w:val="24"/>
        </w:rPr>
        <w:t>McGraw v. Kerr</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23 </w:t>
      </w:r>
      <w:r w:rsidR="00735ECD">
        <w:rPr>
          <w:rFonts w:eastAsia="Times New Roman"/>
          <w:sz w:val="24"/>
          <w:szCs w:val="24"/>
        </w:rPr>
        <w:t>Colo. App.</w:t>
      </w:r>
      <w:r w:rsidRPr="005D235E">
        <w:rPr>
          <w:rFonts w:eastAsia="Times New Roman"/>
          <w:sz w:val="24"/>
          <w:szCs w:val="24"/>
        </w:rPr>
        <w:t xml:space="preserve"> 163, 128 P. 870 (1912). </w:t>
      </w:r>
      <w:r w:rsidRPr="005D235E">
        <w:rPr>
          <w:rFonts w:eastAsia="Times New Roman"/>
          <w:i/>
          <w:sz w:val="24"/>
          <w:szCs w:val="24"/>
        </w:rPr>
        <w:t>See also</w:t>
      </w:r>
      <w:r w:rsidRPr="005D235E">
        <w:rPr>
          <w:rFonts w:eastAsia="Times New Roman"/>
          <w:sz w:val="24"/>
          <w:szCs w:val="24"/>
        </w:rPr>
        <w:t xml:space="preserve"> </w:t>
      </w:r>
      <w:r w:rsidRPr="005D235E">
        <w:rPr>
          <w:rFonts w:eastAsia="Times New Roman"/>
          <w:b/>
          <w:sz w:val="24"/>
          <w:szCs w:val="24"/>
        </w:rPr>
        <w:t>Hanley</w:t>
      </w:r>
      <w:r w:rsidRPr="005D235E">
        <w:rPr>
          <w:rFonts w:eastAsia="Times New Roman"/>
          <w:sz w:val="24"/>
          <w:szCs w:val="24"/>
        </w:rPr>
        <w:t xml:space="preserve">, 108 Colo. </w:t>
      </w:r>
      <w:r w:rsidR="00F6773F">
        <w:rPr>
          <w:rFonts w:eastAsia="Times New Roman"/>
          <w:sz w:val="24"/>
          <w:szCs w:val="24"/>
        </w:rPr>
        <w:t xml:space="preserve">at </w:t>
      </w:r>
      <w:r w:rsidRPr="005D235E">
        <w:rPr>
          <w:rFonts w:eastAsia="Times New Roman"/>
          <w:sz w:val="24"/>
          <w:szCs w:val="24"/>
        </w:rPr>
        <w:t>18</w:t>
      </w:r>
      <w:r w:rsidR="00F6773F">
        <w:rPr>
          <w:rFonts w:eastAsia="Times New Roman"/>
          <w:sz w:val="24"/>
          <w:szCs w:val="24"/>
        </w:rPr>
        <w:t>7</w:t>
      </w:r>
      <w:r w:rsidRPr="005D235E">
        <w:rPr>
          <w:rFonts w:eastAsia="Times New Roman"/>
          <w:sz w:val="24"/>
          <w:szCs w:val="24"/>
        </w:rPr>
        <w:t xml:space="preserve">, 115 P.2d </w:t>
      </w:r>
      <w:r w:rsidR="00F6773F">
        <w:rPr>
          <w:rFonts w:eastAsia="Times New Roman"/>
          <w:sz w:val="24"/>
          <w:szCs w:val="24"/>
        </w:rPr>
        <w:t>at 400</w:t>
      </w:r>
      <w:r w:rsidRPr="005D235E">
        <w:rPr>
          <w:rFonts w:eastAsia="Times New Roman"/>
          <w:sz w:val="24"/>
          <w:szCs w:val="24"/>
        </w:rPr>
        <w:t xml:space="preserve">; </w:t>
      </w:r>
      <w:r w:rsidRPr="005D235E">
        <w:rPr>
          <w:rFonts w:eastAsia="Times New Roman"/>
          <w:b/>
          <w:sz w:val="24"/>
          <w:szCs w:val="24"/>
        </w:rPr>
        <w:t>Pearson v. Norman</w:t>
      </w:r>
      <w:r w:rsidRPr="005D235E">
        <w:rPr>
          <w:rFonts w:eastAsia="Times New Roman"/>
          <w:sz w:val="24"/>
          <w:szCs w:val="24"/>
        </w:rPr>
        <w:t xml:space="preserve">, 106 Colo. 396, 106 P.2d 361 (1940); </w:t>
      </w:r>
      <w:r w:rsidRPr="005D235E">
        <w:rPr>
          <w:rFonts w:eastAsia="Times New Roman"/>
          <w:b/>
          <w:sz w:val="24"/>
          <w:szCs w:val="24"/>
        </w:rPr>
        <w:t>Sheron</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18 P.3d </w:t>
      </w:r>
      <w:r w:rsidR="0099151D">
        <w:rPr>
          <w:rFonts w:eastAsia="Times New Roman"/>
          <w:sz w:val="24"/>
          <w:szCs w:val="24"/>
        </w:rPr>
        <w:t>at 801</w:t>
      </w:r>
      <w:r w:rsidRPr="005D235E">
        <w:rPr>
          <w:rFonts w:eastAsia="Times New Roman"/>
          <w:sz w:val="24"/>
          <w:szCs w:val="24"/>
        </w:rPr>
        <w:t>.</w:t>
      </w:r>
      <w:r w:rsidRPr="005D235E">
        <w:rPr>
          <w:rFonts w:eastAsia="Times New Roman"/>
          <w:sz w:val="24"/>
          <w:szCs w:val="24"/>
        </w:rPr>
        <w:tab/>
      </w:r>
    </w:p>
    <w:p w14:paraId="140AD72D" w14:textId="77777777" w:rsidR="008E0583" w:rsidRDefault="008E0583">
      <w:pPr>
        <w:rPr>
          <w:rFonts w:eastAsia="Times New Roman"/>
          <w:sz w:val="24"/>
          <w:szCs w:val="24"/>
        </w:rPr>
      </w:pPr>
      <w:r>
        <w:rPr>
          <w:rFonts w:eastAsia="Times New Roman"/>
          <w:sz w:val="24"/>
          <w:szCs w:val="24"/>
        </w:rPr>
        <w:br w:type="page"/>
      </w:r>
    </w:p>
    <w:p w14:paraId="7EED8327" w14:textId="77777777" w:rsidR="008E0583" w:rsidRDefault="008E0583" w:rsidP="008E0583">
      <w:pPr>
        <w:spacing w:after="240"/>
        <w:jc w:val="center"/>
        <w:rPr>
          <w:rFonts w:eastAsia="Times New Roman"/>
          <w:b/>
          <w:sz w:val="24"/>
          <w:szCs w:val="24"/>
        </w:rPr>
      </w:pPr>
      <w:r w:rsidRPr="008E0583">
        <w:rPr>
          <w:rFonts w:eastAsia="Times New Roman"/>
          <w:b/>
          <w:sz w:val="24"/>
          <w:szCs w:val="24"/>
        </w:rPr>
        <w:lastRenderedPageBreak/>
        <w:t>B. BATTERY</w:t>
      </w:r>
    </w:p>
    <w:p w14:paraId="78CD7D01" w14:textId="77777777" w:rsidR="008E0583" w:rsidRPr="009E3DA4" w:rsidRDefault="008E0583" w:rsidP="008E0583">
      <w:pPr>
        <w:spacing w:after="240"/>
        <w:ind w:left="720" w:hanging="720"/>
        <w:rPr>
          <w:rFonts w:eastAsia="Times New Roman"/>
          <w:b/>
          <w:sz w:val="24"/>
          <w:szCs w:val="24"/>
        </w:rPr>
      </w:pPr>
      <w:bookmarkStart w:id="7" w:name="a15_07"/>
      <w:bookmarkEnd w:id="7"/>
      <w:r w:rsidRPr="008E0583">
        <w:rPr>
          <w:rFonts w:eastAsia="Times New Roman"/>
          <w:b/>
          <w:sz w:val="24"/>
          <w:szCs w:val="24"/>
        </w:rPr>
        <w:t xml:space="preserve">15:7 </w:t>
      </w:r>
      <w:r w:rsidRPr="008E0583">
        <w:rPr>
          <w:rFonts w:eastAsia="Times New Roman"/>
          <w:b/>
          <w:sz w:val="24"/>
          <w:szCs w:val="24"/>
        </w:rPr>
        <w:tab/>
        <w:t>OPERATION OR TREATMENT WITHOUT CONSENT OF PATIENT</w:t>
      </w:r>
    </w:p>
    <w:p w14:paraId="7E4189B8" w14:textId="77777777" w:rsidR="008E0583" w:rsidRPr="008E0583" w:rsidRDefault="008E0583" w:rsidP="008E0583">
      <w:pPr>
        <w:spacing w:after="240"/>
        <w:ind w:firstLine="720"/>
        <w:rPr>
          <w:rFonts w:eastAsia="Times New Roman"/>
          <w:b/>
          <w:sz w:val="24"/>
          <w:szCs w:val="24"/>
        </w:rPr>
      </w:pPr>
      <w:r w:rsidRPr="008E0583">
        <w:rPr>
          <w:rFonts w:eastAsia="Times New Roman"/>
          <w:b/>
          <w:sz w:val="24"/>
          <w:szCs w:val="24"/>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rFonts w:eastAsia="Times New Roman"/>
          <w:b/>
          <w:sz w:val="24"/>
          <w:szCs w:val="24"/>
        </w:rPr>
      </w:pPr>
      <w:r w:rsidRPr="008E0583">
        <w:rPr>
          <w:rFonts w:eastAsia="Times New Roman"/>
          <w:b/>
          <w:sz w:val="24"/>
          <w:szCs w:val="24"/>
        </w:rPr>
        <w:t>(If a patient consents to a certain [operation] [procedure] [or] [treatment], and the physician performs a different [operation] [procedure] [or] [treatment] without the patient’s consent, the physician commits a battery and is responsible to the patient for the damages, if any, caused by the [operation] [procedure] [or] [treatment]).</w:t>
      </w:r>
    </w:p>
    <w:p w14:paraId="3709EF32" w14:textId="77777777" w:rsidR="008E0583" w:rsidRDefault="008E0583" w:rsidP="008E0583">
      <w:pPr>
        <w:jc w:val="center"/>
        <w:rPr>
          <w:rFonts w:eastAsia="Times New Roman"/>
          <w:sz w:val="24"/>
          <w:szCs w:val="24"/>
        </w:rPr>
      </w:pPr>
    </w:p>
    <w:p w14:paraId="132A2B61" w14:textId="77777777" w:rsidR="008E0583" w:rsidRPr="0054263B" w:rsidRDefault="008E0583" w:rsidP="008E0583">
      <w:pPr>
        <w:keepNext/>
        <w:spacing w:after="240"/>
        <w:jc w:val="center"/>
        <w:rPr>
          <w:rFonts w:eastAsia="Times New Roman"/>
          <w:b/>
          <w:sz w:val="24"/>
          <w:szCs w:val="24"/>
        </w:rPr>
      </w:pPr>
      <w:r w:rsidRPr="0054263B">
        <w:rPr>
          <w:rFonts w:eastAsia="Times New Roman"/>
          <w:b/>
          <w:sz w:val="24"/>
          <w:szCs w:val="24"/>
        </w:rPr>
        <w:t>Notes on Use</w:t>
      </w:r>
    </w:p>
    <w:p w14:paraId="53CEF663" w14:textId="63785BFE"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1. “The law in Colorado distinguishes between an action based on no consent (battery) </w:t>
      </w:r>
      <w:r w:rsidR="007534B5">
        <w:rPr>
          <w:rFonts w:eastAsia="Times New Roman"/>
          <w:sz w:val="24"/>
          <w:szCs w:val="24"/>
        </w:rPr>
        <w:t>[</w:t>
      </w:r>
      <w:r w:rsidRPr="008E0583">
        <w:rPr>
          <w:rFonts w:eastAsia="Times New Roman"/>
          <w:sz w:val="24"/>
          <w:szCs w:val="24"/>
        </w:rPr>
        <w:t xml:space="preserve">Instructions 15:7-15:9] and one based on lack of informed consent </w:t>
      </w:r>
      <w:r w:rsidR="007534B5">
        <w:rPr>
          <w:rFonts w:eastAsia="Times New Roman"/>
          <w:sz w:val="24"/>
          <w:szCs w:val="24"/>
        </w:rPr>
        <w:t>[</w:t>
      </w:r>
      <w:r w:rsidRPr="008E0583">
        <w:rPr>
          <w:rFonts w:eastAsia="Times New Roman"/>
          <w:sz w:val="24"/>
          <w:szCs w:val="24"/>
        </w:rPr>
        <w:t xml:space="preserve">Instructions 15:10-15:13].” </w:t>
      </w:r>
      <w:r w:rsidRPr="008E0583">
        <w:rPr>
          <w:rFonts w:eastAsia="Times New Roman"/>
          <w:b/>
          <w:sz w:val="24"/>
          <w:szCs w:val="24"/>
        </w:rPr>
        <w:t>Blades v. DaFoe</w:t>
      </w:r>
      <w:r w:rsidRPr="008E0583">
        <w:rPr>
          <w:rFonts w:eastAsia="Times New Roman"/>
          <w:sz w:val="24"/>
          <w:szCs w:val="24"/>
        </w:rPr>
        <w:t>, 666 P.2d 1126, 1129 (</w:t>
      </w:r>
      <w:r w:rsidR="00735ECD">
        <w:rPr>
          <w:rFonts w:eastAsia="Times New Roman"/>
          <w:sz w:val="24"/>
          <w:szCs w:val="24"/>
        </w:rPr>
        <w:t>Colo. App.</w:t>
      </w:r>
      <w:r w:rsidRPr="008E0583">
        <w:rPr>
          <w:rFonts w:eastAsia="Times New Roman"/>
          <w:sz w:val="24"/>
          <w:szCs w:val="24"/>
        </w:rPr>
        <w:t xml:space="preserve"> 1983), </w:t>
      </w:r>
      <w:r w:rsidRPr="008E0583">
        <w:rPr>
          <w:rFonts w:eastAsia="Times New Roman"/>
          <w:i/>
          <w:sz w:val="24"/>
          <w:szCs w:val="24"/>
        </w:rPr>
        <w:t>rev’d on other grounds</w:t>
      </w:r>
      <w:r w:rsidRPr="008E0583">
        <w:rPr>
          <w:rFonts w:eastAsia="Times New Roman"/>
          <w:sz w:val="24"/>
          <w:szCs w:val="24"/>
        </w:rPr>
        <w:t>, 704 P.2d 317 (Colo. 1985)</w:t>
      </w:r>
      <w:r w:rsidR="00251C50">
        <w:rPr>
          <w:rFonts w:eastAsia="Times New Roman"/>
          <w:sz w:val="24"/>
          <w:szCs w:val="24"/>
        </w:rPr>
        <w:t>;</w:t>
      </w:r>
      <w:r w:rsidRPr="008E0583">
        <w:rPr>
          <w:rFonts w:eastAsia="Times New Roman"/>
          <w:sz w:val="24"/>
          <w:szCs w:val="24"/>
        </w:rPr>
        <w:t xml:space="preserve"> </w:t>
      </w:r>
      <w:r w:rsidR="00251C50">
        <w:rPr>
          <w:rFonts w:eastAsia="Times New Roman"/>
          <w:i/>
          <w:sz w:val="24"/>
          <w:szCs w:val="24"/>
        </w:rPr>
        <w:t>s</w:t>
      </w:r>
      <w:r w:rsidRPr="008E0583">
        <w:rPr>
          <w:rFonts w:eastAsia="Times New Roman"/>
          <w:i/>
          <w:sz w:val="24"/>
          <w:szCs w:val="24"/>
        </w:rPr>
        <w:t>ee also</w:t>
      </w:r>
      <w:r w:rsidRPr="008E0583">
        <w:rPr>
          <w:rFonts w:eastAsia="Times New Roman"/>
          <w:sz w:val="24"/>
          <w:szCs w:val="24"/>
        </w:rPr>
        <w:t xml:space="preserve"> </w:t>
      </w:r>
      <w:r w:rsidRPr="008E0583">
        <w:rPr>
          <w:rFonts w:eastAsia="Times New Roman"/>
          <w:b/>
          <w:sz w:val="24"/>
          <w:szCs w:val="24"/>
        </w:rPr>
        <w:t>Espander v. Cramer</w:t>
      </w:r>
      <w:r w:rsidRPr="008E0583">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8E0583">
        <w:rPr>
          <w:rFonts w:eastAsia="Times New Roman"/>
          <w:sz w:val="24"/>
          <w:szCs w:val="24"/>
        </w:rPr>
        <w:t>1995). Consequently, if the plaintiff is making a claim only on the basis of the lack of “informed consent,” the instructions in subpart C of this Part I should be used rather than this instruction. If the plaintiff is making a claim on the basis of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2. Note 2 of </w:t>
      </w:r>
      <w:r w:rsidR="00226215">
        <w:rPr>
          <w:rFonts w:eastAsia="Times New Roman"/>
          <w:sz w:val="24"/>
          <w:szCs w:val="24"/>
        </w:rPr>
        <w:t xml:space="preserve">the </w:t>
      </w:r>
      <w:r w:rsidRPr="008E0583">
        <w:rPr>
          <w:rFonts w:eastAsia="Times New Roman"/>
          <w:sz w:val="24"/>
          <w:szCs w:val="24"/>
        </w:rPr>
        <w:t>Note</w:t>
      </w:r>
      <w:r w:rsidR="00226215">
        <w:rPr>
          <w:rFonts w:eastAsia="Times New Roman"/>
          <w:sz w:val="24"/>
          <w:szCs w:val="24"/>
        </w:rPr>
        <w:t>s</w:t>
      </w:r>
      <w:r w:rsidRPr="008E0583">
        <w:rPr>
          <w:rFonts w:eastAsia="Times New Roman"/>
          <w:sz w:val="24"/>
          <w:szCs w:val="24"/>
        </w:rPr>
        <w:t xml:space="preserve"> on Use to Instruction 15:2 </w:t>
      </w:r>
      <w:r w:rsidR="00226215">
        <w:rPr>
          <w:rFonts w:eastAsia="Times New Roman"/>
          <w:sz w:val="24"/>
          <w:szCs w:val="24"/>
        </w:rPr>
        <w:t>is</w:t>
      </w:r>
      <w:r w:rsidRPr="008E0583">
        <w:rPr>
          <w:rFonts w:eastAsia="Times New Roman"/>
          <w:sz w:val="24"/>
          <w:szCs w:val="24"/>
        </w:rPr>
        <w:t xml:space="preserve"> also applicable to this instruction.</w:t>
      </w:r>
    </w:p>
    <w:p w14:paraId="35E96BA2" w14:textId="77777777" w:rsidR="008E0583" w:rsidRPr="008E0583" w:rsidRDefault="008E0583" w:rsidP="008E0583">
      <w:pPr>
        <w:spacing w:after="240"/>
        <w:ind w:firstLine="720"/>
        <w:rPr>
          <w:rFonts w:eastAsia="Times New Roman"/>
          <w:sz w:val="24"/>
          <w:szCs w:val="24"/>
        </w:rPr>
      </w:pPr>
      <w:r w:rsidRPr="008E0583">
        <w:rPr>
          <w:rFonts w:eastAsia="Times New Roman"/>
          <w:sz w:val="24"/>
          <w:szCs w:val="24"/>
        </w:rPr>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rPr>
          <w:rFonts w:eastAsia="Times New Roman"/>
          <w:sz w:val="24"/>
          <w:szCs w:val="24"/>
        </w:rPr>
      </w:pPr>
      <w:r w:rsidRPr="008E0583">
        <w:rPr>
          <w:rFonts w:eastAsia="Times New Roman"/>
          <w:sz w:val="24"/>
          <w:szCs w:val="24"/>
        </w:rPr>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5. This instruction must be appropriately modified in situations covered by </w:t>
      </w:r>
      <w:r w:rsidR="00226215">
        <w:rPr>
          <w:rFonts w:eastAsia="Times New Roman"/>
          <w:sz w:val="24"/>
          <w:szCs w:val="24"/>
        </w:rPr>
        <w:t>section</w:t>
      </w:r>
      <w:r w:rsidRPr="008E0583">
        <w:rPr>
          <w:rFonts w:eastAsia="Times New Roman"/>
          <w:sz w:val="24"/>
          <w:szCs w:val="24"/>
        </w:rPr>
        <w:t xml:space="preserve"> 13-21-108, C.R.S. (“Good Samaritan” statute), or other similar statutes.</w:t>
      </w:r>
    </w:p>
    <w:p w14:paraId="58CECC1D" w14:textId="77777777" w:rsidR="008E0583" w:rsidRPr="0054263B" w:rsidRDefault="008E0583" w:rsidP="008E0583">
      <w:pPr>
        <w:keepNext/>
        <w:spacing w:after="240"/>
        <w:jc w:val="center"/>
        <w:rPr>
          <w:rFonts w:eastAsia="Times New Roman"/>
          <w:b/>
          <w:sz w:val="24"/>
          <w:szCs w:val="24"/>
        </w:rPr>
      </w:pPr>
      <w:r>
        <w:rPr>
          <w:rFonts w:eastAsia="Times New Roman"/>
          <w:b/>
          <w:sz w:val="24"/>
          <w:szCs w:val="24"/>
        </w:rPr>
        <w:t>Source and Authority</w:t>
      </w:r>
    </w:p>
    <w:p w14:paraId="10796442" w14:textId="01FCD411"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This instruction is supported by </w:t>
      </w:r>
      <w:r w:rsidRPr="008E0583">
        <w:rPr>
          <w:rFonts w:eastAsia="Times New Roman"/>
          <w:b/>
          <w:iCs/>
          <w:sz w:val="24"/>
          <w:szCs w:val="24"/>
        </w:rPr>
        <w:t>Bloskas v. Murray</w:t>
      </w:r>
      <w:r w:rsidRPr="008E0583">
        <w:rPr>
          <w:rFonts w:eastAsia="Times New Roman"/>
          <w:iCs/>
          <w:sz w:val="24"/>
          <w:szCs w:val="24"/>
        </w:rPr>
        <w:t>,</w:t>
      </w:r>
      <w:r w:rsidRPr="008E0583">
        <w:rPr>
          <w:rFonts w:eastAsia="Times New Roman"/>
          <w:sz w:val="24"/>
          <w:szCs w:val="24"/>
        </w:rPr>
        <w:t xml:space="preserve"> 646 P.2d 907 (Colo.</w:t>
      </w:r>
      <w:r w:rsidR="0029273E">
        <w:rPr>
          <w:rFonts w:eastAsia="Times New Roman"/>
          <w:sz w:val="24"/>
          <w:szCs w:val="24"/>
        </w:rPr>
        <w:t xml:space="preserve"> </w:t>
      </w:r>
      <w:r w:rsidRPr="008E0583">
        <w:rPr>
          <w:rFonts w:eastAsia="Times New Roman"/>
          <w:sz w:val="24"/>
          <w:szCs w:val="24"/>
        </w:rPr>
        <w:t xml:space="preserve">1982); </w:t>
      </w:r>
      <w:r w:rsidRPr="008E0583">
        <w:rPr>
          <w:rFonts w:eastAsia="Times New Roman"/>
          <w:b/>
          <w:sz w:val="24"/>
          <w:szCs w:val="24"/>
        </w:rPr>
        <w:t>Maercklein v. Smith</w:t>
      </w:r>
      <w:r w:rsidRPr="008E0583">
        <w:rPr>
          <w:rFonts w:eastAsia="Times New Roman"/>
          <w:sz w:val="24"/>
          <w:szCs w:val="24"/>
        </w:rPr>
        <w:t xml:space="preserve">, 129 Colo. 72, 266 P.2d 1095 (1954); </w:t>
      </w:r>
      <w:r w:rsidR="00226215">
        <w:rPr>
          <w:rFonts w:eastAsia="Times New Roman"/>
          <w:sz w:val="24"/>
          <w:szCs w:val="24"/>
        </w:rPr>
        <w:t xml:space="preserve">and </w:t>
      </w:r>
      <w:r w:rsidRPr="008E0583">
        <w:rPr>
          <w:rFonts w:eastAsia="Times New Roman"/>
          <w:b/>
          <w:sz w:val="24"/>
          <w:szCs w:val="24"/>
        </w:rPr>
        <w:t>Espander v. Cramer</w:t>
      </w:r>
      <w:r w:rsidRPr="008E0583">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8E0583">
        <w:rPr>
          <w:rFonts w:eastAsia="Times New Roman"/>
          <w:sz w:val="24"/>
          <w:szCs w:val="24"/>
        </w:rPr>
        <w:t>1995).</w:t>
      </w:r>
    </w:p>
    <w:p w14:paraId="1C07E4C9" w14:textId="77777777" w:rsidR="008E0583" w:rsidRDefault="008E0583">
      <w:pPr>
        <w:rPr>
          <w:rFonts w:eastAsia="Times New Roman"/>
          <w:sz w:val="24"/>
          <w:szCs w:val="24"/>
        </w:rPr>
      </w:pPr>
      <w:r>
        <w:rPr>
          <w:rFonts w:eastAsia="Times New Roman"/>
          <w:sz w:val="24"/>
          <w:szCs w:val="24"/>
        </w:rPr>
        <w:br w:type="page"/>
      </w:r>
    </w:p>
    <w:p w14:paraId="75E0BE52" w14:textId="77777777" w:rsidR="008E0583" w:rsidRPr="009E3DA4" w:rsidRDefault="009220D2" w:rsidP="008E0583">
      <w:pPr>
        <w:spacing w:after="240"/>
        <w:ind w:left="720" w:hanging="720"/>
        <w:rPr>
          <w:rFonts w:eastAsia="Times New Roman"/>
          <w:b/>
          <w:sz w:val="24"/>
          <w:szCs w:val="24"/>
        </w:rPr>
      </w:pPr>
      <w:bookmarkStart w:id="8" w:name="a15_08"/>
      <w:bookmarkEnd w:id="8"/>
      <w:r w:rsidRPr="009220D2">
        <w:rPr>
          <w:rFonts w:eastAsia="Times New Roman"/>
          <w:b/>
          <w:sz w:val="24"/>
          <w:szCs w:val="24"/>
        </w:rPr>
        <w:lastRenderedPageBreak/>
        <w:t xml:space="preserve">15:8 </w:t>
      </w:r>
      <w:r w:rsidRPr="009220D2">
        <w:rPr>
          <w:rFonts w:eastAsia="Times New Roman"/>
          <w:b/>
          <w:sz w:val="24"/>
          <w:szCs w:val="24"/>
        </w:rPr>
        <w:tab/>
        <w:t>AFFIRMATIVE DEFENSE — CONSENT, EXPRESS OR IMPLIED</w:t>
      </w:r>
    </w:p>
    <w:p w14:paraId="49F23EAF"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The defendant, </w:t>
      </w:r>
      <w:r w:rsidRPr="009220D2">
        <w:rPr>
          <w:rFonts w:eastAsia="Times New Roman"/>
          <w:i/>
          <w:sz w:val="24"/>
          <w:szCs w:val="24"/>
        </w:rPr>
        <w:t>(name)</w:t>
      </w:r>
      <w:r w:rsidRPr="009220D2">
        <w:rPr>
          <w:rFonts w:eastAsia="Times New Roman"/>
          <w:b/>
          <w:sz w:val="24"/>
          <w:szCs w:val="24"/>
        </w:rPr>
        <w:t xml:space="preserve">, is not legally responsible to the plaintiff, </w:t>
      </w:r>
      <w:r w:rsidRPr="009220D2">
        <w:rPr>
          <w:rFonts w:eastAsia="Times New Roman"/>
          <w:i/>
          <w:sz w:val="24"/>
          <w:szCs w:val="24"/>
        </w:rPr>
        <w:t>(name)</w:t>
      </w:r>
      <w:r w:rsidRPr="009220D2">
        <w:rPr>
          <w:rFonts w:eastAsia="Times New Roman"/>
          <w:b/>
          <w:sz w:val="24"/>
          <w:szCs w:val="24"/>
        </w:rPr>
        <w:t>, on (his) (her)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Express consent may be given orally or in writing. Implied consent means words or conduct of the plaintiff that led the defendant reasonably to believe that the plaintiff was consenting to the (operation) (treatment).</w:t>
      </w:r>
    </w:p>
    <w:p w14:paraId="6D1C548F" w14:textId="77777777" w:rsidR="008E0583" w:rsidRDefault="008E0583" w:rsidP="008E0583">
      <w:pPr>
        <w:jc w:val="center"/>
        <w:rPr>
          <w:rFonts w:eastAsia="Times New Roman"/>
          <w:sz w:val="24"/>
          <w:szCs w:val="24"/>
        </w:rPr>
      </w:pPr>
    </w:p>
    <w:p w14:paraId="72E4DCDE" w14:textId="77777777" w:rsidR="008E0583" w:rsidRPr="0054263B" w:rsidRDefault="008E0583" w:rsidP="008E0583">
      <w:pPr>
        <w:keepNext/>
        <w:spacing w:after="240"/>
        <w:jc w:val="center"/>
        <w:rPr>
          <w:rFonts w:eastAsia="Times New Roman"/>
          <w:b/>
          <w:sz w:val="24"/>
          <w:szCs w:val="24"/>
        </w:rPr>
      </w:pPr>
      <w:r w:rsidRPr="0054263B">
        <w:rPr>
          <w:rFonts w:eastAsia="Times New Roman"/>
          <w:b/>
          <w:sz w:val="24"/>
          <w:szCs w:val="24"/>
        </w:rPr>
        <w:t>Notes on Use</w:t>
      </w:r>
    </w:p>
    <w:p w14:paraId="50FA38A5" w14:textId="5B319F5B"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In certain cases involving minors, </w:t>
      </w:r>
      <w:r w:rsidR="00226215" w:rsidRPr="00226215">
        <w:rPr>
          <w:rFonts w:eastAsia="Times New Roman"/>
          <w:i/>
          <w:sz w:val="24"/>
          <w:szCs w:val="24"/>
        </w:rPr>
        <w:t>see</w:t>
      </w:r>
      <w:r w:rsidR="00226215">
        <w:rPr>
          <w:rFonts w:eastAsia="Times New Roman"/>
          <w:sz w:val="24"/>
          <w:szCs w:val="24"/>
        </w:rPr>
        <w:t xml:space="preserve"> </w:t>
      </w:r>
      <w:r w:rsidRPr="009220D2">
        <w:rPr>
          <w:rFonts w:eastAsia="Times New Roman"/>
          <w:sz w:val="24"/>
          <w:szCs w:val="24"/>
        </w:rPr>
        <w:t>§§ 13-22-101</w:t>
      </w:r>
      <w:r w:rsidR="00226215">
        <w:rPr>
          <w:rFonts w:eastAsia="Times New Roman"/>
          <w:sz w:val="24"/>
          <w:szCs w:val="24"/>
        </w:rPr>
        <w:t xml:space="preserve"> to -</w:t>
      </w:r>
      <w:r w:rsidRPr="009220D2">
        <w:rPr>
          <w:rFonts w:eastAsia="Times New Roman"/>
          <w:sz w:val="24"/>
          <w:szCs w:val="24"/>
        </w:rPr>
        <w:t>106</w:t>
      </w:r>
      <w:r w:rsidR="00226215">
        <w:rPr>
          <w:rFonts w:eastAsia="Times New Roman"/>
          <w:sz w:val="24"/>
          <w:szCs w:val="24"/>
        </w:rPr>
        <w:t>,</w:t>
      </w:r>
      <w:r w:rsidRPr="009220D2">
        <w:rPr>
          <w:rFonts w:eastAsia="Times New Roman"/>
          <w:sz w:val="24"/>
          <w:szCs w:val="24"/>
        </w:rPr>
        <w:t xml:space="preserve"> 13-20-403, C.R.S., </w:t>
      </w:r>
      <w:r w:rsidR="00226215">
        <w:rPr>
          <w:rFonts w:eastAsia="Times New Roman"/>
          <w:sz w:val="24"/>
          <w:szCs w:val="24"/>
        </w:rPr>
        <w:t xml:space="preserve">this instruction </w:t>
      </w:r>
      <w:r w:rsidRPr="009220D2">
        <w:rPr>
          <w:rFonts w:eastAsia="Times New Roman"/>
          <w:sz w:val="24"/>
          <w:szCs w:val="24"/>
        </w:rPr>
        <w:t>may require modifications.</w:t>
      </w:r>
    </w:p>
    <w:p w14:paraId="2A5BDF7E"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or phrases are appropriate.</w:t>
      </w:r>
    </w:p>
    <w:p w14:paraId="2199BE8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rFonts w:eastAsia="Times New Roman"/>
          <w:b/>
          <w:sz w:val="24"/>
          <w:szCs w:val="24"/>
        </w:rPr>
      </w:pPr>
      <w:r>
        <w:rPr>
          <w:rFonts w:eastAsia="Times New Roman"/>
          <w:b/>
          <w:sz w:val="24"/>
          <w:szCs w:val="24"/>
        </w:rPr>
        <w:t>Source and Authority</w:t>
      </w:r>
    </w:p>
    <w:p w14:paraId="1321B541"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This instruction is supported by </w:t>
      </w:r>
      <w:r w:rsidRPr="009220D2">
        <w:rPr>
          <w:rFonts w:eastAsia="Times New Roman"/>
          <w:b/>
          <w:sz w:val="24"/>
          <w:szCs w:val="24"/>
        </w:rPr>
        <w:t>Maercklein v. Smith</w:t>
      </w:r>
      <w:r w:rsidRPr="009220D2">
        <w:rPr>
          <w:rFonts w:eastAsia="Times New Roman"/>
          <w:sz w:val="24"/>
          <w:szCs w:val="24"/>
        </w:rPr>
        <w:t>, 129 Colo. 72, 266 P.2d 1095 (1954).</w:t>
      </w:r>
    </w:p>
    <w:p w14:paraId="0F334C78" w14:textId="77777777" w:rsidR="009220D2" w:rsidRDefault="009220D2">
      <w:pPr>
        <w:rPr>
          <w:rFonts w:eastAsia="Times New Roman"/>
          <w:sz w:val="24"/>
          <w:szCs w:val="24"/>
        </w:rPr>
      </w:pPr>
      <w:r>
        <w:rPr>
          <w:rFonts w:eastAsia="Times New Roman"/>
          <w:sz w:val="24"/>
          <w:szCs w:val="24"/>
        </w:rPr>
        <w:br w:type="page"/>
      </w:r>
    </w:p>
    <w:p w14:paraId="3E094081" w14:textId="77777777" w:rsidR="009220D2" w:rsidRPr="009E3DA4" w:rsidRDefault="009220D2" w:rsidP="009220D2">
      <w:pPr>
        <w:spacing w:after="240"/>
        <w:ind w:left="720" w:hanging="720"/>
        <w:rPr>
          <w:rFonts w:eastAsia="Times New Roman"/>
          <w:b/>
          <w:sz w:val="24"/>
          <w:szCs w:val="24"/>
        </w:rPr>
      </w:pPr>
      <w:bookmarkStart w:id="9" w:name="a15_09"/>
      <w:bookmarkEnd w:id="9"/>
      <w:r w:rsidRPr="009220D2">
        <w:rPr>
          <w:rFonts w:eastAsia="Times New Roman"/>
          <w:b/>
          <w:sz w:val="24"/>
          <w:szCs w:val="24"/>
        </w:rPr>
        <w:lastRenderedPageBreak/>
        <w:t xml:space="preserve">15:9 </w:t>
      </w:r>
      <w:r w:rsidRPr="009220D2">
        <w:rPr>
          <w:rFonts w:eastAsia="Times New Roman"/>
          <w:b/>
          <w:sz w:val="24"/>
          <w:szCs w:val="24"/>
        </w:rPr>
        <w:tab/>
        <w:t>AFFIRMATIVE DEFENSE — IMPLIED CONSENT BASED ON EMERGENCY</w:t>
      </w:r>
    </w:p>
    <w:p w14:paraId="03FC757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The defendant, </w:t>
      </w:r>
      <w:r w:rsidRPr="009220D2">
        <w:rPr>
          <w:rFonts w:eastAsia="Times New Roman"/>
          <w:i/>
          <w:sz w:val="24"/>
          <w:szCs w:val="24"/>
        </w:rPr>
        <w:t>(name)</w:t>
      </w:r>
      <w:r w:rsidRPr="009220D2">
        <w:rPr>
          <w:rFonts w:eastAsia="Times New Roman"/>
          <w:b/>
          <w:sz w:val="24"/>
          <w:szCs w:val="24"/>
        </w:rPr>
        <w:t xml:space="preserve">, is not legally responsible to the plaintiff, </w:t>
      </w:r>
      <w:r w:rsidRPr="009220D2">
        <w:rPr>
          <w:rFonts w:eastAsia="Times New Roman"/>
          <w:i/>
          <w:sz w:val="24"/>
          <w:szCs w:val="24"/>
        </w:rPr>
        <w:t>(name)</w:t>
      </w:r>
      <w:r w:rsidRPr="009220D2">
        <w:rPr>
          <w:rFonts w:eastAsia="Times New Roman"/>
          <w:b/>
          <w:sz w:val="24"/>
          <w:szCs w:val="24"/>
        </w:rPr>
        <w:t>, on (his) (her) claim of battery if the affirmative defense of implied consent based on an emergency is proved. This defense is proved if you find all of the following:</w:t>
      </w:r>
    </w:p>
    <w:p w14:paraId="0732756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1. At the time the defendant treated the plaintiff, the defendant reasonably believed the plaintiff’s life or health was in such danger that to delay (surgery) (treatment) would further endanger the plaintiff’s life or health;</w:t>
      </w:r>
    </w:p>
    <w:p w14:paraId="35CF965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2. Under the same or similar circumstances, a reasonably careful physician would have believed the same thing; and</w:t>
      </w:r>
    </w:p>
    <w:p w14:paraId="77C8375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3. The plaintiff was in a mental or physical condition that prevented (him) (her) from being able to indicate (his) (her) consent or lack of consent.</w:t>
      </w:r>
    </w:p>
    <w:p w14:paraId="5700D2DC" w14:textId="77777777" w:rsidR="009220D2" w:rsidRDefault="009220D2" w:rsidP="009220D2">
      <w:pPr>
        <w:jc w:val="center"/>
        <w:rPr>
          <w:rFonts w:eastAsia="Times New Roman"/>
          <w:sz w:val="24"/>
          <w:szCs w:val="24"/>
        </w:rPr>
      </w:pPr>
    </w:p>
    <w:p w14:paraId="55A6274D"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623E8598" w14:textId="415837A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Note 2 of </w:t>
      </w:r>
      <w:r w:rsidR="00712EA2">
        <w:rPr>
          <w:rFonts w:eastAsia="Times New Roman"/>
          <w:sz w:val="24"/>
          <w:szCs w:val="24"/>
        </w:rPr>
        <w:t xml:space="preserve">the </w:t>
      </w:r>
      <w:r w:rsidRPr="009220D2">
        <w:rPr>
          <w:rFonts w:eastAsia="Times New Roman"/>
          <w:sz w:val="24"/>
          <w:szCs w:val="24"/>
        </w:rPr>
        <w:t xml:space="preserve">Notes on Use to Instruction 15:2 </w:t>
      </w:r>
      <w:r w:rsidR="00712EA2">
        <w:rPr>
          <w:rFonts w:eastAsia="Times New Roman"/>
          <w:sz w:val="24"/>
          <w:szCs w:val="24"/>
        </w:rPr>
        <w:t>is</w:t>
      </w:r>
      <w:r w:rsidRPr="009220D2">
        <w:rPr>
          <w:rFonts w:eastAsia="Times New Roman"/>
          <w:sz w:val="24"/>
          <w:szCs w:val="24"/>
        </w:rPr>
        <w:t xml:space="preserve"> also applicable to this instruction.</w:t>
      </w:r>
    </w:p>
    <w:p w14:paraId="13980325"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are most appropriate.</w:t>
      </w:r>
    </w:p>
    <w:p w14:paraId="49BD5DA2"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 cases governed by </w:t>
      </w:r>
      <w:r w:rsidR="00712EA2">
        <w:rPr>
          <w:rFonts w:eastAsia="Times New Roman"/>
          <w:sz w:val="24"/>
          <w:szCs w:val="24"/>
        </w:rPr>
        <w:t>section</w:t>
      </w:r>
      <w:r w:rsidRPr="009220D2">
        <w:rPr>
          <w:rFonts w:eastAsia="Times New Roman"/>
          <w:sz w:val="24"/>
          <w:szCs w:val="24"/>
        </w:rPr>
        <w:t xml:space="preserve"> 13-21-108, C.R.S. (“Good Samaritan” statute), or any similar statute, an instruction based on the particular statute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The rule of this instruction does not apply if the physician knows or reasonably should have known the patient would not have consented to the operation or treatment had the patient been in a position to indicate his or her desires. </w:t>
      </w:r>
      <w:r w:rsidRPr="00481254">
        <w:rPr>
          <w:rFonts w:eastAsia="Times New Roman"/>
          <w:i/>
          <w:sz w:val="24"/>
          <w:szCs w:val="24"/>
        </w:rPr>
        <w:t>See</w:t>
      </w:r>
      <w:r w:rsidRPr="009220D2">
        <w:rPr>
          <w:rFonts w:eastAsia="Times New Roman"/>
          <w:sz w:val="24"/>
          <w:szCs w:val="24"/>
        </w:rPr>
        <w:t xml:space="preserve"> </w:t>
      </w:r>
      <w:r w:rsidR="00C8497A" w:rsidRPr="009220D2">
        <w:rPr>
          <w:rFonts w:eastAsia="Times New Roman"/>
          <w:smallCaps/>
          <w:sz w:val="24"/>
          <w:szCs w:val="24"/>
        </w:rPr>
        <w:t>Restatement (Second) of Torts</w:t>
      </w:r>
      <w:r w:rsidR="00C8497A" w:rsidRPr="009220D2">
        <w:rPr>
          <w:rFonts w:eastAsia="Times New Roman"/>
          <w:sz w:val="24"/>
          <w:szCs w:val="24"/>
        </w:rPr>
        <w:t xml:space="preserve"> § 892D (1979)</w:t>
      </w:r>
      <w:r w:rsidRPr="009220D2">
        <w:rPr>
          <w:rFonts w:eastAsia="Times New Roman"/>
          <w:sz w:val="24"/>
          <w:szCs w:val="24"/>
        </w:rPr>
        <w:t>.</w:t>
      </w:r>
    </w:p>
    <w:p w14:paraId="5A64C613"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60553B09" w14:textId="59ED2A81" w:rsidR="009220D2" w:rsidRPr="009220D2" w:rsidRDefault="009220D2" w:rsidP="009220D2">
      <w:pPr>
        <w:spacing w:after="240"/>
        <w:ind w:firstLine="720"/>
        <w:rPr>
          <w:rFonts w:eastAsia="Times New Roman"/>
          <w:sz w:val="24"/>
          <w:szCs w:val="24"/>
        </w:rPr>
      </w:pPr>
      <w:r w:rsidRPr="009220D2">
        <w:rPr>
          <w:rFonts w:eastAsia="Times New Roman"/>
          <w:sz w:val="24"/>
          <w:szCs w:val="24"/>
        </w:rPr>
        <w:t>This instruction</w:t>
      </w:r>
      <w:r w:rsidR="0099151D">
        <w:rPr>
          <w:rFonts w:eastAsia="Times New Roman"/>
          <w:sz w:val="24"/>
          <w:szCs w:val="24"/>
        </w:rPr>
        <w:t xml:space="preserve"> is supported by</w:t>
      </w:r>
      <w:r w:rsidRPr="009220D2">
        <w:rPr>
          <w:rFonts w:eastAsia="Times New Roman"/>
          <w:sz w:val="24"/>
          <w:szCs w:val="24"/>
        </w:rPr>
        <w:t xml:space="preserve"> </w:t>
      </w:r>
      <w:r w:rsidRPr="009220D2">
        <w:rPr>
          <w:rFonts w:eastAsia="Times New Roman"/>
          <w:b/>
          <w:sz w:val="24"/>
          <w:szCs w:val="24"/>
        </w:rPr>
        <w:t>Blackman v. Rifkin</w:t>
      </w:r>
      <w:r w:rsidRPr="009220D2">
        <w:rPr>
          <w:rFonts w:eastAsia="Times New Roman"/>
          <w:sz w:val="24"/>
          <w:szCs w:val="24"/>
        </w:rPr>
        <w:t>, 759 P.2d 54 (</w:t>
      </w:r>
      <w:r w:rsidR="00735ECD">
        <w:rPr>
          <w:rFonts w:eastAsia="Times New Roman"/>
          <w:sz w:val="24"/>
          <w:szCs w:val="24"/>
        </w:rPr>
        <w:t>Colo. App.</w:t>
      </w:r>
      <w:r w:rsidRPr="009220D2">
        <w:rPr>
          <w:rFonts w:eastAsia="Times New Roman"/>
          <w:sz w:val="24"/>
          <w:szCs w:val="24"/>
        </w:rPr>
        <w:t xml:space="preserve"> 1988)</w:t>
      </w:r>
      <w:r w:rsidR="0099151D">
        <w:rPr>
          <w:rFonts w:eastAsia="Times New Roman"/>
          <w:sz w:val="24"/>
          <w:szCs w:val="24"/>
        </w:rPr>
        <w:t xml:space="preserve"> (citing with approval prior version of this instruction)</w:t>
      </w:r>
      <w:r w:rsidRPr="009220D2">
        <w:rPr>
          <w:rFonts w:eastAsia="Times New Roman"/>
          <w:sz w:val="24"/>
          <w:szCs w:val="24"/>
        </w:rPr>
        <w:t xml:space="preserve">. </w:t>
      </w:r>
      <w:r w:rsidRPr="009220D2">
        <w:rPr>
          <w:rFonts w:eastAsia="Times New Roman"/>
          <w:i/>
          <w:sz w:val="24"/>
          <w:szCs w:val="24"/>
        </w:rPr>
        <w:t>See also</w:t>
      </w:r>
      <w:r w:rsidRPr="009220D2">
        <w:rPr>
          <w:rFonts w:eastAsia="Times New Roman"/>
          <w:sz w:val="24"/>
          <w:szCs w:val="24"/>
        </w:rPr>
        <w:t xml:space="preserve"> </w:t>
      </w:r>
      <w:r w:rsidRPr="009220D2">
        <w:rPr>
          <w:rFonts w:eastAsia="Times New Roman"/>
          <w:smallCaps/>
          <w:sz w:val="24"/>
          <w:szCs w:val="24"/>
        </w:rPr>
        <w:t xml:space="preserve">Restatement </w:t>
      </w:r>
      <w:r w:rsidRPr="009220D2">
        <w:rPr>
          <w:rFonts w:eastAsia="Times New Roman"/>
          <w:sz w:val="24"/>
          <w:szCs w:val="24"/>
        </w:rPr>
        <w:t>§ 892D.</w:t>
      </w:r>
    </w:p>
    <w:p w14:paraId="40C6BA63" w14:textId="77777777" w:rsidR="009220D2" w:rsidRDefault="009220D2">
      <w:pPr>
        <w:rPr>
          <w:rFonts w:eastAsia="Times New Roman"/>
          <w:sz w:val="24"/>
          <w:szCs w:val="24"/>
        </w:rPr>
      </w:pPr>
      <w:r>
        <w:rPr>
          <w:rFonts w:eastAsia="Times New Roman"/>
          <w:sz w:val="24"/>
          <w:szCs w:val="24"/>
        </w:rPr>
        <w:br w:type="page"/>
      </w:r>
    </w:p>
    <w:p w14:paraId="22E933F2" w14:textId="77777777" w:rsidR="009220D2" w:rsidRDefault="009220D2" w:rsidP="009220D2">
      <w:pPr>
        <w:spacing w:after="240"/>
        <w:jc w:val="center"/>
        <w:rPr>
          <w:rFonts w:eastAsia="Times New Roman"/>
          <w:b/>
          <w:sz w:val="24"/>
          <w:szCs w:val="24"/>
        </w:rPr>
      </w:pPr>
      <w:r w:rsidRPr="009220D2">
        <w:rPr>
          <w:rFonts w:eastAsia="Times New Roman"/>
          <w:b/>
          <w:sz w:val="24"/>
          <w:szCs w:val="24"/>
        </w:rPr>
        <w:lastRenderedPageBreak/>
        <w:t>C. UNINFORMED CONSENT</w:t>
      </w:r>
    </w:p>
    <w:p w14:paraId="677A856E" w14:textId="77777777" w:rsidR="009220D2" w:rsidRPr="009E3DA4" w:rsidRDefault="009220D2" w:rsidP="009220D2">
      <w:pPr>
        <w:spacing w:after="240"/>
        <w:ind w:left="720" w:hanging="720"/>
        <w:rPr>
          <w:rFonts w:eastAsia="Times New Roman"/>
          <w:b/>
          <w:sz w:val="24"/>
          <w:szCs w:val="24"/>
        </w:rPr>
      </w:pPr>
      <w:bookmarkStart w:id="10" w:name="a15_10"/>
      <w:bookmarkEnd w:id="10"/>
      <w:r w:rsidRPr="009220D2">
        <w:rPr>
          <w:rFonts w:eastAsia="Times New Roman"/>
          <w:b/>
          <w:sz w:val="24"/>
          <w:szCs w:val="24"/>
        </w:rPr>
        <w:t xml:space="preserve">15:10 </w:t>
      </w:r>
      <w:r w:rsidRPr="009220D2">
        <w:rPr>
          <w:rFonts w:eastAsia="Times New Roman"/>
          <w:b/>
          <w:sz w:val="24"/>
          <w:szCs w:val="24"/>
        </w:rPr>
        <w:tab/>
        <w:t>UNINFORMED CONSENT — ELEMENTS OF LIABILITY</w:t>
      </w:r>
    </w:p>
    <w:p w14:paraId="625DC7D7"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For the plaintiff, </w:t>
      </w:r>
      <w:r w:rsidRPr="009220D2">
        <w:rPr>
          <w:rFonts w:eastAsia="Times New Roman"/>
          <w:i/>
          <w:sz w:val="24"/>
          <w:szCs w:val="24"/>
        </w:rPr>
        <w:t>(name)</w:t>
      </w:r>
      <w:r w:rsidRPr="009220D2">
        <w:rPr>
          <w:rFonts w:eastAsia="Times New Roman"/>
          <w:b/>
          <w:sz w:val="24"/>
          <w:szCs w:val="24"/>
        </w:rPr>
        <w:t xml:space="preserve">, to recover from the defendant, </w:t>
      </w:r>
      <w:r w:rsidRPr="009220D2">
        <w:rPr>
          <w:rFonts w:eastAsia="Times New Roman"/>
          <w:i/>
          <w:sz w:val="24"/>
          <w:szCs w:val="24"/>
        </w:rPr>
        <w:t>(name)</w:t>
      </w:r>
      <w:r w:rsidRPr="009220D2">
        <w:rPr>
          <w:rFonts w:eastAsia="Times New Roman"/>
          <w:b/>
          <w:sz w:val="24"/>
          <w:szCs w:val="24"/>
        </w:rPr>
        <w:t>, on (his) (her) claim of negligence based on lack of informed consent, you must find all of the following have been proved by a preponderance of the evidence:</w:t>
      </w:r>
    </w:p>
    <w:p w14:paraId="42C87F1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1. The defendant </w:t>
      </w:r>
      <w:r w:rsidRPr="009220D2">
        <w:rPr>
          <w:rFonts w:eastAsia="Times New Roman"/>
          <w:i/>
          <w:sz w:val="24"/>
          <w:szCs w:val="24"/>
        </w:rPr>
        <w:t>(insert an appropriate description of the procedure, treatment, surgery, tests, etc., that the plaintiff claims the defendant performed or prescribed)</w:t>
      </w:r>
      <w:r w:rsidRPr="009220D2">
        <w:rPr>
          <w:rFonts w:eastAsia="Times New Roman"/>
          <w:b/>
          <w:sz w:val="24"/>
          <w:szCs w:val="24"/>
        </w:rPr>
        <w:t xml:space="preserve"> (on) (for) the plaintiff;</w:t>
      </w:r>
    </w:p>
    <w:p w14:paraId="20C1469E"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2. The defendant negligently failed to obtain the plaintiff’s informed consent before </w:t>
      </w:r>
      <w:r w:rsidRPr="009220D2">
        <w:rPr>
          <w:rFonts w:eastAsia="Times New Roman"/>
          <w:i/>
          <w:sz w:val="24"/>
          <w:szCs w:val="24"/>
        </w:rPr>
        <w:t>(insert appropriate description of procedure, etc., as above)</w:t>
      </w:r>
      <w:r w:rsidRPr="009220D2">
        <w:rPr>
          <w:rFonts w:eastAsia="Times New Roman"/>
          <w:b/>
          <w:sz w:val="24"/>
          <w:szCs w:val="24"/>
        </w:rPr>
        <w:t>;</w:t>
      </w:r>
    </w:p>
    <w:p w14:paraId="31BECF06"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3. A reasonable person in the same or similar circumstances as the plaintiff would not have consented to </w:t>
      </w:r>
      <w:r w:rsidRPr="009220D2">
        <w:rPr>
          <w:rFonts w:eastAsia="Times New Roman"/>
          <w:i/>
          <w:sz w:val="24"/>
          <w:szCs w:val="24"/>
        </w:rPr>
        <w:t>(insert appropriate description)</w:t>
      </w:r>
      <w:r w:rsidRPr="009220D2">
        <w:rPr>
          <w:rFonts w:eastAsia="Times New Roman"/>
          <w:b/>
          <w:sz w:val="24"/>
          <w:szCs w:val="24"/>
        </w:rPr>
        <w:t xml:space="preserve"> had (he) (she) been given the information required for informed consent; and</w:t>
      </w:r>
    </w:p>
    <w:p w14:paraId="0018F8CB"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4. The defendant’s negligent failure caused the plaintiff (additional) (injuries) (damages) (losses).</w:t>
      </w:r>
    </w:p>
    <w:p w14:paraId="590D2E87"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If you find that any one or more of these </w:t>
      </w:r>
      <w:r w:rsidRPr="009220D2">
        <w:rPr>
          <w:rFonts w:eastAsia="Times New Roman"/>
          <w:i/>
          <w:sz w:val="24"/>
          <w:szCs w:val="24"/>
        </w:rPr>
        <w:t>(number)</w:t>
      </w:r>
      <w:r w:rsidRPr="009220D2">
        <w:rPr>
          <w:rFonts w:eastAsia="Times New Roman"/>
          <w:b/>
          <w:sz w:val="24"/>
          <w:szCs w:val="24"/>
        </w:rPr>
        <w:t xml:space="preserve"> statements has not been proved, then your verdict must be for the defendant.</w:t>
      </w:r>
    </w:p>
    <w:p w14:paraId="69BEE66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On the other hand, if you find that all of these </w:t>
      </w:r>
      <w:r w:rsidRPr="009220D2">
        <w:rPr>
          <w:rFonts w:eastAsia="Times New Roman"/>
          <w:i/>
          <w:sz w:val="24"/>
          <w:szCs w:val="24"/>
        </w:rPr>
        <w:t>(number)</w:t>
      </w:r>
      <w:r w:rsidRPr="009220D2">
        <w:rPr>
          <w:rFonts w:eastAsia="Times New Roman"/>
          <w:b/>
          <w:sz w:val="24"/>
          <w:szCs w:val="24"/>
        </w:rPr>
        <w:t xml:space="preserve"> statements have been proved, (then your verdict must be for the plaintiff) (then you must consider the defendant’s affirmative defense(s) of </w:t>
      </w:r>
      <w:r w:rsidRPr="009220D2">
        <w:rPr>
          <w:rFonts w:eastAsia="Times New Roman"/>
          <w:i/>
          <w:sz w:val="24"/>
          <w:szCs w:val="24"/>
        </w:rPr>
        <w:t>[insert any affirmative defense that would be a complete defense to plaintiff’s claim]</w:t>
      </w:r>
      <w:r w:rsidRPr="009220D2">
        <w:rPr>
          <w:rFonts w:eastAsia="Times New Roman"/>
          <w:b/>
          <w:sz w:val="24"/>
          <w:szCs w:val="24"/>
        </w:rPr>
        <w:t>).</w:t>
      </w:r>
    </w:p>
    <w:p w14:paraId="5B990FF2"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rPr>
          <w:rFonts w:eastAsia="Times New Roman"/>
          <w:sz w:val="24"/>
          <w:szCs w:val="24"/>
        </w:rPr>
      </w:pPr>
    </w:p>
    <w:p w14:paraId="0ECEA489"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288AC80E"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1. Omit any numbered paragraphs, the facts of which are not in dispute.</w:t>
      </w:r>
    </w:p>
    <w:p w14:paraId="6F2981F9"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rPr>
          <w:rFonts w:eastAsia="Times New Roman"/>
          <w:sz w:val="24"/>
          <w:szCs w:val="24"/>
        </w:rPr>
      </w:pPr>
      <w:r w:rsidRPr="009220D2">
        <w:rPr>
          <w:rFonts w:eastAsia="Times New Roman"/>
          <w:sz w:val="24"/>
          <w:szCs w:val="24"/>
        </w:rPr>
        <w:t>3. Although mitigation of damages is an affirmative defense</w:t>
      </w:r>
      <w:r w:rsidR="00C8497A">
        <w:rPr>
          <w:rFonts w:eastAsia="Times New Roman"/>
          <w:sz w:val="24"/>
          <w:szCs w:val="24"/>
        </w:rPr>
        <w:t>,</w:t>
      </w:r>
      <w:r w:rsidRPr="009220D2">
        <w:rPr>
          <w:rFonts w:eastAsia="Times New Roman"/>
          <w:sz w:val="24"/>
          <w:szCs w:val="24"/>
        </w:rPr>
        <w:t xml:space="preserve"> </w:t>
      </w:r>
      <w:r w:rsidRPr="00481254">
        <w:rPr>
          <w:rFonts w:eastAsia="Times New Roman"/>
          <w:i/>
          <w:sz w:val="24"/>
          <w:szCs w:val="24"/>
        </w:rPr>
        <w:t>see</w:t>
      </w:r>
      <w:r w:rsidRPr="009220D2">
        <w:rPr>
          <w:rFonts w:eastAsia="Times New Roman"/>
          <w:sz w:val="24"/>
          <w:szCs w:val="24"/>
        </w:rPr>
        <w:t xml:space="preserve"> Instruction 5:2, only rarely, if ever, will it be a complete defense. For this reason, mitigation should not be identified </w:t>
      </w:r>
      <w:r w:rsidRPr="009220D2">
        <w:rPr>
          <w:rFonts w:eastAsia="Times New Roman"/>
          <w:sz w:val="24"/>
          <w:szCs w:val="24"/>
        </w:rPr>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B1B6C71"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 cases involving multiple defendants or designated nonparties where the pro rata liability statute, § 13-21-111.5, C.R.S., is applicable, see </w:t>
      </w:r>
      <w:r w:rsidR="00C8497A">
        <w:rPr>
          <w:rFonts w:eastAsia="Times New Roman"/>
          <w:sz w:val="24"/>
          <w:szCs w:val="24"/>
        </w:rPr>
        <w:t xml:space="preserve">the </w:t>
      </w:r>
      <w:r w:rsidRPr="009220D2">
        <w:rPr>
          <w:rFonts w:eastAsia="Times New Roman"/>
          <w:sz w:val="24"/>
          <w:szCs w:val="24"/>
        </w:rPr>
        <w:t>Notes on Use to Instruction 4:20.</w:t>
      </w:r>
    </w:p>
    <w:p w14:paraId="061BF695" w14:textId="6300B23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Note 2 of </w:t>
      </w:r>
      <w:r w:rsidR="00C8497A">
        <w:rPr>
          <w:rFonts w:eastAsia="Times New Roman"/>
          <w:sz w:val="24"/>
          <w:szCs w:val="24"/>
        </w:rPr>
        <w:t xml:space="preserve">the </w:t>
      </w:r>
      <w:r w:rsidRPr="009220D2">
        <w:rPr>
          <w:rFonts w:eastAsia="Times New Roman"/>
          <w:sz w:val="24"/>
          <w:szCs w:val="24"/>
        </w:rPr>
        <w:t xml:space="preserve">Notes on Use to Instruction 15:2 </w:t>
      </w:r>
      <w:r w:rsidR="00C8497A">
        <w:rPr>
          <w:rFonts w:eastAsia="Times New Roman"/>
          <w:sz w:val="24"/>
          <w:szCs w:val="24"/>
        </w:rPr>
        <w:t>is</w:t>
      </w:r>
      <w:r w:rsidRPr="009220D2">
        <w:rPr>
          <w:rFonts w:eastAsia="Times New Roman"/>
          <w:sz w:val="24"/>
          <w:szCs w:val="24"/>
        </w:rPr>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6. The appropriate instruction relating to causation in Chapter 9 should also be given with this instruction.</w:t>
      </w:r>
    </w:p>
    <w:p w14:paraId="2503B6C6" w14:textId="6E870C7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7. “The law in Colorado distinguishes between an action based on no consent (battery) [Instructions 15:7-15:9] and one based on lack of informed consent [Instructions 15:10-15:13].” </w:t>
      </w:r>
      <w:r w:rsidRPr="009220D2">
        <w:rPr>
          <w:rFonts w:eastAsia="Times New Roman"/>
          <w:b/>
          <w:sz w:val="24"/>
          <w:szCs w:val="24"/>
        </w:rPr>
        <w:t>Blades v. DaFoe</w:t>
      </w:r>
      <w:r w:rsidRPr="009220D2">
        <w:rPr>
          <w:rFonts w:eastAsia="Times New Roman"/>
          <w:sz w:val="24"/>
          <w:szCs w:val="24"/>
        </w:rPr>
        <w:t>, 666 P.2d 1126, 1129 (</w:t>
      </w:r>
      <w:r w:rsidR="00735ECD">
        <w:rPr>
          <w:rFonts w:eastAsia="Times New Roman"/>
          <w:sz w:val="24"/>
          <w:szCs w:val="24"/>
        </w:rPr>
        <w:t>Colo. App.</w:t>
      </w:r>
      <w:r w:rsidRPr="009220D2">
        <w:rPr>
          <w:rFonts w:eastAsia="Times New Roman"/>
          <w:sz w:val="24"/>
          <w:szCs w:val="24"/>
        </w:rPr>
        <w:t xml:space="preserve"> 1983), </w:t>
      </w:r>
      <w:r w:rsidRPr="009220D2">
        <w:rPr>
          <w:rFonts w:eastAsia="Times New Roman"/>
          <w:i/>
          <w:sz w:val="24"/>
          <w:szCs w:val="24"/>
        </w:rPr>
        <w:t>rev’d on other grounds</w:t>
      </w:r>
      <w:r w:rsidRPr="009220D2">
        <w:rPr>
          <w:rFonts w:eastAsia="Times New Roman"/>
          <w:sz w:val="24"/>
          <w:szCs w:val="24"/>
        </w:rPr>
        <w:t>,</w:t>
      </w:r>
      <w:r w:rsidRPr="009220D2">
        <w:rPr>
          <w:rFonts w:eastAsia="Times New Roman"/>
          <w:i/>
          <w:sz w:val="24"/>
          <w:szCs w:val="24"/>
        </w:rPr>
        <w:t xml:space="preserve"> </w:t>
      </w:r>
      <w:r w:rsidRPr="009220D2">
        <w:rPr>
          <w:rFonts w:eastAsia="Times New Roman"/>
          <w:sz w:val="24"/>
          <w:szCs w:val="24"/>
        </w:rPr>
        <w:t>704 P.2d 317 (Colo. 1985)</w:t>
      </w:r>
      <w:r w:rsidR="008D08D1">
        <w:rPr>
          <w:rFonts w:eastAsia="Times New Roman"/>
          <w:sz w:val="24"/>
          <w:szCs w:val="24"/>
        </w:rPr>
        <w:t>;</w:t>
      </w:r>
      <w:r w:rsidRPr="009220D2">
        <w:rPr>
          <w:rFonts w:eastAsia="Times New Roman"/>
          <w:sz w:val="24"/>
          <w:szCs w:val="24"/>
        </w:rPr>
        <w:t xml:space="preserve"> </w:t>
      </w:r>
      <w:r w:rsidR="008D08D1">
        <w:rPr>
          <w:rFonts w:eastAsia="Times New Roman"/>
          <w:i/>
          <w:sz w:val="24"/>
          <w:szCs w:val="24"/>
        </w:rPr>
        <w:t>s</w:t>
      </w:r>
      <w:r w:rsidRPr="009220D2">
        <w:rPr>
          <w:rFonts w:eastAsia="Times New Roman"/>
          <w:i/>
          <w:sz w:val="24"/>
          <w:szCs w:val="24"/>
        </w:rPr>
        <w:t>ee also</w:t>
      </w:r>
      <w:r w:rsidRPr="009220D2">
        <w:rPr>
          <w:rFonts w:eastAsia="Times New Roman"/>
          <w:sz w:val="24"/>
          <w:szCs w:val="24"/>
        </w:rPr>
        <w:t xml:space="preserve"> </w:t>
      </w:r>
      <w:r w:rsidRPr="009220D2">
        <w:rPr>
          <w:rFonts w:eastAsia="Times New Roman"/>
          <w:b/>
          <w:sz w:val="24"/>
          <w:szCs w:val="24"/>
        </w:rPr>
        <w:t>Gorab v. Zook</w:t>
      </w:r>
      <w:r w:rsidRPr="009220D2">
        <w:rPr>
          <w:rFonts w:eastAsia="Times New Roman"/>
          <w:sz w:val="24"/>
          <w:szCs w:val="24"/>
        </w:rPr>
        <w:t xml:space="preserve">, 943 P.2d 423 (Colo. 1997); </w:t>
      </w:r>
      <w:r w:rsidRPr="009220D2">
        <w:rPr>
          <w:rFonts w:eastAsia="Times New Roman"/>
          <w:b/>
          <w:sz w:val="24"/>
          <w:szCs w:val="24"/>
        </w:rPr>
        <w:t>Espander v. Cramer</w:t>
      </w:r>
      <w:r w:rsidRPr="009220D2">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9220D2">
        <w:rPr>
          <w:rFonts w:eastAsia="Times New Roman"/>
          <w:sz w:val="24"/>
          <w:szCs w:val="24"/>
        </w:rPr>
        <w:t>1995). Consequently, if the plaintiff is making a claim only on the basis of the lack of “informed consent,” the instructions in subpart C of this Part I should be used. If the plaintiff is making a claim on the basis of no consent as well as one on the basis of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rFonts w:eastAsia="Times New Roman"/>
          <w:b/>
          <w:sz w:val="24"/>
          <w:szCs w:val="24"/>
        </w:rPr>
        <w:t>Holley</w:t>
      </w:r>
      <w:r w:rsidR="00EB4E3D">
        <w:rPr>
          <w:rFonts w:eastAsia="Times New Roman"/>
          <w:b/>
          <w:sz w:val="24"/>
          <w:szCs w:val="24"/>
        </w:rPr>
        <w:t xml:space="preserve"> v. Huang</w:t>
      </w:r>
      <w:r w:rsidRPr="009220D2">
        <w:rPr>
          <w:rFonts w:eastAsia="Times New Roman"/>
          <w:b/>
          <w:sz w:val="24"/>
          <w:szCs w:val="24"/>
        </w:rPr>
        <w:t>,</w:t>
      </w:r>
      <w:r w:rsidRPr="009220D2">
        <w:rPr>
          <w:rFonts w:eastAsia="Times New Roman"/>
          <w:sz w:val="24"/>
          <w:szCs w:val="24"/>
        </w:rPr>
        <w:t xml:space="preserve"> 284 P.3d 81</w:t>
      </w:r>
      <w:r w:rsidR="00EB4E3D">
        <w:rPr>
          <w:rFonts w:eastAsia="Times New Roman"/>
          <w:sz w:val="24"/>
          <w:szCs w:val="24"/>
        </w:rPr>
        <w:t xml:space="preserve"> (Colo. App. 2011)</w:t>
      </w:r>
      <w:r w:rsidRPr="009220D2">
        <w:rPr>
          <w:rFonts w:eastAsia="Times New Roman"/>
          <w:sz w:val="24"/>
          <w:szCs w:val="24"/>
        </w:rPr>
        <w:t xml:space="preserve">. </w:t>
      </w:r>
    </w:p>
    <w:p w14:paraId="5FB1191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9. When supported by sufficient evidence, Instruction 15:9 (emergencies) should be given with this instruction.</w:t>
      </w:r>
    </w:p>
    <w:p w14:paraId="281CD4BC"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11. With regard to electroconvulsive treatment, an appropriate instruction based on </w:t>
      </w:r>
      <w:r w:rsidR="00EB4E3D">
        <w:rPr>
          <w:rFonts w:eastAsia="Times New Roman"/>
          <w:sz w:val="24"/>
          <w:szCs w:val="24"/>
        </w:rPr>
        <w:t>sections</w:t>
      </w:r>
      <w:r w:rsidRPr="009220D2">
        <w:rPr>
          <w:rFonts w:eastAsia="Times New Roman"/>
          <w:sz w:val="24"/>
          <w:szCs w:val="24"/>
        </w:rPr>
        <w:t xml:space="preserve"> 13-20-401 to -403, C.R.S., should be used rather than this instruction.</w:t>
      </w:r>
    </w:p>
    <w:p w14:paraId="024E9A8A"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1C8B4A52" w14:textId="3106A666"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This instruction </w:t>
      </w:r>
      <w:r w:rsidR="008D08D1">
        <w:rPr>
          <w:rFonts w:eastAsia="Times New Roman"/>
          <w:sz w:val="24"/>
          <w:szCs w:val="24"/>
        </w:rPr>
        <w:t>is supported by</w:t>
      </w:r>
      <w:r w:rsidRPr="009220D2">
        <w:rPr>
          <w:rFonts w:eastAsia="Times New Roman"/>
          <w:sz w:val="24"/>
          <w:szCs w:val="24"/>
        </w:rPr>
        <w:t xml:space="preserve"> </w:t>
      </w:r>
      <w:r w:rsidRPr="009220D2">
        <w:rPr>
          <w:rFonts w:eastAsia="Times New Roman"/>
          <w:b/>
          <w:sz w:val="24"/>
          <w:szCs w:val="24"/>
        </w:rPr>
        <w:t>Gorab v. Zook</w:t>
      </w:r>
      <w:r w:rsidRPr="009220D2">
        <w:rPr>
          <w:rFonts w:eastAsia="Times New Roman"/>
          <w:sz w:val="24"/>
          <w:szCs w:val="24"/>
        </w:rPr>
        <w:t xml:space="preserve">, 943 P.2d 423 (Colo. 1997); </w:t>
      </w:r>
      <w:r w:rsidRPr="009220D2">
        <w:rPr>
          <w:rFonts w:eastAsia="Times New Roman"/>
          <w:b/>
          <w:sz w:val="24"/>
          <w:szCs w:val="24"/>
        </w:rPr>
        <w:t>Mallett v. Pirkey</w:t>
      </w:r>
      <w:r w:rsidRPr="009220D2">
        <w:rPr>
          <w:rFonts w:eastAsia="Times New Roman"/>
          <w:sz w:val="24"/>
          <w:szCs w:val="24"/>
        </w:rPr>
        <w:t xml:space="preserve">, 171 Colo. 271, 466 P.2d 466 (1970); </w:t>
      </w:r>
      <w:r w:rsidRPr="009220D2">
        <w:rPr>
          <w:rFonts w:eastAsia="Times New Roman"/>
          <w:b/>
          <w:sz w:val="24"/>
          <w:szCs w:val="24"/>
        </w:rPr>
        <w:t>Short v. Downs</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36 </w:t>
      </w:r>
      <w:r w:rsidR="00735ECD">
        <w:rPr>
          <w:rFonts w:eastAsia="Times New Roman"/>
          <w:sz w:val="24"/>
          <w:szCs w:val="24"/>
        </w:rPr>
        <w:t>Colo. App.</w:t>
      </w:r>
      <w:r w:rsidRPr="009220D2">
        <w:rPr>
          <w:rFonts w:eastAsia="Times New Roman"/>
          <w:sz w:val="24"/>
          <w:szCs w:val="24"/>
        </w:rPr>
        <w:t xml:space="preserve"> 109, 537 P.2d 754</w:t>
      </w:r>
      <w:r w:rsidRPr="009220D2">
        <w:rPr>
          <w:rFonts w:eastAsia="Times New Roman"/>
          <w:i/>
          <w:sz w:val="24"/>
          <w:szCs w:val="24"/>
        </w:rPr>
        <w:t xml:space="preserve"> </w:t>
      </w:r>
      <w:r w:rsidRPr="009220D2">
        <w:rPr>
          <w:rFonts w:eastAsia="Times New Roman"/>
          <w:sz w:val="24"/>
          <w:szCs w:val="24"/>
        </w:rPr>
        <w:t xml:space="preserve">(1975); </w:t>
      </w:r>
      <w:r w:rsidRPr="009220D2">
        <w:rPr>
          <w:rFonts w:eastAsia="Times New Roman"/>
          <w:b/>
          <w:sz w:val="24"/>
          <w:szCs w:val="24"/>
        </w:rPr>
        <w:t>Martin v. Bralliar</w:t>
      </w:r>
      <w:r w:rsidRPr="009220D2">
        <w:rPr>
          <w:rFonts w:eastAsia="Times New Roman"/>
          <w:sz w:val="24"/>
          <w:szCs w:val="24"/>
        </w:rPr>
        <w:t xml:space="preserve">, 36 </w:t>
      </w:r>
      <w:r w:rsidR="00735ECD">
        <w:rPr>
          <w:rFonts w:eastAsia="Times New Roman"/>
          <w:sz w:val="24"/>
          <w:szCs w:val="24"/>
        </w:rPr>
        <w:t>Colo. App.</w:t>
      </w:r>
      <w:r w:rsidRPr="009220D2">
        <w:rPr>
          <w:rFonts w:eastAsia="Times New Roman"/>
          <w:sz w:val="24"/>
          <w:szCs w:val="24"/>
        </w:rPr>
        <w:t xml:space="preserve"> 254, 540 P.2d 1118 (1975) (disclosure of general risks does not discharge the duty to disclose substantial or specific risks); </w:t>
      </w:r>
      <w:r w:rsidR="00EB4E3D">
        <w:rPr>
          <w:rFonts w:eastAsia="Times New Roman"/>
          <w:sz w:val="24"/>
          <w:szCs w:val="24"/>
        </w:rPr>
        <w:t xml:space="preserve">and </w:t>
      </w:r>
      <w:r w:rsidRPr="009220D2">
        <w:rPr>
          <w:rFonts w:eastAsia="Times New Roman"/>
          <w:b/>
          <w:sz w:val="24"/>
          <w:szCs w:val="24"/>
        </w:rPr>
        <w:t xml:space="preserve">Stauffer v. </w:t>
      </w:r>
      <w:r w:rsidRPr="009220D2">
        <w:rPr>
          <w:rFonts w:eastAsia="Times New Roman"/>
          <w:b/>
          <w:sz w:val="24"/>
          <w:szCs w:val="24"/>
        </w:rPr>
        <w:lastRenderedPageBreak/>
        <w:t>Karabin</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30 </w:t>
      </w:r>
      <w:r w:rsidR="00735ECD">
        <w:rPr>
          <w:rFonts w:eastAsia="Times New Roman"/>
          <w:sz w:val="24"/>
          <w:szCs w:val="24"/>
        </w:rPr>
        <w:t>Colo. App.</w:t>
      </w:r>
      <w:r w:rsidRPr="009220D2">
        <w:rPr>
          <w:rFonts w:eastAsia="Times New Roman"/>
          <w:sz w:val="24"/>
          <w:szCs w:val="24"/>
        </w:rPr>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rFonts w:eastAsia="Times New Roman"/>
          <w:i/>
          <w:sz w:val="24"/>
          <w:szCs w:val="24"/>
        </w:rPr>
        <w:t>See also</w:t>
      </w:r>
      <w:r w:rsidRPr="009220D2">
        <w:rPr>
          <w:rFonts w:eastAsia="Times New Roman"/>
          <w:sz w:val="24"/>
          <w:szCs w:val="24"/>
        </w:rPr>
        <w:t xml:space="preserve"> </w:t>
      </w:r>
      <w:r w:rsidRPr="009220D2">
        <w:rPr>
          <w:rFonts w:eastAsia="Times New Roman"/>
          <w:b/>
          <w:sz w:val="24"/>
          <w:szCs w:val="24"/>
        </w:rPr>
        <w:t>Mudd v. Dorr</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40 </w:t>
      </w:r>
      <w:r w:rsidR="00735ECD">
        <w:rPr>
          <w:rFonts w:eastAsia="Times New Roman"/>
          <w:sz w:val="24"/>
          <w:szCs w:val="24"/>
        </w:rPr>
        <w:t>Colo. App.</w:t>
      </w:r>
      <w:r w:rsidRPr="009220D2">
        <w:rPr>
          <w:rFonts w:eastAsia="Times New Roman"/>
          <w:sz w:val="24"/>
          <w:szCs w:val="24"/>
        </w:rPr>
        <w:t xml:space="preserve"> 74, 574 P.2d 97 (1977).</w:t>
      </w:r>
    </w:p>
    <w:p w14:paraId="26AEE962"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2. Generally, it is the treating physician or surgeon and not a hospital that has the legal obligation to obtain the informed consent of the patient prior to surgery. </w:t>
      </w:r>
      <w:r w:rsidRPr="009220D2">
        <w:rPr>
          <w:rFonts w:eastAsia="Times New Roman"/>
          <w:b/>
          <w:sz w:val="24"/>
          <w:szCs w:val="24"/>
        </w:rPr>
        <w:t>Krane v. Saint Anthony Hosp. Sys.</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738 P.2d 75 (</w:t>
      </w:r>
      <w:r w:rsidR="00735ECD">
        <w:rPr>
          <w:rFonts w:eastAsia="Times New Roman"/>
          <w:sz w:val="24"/>
          <w:szCs w:val="24"/>
        </w:rPr>
        <w:t>Colo. App.</w:t>
      </w:r>
      <w:r w:rsidRPr="009220D2">
        <w:rPr>
          <w:rFonts w:eastAsia="Times New Roman"/>
          <w:sz w:val="24"/>
          <w:szCs w:val="24"/>
        </w:rPr>
        <w:t xml:space="preserve"> 1987). </w:t>
      </w:r>
      <w:r w:rsidRPr="009220D2">
        <w:rPr>
          <w:rFonts w:eastAsia="Times New Roman"/>
          <w:i/>
          <w:sz w:val="24"/>
          <w:szCs w:val="24"/>
        </w:rPr>
        <w:t>See</w:t>
      </w:r>
      <w:r w:rsidRPr="009220D2">
        <w:rPr>
          <w:rFonts w:eastAsia="Times New Roman"/>
          <w:sz w:val="24"/>
          <w:szCs w:val="24"/>
        </w:rPr>
        <w:t xml:space="preserve"> </w:t>
      </w:r>
      <w:r w:rsidRPr="009220D2">
        <w:rPr>
          <w:rFonts w:eastAsia="Times New Roman"/>
          <w:b/>
          <w:sz w:val="24"/>
          <w:szCs w:val="24"/>
        </w:rPr>
        <w:t>Garhart v. Columbia/HealthONE, L.L.C</w:t>
      </w:r>
      <w:r w:rsidRPr="009220D2">
        <w:rPr>
          <w:rFonts w:eastAsia="Times New Roman"/>
          <w:sz w:val="24"/>
          <w:szCs w:val="24"/>
        </w:rPr>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1F3C2AEC" w14:textId="3D1B9B1D"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3.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during the course of medical treatment, there may be an additional duty on the part of the physician to warn the patient of that risk. </w:t>
      </w:r>
      <w:r w:rsidRPr="009220D2">
        <w:rPr>
          <w:rFonts w:eastAsia="Times New Roman"/>
          <w:b/>
          <w:sz w:val="24"/>
          <w:szCs w:val="24"/>
        </w:rPr>
        <w:t>Gorab</w:t>
      </w:r>
      <w:r w:rsidRPr="009220D2">
        <w:rPr>
          <w:rFonts w:eastAsia="Times New Roman"/>
          <w:sz w:val="24"/>
          <w:szCs w:val="24"/>
        </w:rPr>
        <w:t xml:space="preserve">, 943 P.2d </w:t>
      </w:r>
      <w:r w:rsidR="008D08D1">
        <w:rPr>
          <w:rFonts w:eastAsia="Times New Roman"/>
          <w:sz w:val="24"/>
          <w:szCs w:val="24"/>
        </w:rPr>
        <w:t xml:space="preserve">at </w:t>
      </w:r>
      <w:r w:rsidRPr="009220D2">
        <w:rPr>
          <w:rFonts w:eastAsia="Times New Roman"/>
          <w:sz w:val="24"/>
          <w:szCs w:val="24"/>
        </w:rPr>
        <w:t>4</w:t>
      </w:r>
      <w:r w:rsidR="008D08D1">
        <w:rPr>
          <w:rFonts w:eastAsia="Times New Roman"/>
          <w:sz w:val="24"/>
          <w:szCs w:val="24"/>
        </w:rPr>
        <w:t>30</w:t>
      </w:r>
      <w:r w:rsidRPr="009220D2">
        <w:rPr>
          <w:rFonts w:eastAsia="Times New Roman"/>
          <w:sz w:val="24"/>
          <w:szCs w:val="24"/>
        </w:rPr>
        <w:t>.</w:t>
      </w:r>
    </w:p>
    <w:p w14:paraId="62475CCD" w14:textId="2E65C14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“Informed consent claims typically arise out of a substantial risk associated with a competently performed procedure.” </w:t>
      </w:r>
      <w:r w:rsidRPr="009220D2">
        <w:rPr>
          <w:rFonts w:eastAsia="Times New Roman"/>
          <w:b/>
          <w:sz w:val="24"/>
          <w:szCs w:val="24"/>
        </w:rPr>
        <w:t>Hall v. Frankel</w:t>
      </w:r>
      <w:r w:rsidRPr="009220D2">
        <w:rPr>
          <w:rFonts w:eastAsia="Times New Roman"/>
          <w:sz w:val="24"/>
          <w:szCs w:val="24"/>
        </w:rPr>
        <w:t>, 190 P.3d 852, 864 (</w:t>
      </w:r>
      <w:r w:rsidR="00735ECD">
        <w:rPr>
          <w:rFonts w:eastAsia="Times New Roman"/>
          <w:sz w:val="24"/>
          <w:szCs w:val="24"/>
        </w:rPr>
        <w:t>Colo. App.</w:t>
      </w:r>
      <w:r w:rsidRPr="009220D2">
        <w:rPr>
          <w:rFonts w:eastAsia="Times New Roman"/>
          <w:sz w:val="24"/>
          <w:szCs w:val="24"/>
        </w:rPr>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Pr="009220D2">
        <w:rPr>
          <w:rFonts w:eastAsia="Times New Roman"/>
          <w:i/>
          <w:sz w:val="24"/>
          <w:szCs w:val="24"/>
        </w:rPr>
        <w:t>Id</w:t>
      </w:r>
      <w:r w:rsidRPr="009220D2">
        <w:rPr>
          <w:rFonts w:eastAsia="Times New Roman"/>
          <w:sz w:val="24"/>
          <w:szCs w:val="24"/>
        </w:rPr>
        <w:t xml:space="preserve">. (claims for failure to properly diagnose or to order appropriate tests are generally litigated under negligence theory). </w:t>
      </w:r>
      <w:r w:rsidRPr="00883531">
        <w:rPr>
          <w:rFonts w:eastAsia="Times New Roman"/>
          <w:i/>
          <w:sz w:val="24"/>
          <w:szCs w:val="24"/>
        </w:rPr>
        <w:t>See</w:t>
      </w:r>
      <w:r w:rsidRPr="009220D2">
        <w:rPr>
          <w:rFonts w:eastAsia="Times New Roman"/>
          <w:sz w:val="24"/>
          <w:szCs w:val="24"/>
        </w:rPr>
        <w:t xml:space="preserve"> Instructions 15:2 and 15:3.</w:t>
      </w:r>
    </w:p>
    <w:p w14:paraId="66BFFFBC" w14:textId="7C381D32"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Although doctors typically obtain their patients’ consent in writing, “[a] doctor may employ any means of communication―such as conversation, writings, video, and audio recordings, or some combination of these―that will yield a properly informed consent.” </w:t>
      </w:r>
      <w:r w:rsidRPr="009220D2">
        <w:rPr>
          <w:rFonts w:eastAsia="Times New Roman"/>
          <w:b/>
          <w:sz w:val="24"/>
          <w:szCs w:val="24"/>
        </w:rPr>
        <w:t>Holley</w:t>
      </w:r>
      <w:r w:rsidRPr="009220D2">
        <w:rPr>
          <w:rFonts w:eastAsia="Times New Roman"/>
          <w:sz w:val="24"/>
          <w:szCs w:val="24"/>
        </w:rPr>
        <w:t xml:space="preserve">, 284 P.3d </w:t>
      </w:r>
      <w:r w:rsidR="00EB4E3D">
        <w:rPr>
          <w:rFonts w:eastAsia="Times New Roman"/>
          <w:sz w:val="24"/>
          <w:szCs w:val="24"/>
        </w:rPr>
        <w:t>at 83</w:t>
      </w:r>
      <w:r w:rsidR="00226215">
        <w:rPr>
          <w:rFonts w:eastAsia="Times New Roman"/>
          <w:sz w:val="24"/>
          <w:szCs w:val="24"/>
        </w:rPr>
        <w:t>;</w:t>
      </w:r>
      <w:r w:rsidRPr="009220D2">
        <w:rPr>
          <w:rFonts w:eastAsia="Times New Roman"/>
          <w:sz w:val="24"/>
          <w:szCs w:val="24"/>
        </w:rPr>
        <w:t xml:space="preserve"> </w:t>
      </w:r>
      <w:r w:rsidR="00226215">
        <w:rPr>
          <w:rFonts w:eastAsia="Times New Roman"/>
          <w:i/>
          <w:sz w:val="24"/>
          <w:szCs w:val="24"/>
        </w:rPr>
        <w:t>s</w:t>
      </w:r>
      <w:r w:rsidRPr="009220D2">
        <w:rPr>
          <w:rFonts w:eastAsia="Times New Roman"/>
          <w:i/>
          <w:sz w:val="24"/>
          <w:szCs w:val="24"/>
        </w:rPr>
        <w:t>ee</w:t>
      </w:r>
      <w:r w:rsidRPr="009220D2">
        <w:rPr>
          <w:rFonts w:eastAsia="Times New Roman"/>
          <w:sz w:val="24"/>
          <w:szCs w:val="24"/>
        </w:rPr>
        <w:t xml:space="preserve"> </w:t>
      </w:r>
      <w:r w:rsidRPr="009220D2">
        <w:rPr>
          <w:rFonts w:eastAsia="Times New Roman"/>
          <w:b/>
          <w:sz w:val="24"/>
          <w:szCs w:val="24"/>
        </w:rPr>
        <w:t>Maercklein v. Smith</w:t>
      </w:r>
      <w:r w:rsidRPr="009220D2">
        <w:rPr>
          <w:rFonts w:eastAsia="Times New Roman"/>
          <w:sz w:val="24"/>
          <w:szCs w:val="24"/>
        </w:rPr>
        <w:t>, 129 Colo. 72, 266 P.2d 1095 (1954).</w:t>
      </w:r>
    </w:p>
    <w:p w14:paraId="6EC2B246" w14:textId="77777777" w:rsidR="009220D2" w:rsidRDefault="009220D2">
      <w:pPr>
        <w:rPr>
          <w:rFonts w:eastAsia="Times New Roman"/>
          <w:sz w:val="24"/>
          <w:szCs w:val="24"/>
        </w:rPr>
      </w:pPr>
      <w:r>
        <w:rPr>
          <w:rFonts w:eastAsia="Times New Roman"/>
          <w:sz w:val="24"/>
          <w:szCs w:val="24"/>
        </w:rPr>
        <w:br w:type="page"/>
      </w:r>
    </w:p>
    <w:p w14:paraId="3E3E259C" w14:textId="77777777" w:rsidR="009220D2" w:rsidRPr="009E3DA4" w:rsidRDefault="009220D2" w:rsidP="009220D2">
      <w:pPr>
        <w:spacing w:after="240"/>
        <w:ind w:left="720" w:hanging="720"/>
        <w:rPr>
          <w:rFonts w:eastAsia="Times New Roman"/>
          <w:b/>
          <w:sz w:val="24"/>
          <w:szCs w:val="24"/>
        </w:rPr>
      </w:pPr>
      <w:bookmarkStart w:id="11" w:name="a15_11"/>
      <w:bookmarkEnd w:id="11"/>
      <w:r w:rsidRPr="009220D2">
        <w:rPr>
          <w:rFonts w:eastAsia="Times New Roman"/>
          <w:b/>
          <w:sz w:val="24"/>
          <w:szCs w:val="24"/>
        </w:rPr>
        <w:lastRenderedPageBreak/>
        <w:t>15:11</w:t>
      </w:r>
      <w:r w:rsidRPr="009220D2">
        <w:rPr>
          <w:rFonts w:eastAsia="Times New Roman"/>
          <w:b/>
          <w:sz w:val="24"/>
          <w:szCs w:val="24"/>
        </w:rPr>
        <w:tab/>
        <w:t>INFORMATION REQUIRED</w:t>
      </w:r>
    </w:p>
    <w:p w14:paraId="7135A70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For a patient’s consent to be an informed consent, a physician must have informed the patient of the following:</w:t>
      </w:r>
    </w:p>
    <w:p w14:paraId="05D41C7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1. The nature of the (illness) (injury) (or) (medical condition);</w:t>
      </w:r>
    </w:p>
    <w:p w14:paraId="3553E0BC"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2. The nature of the (operation) (procedure) (or) (treatment);</w:t>
      </w:r>
    </w:p>
    <w:p w14:paraId="6DE16349"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3. The alternative treatments available, if any; and</w:t>
      </w:r>
    </w:p>
    <w:p w14:paraId="7AAAE34C"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4. The substantial risks, if any,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A physician must inform a patient of the above </w:t>
      </w:r>
      <w:r w:rsidRPr="009220D2">
        <w:rPr>
          <w:rFonts w:eastAsia="Times New Roman"/>
          <w:i/>
          <w:sz w:val="24"/>
          <w:szCs w:val="24"/>
        </w:rPr>
        <w:t>(insert number)</w:t>
      </w:r>
      <w:r w:rsidRPr="009220D2">
        <w:rPr>
          <w:rFonts w:eastAsia="Times New Roman"/>
          <w:b/>
          <w:sz w:val="24"/>
          <w:szCs w:val="24"/>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rPr>
          <w:rFonts w:eastAsia="Times New Roman"/>
          <w:sz w:val="24"/>
          <w:szCs w:val="24"/>
        </w:rPr>
      </w:pPr>
    </w:p>
    <w:p w14:paraId="2773AE1F"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1BEBB2DB"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See </w:t>
      </w:r>
      <w:r w:rsidR="00E36A76">
        <w:rPr>
          <w:rFonts w:eastAsia="Times New Roman"/>
          <w:sz w:val="24"/>
          <w:szCs w:val="24"/>
        </w:rPr>
        <w:t xml:space="preserve">the </w:t>
      </w:r>
      <w:r w:rsidRPr="009220D2">
        <w:rPr>
          <w:rFonts w:eastAsia="Times New Roman"/>
          <w:sz w:val="24"/>
          <w:szCs w:val="24"/>
        </w:rPr>
        <w:t>Notes on Use to Instruction 15:10.</w:t>
      </w:r>
    </w:p>
    <w:p w14:paraId="3C393BFF"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rPr>
          <w:rFonts w:eastAsia="Times New Roman"/>
          <w:sz w:val="24"/>
          <w:szCs w:val="24"/>
        </w:rPr>
        <w:t>section</w:t>
      </w:r>
      <w:r w:rsidRPr="009220D2">
        <w:rPr>
          <w:rFonts w:eastAsia="Times New Roman"/>
          <w:sz w:val="24"/>
          <w:szCs w:val="24"/>
        </w:rPr>
        <w:t xml:space="preserve"> 13-20-602, C.R.S. </w:t>
      </w:r>
      <w:r w:rsidRPr="009220D2">
        <w:rPr>
          <w:rFonts w:eastAsia="Times New Roman"/>
          <w:b/>
          <w:sz w:val="24"/>
          <w:szCs w:val="24"/>
        </w:rPr>
        <w:t>Espander v. Cramer</w:t>
      </w:r>
      <w:r w:rsidRPr="009220D2">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9220D2">
        <w:rPr>
          <w:rFonts w:eastAsia="Times New Roman"/>
          <w:sz w:val="24"/>
          <w:szCs w:val="24"/>
        </w:rPr>
        <w:t>1995)</w:t>
      </w:r>
      <w:r w:rsidR="00E36A76">
        <w:rPr>
          <w:rFonts w:eastAsia="Times New Roman"/>
          <w:sz w:val="24"/>
          <w:szCs w:val="24"/>
        </w:rPr>
        <w:t>;</w:t>
      </w:r>
      <w:r w:rsidRPr="009220D2">
        <w:rPr>
          <w:rFonts w:eastAsia="Times New Roman"/>
          <w:sz w:val="24"/>
          <w:szCs w:val="24"/>
        </w:rPr>
        <w:t xml:space="preserve"> </w:t>
      </w:r>
      <w:r w:rsidR="00E36A76">
        <w:rPr>
          <w:rFonts w:eastAsia="Times New Roman"/>
          <w:i/>
          <w:sz w:val="24"/>
          <w:szCs w:val="24"/>
        </w:rPr>
        <w:t>s</w:t>
      </w:r>
      <w:r w:rsidRPr="009220D2">
        <w:rPr>
          <w:rFonts w:eastAsia="Times New Roman"/>
          <w:i/>
          <w:sz w:val="24"/>
          <w:szCs w:val="24"/>
        </w:rPr>
        <w:t>ee also</w:t>
      </w:r>
      <w:r w:rsidRPr="009220D2">
        <w:rPr>
          <w:rFonts w:eastAsia="Times New Roman"/>
          <w:sz w:val="24"/>
          <w:szCs w:val="24"/>
        </w:rPr>
        <w:t xml:space="preserve"> </w:t>
      </w:r>
      <w:r w:rsidRPr="009220D2">
        <w:rPr>
          <w:rFonts w:eastAsia="Times New Roman"/>
          <w:b/>
          <w:sz w:val="24"/>
          <w:szCs w:val="24"/>
        </w:rPr>
        <w:t>Williams v. Boyle</w:t>
      </w:r>
      <w:r w:rsidRPr="009220D2">
        <w:rPr>
          <w:rFonts w:eastAsia="Times New Roman"/>
          <w:sz w:val="24"/>
          <w:szCs w:val="24"/>
        </w:rPr>
        <w:t>, 72 P.3d 392 (</w:t>
      </w:r>
      <w:r w:rsidR="00735ECD">
        <w:rPr>
          <w:rFonts w:eastAsia="Times New Roman"/>
          <w:sz w:val="24"/>
          <w:szCs w:val="24"/>
        </w:rPr>
        <w:t>Colo. App.</w:t>
      </w:r>
      <w:r w:rsidR="00E36A76">
        <w:rPr>
          <w:rFonts w:eastAsia="Times New Roman"/>
          <w:sz w:val="24"/>
          <w:szCs w:val="24"/>
        </w:rPr>
        <w:t xml:space="preserve"> </w:t>
      </w:r>
      <w:r w:rsidRPr="009220D2">
        <w:rPr>
          <w:rFonts w:eastAsia="Times New Roman"/>
          <w:sz w:val="24"/>
          <w:szCs w:val="24"/>
        </w:rPr>
        <w:t>2003).</w:t>
      </w:r>
    </w:p>
    <w:p w14:paraId="20C0AF07"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05479EA1" w14:textId="33E9170F"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This instruction is supported by </w:t>
      </w:r>
      <w:r w:rsidRPr="009220D2">
        <w:rPr>
          <w:rFonts w:eastAsia="Times New Roman"/>
          <w:b/>
          <w:sz w:val="24"/>
          <w:szCs w:val="24"/>
        </w:rPr>
        <w:t>Bloskas v. Murray</w:t>
      </w:r>
      <w:r w:rsidRPr="009220D2">
        <w:rPr>
          <w:rFonts w:eastAsia="Times New Roman"/>
          <w:sz w:val="24"/>
          <w:szCs w:val="24"/>
        </w:rPr>
        <w:t xml:space="preserve">, 646 P.2d 907 (Colo. 1982); </w:t>
      </w:r>
      <w:r w:rsidR="00A90256">
        <w:rPr>
          <w:rFonts w:eastAsia="Times New Roman"/>
          <w:sz w:val="24"/>
          <w:szCs w:val="24"/>
        </w:rPr>
        <w:t xml:space="preserve">and </w:t>
      </w:r>
      <w:r w:rsidRPr="009220D2">
        <w:rPr>
          <w:rFonts w:eastAsia="Times New Roman"/>
          <w:b/>
          <w:sz w:val="24"/>
          <w:szCs w:val="24"/>
        </w:rPr>
        <w:t>Miller v. Van Newkirk</w:t>
      </w:r>
      <w:r w:rsidRPr="009220D2">
        <w:rPr>
          <w:rFonts w:eastAsia="Times New Roman"/>
          <w:sz w:val="24"/>
          <w:szCs w:val="24"/>
        </w:rPr>
        <w:t>, 628 P.2d 143 (</w:t>
      </w:r>
      <w:r w:rsidR="00735ECD">
        <w:rPr>
          <w:rFonts w:eastAsia="Times New Roman"/>
          <w:sz w:val="24"/>
          <w:szCs w:val="24"/>
        </w:rPr>
        <w:t>Colo. App.</w:t>
      </w:r>
      <w:r w:rsidRPr="009220D2">
        <w:rPr>
          <w:rFonts w:eastAsia="Times New Roman"/>
          <w:sz w:val="24"/>
          <w:szCs w:val="24"/>
        </w:rPr>
        <w:t xml:space="preserve"> 1980).</w:t>
      </w:r>
    </w:p>
    <w:p w14:paraId="279D26EF" w14:textId="3EB6EE49" w:rsidR="009220D2" w:rsidRPr="009220D2" w:rsidRDefault="009220D2" w:rsidP="009220D2">
      <w:pPr>
        <w:spacing w:after="240"/>
        <w:ind w:firstLine="720"/>
        <w:rPr>
          <w:rFonts w:eastAsia="Times New Roman"/>
          <w:sz w:val="24"/>
          <w:szCs w:val="24"/>
        </w:rPr>
      </w:pPr>
      <w:r w:rsidRPr="009220D2">
        <w:rPr>
          <w:rFonts w:eastAsia="Times New Roman"/>
          <w:sz w:val="24"/>
          <w:szCs w:val="24"/>
        </w:rPr>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r w:rsidRPr="009220D2">
        <w:rPr>
          <w:rFonts w:eastAsia="Times New Roman"/>
          <w:b/>
          <w:sz w:val="24"/>
          <w:szCs w:val="24"/>
        </w:rPr>
        <w:t>Gorab v. Zook</w:t>
      </w:r>
      <w:r w:rsidRPr="009220D2">
        <w:rPr>
          <w:rFonts w:eastAsia="Times New Roman"/>
          <w:sz w:val="24"/>
          <w:szCs w:val="24"/>
        </w:rPr>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rFonts w:eastAsia="Times New Roman"/>
          <w:b/>
          <w:sz w:val="24"/>
          <w:szCs w:val="24"/>
        </w:rPr>
        <w:t>Williams</w:t>
      </w:r>
      <w:r w:rsidRPr="009220D2">
        <w:rPr>
          <w:rFonts w:eastAsia="Times New Roman"/>
          <w:sz w:val="24"/>
          <w:szCs w:val="24"/>
        </w:rPr>
        <w:t xml:space="preserve">, 72 P.3d </w:t>
      </w:r>
      <w:r w:rsidR="00E36A76">
        <w:rPr>
          <w:rFonts w:eastAsia="Times New Roman"/>
          <w:sz w:val="24"/>
          <w:szCs w:val="24"/>
        </w:rPr>
        <w:t xml:space="preserve">at </w:t>
      </w:r>
      <w:r w:rsidRPr="009220D2">
        <w:rPr>
          <w:rFonts w:eastAsia="Times New Roman"/>
          <w:sz w:val="24"/>
          <w:szCs w:val="24"/>
        </w:rPr>
        <w:t>39</w:t>
      </w:r>
      <w:r w:rsidR="00A90256">
        <w:rPr>
          <w:rFonts w:eastAsia="Times New Roman"/>
          <w:sz w:val="24"/>
          <w:szCs w:val="24"/>
        </w:rPr>
        <w:t>9</w:t>
      </w:r>
      <w:r w:rsidRPr="009220D2">
        <w:rPr>
          <w:rFonts w:eastAsia="Times New Roman"/>
          <w:sz w:val="24"/>
          <w:szCs w:val="24"/>
        </w:rPr>
        <w:t>.</w:t>
      </w:r>
    </w:p>
    <w:p w14:paraId="52EB6B40" w14:textId="77777777" w:rsidR="00AD1EC8" w:rsidRDefault="00AD1EC8">
      <w:pPr>
        <w:rPr>
          <w:rFonts w:eastAsia="Times New Roman"/>
          <w:sz w:val="24"/>
          <w:szCs w:val="24"/>
        </w:rPr>
      </w:pPr>
      <w:r>
        <w:rPr>
          <w:rFonts w:eastAsia="Times New Roman"/>
          <w:sz w:val="24"/>
          <w:szCs w:val="24"/>
        </w:rPr>
        <w:br w:type="page"/>
      </w:r>
    </w:p>
    <w:p w14:paraId="2C7E5A95" w14:textId="77777777" w:rsidR="00AD1EC8" w:rsidRPr="009E3DA4" w:rsidRDefault="00AD1EC8" w:rsidP="00AD1EC8">
      <w:pPr>
        <w:spacing w:after="240"/>
        <w:ind w:left="720" w:hanging="720"/>
        <w:rPr>
          <w:rFonts w:eastAsia="Times New Roman"/>
          <w:b/>
          <w:sz w:val="24"/>
          <w:szCs w:val="24"/>
        </w:rPr>
      </w:pPr>
      <w:bookmarkStart w:id="12" w:name="a15_12"/>
      <w:bookmarkEnd w:id="12"/>
      <w:r w:rsidRPr="00AD1EC8">
        <w:rPr>
          <w:rFonts w:eastAsia="Times New Roman"/>
          <w:b/>
          <w:sz w:val="24"/>
          <w:szCs w:val="24"/>
        </w:rPr>
        <w:lastRenderedPageBreak/>
        <w:t xml:space="preserve">15:12 </w:t>
      </w:r>
      <w:r w:rsidRPr="00AD1EC8">
        <w:rPr>
          <w:rFonts w:eastAsia="Times New Roman"/>
          <w:b/>
          <w:sz w:val="24"/>
          <w:szCs w:val="24"/>
        </w:rPr>
        <w:tab/>
        <w:t>SUBSTANTIAL RISK — DEFINED</w:t>
      </w:r>
    </w:p>
    <w:p w14:paraId="0665C1ED" w14:textId="77777777" w:rsidR="00AD1EC8" w:rsidRPr="00AD1EC8" w:rsidRDefault="00AD1EC8" w:rsidP="00AD1EC8">
      <w:pPr>
        <w:spacing w:after="240"/>
        <w:ind w:firstLine="720"/>
        <w:rPr>
          <w:rFonts w:eastAsia="Times New Roman"/>
          <w:b/>
          <w:sz w:val="24"/>
          <w:szCs w:val="24"/>
        </w:rPr>
      </w:pPr>
      <w:r w:rsidRPr="00AD1EC8">
        <w:rPr>
          <w:rFonts w:eastAsia="Times New Roman"/>
          <w:b/>
          <w:sz w:val="24"/>
          <w:szCs w:val="24"/>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rPr>
          <w:rFonts w:eastAsia="Times New Roman"/>
          <w:sz w:val="24"/>
          <w:szCs w:val="24"/>
        </w:rPr>
      </w:pPr>
    </w:p>
    <w:p w14:paraId="47E7A070" w14:textId="77777777" w:rsidR="00AD1EC8" w:rsidRPr="0054263B" w:rsidRDefault="00AD1EC8" w:rsidP="00AD1EC8">
      <w:pPr>
        <w:keepNext/>
        <w:spacing w:after="240"/>
        <w:jc w:val="center"/>
        <w:rPr>
          <w:rFonts w:eastAsia="Times New Roman"/>
          <w:b/>
          <w:sz w:val="24"/>
          <w:szCs w:val="24"/>
        </w:rPr>
      </w:pPr>
      <w:r w:rsidRPr="0054263B">
        <w:rPr>
          <w:rFonts w:eastAsia="Times New Roman"/>
          <w:b/>
          <w:sz w:val="24"/>
          <w:szCs w:val="24"/>
        </w:rPr>
        <w:t>Notes on Use</w:t>
      </w:r>
    </w:p>
    <w:p w14:paraId="1C02BA23" w14:textId="77777777" w:rsidR="00AD1EC8" w:rsidRPr="00AD1EC8" w:rsidRDefault="00AD1EC8" w:rsidP="00AD1EC8">
      <w:pPr>
        <w:spacing w:after="240"/>
        <w:ind w:firstLine="720"/>
        <w:rPr>
          <w:rFonts w:eastAsia="Times New Roman"/>
          <w:sz w:val="24"/>
          <w:szCs w:val="24"/>
        </w:rPr>
      </w:pPr>
      <w:r w:rsidRPr="00AD1EC8">
        <w:rPr>
          <w:rFonts w:eastAsia="Times New Roman"/>
          <w:sz w:val="24"/>
          <w:szCs w:val="24"/>
        </w:rPr>
        <w:t>1. This instruction must be given whenever numbered paragraph 4 of Instruction 15:11 is given.</w:t>
      </w:r>
    </w:p>
    <w:p w14:paraId="2FAB9533" w14:textId="77777777" w:rsidR="00AD1EC8" w:rsidRPr="00AD1EC8" w:rsidRDefault="00AD1EC8" w:rsidP="00AD1EC8">
      <w:pPr>
        <w:spacing w:after="240"/>
        <w:ind w:firstLine="720"/>
        <w:rPr>
          <w:rFonts w:eastAsia="Times New Roman"/>
          <w:sz w:val="24"/>
          <w:szCs w:val="24"/>
        </w:rPr>
      </w:pPr>
      <w:r w:rsidRPr="00AD1EC8">
        <w:rPr>
          <w:rFonts w:eastAsia="Times New Roman"/>
          <w:sz w:val="24"/>
          <w:szCs w:val="24"/>
        </w:rPr>
        <w:t>2. Use whichever parenthesized words are appropriate.</w:t>
      </w:r>
    </w:p>
    <w:p w14:paraId="6487A01D" w14:textId="77777777" w:rsidR="00AD1EC8" w:rsidRPr="0054263B" w:rsidRDefault="00AD1EC8" w:rsidP="00AD1EC8">
      <w:pPr>
        <w:keepNext/>
        <w:spacing w:after="240"/>
        <w:jc w:val="center"/>
        <w:rPr>
          <w:rFonts w:eastAsia="Times New Roman"/>
          <w:b/>
          <w:sz w:val="24"/>
          <w:szCs w:val="24"/>
        </w:rPr>
      </w:pPr>
      <w:r>
        <w:rPr>
          <w:rFonts w:eastAsia="Times New Roman"/>
          <w:b/>
          <w:sz w:val="24"/>
          <w:szCs w:val="24"/>
        </w:rPr>
        <w:t>Source and Authority</w:t>
      </w:r>
    </w:p>
    <w:p w14:paraId="42166987" w14:textId="01D990A8" w:rsidR="00AD1EC8" w:rsidRPr="00AD1EC8" w:rsidRDefault="00AD1EC8" w:rsidP="00AD1EC8">
      <w:pPr>
        <w:spacing w:after="240"/>
        <w:ind w:firstLine="720"/>
        <w:rPr>
          <w:rFonts w:eastAsia="Times New Roman"/>
          <w:sz w:val="24"/>
          <w:szCs w:val="24"/>
        </w:rPr>
      </w:pPr>
      <w:r w:rsidRPr="00AD1EC8">
        <w:rPr>
          <w:rFonts w:eastAsia="Times New Roman"/>
          <w:sz w:val="24"/>
          <w:szCs w:val="24"/>
        </w:rPr>
        <w:t xml:space="preserve">This instruction is supported by </w:t>
      </w:r>
      <w:r w:rsidRPr="00AD1EC8">
        <w:rPr>
          <w:rFonts w:eastAsia="Times New Roman"/>
          <w:b/>
          <w:sz w:val="24"/>
          <w:szCs w:val="24"/>
        </w:rPr>
        <w:t>Bloskas v. Murray</w:t>
      </w:r>
      <w:r w:rsidRPr="00AD1EC8">
        <w:rPr>
          <w:rFonts w:eastAsia="Times New Roman"/>
          <w:sz w:val="24"/>
          <w:szCs w:val="24"/>
        </w:rPr>
        <w:t>,</w:t>
      </w:r>
      <w:r w:rsidRPr="00AD1EC8">
        <w:rPr>
          <w:rFonts w:eastAsia="Times New Roman"/>
          <w:b/>
          <w:sz w:val="24"/>
          <w:szCs w:val="24"/>
        </w:rPr>
        <w:t xml:space="preserve"> </w:t>
      </w:r>
      <w:r w:rsidRPr="00AD1EC8">
        <w:rPr>
          <w:rFonts w:eastAsia="Times New Roman"/>
          <w:sz w:val="24"/>
          <w:szCs w:val="24"/>
        </w:rPr>
        <w:t xml:space="preserve">646 P.2d 907 (Colo. 1982). </w:t>
      </w:r>
      <w:r w:rsidRPr="00AD1EC8">
        <w:rPr>
          <w:rFonts w:eastAsia="Times New Roman"/>
          <w:i/>
          <w:sz w:val="24"/>
          <w:szCs w:val="24"/>
        </w:rPr>
        <w:t>See also</w:t>
      </w:r>
      <w:r w:rsidRPr="00AD1EC8">
        <w:rPr>
          <w:rFonts w:eastAsia="Times New Roman"/>
          <w:b/>
          <w:sz w:val="24"/>
          <w:szCs w:val="24"/>
        </w:rPr>
        <w:t xml:space="preserve"> Gorab v. Zook</w:t>
      </w:r>
      <w:r w:rsidRPr="00AD1EC8">
        <w:rPr>
          <w:rFonts w:eastAsia="Times New Roman"/>
          <w:sz w:val="24"/>
          <w:szCs w:val="24"/>
        </w:rPr>
        <w:t>, 943 P.2d 423</w:t>
      </w:r>
      <w:r w:rsidR="00FF0B20">
        <w:rPr>
          <w:rFonts w:eastAsia="Times New Roman"/>
          <w:sz w:val="24"/>
          <w:szCs w:val="24"/>
        </w:rPr>
        <w:t>, 427</w:t>
      </w:r>
      <w:r w:rsidRPr="00AD1EC8">
        <w:rPr>
          <w:rFonts w:eastAsia="Times New Roman"/>
          <w:sz w:val="24"/>
          <w:szCs w:val="24"/>
        </w:rPr>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pPr>
        <w:rPr>
          <w:rFonts w:eastAsia="Times New Roman"/>
          <w:sz w:val="24"/>
          <w:szCs w:val="24"/>
        </w:rPr>
      </w:pPr>
      <w:r>
        <w:rPr>
          <w:rFonts w:eastAsia="Times New Roman"/>
          <w:sz w:val="24"/>
          <w:szCs w:val="24"/>
        </w:rPr>
        <w:br w:type="page"/>
      </w:r>
    </w:p>
    <w:p w14:paraId="24C9EA77" w14:textId="77777777" w:rsidR="00066D6E" w:rsidRPr="009E3DA4" w:rsidRDefault="00066D6E" w:rsidP="00066D6E">
      <w:pPr>
        <w:spacing w:after="240"/>
        <w:ind w:left="720" w:hanging="720"/>
        <w:rPr>
          <w:rFonts w:eastAsia="Times New Roman"/>
          <w:b/>
          <w:sz w:val="24"/>
          <w:szCs w:val="24"/>
        </w:rPr>
      </w:pPr>
      <w:bookmarkStart w:id="13" w:name="a15_13"/>
      <w:bookmarkEnd w:id="13"/>
      <w:r w:rsidRPr="00066D6E">
        <w:rPr>
          <w:rFonts w:eastAsia="Times New Roman"/>
          <w:b/>
          <w:sz w:val="24"/>
          <w:szCs w:val="24"/>
        </w:rPr>
        <w:lastRenderedPageBreak/>
        <w:t xml:space="preserve">15:13 </w:t>
      </w:r>
      <w:r w:rsidRPr="00066D6E">
        <w:rPr>
          <w:rFonts w:eastAsia="Times New Roman"/>
          <w:b/>
          <w:sz w:val="24"/>
          <w:szCs w:val="24"/>
        </w:rPr>
        <w:tab/>
        <w:t>PROOF OF NEGLIGENT FAILURE TO OBTAIN INFORMED CONSENT</w:t>
      </w:r>
    </w:p>
    <w:p w14:paraId="7134A647" w14:textId="77777777" w:rsidR="00066D6E" w:rsidRPr="00066D6E" w:rsidRDefault="00066D6E" w:rsidP="00066D6E">
      <w:pPr>
        <w:spacing w:after="240"/>
        <w:ind w:firstLine="720"/>
        <w:rPr>
          <w:rFonts w:eastAsia="Times New Roman"/>
          <w:b/>
          <w:sz w:val="24"/>
          <w:szCs w:val="24"/>
        </w:rPr>
      </w:pPr>
      <w:r w:rsidRPr="00066D6E">
        <w:rPr>
          <w:rFonts w:eastAsia="Times New Roman"/>
          <w:b/>
          <w:sz w:val="24"/>
          <w:szCs w:val="24"/>
        </w:rPr>
        <w:t xml:space="preserve">If you find the defendant, </w:t>
      </w:r>
      <w:r w:rsidRPr="00066D6E">
        <w:rPr>
          <w:rFonts w:eastAsia="Times New Roman"/>
          <w:i/>
          <w:sz w:val="24"/>
          <w:szCs w:val="24"/>
        </w:rPr>
        <w:t>(name)</w:t>
      </w:r>
      <w:r w:rsidRPr="00066D6E">
        <w:rPr>
          <w:rFonts w:eastAsia="Times New Roman"/>
          <w:b/>
          <w:sz w:val="24"/>
          <w:szCs w:val="24"/>
        </w:rPr>
        <w:t>,</w:t>
      </w:r>
      <w:r w:rsidRPr="00066D6E">
        <w:rPr>
          <w:rFonts w:eastAsia="Times New Roman"/>
          <w:i/>
          <w:sz w:val="24"/>
          <w:szCs w:val="24"/>
        </w:rPr>
        <w:t xml:space="preserve"> (insert appropriate description of the procedure, etc., as in numbered paragraph 1 of Instruction 15:10)</w:t>
      </w:r>
      <w:r w:rsidRPr="00066D6E">
        <w:rPr>
          <w:rFonts w:eastAsia="Times New Roman"/>
          <w:b/>
          <w:sz w:val="24"/>
          <w:szCs w:val="24"/>
        </w:rPr>
        <w:t xml:space="preserve">, (on) (for) the plaintiff, (name), and the plaintiff had (injuries) (damages) (losses) because of a risk associated with that </w:t>
      </w:r>
      <w:r w:rsidRPr="00066D6E">
        <w:rPr>
          <w:rFonts w:eastAsia="Times New Roman"/>
          <w:i/>
          <w:sz w:val="24"/>
          <w:szCs w:val="24"/>
        </w:rPr>
        <w:t>(insert appropriate description, e.g., “treatment,” “procedure,” “test,” etc.)</w:t>
      </w:r>
      <w:r w:rsidRPr="00066D6E">
        <w:rPr>
          <w:rFonts w:eastAsia="Times New Roman"/>
          <w:b/>
          <w:sz w:val="24"/>
          <w:szCs w:val="24"/>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rPr>
          <w:rFonts w:eastAsia="Times New Roman"/>
          <w:sz w:val="24"/>
          <w:szCs w:val="24"/>
        </w:rPr>
      </w:pPr>
    </w:p>
    <w:p w14:paraId="0DC04DE8" w14:textId="77777777" w:rsidR="00066D6E" w:rsidRPr="0054263B" w:rsidRDefault="00066D6E" w:rsidP="00066D6E">
      <w:pPr>
        <w:keepNext/>
        <w:spacing w:after="240"/>
        <w:jc w:val="center"/>
        <w:rPr>
          <w:rFonts w:eastAsia="Times New Roman"/>
          <w:b/>
          <w:sz w:val="24"/>
          <w:szCs w:val="24"/>
        </w:rPr>
      </w:pPr>
      <w:r w:rsidRPr="0054263B">
        <w:rPr>
          <w:rFonts w:eastAsia="Times New Roman"/>
          <w:b/>
          <w:sz w:val="24"/>
          <w:szCs w:val="24"/>
        </w:rPr>
        <w:t>Notes on Use</w:t>
      </w:r>
    </w:p>
    <w:p w14:paraId="2579637F" w14:textId="07FEBCA5"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rFonts w:eastAsia="Times New Roman"/>
          <w:i/>
          <w:sz w:val="24"/>
          <w:szCs w:val="24"/>
        </w:rPr>
        <w:t>See</w:t>
      </w:r>
      <w:r w:rsidRPr="00066D6E">
        <w:rPr>
          <w:rFonts w:eastAsia="Times New Roman"/>
          <w:sz w:val="24"/>
          <w:szCs w:val="24"/>
        </w:rPr>
        <w:t xml:space="preserve"> </w:t>
      </w:r>
      <w:r w:rsidR="00456F47" w:rsidRPr="00066D6E">
        <w:rPr>
          <w:rFonts w:eastAsia="Times New Roman"/>
          <w:sz w:val="24"/>
          <w:szCs w:val="24"/>
        </w:rPr>
        <w:t>Source and Authority to Instruction 15:10</w:t>
      </w:r>
      <w:r w:rsidR="00456F47">
        <w:rPr>
          <w:rFonts w:eastAsia="Times New Roman"/>
          <w:sz w:val="24"/>
          <w:szCs w:val="24"/>
        </w:rPr>
        <w:t xml:space="preserve">; </w:t>
      </w:r>
      <w:r w:rsidRPr="00066D6E">
        <w:rPr>
          <w:rFonts w:eastAsia="Times New Roman"/>
          <w:sz w:val="24"/>
          <w:szCs w:val="24"/>
        </w:rPr>
        <w:t xml:space="preserve">Notes on Use to Instruction 3:5 </w:t>
      </w:r>
      <w:r w:rsidR="00456F47">
        <w:rPr>
          <w:rFonts w:eastAsia="Times New Roman"/>
          <w:sz w:val="24"/>
          <w:szCs w:val="24"/>
        </w:rPr>
        <w:t xml:space="preserve">(discussing </w:t>
      </w:r>
      <w:r w:rsidRPr="00066D6E">
        <w:rPr>
          <w:rFonts w:eastAsia="Times New Roman"/>
          <w:sz w:val="24"/>
          <w:szCs w:val="24"/>
        </w:rPr>
        <w:t>procedural effects of such presumptions</w:t>
      </w:r>
      <w:r w:rsidR="00456F47">
        <w:rPr>
          <w:rFonts w:eastAsia="Times New Roman"/>
          <w:sz w:val="24"/>
          <w:szCs w:val="24"/>
        </w:rPr>
        <w:t>)</w:t>
      </w:r>
      <w:r w:rsidRPr="00066D6E">
        <w:rPr>
          <w:rFonts w:eastAsia="Times New Roman"/>
          <w:sz w:val="24"/>
          <w:szCs w:val="24"/>
        </w:rPr>
        <w:t>.</w:t>
      </w:r>
    </w:p>
    <w:p w14:paraId="3CEACB0A" w14:textId="0E1C1130"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2. “The law in Colorado distinguishes between an action based on no consent (battery) [Instructions 15:7-15:9] and one based on lack of informed consent [Instructions 15:10-15:13].” </w:t>
      </w:r>
      <w:r w:rsidRPr="00066D6E">
        <w:rPr>
          <w:rFonts w:eastAsia="Times New Roman"/>
          <w:b/>
          <w:sz w:val="24"/>
          <w:szCs w:val="24"/>
        </w:rPr>
        <w:t>Blades v. DaFoe</w:t>
      </w:r>
      <w:r w:rsidRPr="00066D6E">
        <w:rPr>
          <w:rFonts w:eastAsia="Times New Roman"/>
          <w:sz w:val="24"/>
          <w:szCs w:val="24"/>
        </w:rPr>
        <w:t>, 666 P.2d 1126, 1129 (</w:t>
      </w:r>
      <w:r w:rsidR="00735ECD">
        <w:rPr>
          <w:rFonts w:eastAsia="Times New Roman"/>
          <w:sz w:val="24"/>
          <w:szCs w:val="24"/>
        </w:rPr>
        <w:t>Colo. App.</w:t>
      </w:r>
      <w:r w:rsidRPr="00066D6E">
        <w:rPr>
          <w:rFonts w:eastAsia="Times New Roman"/>
          <w:sz w:val="24"/>
          <w:szCs w:val="24"/>
        </w:rPr>
        <w:t xml:space="preserve"> 1983), </w:t>
      </w:r>
      <w:r w:rsidRPr="00066D6E">
        <w:rPr>
          <w:rFonts w:eastAsia="Times New Roman"/>
          <w:i/>
          <w:sz w:val="24"/>
          <w:szCs w:val="24"/>
        </w:rPr>
        <w:t>rev’d on other grounds</w:t>
      </w:r>
      <w:r w:rsidRPr="00066D6E">
        <w:rPr>
          <w:rFonts w:eastAsia="Times New Roman"/>
          <w:sz w:val="24"/>
          <w:szCs w:val="24"/>
        </w:rPr>
        <w:t>, 704 P.2d 317 (Colo. 1985)</w:t>
      </w:r>
      <w:r w:rsidR="00251C50">
        <w:rPr>
          <w:rFonts w:eastAsia="Times New Roman"/>
          <w:sz w:val="24"/>
          <w:szCs w:val="24"/>
        </w:rPr>
        <w:t>;</w:t>
      </w:r>
      <w:r w:rsidRPr="00066D6E">
        <w:rPr>
          <w:rFonts w:eastAsia="Times New Roman"/>
          <w:sz w:val="24"/>
          <w:szCs w:val="24"/>
        </w:rPr>
        <w:t xml:space="preserve"> </w:t>
      </w:r>
      <w:r w:rsidR="00251C50">
        <w:rPr>
          <w:rFonts w:eastAsia="Times New Roman"/>
          <w:i/>
          <w:sz w:val="24"/>
          <w:szCs w:val="24"/>
        </w:rPr>
        <w:t>s</w:t>
      </w:r>
      <w:r w:rsidRPr="00066D6E">
        <w:rPr>
          <w:rFonts w:eastAsia="Times New Roman"/>
          <w:i/>
          <w:sz w:val="24"/>
          <w:szCs w:val="24"/>
        </w:rPr>
        <w:t>ee also</w:t>
      </w:r>
      <w:r w:rsidRPr="00066D6E">
        <w:rPr>
          <w:rFonts w:eastAsia="Times New Roman"/>
          <w:sz w:val="24"/>
          <w:szCs w:val="24"/>
        </w:rPr>
        <w:t xml:space="preserve"> </w:t>
      </w:r>
      <w:r w:rsidRPr="00066D6E">
        <w:rPr>
          <w:rFonts w:eastAsia="Times New Roman"/>
          <w:b/>
          <w:sz w:val="24"/>
          <w:szCs w:val="24"/>
        </w:rPr>
        <w:t>Espander v. Cramer</w:t>
      </w:r>
      <w:r w:rsidRPr="00066D6E">
        <w:rPr>
          <w:rFonts w:eastAsia="Times New Roman"/>
          <w:sz w:val="24"/>
          <w:szCs w:val="24"/>
        </w:rPr>
        <w:t>, 903 P.2d 1171 (</w:t>
      </w:r>
      <w:r w:rsidR="00735ECD">
        <w:rPr>
          <w:rFonts w:eastAsia="Times New Roman"/>
          <w:sz w:val="24"/>
          <w:szCs w:val="24"/>
        </w:rPr>
        <w:t>Colo. App.</w:t>
      </w:r>
      <w:r w:rsidR="00251C50">
        <w:rPr>
          <w:rFonts w:eastAsia="Times New Roman"/>
          <w:sz w:val="24"/>
          <w:szCs w:val="24"/>
        </w:rPr>
        <w:t xml:space="preserve"> </w:t>
      </w:r>
      <w:r w:rsidRPr="00066D6E">
        <w:rPr>
          <w:rFonts w:eastAsia="Times New Roman"/>
          <w:sz w:val="24"/>
          <w:szCs w:val="24"/>
        </w:rPr>
        <w:t>1995). This Instruction 15:13, therefore, should not be given in conjunction with Instruction 15:7, but rather should be given only with Instruction 15:10 when otherwise appropriate.</w:t>
      </w:r>
    </w:p>
    <w:p w14:paraId="167C188D" w14:textId="77777777"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3. For a discussion of the shifting burdens of proof involved in a claim for lack of informed consent, </w:t>
      </w:r>
      <w:r w:rsidRPr="00AC4AE5">
        <w:rPr>
          <w:rFonts w:eastAsia="Times New Roman"/>
          <w:sz w:val="24"/>
          <w:szCs w:val="24"/>
        </w:rPr>
        <w:t>see</w:t>
      </w:r>
      <w:r w:rsidRPr="00066D6E">
        <w:rPr>
          <w:rFonts w:eastAsia="Times New Roman"/>
          <w:sz w:val="24"/>
          <w:szCs w:val="24"/>
        </w:rPr>
        <w:t xml:space="preserve"> </w:t>
      </w:r>
      <w:r w:rsidRPr="00066D6E">
        <w:rPr>
          <w:rFonts w:eastAsia="Times New Roman"/>
          <w:b/>
          <w:sz w:val="24"/>
          <w:szCs w:val="24"/>
        </w:rPr>
        <w:t>Gorab v. Zook</w:t>
      </w:r>
      <w:r w:rsidRPr="00066D6E">
        <w:rPr>
          <w:rFonts w:eastAsia="Times New Roman"/>
          <w:sz w:val="24"/>
          <w:szCs w:val="24"/>
        </w:rPr>
        <w:t>, 943 P.2d 423 (Colo. 1997).</w:t>
      </w:r>
    </w:p>
    <w:p w14:paraId="31C68B80" w14:textId="77777777" w:rsidR="00066D6E" w:rsidRPr="0054263B" w:rsidRDefault="00066D6E" w:rsidP="00066D6E">
      <w:pPr>
        <w:keepNext/>
        <w:spacing w:after="240"/>
        <w:jc w:val="center"/>
        <w:rPr>
          <w:rFonts w:eastAsia="Times New Roman"/>
          <w:b/>
          <w:sz w:val="24"/>
          <w:szCs w:val="24"/>
        </w:rPr>
      </w:pPr>
      <w:r>
        <w:rPr>
          <w:rFonts w:eastAsia="Times New Roman"/>
          <w:b/>
          <w:sz w:val="24"/>
          <w:szCs w:val="24"/>
        </w:rPr>
        <w:t>Source and Authority</w:t>
      </w:r>
    </w:p>
    <w:p w14:paraId="28E282C5" w14:textId="298730A2"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This instruction is supported by </w:t>
      </w:r>
      <w:r w:rsidRPr="00066D6E">
        <w:rPr>
          <w:rFonts w:eastAsia="Times New Roman"/>
          <w:b/>
          <w:sz w:val="24"/>
          <w:szCs w:val="24"/>
        </w:rPr>
        <w:t>Gorab</w:t>
      </w:r>
      <w:r w:rsidRPr="00066D6E">
        <w:rPr>
          <w:rFonts w:eastAsia="Times New Roman"/>
          <w:sz w:val="24"/>
          <w:szCs w:val="24"/>
        </w:rPr>
        <w:t xml:space="preserve">, 943 P.2d </w:t>
      </w:r>
      <w:r w:rsidR="00FF0B20">
        <w:rPr>
          <w:rFonts w:eastAsia="Times New Roman"/>
          <w:sz w:val="24"/>
          <w:szCs w:val="24"/>
        </w:rPr>
        <w:t xml:space="preserve">at </w:t>
      </w:r>
      <w:r w:rsidRPr="00066D6E">
        <w:rPr>
          <w:rFonts w:eastAsia="Times New Roman"/>
          <w:sz w:val="24"/>
          <w:szCs w:val="24"/>
        </w:rPr>
        <w:t>42</w:t>
      </w:r>
      <w:r w:rsidR="00FF0B20">
        <w:rPr>
          <w:rFonts w:eastAsia="Times New Roman"/>
          <w:sz w:val="24"/>
          <w:szCs w:val="24"/>
        </w:rPr>
        <w:t>7</w:t>
      </w:r>
      <w:r w:rsidRPr="00066D6E">
        <w:rPr>
          <w:rFonts w:eastAsia="Times New Roman"/>
          <w:sz w:val="24"/>
          <w:szCs w:val="24"/>
        </w:rPr>
        <w:t xml:space="preserve">. </w:t>
      </w:r>
      <w:r w:rsidRPr="00066D6E">
        <w:rPr>
          <w:rFonts w:eastAsia="Times New Roman"/>
          <w:i/>
          <w:sz w:val="24"/>
          <w:szCs w:val="24"/>
        </w:rPr>
        <w:t>See also</w:t>
      </w:r>
      <w:r w:rsidRPr="00066D6E">
        <w:rPr>
          <w:rFonts w:eastAsia="Times New Roman"/>
          <w:sz w:val="24"/>
          <w:szCs w:val="24"/>
        </w:rPr>
        <w:t xml:space="preserve"> </w:t>
      </w:r>
      <w:r w:rsidRPr="00066D6E">
        <w:rPr>
          <w:rFonts w:eastAsia="Times New Roman"/>
          <w:b/>
          <w:sz w:val="24"/>
          <w:szCs w:val="24"/>
        </w:rPr>
        <w:t>Blades</w:t>
      </w:r>
      <w:r w:rsidRPr="00066D6E">
        <w:rPr>
          <w:rFonts w:eastAsia="Times New Roman"/>
          <w:sz w:val="24"/>
          <w:szCs w:val="24"/>
        </w:rPr>
        <w:t xml:space="preserve">, 666 P.2d </w:t>
      </w:r>
      <w:r w:rsidR="007534B5">
        <w:rPr>
          <w:rFonts w:eastAsia="Times New Roman"/>
          <w:sz w:val="24"/>
          <w:szCs w:val="24"/>
        </w:rPr>
        <w:t xml:space="preserve">at </w:t>
      </w:r>
      <w:r w:rsidRPr="00066D6E">
        <w:rPr>
          <w:rFonts w:eastAsia="Times New Roman"/>
          <w:sz w:val="24"/>
          <w:szCs w:val="24"/>
        </w:rPr>
        <w:t>112</w:t>
      </w:r>
      <w:r w:rsidR="007534B5">
        <w:rPr>
          <w:rFonts w:eastAsia="Times New Roman"/>
          <w:sz w:val="24"/>
          <w:szCs w:val="24"/>
        </w:rPr>
        <w:t xml:space="preserve">9-30; </w:t>
      </w:r>
      <w:r w:rsidR="007534B5" w:rsidRPr="00066D6E">
        <w:rPr>
          <w:rFonts w:eastAsia="Times New Roman"/>
          <w:sz w:val="24"/>
          <w:szCs w:val="24"/>
        </w:rPr>
        <w:t>Source and Authority to Instruction 15:10</w:t>
      </w:r>
      <w:r w:rsidRPr="00066D6E">
        <w:rPr>
          <w:rFonts w:eastAsia="Times New Roman"/>
          <w:sz w:val="24"/>
          <w:szCs w:val="24"/>
        </w:rPr>
        <w:t>.</w:t>
      </w:r>
    </w:p>
    <w:p w14:paraId="14BF8E2B" w14:textId="77777777" w:rsidR="001F4376" w:rsidRDefault="001F4376">
      <w:pPr>
        <w:rPr>
          <w:rFonts w:eastAsia="Times New Roman"/>
          <w:sz w:val="24"/>
          <w:szCs w:val="24"/>
        </w:rPr>
      </w:pPr>
      <w:r>
        <w:rPr>
          <w:rFonts w:eastAsia="Times New Roman"/>
          <w:sz w:val="24"/>
          <w:szCs w:val="24"/>
        </w:rPr>
        <w:br w:type="page"/>
      </w:r>
    </w:p>
    <w:p w14:paraId="13BDCFDB" w14:textId="77777777" w:rsidR="001F4376" w:rsidRDefault="001F4376" w:rsidP="001F4376">
      <w:pPr>
        <w:spacing w:after="240"/>
        <w:jc w:val="center"/>
        <w:rPr>
          <w:rFonts w:eastAsia="Times New Roman"/>
          <w:b/>
          <w:sz w:val="24"/>
          <w:szCs w:val="24"/>
        </w:rPr>
      </w:pPr>
      <w:r w:rsidRPr="001F4376">
        <w:rPr>
          <w:rFonts w:eastAsia="Times New Roman"/>
          <w:b/>
          <w:sz w:val="24"/>
          <w:szCs w:val="24"/>
        </w:rPr>
        <w:lastRenderedPageBreak/>
        <w:t>D. DAMAGES INSTRUCTIONS AND SPECIAL VERDICTS IN ACTIONS AG</w:t>
      </w:r>
      <w:r>
        <w:rPr>
          <w:rFonts w:eastAsia="Times New Roman"/>
          <w:b/>
          <w:sz w:val="24"/>
          <w:szCs w:val="24"/>
        </w:rPr>
        <w:t xml:space="preserve">AINST HEALTH CARE PROFESSIONALS </w:t>
      </w:r>
      <w:r w:rsidRPr="001F4376">
        <w:rPr>
          <w:rFonts w:eastAsia="Times New Roman"/>
          <w:b/>
          <w:sz w:val="24"/>
          <w:szCs w:val="24"/>
        </w:rPr>
        <w:t>OR HEALTH CARE INSTITUTIONS</w:t>
      </w:r>
    </w:p>
    <w:p w14:paraId="73DBBBEE" w14:textId="77777777" w:rsidR="001F4376" w:rsidRPr="009E3DA4" w:rsidRDefault="001F4376" w:rsidP="001F4376">
      <w:pPr>
        <w:spacing w:after="240"/>
        <w:ind w:left="720" w:hanging="720"/>
        <w:rPr>
          <w:rFonts w:eastAsia="Times New Roman"/>
          <w:b/>
          <w:sz w:val="24"/>
          <w:szCs w:val="24"/>
        </w:rPr>
      </w:pPr>
      <w:bookmarkStart w:id="14" w:name="a15_14"/>
      <w:bookmarkEnd w:id="14"/>
      <w:r w:rsidRPr="001F4376">
        <w:rPr>
          <w:rFonts w:eastAsia="Times New Roman"/>
          <w:b/>
          <w:sz w:val="24"/>
          <w:szCs w:val="24"/>
        </w:rPr>
        <w:t xml:space="preserve">15:14 </w:t>
      </w:r>
      <w:r w:rsidRPr="001F4376">
        <w:rPr>
          <w:rFonts w:eastAsia="Times New Roman"/>
          <w:b/>
          <w:sz w:val="24"/>
          <w:szCs w:val="24"/>
        </w:rPr>
        <w:tab/>
        <w:t>SPECIAL VERDICT — MECHANICS FOR SUBMITTING — TORT ACTIONS AGAINST HEALTH CARE PROFESSIONALS OR HEALTH CARE INSTITUTIONS</w:t>
      </w:r>
    </w:p>
    <w:p w14:paraId="4FC57C3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You are instructed to answer the following questions. You must all agree on your answers to each question for which an answer is required:</w:t>
      </w:r>
    </w:p>
    <w:p w14:paraId="663B336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1. Did the plaintiff, </w:t>
      </w:r>
      <w:r w:rsidRPr="001F4376">
        <w:rPr>
          <w:rFonts w:eastAsia="Times New Roman"/>
          <w:i/>
          <w:sz w:val="24"/>
          <w:szCs w:val="24"/>
        </w:rPr>
        <w:t>(name)</w:t>
      </w:r>
      <w:r w:rsidRPr="001F4376">
        <w:rPr>
          <w:rFonts w:eastAsia="Times New Roman"/>
          <w:b/>
          <w:sz w:val="24"/>
          <w:szCs w:val="24"/>
        </w:rPr>
        <w:t>, have (injuries) (damages) (losses)?</w:t>
      </w:r>
    </w:p>
    <w:p w14:paraId="082FE611"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2. Was the defendant, </w:t>
      </w:r>
      <w:r w:rsidRPr="001F4376">
        <w:rPr>
          <w:rFonts w:eastAsia="Times New Roman"/>
          <w:i/>
          <w:sz w:val="24"/>
          <w:szCs w:val="24"/>
        </w:rPr>
        <w:t>(name of first or only defendant)</w:t>
      </w:r>
      <w:r w:rsidRPr="001F4376">
        <w:rPr>
          <w:rFonts w:eastAsia="Times New Roman"/>
          <w:b/>
          <w:sz w:val="24"/>
          <w:szCs w:val="24"/>
        </w:rPr>
        <w:t>, negligent?</w:t>
      </w:r>
    </w:p>
    <w:p w14:paraId="3099C004"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3. Was the negligence, if any, of the defendant, </w:t>
      </w:r>
      <w:r w:rsidRPr="001F4376">
        <w:rPr>
          <w:rFonts w:eastAsia="Times New Roman"/>
          <w:i/>
          <w:sz w:val="24"/>
          <w:szCs w:val="24"/>
        </w:rPr>
        <w:t>(name of first or only defendant)</w:t>
      </w:r>
      <w:r w:rsidRPr="001F4376">
        <w:rPr>
          <w:rFonts w:eastAsia="Times New Roman"/>
          <w:b/>
          <w:sz w:val="24"/>
          <w:szCs w:val="24"/>
        </w:rPr>
        <w:t>, a cause of any of the (injuries) (damages) (losses) claimed by the plaintiff?</w:t>
      </w:r>
    </w:p>
    <w:p w14:paraId="156828E1"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4. Was the defendant, </w:t>
      </w:r>
      <w:r w:rsidRPr="001F4376">
        <w:rPr>
          <w:rFonts w:eastAsia="Times New Roman"/>
          <w:i/>
          <w:sz w:val="24"/>
          <w:szCs w:val="24"/>
        </w:rPr>
        <w:t>(name of second defendant)</w:t>
      </w:r>
      <w:r w:rsidRPr="001F4376">
        <w:rPr>
          <w:rFonts w:eastAsia="Times New Roman"/>
          <w:b/>
          <w:sz w:val="24"/>
          <w:szCs w:val="24"/>
        </w:rPr>
        <w:t>, negligent?</w:t>
      </w:r>
    </w:p>
    <w:p w14:paraId="57F507E5"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5. Was the negligence, if any, of the defendant, </w:t>
      </w:r>
      <w:r w:rsidRPr="001F4376">
        <w:rPr>
          <w:rFonts w:eastAsia="Times New Roman"/>
          <w:i/>
          <w:sz w:val="24"/>
          <w:szCs w:val="24"/>
        </w:rPr>
        <w:t>(name of second defendant)</w:t>
      </w:r>
      <w:r w:rsidRPr="001F4376">
        <w:rPr>
          <w:rFonts w:eastAsia="Times New Roman"/>
          <w:b/>
          <w:sz w:val="24"/>
          <w:szCs w:val="24"/>
        </w:rPr>
        <w:t>, a cause of any of the (injuries) (damages) (losses) claimed by the plaintiff?</w:t>
      </w:r>
    </w:p>
    <w:p w14:paraId="6E3CB2F5"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If you find that the plaintiff, </w:t>
      </w:r>
      <w:r w:rsidRPr="001F4376">
        <w:rPr>
          <w:rFonts w:eastAsia="Times New Roman"/>
          <w:i/>
          <w:sz w:val="24"/>
          <w:szCs w:val="24"/>
        </w:rPr>
        <w:t>(name)</w:t>
      </w:r>
      <w:r w:rsidRPr="001F4376">
        <w:rPr>
          <w:rFonts w:eastAsia="Times New Roman"/>
          <w:b/>
          <w:sz w:val="24"/>
          <w:szCs w:val="24"/>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29AA47E2"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rFonts w:eastAsia="Times New Roman"/>
          <w:i/>
          <w:sz w:val="24"/>
          <w:szCs w:val="24"/>
        </w:rPr>
        <w:t>(insert the figure “3” or “5” depending on whether there is one defendant or there are two defendants)</w:t>
      </w:r>
      <w:r w:rsidRPr="001F4376">
        <w:rPr>
          <w:rFonts w:eastAsia="Times New Roman"/>
          <w:b/>
          <w:sz w:val="24"/>
          <w:szCs w:val="24"/>
        </w:rPr>
        <w:t xml:space="preserve"> as well as the following questions, and your foreperson shall complete only Special Verdict Form B, and he or she and all jurors will sign it.</w:t>
      </w:r>
    </w:p>
    <w:p w14:paraId="04946BB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6. Was </w:t>
      </w:r>
      <w:r w:rsidRPr="001F4376">
        <w:rPr>
          <w:rFonts w:eastAsia="Times New Roman"/>
          <w:i/>
          <w:sz w:val="24"/>
          <w:szCs w:val="24"/>
        </w:rPr>
        <w:t>(name or other appropriate description of designated nonparty)</w:t>
      </w:r>
      <w:r w:rsidRPr="001F4376">
        <w:rPr>
          <w:rFonts w:eastAsia="Times New Roman"/>
          <w:b/>
          <w:sz w:val="24"/>
          <w:szCs w:val="24"/>
        </w:rPr>
        <w:t xml:space="preserve"> negligent or at fault?</w:t>
      </w:r>
    </w:p>
    <w:p w14:paraId="4CF51150"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7. Was the negligence or fault, if any, of </w:t>
      </w:r>
      <w:r w:rsidRPr="001F4376">
        <w:rPr>
          <w:rFonts w:eastAsia="Times New Roman"/>
          <w:i/>
          <w:sz w:val="24"/>
          <w:szCs w:val="24"/>
        </w:rPr>
        <w:t>(name or other appropriate description of designated nonparty)</w:t>
      </w:r>
      <w:r w:rsidRPr="001F4376">
        <w:rPr>
          <w:rFonts w:eastAsia="Times New Roman"/>
          <w:b/>
          <w:sz w:val="24"/>
          <w:szCs w:val="24"/>
        </w:rPr>
        <w:t xml:space="preserve"> a cause of any of the (injuries) (damages) (losses) claimed by the plaintiff?</w:t>
      </w:r>
    </w:p>
    <w:p w14:paraId="70A60EFD"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8. Was the plaintiff, </w:t>
      </w:r>
      <w:r w:rsidRPr="001F4376">
        <w:rPr>
          <w:rFonts w:eastAsia="Times New Roman"/>
          <w:i/>
          <w:sz w:val="24"/>
          <w:szCs w:val="24"/>
        </w:rPr>
        <w:t>(name)</w:t>
      </w:r>
      <w:r w:rsidRPr="001F4376">
        <w:rPr>
          <w:rFonts w:eastAsia="Times New Roman"/>
          <w:b/>
          <w:sz w:val="24"/>
          <w:szCs w:val="24"/>
        </w:rPr>
        <w:t>, negligent?</w:t>
      </w:r>
    </w:p>
    <w:p w14:paraId="2D99F373"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9. Was the negligence, if any, of the plaintiff a cause of (his) (her) own claimed (injuries) (damages) (losses)?</w:t>
      </w:r>
    </w:p>
    <w:p w14:paraId="061D603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rFonts w:eastAsia="Times New Roman"/>
          <w:i/>
          <w:sz w:val="24"/>
          <w:szCs w:val="24"/>
        </w:rPr>
        <w:t>(name or other appropriate description)</w:t>
      </w:r>
      <w:r w:rsidRPr="001F4376">
        <w:rPr>
          <w:rFonts w:eastAsia="Times New Roman"/>
          <w:b/>
          <w:sz w:val="24"/>
          <w:szCs w:val="24"/>
        </w:rPr>
        <w:t>.</w:t>
      </w:r>
    </w:p>
    <w:p w14:paraId="3000E4DD"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rFonts w:eastAsia="Times New Roman"/>
          <w:i/>
          <w:sz w:val="24"/>
          <w:szCs w:val="24"/>
        </w:rPr>
        <w:t>(name of first or only defendant)</w:t>
      </w:r>
      <w:r w:rsidRPr="001F4376">
        <w:rPr>
          <w:rFonts w:eastAsia="Times New Roman"/>
          <w:b/>
          <w:sz w:val="24"/>
          <w:szCs w:val="24"/>
        </w:rPr>
        <w:t xml:space="preserve">, of the defendant, </w:t>
      </w:r>
      <w:r w:rsidRPr="001F4376">
        <w:rPr>
          <w:rFonts w:eastAsia="Times New Roman"/>
          <w:i/>
          <w:sz w:val="24"/>
          <w:szCs w:val="24"/>
        </w:rPr>
        <w:t>(name of second defendant)</w:t>
      </w:r>
      <w:r w:rsidRPr="001F4376">
        <w:rPr>
          <w:rFonts w:eastAsia="Times New Roman"/>
          <w:b/>
          <w:sz w:val="24"/>
          <w:szCs w:val="24"/>
        </w:rPr>
        <w:t xml:space="preserve">, of the plaintiff, </w:t>
      </w:r>
      <w:r w:rsidRPr="001F4376">
        <w:rPr>
          <w:rFonts w:eastAsia="Times New Roman"/>
          <w:i/>
          <w:sz w:val="24"/>
          <w:szCs w:val="24"/>
        </w:rPr>
        <w:t>(name)</w:t>
      </w:r>
      <w:r w:rsidRPr="001F4376">
        <w:rPr>
          <w:rFonts w:eastAsia="Times New Roman"/>
          <w:b/>
          <w:sz w:val="24"/>
          <w:szCs w:val="24"/>
        </w:rPr>
        <w:t xml:space="preserve">, and of the nonparty, </w:t>
      </w:r>
      <w:r w:rsidRPr="001F4376">
        <w:rPr>
          <w:rFonts w:eastAsia="Times New Roman"/>
          <w:i/>
          <w:sz w:val="24"/>
          <w:szCs w:val="24"/>
        </w:rPr>
        <w:t>(name or other appropriate description)</w:t>
      </w:r>
      <w:r w:rsidRPr="001F4376">
        <w:rPr>
          <w:rFonts w:eastAsia="Times New Roman"/>
          <w:b/>
          <w:sz w:val="24"/>
          <w:szCs w:val="24"/>
        </w:rPr>
        <w:t>?</w:t>
      </w:r>
    </w:p>
    <w:p w14:paraId="2D58C5AF"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You must enter the figure of zero, “0,” for the nonparty and any party you decide was not negligent or at fault or whose negligence or fault you decide was not a cause of any of the plaintiff’s (injuries) (damages) (losses).</w:t>
      </w:r>
    </w:p>
    <w:p w14:paraId="41A4846B" w14:textId="77777777" w:rsidR="001F4376" w:rsidRDefault="001F4376" w:rsidP="001F4376">
      <w:pPr>
        <w:jc w:val="center"/>
        <w:rPr>
          <w:rFonts w:eastAsia="Times New Roman"/>
          <w:sz w:val="24"/>
          <w:szCs w:val="24"/>
        </w:rPr>
      </w:pPr>
    </w:p>
    <w:p w14:paraId="5F78DF66" w14:textId="77777777" w:rsidR="001F4376" w:rsidRPr="0054263B" w:rsidRDefault="001F4376" w:rsidP="001F4376">
      <w:pPr>
        <w:keepNext/>
        <w:spacing w:after="240"/>
        <w:jc w:val="center"/>
        <w:rPr>
          <w:rFonts w:eastAsia="Times New Roman"/>
          <w:b/>
          <w:sz w:val="24"/>
          <w:szCs w:val="24"/>
        </w:rPr>
      </w:pPr>
      <w:r w:rsidRPr="0054263B">
        <w:rPr>
          <w:rFonts w:eastAsia="Times New Roman"/>
          <w:b/>
          <w:sz w:val="24"/>
          <w:szCs w:val="24"/>
        </w:rPr>
        <w:t>Notes on Use</w:t>
      </w:r>
    </w:p>
    <w:p w14:paraId="3B1F46CA" w14:textId="77777777" w:rsidR="001F4376" w:rsidRPr="001F4376" w:rsidRDefault="001F4376" w:rsidP="001F4376">
      <w:pPr>
        <w:spacing w:after="240"/>
        <w:ind w:firstLine="720"/>
        <w:rPr>
          <w:rFonts w:eastAsia="Times New Roman"/>
          <w:b/>
          <w:sz w:val="24"/>
          <w:szCs w:val="24"/>
        </w:rPr>
      </w:pPr>
      <w:r w:rsidRPr="001F4376">
        <w:rPr>
          <w:rFonts w:eastAsia="Times New Roman"/>
          <w:sz w:val="24"/>
          <w:szCs w:val="24"/>
        </w:rPr>
        <w:t xml:space="preserve">1. Under the Health Care Availability Act (HCAA), the instructions in this subpart D, if otherwise applicable, should be used in “any civil action for damages in tort brought against a [licensed] health care professional or [licensed and certified] health care institution.” § 13-64-203, C.R.S. For the definitions of these persons and institutions, see section 13-64-202(3) and (4), C.R.S. </w:t>
      </w:r>
      <w:r w:rsidRPr="001F4376">
        <w:rPr>
          <w:rFonts w:eastAsia="Times New Roman"/>
          <w:i/>
          <w:sz w:val="24"/>
          <w:szCs w:val="24"/>
        </w:rPr>
        <w:t>See also</w:t>
      </w:r>
      <w:r w:rsidRPr="001F4376">
        <w:rPr>
          <w:rFonts w:eastAsia="Times New Roman"/>
          <w:sz w:val="24"/>
          <w:szCs w:val="24"/>
        </w:rPr>
        <w:t xml:space="preserve"> </w:t>
      </w:r>
      <w:r w:rsidRPr="001F4376">
        <w:rPr>
          <w:rFonts w:eastAsia="Times New Roman"/>
          <w:b/>
          <w:sz w:val="24"/>
          <w:szCs w:val="24"/>
        </w:rPr>
        <w:t>Scholz v. Metro. Pathologists, P.C.</w:t>
      </w:r>
      <w:r w:rsidRPr="001F4376">
        <w:rPr>
          <w:rFonts w:eastAsia="Times New Roman"/>
          <w:sz w:val="24"/>
          <w:szCs w:val="24"/>
        </w:rPr>
        <w:t xml:space="preserve">, 851 P.2d 901 (Colo. 1993) (unlicensed, nonprofessional lab employee of “health care professional” was covered by HCAA), </w:t>
      </w:r>
      <w:r w:rsidRPr="001F4376">
        <w:rPr>
          <w:rFonts w:eastAsia="Times New Roman"/>
          <w:i/>
          <w:sz w:val="24"/>
          <w:szCs w:val="24"/>
        </w:rPr>
        <w:t xml:space="preserve">superseded in part by </w:t>
      </w:r>
      <w:r w:rsidRPr="001F4376">
        <w:rPr>
          <w:rFonts w:eastAsia="Times New Roman"/>
          <w:sz w:val="24"/>
          <w:szCs w:val="24"/>
        </w:rPr>
        <w:t xml:space="preserve">§ 13-64-302(2), C.R.S.; </w:t>
      </w:r>
      <w:r w:rsidRPr="001F4376">
        <w:rPr>
          <w:rFonts w:eastAsia="Times New Roman"/>
          <w:b/>
          <w:sz w:val="24"/>
          <w:szCs w:val="24"/>
        </w:rPr>
        <w:t>Chavez v. Parkview Episcopal Med. Ctr.</w:t>
      </w:r>
      <w:r w:rsidRPr="001F4376">
        <w:rPr>
          <w:rFonts w:eastAsia="Times New Roman"/>
          <w:sz w:val="24"/>
          <w:szCs w:val="24"/>
        </w:rPr>
        <w:t xml:space="preserve">, 32 P.3d 609 (Colo. App. 2001) (cap on noneconomic damages under section 13-64-302(1), not applicable to manufacturer of health care equipment); </w:t>
      </w:r>
      <w:r w:rsidRPr="001F4376">
        <w:rPr>
          <w:rFonts w:eastAsia="Times New Roman"/>
          <w:i/>
          <w:sz w:val="24"/>
          <w:szCs w:val="24"/>
        </w:rPr>
        <w:t xml:space="preserve">cf. </w:t>
      </w:r>
      <w:r w:rsidRPr="001F4376">
        <w:rPr>
          <w:rFonts w:eastAsia="Times New Roman"/>
          <w:b/>
          <w:sz w:val="24"/>
          <w:szCs w:val="24"/>
        </w:rPr>
        <w:t>Moffett v. Life Care Ctrs. of Am.</w:t>
      </w:r>
      <w:r w:rsidRPr="001F4376">
        <w:rPr>
          <w:rFonts w:eastAsia="Times New Roman"/>
          <w:sz w:val="24"/>
          <w:szCs w:val="24"/>
        </w:rPr>
        <w:t xml:space="preserve">, 187 P.3d 1140 (Colo. App. 2008) (under durable power-of-attorney statute and definition of “medical treatment,” § 15-14-505(7), C.R.S., decision to admit patient to nursing home constitutes “medical treatment decision”), </w:t>
      </w:r>
      <w:r w:rsidRPr="001F4376">
        <w:rPr>
          <w:rFonts w:eastAsia="Times New Roman"/>
          <w:i/>
          <w:sz w:val="24"/>
          <w:szCs w:val="24"/>
        </w:rPr>
        <w:t>aff’d on other grounds</w:t>
      </w:r>
      <w:r w:rsidRPr="001F4376">
        <w:rPr>
          <w:rFonts w:eastAsia="Times New Roman"/>
          <w:sz w:val="24"/>
          <w:szCs w:val="24"/>
        </w:rPr>
        <w:t>, 219 P.3d 1068 (Colo. 2009).</w:t>
      </w:r>
    </w:p>
    <w:p w14:paraId="39EB7B17"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19DDF4AE"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a. There is sufficient evidence that the tort involved is one other than malpractice in the form of professional negligence, e.g., battery;</w:t>
      </w:r>
    </w:p>
    <w:p w14:paraId="73006A16"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b. There is more than one plaintiff;</w:t>
      </w:r>
    </w:p>
    <w:p w14:paraId="71F2B4A4"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c. There is only one defendant or more than two defendants;</w:t>
      </w:r>
    </w:p>
    <w:p w14:paraId="0708F217"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d. No defense of contributory negligence has been raised or there is insufficient evidence to support the defense;</w:t>
      </w:r>
    </w:p>
    <w:p w14:paraId="7D3C0F3A"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04213117"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f. The claim against one or more defendants is based only on the vicarious liability of that defendant for the tortious conduct of another defendant or person who has not been joined as a party.</w:t>
      </w:r>
    </w:p>
    <w:p w14:paraId="0864ED24"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3. When appropriate to the evidence in the case, Instructions 15:16 and 15:17 should also be given with this instruction.</w:t>
      </w:r>
    </w:p>
    <w:p w14:paraId="22EA30E2"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4. Use whichever parenthesized words and phrases are appropriate.</w:t>
      </w:r>
    </w:p>
    <w:p w14:paraId="0D62076D"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04C3925B"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 xml:space="preserve">6. This instruction has been drafted to allow the court to apply the limitations on damages set out in section 13-64-302, and also the limitations set in section 13-21-102.5, C.R.S., to the extent those limitations may be applicable in cases in which the acts or omissions occurred before July 1, 2003. For that reason, when otherwise applicable, this instruction should be used rather than Instruction 6:1A. </w:t>
      </w:r>
      <w:r w:rsidRPr="001F4376">
        <w:rPr>
          <w:rFonts w:eastAsia="Times New Roman"/>
          <w:i/>
          <w:sz w:val="24"/>
          <w:szCs w:val="24"/>
        </w:rPr>
        <w:t>See also</w:t>
      </w:r>
      <w:r w:rsidRPr="001F4376">
        <w:rPr>
          <w:rFonts w:eastAsia="Times New Roman"/>
          <w:sz w:val="24"/>
          <w:szCs w:val="24"/>
        </w:rPr>
        <w:t xml:space="preserve"> </w:t>
      </w:r>
      <w:r w:rsidRPr="001F4376">
        <w:rPr>
          <w:rFonts w:eastAsia="Times New Roman"/>
          <w:b/>
          <w:sz w:val="24"/>
          <w:szCs w:val="24"/>
        </w:rPr>
        <w:t>Preston v. Dupont</w:t>
      </w:r>
      <w:r w:rsidRPr="001F4376">
        <w:rPr>
          <w:rFonts w:eastAsia="Times New Roman"/>
          <w:sz w:val="24"/>
          <w:szCs w:val="24"/>
        </w:rPr>
        <w:t xml:space="preserve">, 35 P.3d 433 (Colo. 2001) (damages for physical impairment or disfigurement are not precluded by HCAA, and are not subject to cap on noneconomic damages; this latter holding was legislatively overruled by § 13-64-302(1)(b) for acts or omissions occurring after July 1, 2003); </w:t>
      </w:r>
      <w:r w:rsidRPr="001F4376">
        <w:rPr>
          <w:rFonts w:eastAsia="Times New Roman"/>
          <w:b/>
          <w:sz w:val="24"/>
          <w:szCs w:val="24"/>
        </w:rPr>
        <w:t>Chavez</w:t>
      </w:r>
      <w:r w:rsidRPr="001F4376">
        <w:rPr>
          <w:rFonts w:eastAsia="Times New Roman"/>
          <w:sz w:val="24"/>
          <w:szCs w:val="24"/>
        </w:rPr>
        <w:t>, 32 P.3d at 612-13 (noneconomic damages award against hospital should not be reduced to statutory limit for health care institutions before apportioning damages between hospital and defendant that was not health care professional or institution).</w:t>
      </w:r>
    </w:p>
    <w:p w14:paraId="5DD2518C"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 xml:space="preserve">7. Delete any reference to Question 11 if there is insufficient evidence of any future damages. </w:t>
      </w:r>
      <w:r w:rsidRPr="001F4376">
        <w:rPr>
          <w:rFonts w:eastAsia="Times New Roman"/>
          <w:i/>
          <w:sz w:val="24"/>
          <w:szCs w:val="24"/>
        </w:rPr>
        <w:t>See</w:t>
      </w:r>
      <w:r w:rsidRPr="001F4376">
        <w:rPr>
          <w:rFonts w:eastAsia="Times New Roman"/>
          <w:sz w:val="24"/>
          <w:szCs w:val="24"/>
        </w:rPr>
        <w:t xml:space="preserve"> </w:t>
      </w:r>
      <w:r w:rsidRPr="001F4376">
        <w:rPr>
          <w:rFonts w:eastAsia="Times New Roman"/>
          <w:b/>
          <w:sz w:val="24"/>
          <w:szCs w:val="24"/>
        </w:rPr>
        <w:t>Wallbank v. Rothenberg</w:t>
      </w:r>
      <w:r w:rsidRPr="001F4376">
        <w:rPr>
          <w:rFonts w:eastAsia="Times New Roman"/>
          <w:sz w:val="24"/>
          <w:szCs w:val="24"/>
        </w:rPr>
        <w:t xml:space="preserve">, 74 P.3d 413 (Colo. App. 2003) (award of future medical expenses must be based upon substantial evidence that establishes reasonable probability that such expenses will necessarily be incurred); </w:t>
      </w:r>
      <w:r w:rsidRPr="001F4376">
        <w:rPr>
          <w:rFonts w:eastAsia="Times New Roman"/>
          <w:i/>
          <w:sz w:val="24"/>
          <w:szCs w:val="24"/>
        </w:rPr>
        <w:t xml:space="preserve">see also </w:t>
      </w:r>
      <w:r w:rsidRPr="001F4376">
        <w:rPr>
          <w:rFonts w:eastAsia="Times New Roman"/>
          <w:b/>
          <w:sz w:val="24"/>
          <w:szCs w:val="24"/>
        </w:rPr>
        <w:t>Ochoa v. Vered</w:t>
      </w:r>
      <w:r w:rsidRPr="001F4376">
        <w:rPr>
          <w:rFonts w:eastAsia="Times New Roman"/>
          <w:sz w:val="24"/>
          <w:szCs w:val="24"/>
        </w:rPr>
        <w:t>, 212 P.3d 963 (Colo. App. 2009) (trial court did not abuse discretion in remitting damages awarded for plaintiff’s future medical expenses).</w:t>
      </w:r>
    </w:p>
    <w:p w14:paraId="688F534E"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8. Insert in this instruction and Instruction 15:15 any other questions that may be necessary to resolve properly any other claims of the plaintiff or affirmative defenses of any of the defendants.</w:t>
      </w:r>
    </w:p>
    <w:p w14:paraId="5D7BC34E" w14:textId="4A956428" w:rsidR="001F4376" w:rsidRPr="001F4376" w:rsidRDefault="001F4376" w:rsidP="001F4376">
      <w:pPr>
        <w:spacing w:after="240"/>
        <w:ind w:firstLine="720"/>
        <w:rPr>
          <w:rFonts w:eastAsia="Times New Roman"/>
          <w:sz w:val="24"/>
          <w:szCs w:val="24"/>
        </w:rPr>
      </w:pPr>
      <w:r w:rsidRPr="001F4376">
        <w:rPr>
          <w:rFonts w:eastAsia="Times New Roman"/>
          <w:sz w:val="24"/>
          <w:szCs w:val="24"/>
        </w:rPr>
        <w:t>9. For special procedural and substantive limitations that are, or may be, applicable when a claim for punitive damages is based on a negligence claim against a “health care professional,” see section 13-64-302.5, C.R.S.</w:t>
      </w:r>
      <w:r w:rsidR="0099151D">
        <w:rPr>
          <w:rFonts w:eastAsia="Times New Roman"/>
          <w:sz w:val="24"/>
          <w:szCs w:val="24"/>
        </w:rPr>
        <w:t>,</w:t>
      </w:r>
      <w:r w:rsidRPr="001F4376">
        <w:rPr>
          <w:rFonts w:eastAsia="Times New Roman"/>
          <w:sz w:val="24"/>
          <w:szCs w:val="24"/>
        </w:rPr>
        <w:t xml:space="preserve"> and </w:t>
      </w:r>
      <w:r w:rsidRPr="001F4376">
        <w:rPr>
          <w:rFonts w:eastAsia="Times New Roman"/>
          <w:b/>
          <w:sz w:val="24"/>
          <w:szCs w:val="24"/>
        </w:rPr>
        <w:t>Sheron v. Lutheran Medical Center</w:t>
      </w:r>
      <w:r w:rsidRPr="001F4376">
        <w:rPr>
          <w:rFonts w:eastAsia="Times New Roman"/>
          <w:sz w:val="24"/>
          <w:szCs w:val="24"/>
        </w:rPr>
        <w:t xml:space="preserve">, 18 P.3d 796 (Colo. App. 2000) (under statute, request for punitive damages may not be included in initial claim for relief, though after parties have substantially completed discovery, plaintiff may amend </w:t>
      </w:r>
      <w:r w:rsidRPr="001F4376">
        <w:rPr>
          <w:rFonts w:eastAsia="Times New Roman"/>
          <w:sz w:val="24"/>
          <w:szCs w:val="24"/>
        </w:rPr>
        <w:lastRenderedPageBreak/>
        <w:t xml:space="preserve">pleadings to assert claim, provided plaintiff establishes prima facie proof of triable issue). To the extent any provisions of this section are applicable, appropriate modifications may be required in this instruction. </w:t>
      </w:r>
      <w:r w:rsidRPr="001F4376">
        <w:rPr>
          <w:rFonts w:eastAsia="Times New Roman"/>
          <w:i/>
          <w:sz w:val="24"/>
          <w:szCs w:val="24"/>
        </w:rPr>
        <w:t>See, e.g.</w:t>
      </w:r>
      <w:r w:rsidRPr="001F4376">
        <w:rPr>
          <w:rFonts w:eastAsia="Times New Roman"/>
          <w:sz w:val="24"/>
          <w:szCs w:val="24"/>
        </w:rPr>
        <w:t>, § 13-64-302.5(4), (5). The legislature has made it clear that noneconomic damages and, therefore, any limitation on them, do not include punitive damages. § 13-64-302(1)(a)(I).</w:t>
      </w:r>
    </w:p>
    <w:p w14:paraId="70007DB8" w14:textId="77777777" w:rsidR="001F4376" w:rsidRPr="0054263B" w:rsidRDefault="001F4376" w:rsidP="001F4376">
      <w:pPr>
        <w:keepNext/>
        <w:spacing w:after="240"/>
        <w:jc w:val="center"/>
        <w:rPr>
          <w:rFonts w:eastAsia="Times New Roman"/>
          <w:b/>
          <w:sz w:val="24"/>
          <w:szCs w:val="24"/>
        </w:rPr>
      </w:pPr>
      <w:r>
        <w:rPr>
          <w:rFonts w:eastAsia="Times New Roman"/>
          <w:b/>
          <w:sz w:val="24"/>
          <w:szCs w:val="24"/>
        </w:rPr>
        <w:t>Source and Authority</w:t>
      </w:r>
    </w:p>
    <w:p w14:paraId="5DE3FBBF"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1. This instruction is supported by sections 13-64-203 to -205, C.R.S. </w:t>
      </w:r>
      <w:r w:rsidRPr="005D611B">
        <w:rPr>
          <w:rFonts w:eastAsia="Times New Roman"/>
          <w:i/>
          <w:sz w:val="24"/>
          <w:szCs w:val="24"/>
        </w:rPr>
        <w:t>See also</w:t>
      </w:r>
      <w:r w:rsidRPr="005D611B">
        <w:rPr>
          <w:rFonts w:eastAsia="Times New Roman"/>
          <w:sz w:val="24"/>
          <w:szCs w:val="24"/>
        </w:rPr>
        <w:t xml:space="preserve"> § 13-64-102(2), C.R.S. (legislative declaration); </w:t>
      </w:r>
      <w:r w:rsidRPr="005D611B">
        <w:rPr>
          <w:rFonts w:eastAsia="Times New Roman"/>
          <w:b/>
          <w:sz w:val="24"/>
          <w:szCs w:val="24"/>
        </w:rPr>
        <w:t>HealthONE v. Rodriguez</w:t>
      </w:r>
      <w:r w:rsidRPr="005D611B">
        <w:rPr>
          <w:rFonts w:eastAsia="Times New Roman"/>
          <w:sz w:val="24"/>
          <w:szCs w:val="24"/>
        </w:rPr>
        <w:t>, 50 P.3d 879 (Colo. 2002);</w:t>
      </w:r>
      <w:r w:rsidRPr="005D611B" w:rsidDel="00884623">
        <w:rPr>
          <w:rFonts w:eastAsia="Times New Roman"/>
          <w:sz w:val="24"/>
          <w:szCs w:val="24"/>
        </w:rPr>
        <w:t xml:space="preserve"> </w:t>
      </w:r>
      <w:r w:rsidRPr="005D611B">
        <w:rPr>
          <w:rFonts w:eastAsia="Times New Roman"/>
          <w:b/>
          <w:sz w:val="24"/>
          <w:szCs w:val="24"/>
        </w:rPr>
        <w:t>Preston</w:t>
      </w:r>
      <w:r w:rsidRPr="005D611B">
        <w:rPr>
          <w:rFonts w:eastAsia="Times New Roman"/>
          <w:sz w:val="24"/>
          <w:szCs w:val="24"/>
        </w:rPr>
        <w:t xml:space="preserve">, 35 P.3d </w:t>
      </w:r>
      <w:r w:rsidR="00095E77">
        <w:rPr>
          <w:rFonts w:eastAsia="Times New Roman"/>
          <w:sz w:val="24"/>
          <w:szCs w:val="24"/>
        </w:rPr>
        <w:t xml:space="preserve">at </w:t>
      </w:r>
      <w:r w:rsidRPr="005D611B">
        <w:rPr>
          <w:rFonts w:eastAsia="Times New Roman"/>
          <w:sz w:val="24"/>
          <w:szCs w:val="24"/>
        </w:rPr>
        <w:t>43</w:t>
      </w:r>
      <w:r w:rsidR="00095E77">
        <w:rPr>
          <w:rFonts w:eastAsia="Times New Roman"/>
          <w:sz w:val="24"/>
          <w:szCs w:val="24"/>
        </w:rPr>
        <w:t>8</w:t>
      </w:r>
      <w:r w:rsidRPr="005D611B">
        <w:rPr>
          <w:rFonts w:eastAsia="Times New Roman"/>
          <w:sz w:val="24"/>
          <w:szCs w:val="24"/>
        </w:rPr>
        <w:t xml:space="preserve">; and </w:t>
      </w:r>
      <w:r w:rsidRPr="005D611B">
        <w:rPr>
          <w:rFonts w:eastAsia="Times New Roman"/>
          <w:b/>
          <w:sz w:val="24"/>
          <w:szCs w:val="24"/>
        </w:rPr>
        <w:t>Garhart v. Columbia/HealthONE L.L.C.</w:t>
      </w:r>
      <w:r w:rsidRPr="005D611B">
        <w:rPr>
          <w:rFonts w:eastAsia="Times New Roman"/>
          <w:sz w:val="24"/>
          <w:szCs w:val="24"/>
        </w:rPr>
        <w:t>, 168 P.3d 512 (Colo. App. 2007).</w:t>
      </w:r>
    </w:p>
    <w:p w14:paraId="0E3DAAA0"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2. The damages caps imposed by the HCAA apply to any prefiling prejudgment interest to which the plaintiff would be entitled. § 13-64-302(2) (legislatively overruling, in part, </w:t>
      </w:r>
      <w:r w:rsidRPr="005D611B">
        <w:rPr>
          <w:rFonts w:eastAsia="Times New Roman"/>
          <w:b/>
          <w:sz w:val="24"/>
          <w:szCs w:val="24"/>
        </w:rPr>
        <w:t>Scholz</w:t>
      </w:r>
      <w:r w:rsidRPr="005D611B">
        <w:rPr>
          <w:rFonts w:eastAsia="Times New Roman"/>
          <w:sz w:val="24"/>
          <w:szCs w:val="24"/>
        </w:rPr>
        <w:t xml:space="preserve">, 851 P.2d 901); </w:t>
      </w:r>
      <w:r w:rsidRPr="005D611B">
        <w:rPr>
          <w:rFonts w:eastAsia="Times New Roman"/>
          <w:b/>
          <w:sz w:val="24"/>
          <w:szCs w:val="24"/>
        </w:rPr>
        <w:t>Morris v. Goodwin</w:t>
      </w:r>
      <w:r w:rsidRPr="005D611B">
        <w:rPr>
          <w:rFonts w:eastAsia="Times New Roman"/>
          <w:sz w:val="24"/>
          <w:szCs w:val="24"/>
        </w:rPr>
        <w:t>, 185 P.3d 777 (Colo. 2008);</w:t>
      </w:r>
      <w:r w:rsidRPr="005D611B">
        <w:rPr>
          <w:rFonts w:eastAsia="Times New Roman"/>
          <w:b/>
          <w:sz w:val="24"/>
          <w:szCs w:val="24"/>
        </w:rPr>
        <w:t xml:space="preserve"> Wallbank</w:t>
      </w:r>
      <w:r w:rsidRPr="005D611B">
        <w:rPr>
          <w:rFonts w:eastAsia="Times New Roman"/>
          <w:sz w:val="24"/>
          <w:szCs w:val="24"/>
        </w:rPr>
        <w:t xml:space="preserve">, 74 P.3d at 420. Prejudgment interest is to be calculated on the amount of the reduced award, after application of any HCAA damages caps, regardless of the amount awarded by the jury. </w:t>
      </w:r>
      <w:r w:rsidRPr="005D611B">
        <w:rPr>
          <w:rFonts w:eastAsia="Times New Roman"/>
          <w:b/>
          <w:sz w:val="24"/>
          <w:szCs w:val="24"/>
        </w:rPr>
        <w:t>Morris</w:t>
      </w:r>
      <w:r w:rsidRPr="005D611B">
        <w:rPr>
          <w:rFonts w:eastAsia="Times New Roman"/>
          <w:sz w:val="24"/>
          <w:szCs w:val="24"/>
        </w:rPr>
        <w:t>, 185 P.3d at 780.</w:t>
      </w:r>
    </w:p>
    <w:p w14:paraId="6EC7869A"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3. For a discussion of the constitutionality of the HCAA, see </w:t>
      </w:r>
      <w:r w:rsidRPr="005D611B">
        <w:rPr>
          <w:rFonts w:eastAsia="Times New Roman"/>
          <w:b/>
          <w:sz w:val="24"/>
          <w:szCs w:val="24"/>
        </w:rPr>
        <w:t>Garhart v. Columbia/HealthONE, L.L.C.</w:t>
      </w:r>
      <w:r w:rsidRPr="005D611B">
        <w:rPr>
          <w:rFonts w:eastAsia="Times New Roman"/>
          <w:sz w:val="24"/>
          <w:szCs w:val="24"/>
        </w:rPr>
        <w:t xml:space="preserve">, 95 P.3d 571 (Colo. 2004) (reaffirming </w:t>
      </w:r>
      <w:r w:rsidRPr="005D611B">
        <w:rPr>
          <w:rFonts w:eastAsia="Times New Roman"/>
          <w:b/>
          <w:sz w:val="24"/>
          <w:szCs w:val="24"/>
        </w:rPr>
        <w:t>Scholz,</w:t>
      </w:r>
      <w:r w:rsidRPr="005D611B">
        <w:rPr>
          <w:rFonts w:eastAsia="Times New Roman"/>
          <w:sz w:val="24"/>
          <w:szCs w:val="24"/>
        </w:rPr>
        <w:t xml:space="preserve"> rejecting various constitutional attacks, and upholding constitutionality of damages cap); </w:t>
      </w:r>
      <w:r w:rsidRPr="005D611B">
        <w:rPr>
          <w:rFonts w:eastAsia="Times New Roman"/>
          <w:b/>
          <w:sz w:val="24"/>
          <w:szCs w:val="24"/>
        </w:rPr>
        <w:t>Rodriguez</w:t>
      </w:r>
      <w:r w:rsidRPr="005D611B">
        <w:rPr>
          <w:rFonts w:eastAsia="Times New Roman"/>
          <w:sz w:val="24"/>
          <w:szCs w:val="24"/>
        </w:rPr>
        <w:t xml:space="preserve">, 50 P.3d at 896 (HCAA section barring incapacitated person from electing to receive lump-sum payment of future damages did not violate equal protection); </w:t>
      </w:r>
      <w:r w:rsidRPr="005D611B">
        <w:rPr>
          <w:rFonts w:eastAsia="Times New Roman"/>
          <w:b/>
          <w:sz w:val="24"/>
          <w:szCs w:val="24"/>
        </w:rPr>
        <w:t>Scholz</w:t>
      </w:r>
      <w:r w:rsidRPr="005D611B">
        <w:rPr>
          <w:rFonts w:eastAsia="Times New Roman"/>
          <w:sz w:val="24"/>
          <w:szCs w:val="24"/>
        </w:rPr>
        <w:t>, 851 P.2d at 907 (upholding constitutionality of damages cap).</w:t>
      </w:r>
    </w:p>
    <w:p w14:paraId="7783B0E9" w14:textId="77777777" w:rsidR="00FB5784" w:rsidRDefault="005D611B" w:rsidP="00FB5784">
      <w:pPr>
        <w:spacing w:after="240"/>
        <w:ind w:firstLine="720"/>
        <w:rPr>
          <w:rFonts w:eastAsia="Times New Roman"/>
          <w:sz w:val="24"/>
          <w:szCs w:val="24"/>
        </w:rPr>
      </w:pPr>
      <w:r w:rsidRPr="005D611B">
        <w:rPr>
          <w:rFonts w:eastAsia="Times New Roman"/>
          <w:sz w:val="24"/>
          <w:szCs w:val="24"/>
        </w:rPr>
        <w:t xml:space="preserve">4. Under section 13-64-207(1), C.R.S., the trial court has discretion in determining the form and distribution of periodic payments. </w:t>
      </w:r>
      <w:r w:rsidRPr="005D611B">
        <w:rPr>
          <w:rFonts w:eastAsia="Times New Roman"/>
          <w:b/>
          <w:sz w:val="24"/>
          <w:szCs w:val="24"/>
        </w:rPr>
        <w:t>Rodriguez</w:t>
      </w:r>
      <w:r w:rsidRPr="005D611B">
        <w:rPr>
          <w:rFonts w:eastAsia="Times New Roman"/>
          <w:sz w:val="24"/>
          <w:szCs w:val="24"/>
        </w:rPr>
        <w:t xml:space="preserve">, 50 P.3d at 896; </w:t>
      </w:r>
      <w:r w:rsidRPr="005D611B">
        <w:rPr>
          <w:rFonts w:eastAsia="Times New Roman"/>
          <w:b/>
          <w:sz w:val="24"/>
          <w:szCs w:val="24"/>
        </w:rPr>
        <w:t>Garhart</w:t>
      </w:r>
      <w:r w:rsidRPr="005D611B">
        <w:rPr>
          <w:rFonts w:eastAsia="Times New Roman"/>
          <w:sz w:val="24"/>
          <w:szCs w:val="24"/>
        </w:rPr>
        <w:t>, 168 P.3d at 518.</w:t>
      </w:r>
    </w:p>
    <w:p w14:paraId="1226DB4D" w14:textId="77777777" w:rsidR="00B05BEF" w:rsidRDefault="00B05BEF">
      <w:pPr>
        <w:rPr>
          <w:rFonts w:eastAsia="Times New Roman"/>
          <w:sz w:val="24"/>
          <w:szCs w:val="24"/>
        </w:rPr>
      </w:pPr>
      <w:r>
        <w:rPr>
          <w:rFonts w:eastAsia="Times New Roman"/>
          <w:sz w:val="24"/>
          <w:szCs w:val="24"/>
        </w:rPr>
        <w:br w:type="page"/>
      </w:r>
    </w:p>
    <w:p w14:paraId="77B7C7CD" w14:textId="77777777" w:rsidR="00B05BEF" w:rsidRPr="009E3DA4" w:rsidRDefault="00B05BEF" w:rsidP="00B05BEF">
      <w:pPr>
        <w:spacing w:after="240"/>
        <w:ind w:left="720" w:hanging="720"/>
        <w:rPr>
          <w:rFonts w:eastAsia="Times New Roman"/>
          <w:b/>
          <w:sz w:val="24"/>
          <w:szCs w:val="24"/>
        </w:rPr>
      </w:pPr>
      <w:bookmarkStart w:id="15" w:name="a15_15"/>
      <w:bookmarkEnd w:id="15"/>
      <w:r w:rsidRPr="00B05BEF">
        <w:rPr>
          <w:rFonts w:eastAsia="Times New Roman"/>
          <w:b/>
          <w:sz w:val="24"/>
          <w:szCs w:val="24"/>
        </w:rPr>
        <w:lastRenderedPageBreak/>
        <w:t xml:space="preserve">15:15 </w:t>
      </w:r>
      <w:r w:rsidRPr="00B05BEF">
        <w:rPr>
          <w:rFonts w:eastAsia="Times New Roman"/>
          <w:b/>
          <w:sz w:val="24"/>
          <w:szCs w:val="24"/>
        </w:rPr>
        <w:tab/>
        <w:t>SPECIAL VERDICT FORMS — TORT ACTIONS AGAINST HEALTH CARE PROFESSIONALS OR HEALTH CARE INSTITUTIONS — FORMS A AND B</w:t>
      </w:r>
    </w:p>
    <w:p w14:paraId="6078F177" w14:textId="77777777" w:rsidR="00B05BEF" w:rsidRPr="00B05BEF" w:rsidRDefault="00B05BEF" w:rsidP="00B05BEF">
      <w:pPr>
        <w:jc w:val="center"/>
        <w:rPr>
          <w:rFonts w:eastAsia="Times New Roman"/>
          <w:b/>
          <w:sz w:val="24"/>
          <w:szCs w:val="24"/>
        </w:rPr>
      </w:pPr>
      <w:r w:rsidRPr="00B05BEF">
        <w:rPr>
          <w:rFonts w:eastAsia="Times New Roman"/>
          <w:b/>
          <w:sz w:val="24"/>
          <w:szCs w:val="24"/>
        </w:rPr>
        <w:t>FORM A</w:t>
      </w:r>
    </w:p>
    <w:p w14:paraId="1AD454F3" w14:textId="77777777" w:rsidR="00B05BEF" w:rsidRPr="00B05BEF" w:rsidRDefault="00B05BEF" w:rsidP="00B05BEF">
      <w:pPr>
        <w:rPr>
          <w:rFonts w:eastAsia="Times New Roman"/>
          <w:b/>
          <w:sz w:val="24"/>
          <w:szCs w:val="24"/>
        </w:rPr>
      </w:pPr>
    </w:p>
    <w:p w14:paraId="5ECBA546" w14:textId="77777777" w:rsidR="00B05BEF" w:rsidRPr="00B05BEF" w:rsidRDefault="00B05BEF" w:rsidP="00B05BEF">
      <w:pPr>
        <w:jc w:val="center"/>
        <w:rPr>
          <w:rFonts w:eastAsia="Times New Roman"/>
          <w:b/>
          <w:sz w:val="24"/>
          <w:szCs w:val="24"/>
        </w:rPr>
      </w:pPr>
      <w:r w:rsidRPr="00B05BEF">
        <w:rPr>
          <w:rFonts w:eastAsia="Times New Roman"/>
          <w:b/>
          <w:sz w:val="24"/>
          <w:szCs w:val="24"/>
        </w:rPr>
        <w:t>IN THE _______ COURT IN AND FOR THE</w:t>
      </w:r>
    </w:p>
    <w:p w14:paraId="459054B5" w14:textId="77777777" w:rsidR="00B05BEF" w:rsidRPr="00B05BEF" w:rsidRDefault="00B05BEF" w:rsidP="00B05BEF">
      <w:pPr>
        <w:jc w:val="center"/>
        <w:rPr>
          <w:rFonts w:eastAsia="Times New Roman"/>
          <w:b/>
          <w:sz w:val="24"/>
          <w:szCs w:val="24"/>
        </w:rPr>
      </w:pPr>
      <w:r w:rsidRPr="00B05BEF">
        <w:rPr>
          <w:rFonts w:eastAsia="Times New Roman"/>
          <w:b/>
          <w:sz w:val="24"/>
          <w:szCs w:val="24"/>
        </w:rPr>
        <w:t>COUNTY OF _______, STATE OF COLORADO</w:t>
      </w:r>
    </w:p>
    <w:p w14:paraId="4D0E7B45" w14:textId="77777777" w:rsidR="00B05BEF" w:rsidRPr="00B05BEF" w:rsidRDefault="00B05BEF" w:rsidP="00B05BEF">
      <w:pPr>
        <w:rPr>
          <w:rFonts w:eastAsia="Times New Roman"/>
          <w:b/>
          <w:sz w:val="24"/>
          <w:szCs w:val="24"/>
        </w:rPr>
      </w:pPr>
    </w:p>
    <w:p w14:paraId="3F9BE5E6" w14:textId="77777777" w:rsidR="00B05BEF" w:rsidRPr="00B05BEF" w:rsidRDefault="00B05BEF" w:rsidP="00B05BEF">
      <w:pPr>
        <w:jc w:val="center"/>
        <w:rPr>
          <w:rFonts w:eastAsia="Times New Roman"/>
          <w:b/>
          <w:sz w:val="24"/>
          <w:szCs w:val="24"/>
        </w:rPr>
      </w:pPr>
      <w:r w:rsidRPr="00B05BEF">
        <w:rPr>
          <w:rFonts w:eastAsia="Times New Roman"/>
          <w:b/>
          <w:sz w:val="24"/>
          <w:szCs w:val="24"/>
        </w:rPr>
        <w:t>Civil Action No. _______</w:t>
      </w:r>
    </w:p>
    <w:p w14:paraId="5ACF8E9B" w14:textId="77777777" w:rsidR="00B05BEF" w:rsidRPr="00B05BEF" w:rsidRDefault="00B05BEF" w:rsidP="00B05BEF">
      <w:pPr>
        <w:jc w:val="center"/>
        <w:rPr>
          <w:rFonts w:eastAsia="Times New Roman"/>
          <w:b/>
          <w:sz w:val="24"/>
          <w:szCs w:val="24"/>
        </w:rPr>
      </w:pPr>
    </w:p>
    <w:p w14:paraId="679EB948" w14:textId="77777777" w:rsidR="00B05BEF" w:rsidRPr="00B05BEF" w:rsidRDefault="00B05BEF" w:rsidP="00B05BEF">
      <w:pPr>
        <w:rPr>
          <w:rFonts w:eastAsia="Times New Roman"/>
          <w:b/>
          <w:sz w:val="24"/>
          <w:szCs w:val="24"/>
        </w:rPr>
      </w:pPr>
    </w:p>
    <w:p w14:paraId="4F36EB5A" w14:textId="77777777" w:rsidR="00B05BEF" w:rsidRPr="00B05BEF" w:rsidRDefault="00B05BEF" w:rsidP="00B05BEF">
      <w:pPr>
        <w:rPr>
          <w:rFonts w:eastAsia="Times New Roman"/>
          <w:b/>
          <w:sz w:val="24"/>
          <w:szCs w:val="24"/>
        </w:rPr>
      </w:pPr>
    </w:p>
    <w:p w14:paraId="08EFC0A1"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70BD874C" w14:textId="77777777" w:rsidR="00B05BEF" w:rsidRPr="00B05BEF" w:rsidRDefault="00B05BEF" w:rsidP="00B05BEF">
      <w:pPr>
        <w:rPr>
          <w:rFonts w:eastAsia="Times New Roman"/>
          <w:b/>
          <w:sz w:val="24"/>
          <w:szCs w:val="24"/>
        </w:rPr>
      </w:pPr>
      <w:r w:rsidRPr="00B05BEF">
        <w:rPr>
          <w:rFonts w:eastAsia="Times New Roman"/>
          <w:b/>
          <w:sz w:val="24"/>
          <w:szCs w:val="24"/>
        </w:rPr>
        <w:t xml:space="preserve">               Plaintiff,                      )</w:t>
      </w:r>
    </w:p>
    <w:p w14:paraId="31FC7242" w14:textId="77777777" w:rsidR="00B05BEF" w:rsidRPr="00B05BEF" w:rsidRDefault="00B05BEF" w:rsidP="00B05BEF">
      <w:pPr>
        <w:rPr>
          <w:rFonts w:eastAsia="Times New Roman"/>
          <w:b/>
          <w:sz w:val="24"/>
          <w:szCs w:val="24"/>
        </w:rPr>
      </w:pPr>
      <w:r w:rsidRPr="00B05BEF">
        <w:rPr>
          <w:rFonts w:eastAsia="Times New Roman"/>
          <w:b/>
          <w:sz w:val="24"/>
          <w:szCs w:val="24"/>
        </w:rPr>
        <w:t xml:space="preserve">           v.                                      )         SPECIAL VERDICT</w:t>
      </w:r>
    </w:p>
    <w:p w14:paraId="3CB82D5C"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         FORM A</w:t>
      </w:r>
    </w:p>
    <w:p w14:paraId="00B10508" w14:textId="77777777" w:rsidR="00B05BEF" w:rsidRPr="00B05BEF" w:rsidRDefault="00B05BEF" w:rsidP="00B05BEF">
      <w:pPr>
        <w:rPr>
          <w:rFonts w:eastAsia="Times New Roman"/>
          <w:b/>
          <w:sz w:val="24"/>
          <w:szCs w:val="24"/>
        </w:rPr>
      </w:pPr>
      <w:r w:rsidRPr="00B05BEF">
        <w:rPr>
          <w:rFonts w:eastAsia="Times New Roman"/>
          <w:b/>
          <w:sz w:val="24"/>
          <w:szCs w:val="24"/>
        </w:rPr>
        <w:t xml:space="preserve">            Defendant(s).                 )</w:t>
      </w:r>
    </w:p>
    <w:p w14:paraId="221AB8E2" w14:textId="77777777" w:rsidR="00B05BEF" w:rsidRPr="00B05BEF" w:rsidRDefault="00B05BEF" w:rsidP="00B05BEF">
      <w:pPr>
        <w:rPr>
          <w:rFonts w:eastAsia="Times New Roman"/>
          <w:b/>
          <w:sz w:val="24"/>
          <w:szCs w:val="24"/>
        </w:rPr>
      </w:pPr>
    </w:p>
    <w:p w14:paraId="763379AF" w14:textId="77777777" w:rsidR="00B05BEF" w:rsidRPr="00B05BEF" w:rsidRDefault="00B05BEF" w:rsidP="00B05BEF">
      <w:pPr>
        <w:rPr>
          <w:rFonts w:eastAsia="Times New Roman"/>
          <w:b/>
          <w:sz w:val="24"/>
          <w:szCs w:val="24"/>
        </w:rPr>
      </w:pPr>
    </w:p>
    <w:p w14:paraId="2FD03423" w14:textId="77777777" w:rsidR="00B05BEF" w:rsidRPr="00B05BEF" w:rsidRDefault="00B05BEF" w:rsidP="00B05BEF">
      <w:pPr>
        <w:rPr>
          <w:rFonts w:eastAsia="Times New Roman"/>
          <w:b/>
          <w:sz w:val="24"/>
          <w:szCs w:val="24"/>
        </w:rPr>
      </w:pPr>
      <w:r w:rsidRPr="00B05BEF">
        <w:rPr>
          <w:rFonts w:eastAsia="Times New Roman"/>
          <w:b/>
          <w:sz w:val="24"/>
          <w:szCs w:val="24"/>
        </w:rPr>
        <w:t>DO NOT ANSWER THIS SPECIAL VERDICT FORM A IF YOUR FOREPERSON HAS COMPLETED SPECIAL VERDICT FORM B AND ALL JURORS HAVE SIGNED IT.</w:t>
      </w:r>
    </w:p>
    <w:p w14:paraId="616CE0D4" w14:textId="77777777" w:rsidR="00B05BEF" w:rsidRPr="00B05BEF" w:rsidRDefault="00B05BEF" w:rsidP="00B05BEF">
      <w:pPr>
        <w:rPr>
          <w:rFonts w:eastAsia="Times New Roman"/>
          <w:b/>
          <w:sz w:val="24"/>
          <w:szCs w:val="24"/>
        </w:rPr>
      </w:pPr>
    </w:p>
    <w:p w14:paraId="28FA151C"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present our Answers to Questions submitted by the Court, to which we have all agreed:</w:t>
      </w:r>
    </w:p>
    <w:p w14:paraId="1D08A2D3" w14:textId="77777777" w:rsidR="00B05BEF" w:rsidRPr="00B05BEF" w:rsidRDefault="00B05BEF" w:rsidP="00B05BEF">
      <w:pPr>
        <w:ind w:firstLine="720"/>
        <w:rPr>
          <w:rFonts w:eastAsia="Times New Roman"/>
          <w:b/>
          <w:sz w:val="24"/>
          <w:szCs w:val="24"/>
        </w:rPr>
      </w:pPr>
    </w:p>
    <w:p w14:paraId="6F5B2F5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 Did the plaintiff, </w:t>
      </w:r>
      <w:r w:rsidRPr="00B05BEF">
        <w:rPr>
          <w:rFonts w:eastAsia="Times New Roman"/>
          <w:i/>
          <w:sz w:val="24"/>
          <w:szCs w:val="24"/>
        </w:rPr>
        <w:t>(name)</w:t>
      </w:r>
      <w:r w:rsidRPr="00B05BEF">
        <w:rPr>
          <w:rFonts w:eastAsia="Times New Roman"/>
          <w:b/>
          <w:sz w:val="24"/>
          <w:szCs w:val="24"/>
        </w:rPr>
        <w:t>, have (injuries) (damages) (losses)? (Yes or No)</w:t>
      </w:r>
    </w:p>
    <w:p w14:paraId="18345A1A" w14:textId="77777777" w:rsidR="00B05BEF" w:rsidRPr="00B05BEF" w:rsidRDefault="00B05BEF" w:rsidP="00B05BEF">
      <w:pPr>
        <w:ind w:firstLine="720"/>
        <w:rPr>
          <w:rFonts w:eastAsia="Times New Roman"/>
          <w:b/>
          <w:sz w:val="24"/>
          <w:szCs w:val="24"/>
        </w:rPr>
      </w:pPr>
    </w:p>
    <w:p w14:paraId="2B71592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367638D6" w14:textId="77777777" w:rsidR="00B05BEF" w:rsidRPr="00B05BEF" w:rsidRDefault="00B05BEF" w:rsidP="00B05BEF">
      <w:pPr>
        <w:ind w:firstLine="720"/>
        <w:rPr>
          <w:rFonts w:eastAsia="Times New Roman"/>
          <w:b/>
          <w:sz w:val="24"/>
          <w:szCs w:val="24"/>
        </w:rPr>
      </w:pPr>
    </w:p>
    <w:p w14:paraId="706F336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2. Was the defendant, </w:t>
      </w:r>
      <w:r w:rsidRPr="00B05BEF">
        <w:rPr>
          <w:rFonts w:eastAsia="Times New Roman"/>
          <w:i/>
          <w:sz w:val="24"/>
          <w:szCs w:val="24"/>
        </w:rPr>
        <w:t>(name of first or only defendant)</w:t>
      </w:r>
      <w:r w:rsidRPr="00B05BEF">
        <w:rPr>
          <w:rFonts w:eastAsia="Times New Roman"/>
          <w:b/>
          <w:sz w:val="24"/>
          <w:szCs w:val="24"/>
        </w:rPr>
        <w:t>, negligent? (Yes or No)</w:t>
      </w:r>
    </w:p>
    <w:p w14:paraId="751398BB" w14:textId="77777777" w:rsidR="00B05BEF" w:rsidRPr="00B05BEF" w:rsidRDefault="00B05BEF" w:rsidP="00B05BEF">
      <w:pPr>
        <w:ind w:firstLine="720"/>
        <w:rPr>
          <w:rFonts w:eastAsia="Times New Roman"/>
          <w:b/>
          <w:sz w:val="24"/>
          <w:szCs w:val="24"/>
        </w:rPr>
      </w:pPr>
    </w:p>
    <w:p w14:paraId="0BD745A2"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C970987" w14:textId="77777777" w:rsidR="00B05BEF" w:rsidRPr="00B05BEF" w:rsidRDefault="00B05BEF" w:rsidP="00B05BEF">
      <w:pPr>
        <w:ind w:firstLine="720"/>
        <w:rPr>
          <w:rFonts w:eastAsia="Times New Roman"/>
          <w:b/>
          <w:sz w:val="24"/>
          <w:szCs w:val="24"/>
        </w:rPr>
      </w:pPr>
    </w:p>
    <w:p w14:paraId="29556A4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3. Was the negligence, if any, of the defendant, </w:t>
      </w:r>
      <w:r w:rsidRPr="00B05BEF">
        <w:rPr>
          <w:rFonts w:eastAsia="Times New Roman"/>
          <w:i/>
          <w:sz w:val="24"/>
          <w:szCs w:val="24"/>
        </w:rPr>
        <w:t>(name of first or only defendant)</w:t>
      </w:r>
      <w:r w:rsidRPr="00B05BEF">
        <w:rPr>
          <w:rFonts w:eastAsia="Times New Roman"/>
          <w:b/>
          <w:sz w:val="24"/>
          <w:szCs w:val="24"/>
        </w:rPr>
        <w:t>, a cause of any of the (injuries) (damages) (losses) claimed by the plaintiff? (Yes or No)</w:t>
      </w:r>
    </w:p>
    <w:p w14:paraId="4CDB8873" w14:textId="77777777" w:rsidR="00B05BEF" w:rsidRPr="00B05BEF" w:rsidRDefault="00B05BEF" w:rsidP="00B05BEF">
      <w:pPr>
        <w:ind w:firstLine="720"/>
        <w:rPr>
          <w:rFonts w:eastAsia="Times New Roman"/>
          <w:b/>
          <w:sz w:val="24"/>
          <w:szCs w:val="24"/>
        </w:rPr>
      </w:pPr>
    </w:p>
    <w:p w14:paraId="1D0E8F6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29F296B" w14:textId="77777777" w:rsidR="00B05BEF" w:rsidRPr="00B05BEF" w:rsidRDefault="00B05BEF" w:rsidP="00B05BEF">
      <w:pPr>
        <w:ind w:firstLine="720"/>
        <w:rPr>
          <w:rFonts w:eastAsia="Times New Roman"/>
          <w:b/>
          <w:sz w:val="24"/>
          <w:szCs w:val="24"/>
        </w:rPr>
      </w:pPr>
    </w:p>
    <w:p w14:paraId="3F04DC04"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4. Was the defendant, </w:t>
      </w:r>
      <w:r w:rsidRPr="00B05BEF">
        <w:rPr>
          <w:rFonts w:eastAsia="Times New Roman"/>
          <w:i/>
          <w:sz w:val="24"/>
          <w:szCs w:val="24"/>
        </w:rPr>
        <w:t>(name of second defendant)</w:t>
      </w:r>
      <w:r w:rsidRPr="00B05BEF">
        <w:rPr>
          <w:rFonts w:eastAsia="Times New Roman"/>
          <w:b/>
          <w:sz w:val="24"/>
          <w:szCs w:val="24"/>
        </w:rPr>
        <w:t>, negligent? (Yes or No)</w:t>
      </w:r>
    </w:p>
    <w:p w14:paraId="38795FBE" w14:textId="77777777" w:rsidR="00B05BEF" w:rsidRPr="00B05BEF" w:rsidRDefault="00B05BEF" w:rsidP="00B05BEF">
      <w:pPr>
        <w:ind w:firstLine="720"/>
        <w:rPr>
          <w:rFonts w:eastAsia="Times New Roman"/>
          <w:b/>
          <w:sz w:val="24"/>
          <w:szCs w:val="24"/>
        </w:rPr>
      </w:pPr>
    </w:p>
    <w:p w14:paraId="235AD12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E16391A" w14:textId="77777777" w:rsidR="00B05BEF" w:rsidRPr="00B05BEF" w:rsidRDefault="00B05BEF" w:rsidP="00B05BEF">
      <w:pPr>
        <w:ind w:firstLine="720"/>
        <w:rPr>
          <w:rFonts w:eastAsia="Times New Roman"/>
          <w:b/>
          <w:sz w:val="24"/>
          <w:szCs w:val="24"/>
        </w:rPr>
      </w:pPr>
    </w:p>
    <w:p w14:paraId="65999148"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5. Was the negligence, if any, of the defendant, </w:t>
      </w:r>
      <w:r w:rsidRPr="00B05BEF">
        <w:rPr>
          <w:rFonts w:eastAsia="Times New Roman"/>
          <w:i/>
          <w:sz w:val="24"/>
          <w:szCs w:val="24"/>
        </w:rPr>
        <w:t>(name of second defendant)</w:t>
      </w:r>
      <w:r w:rsidRPr="00B05BEF">
        <w:rPr>
          <w:rFonts w:eastAsia="Times New Roman"/>
          <w:b/>
          <w:sz w:val="24"/>
          <w:szCs w:val="24"/>
        </w:rPr>
        <w:t>, a cause of any of the (injuries) (damages) (losses) claimed by the plaintiff? (Yes or No)</w:t>
      </w:r>
    </w:p>
    <w:p w14:paraId="4F67544B" w14:textId="77777777" w:rsidR="00B05BEF" w:rsidRPr="00B05BEF" w:rsidRDefault="00B05BEF" w:rsidP="00B05BEF">
      <w:pPr>
        <w:ind w:firstLine="720"/>
        <w:rPr>
          <w:rFonts w:eastAsia="Times New Roman"/>
          <w:b/>
          <w:sz w:val="24"/>
          <w:szCs w:val="24"/>
        </w:rPr>
      </w:pPr>
    </w:p>
    <w:p w14:paraId="4A19929E"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21A9B47" w14:textId="77777777" w:rsidR="00B05BEF" w:rsidRPr="00B05BEF" w:rsidRDefault="00B05BEF" w:rsidP="00B05BEF">
      <w:pPr>
        <w:ind w:firstLine="720"/>
        <w:rPr>
          <w:rFonts w:eastAsia="Times New Roman"/>
          <w:b/>
          <w:sz w:val="24"/>
          <w:szCs w:val="24"/>
        </w:rPr>
      </w:pPr>
    </w:p>
    <w:p w14:paraId="61C3D18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find for the defendant(s) and award no damages to the plaintiff, (name).</w:t>
      </w:r>
    </w:p>
    <w:p w14:paraId="30490C1E" w14:textId="77777777" w:rsidR="00B05BEF" w:rsidRPr="00B05BEF" w:rsidRDefault="00B05BEF" w:rsidP="00B05BEF">
      <w:pPr>
        <w:ind w:firstLine="720"/>
        <w:rPr>
          <w:rFonts w:eastAsia="Times New Roman"/>
          <w:b/>
          <w:sz w:val="24"/>
          <w:szCs w:val="24"/>
        </w:rPr>
      </w:pPr>
    </w:p>
    <w:p w14:paraId="7D62B4F5"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4EC527F2" w14:textId="77777777" w:rsidR="00B05BEF" w:rsidRPr="00B05BEF" w:rsidRDefault="00B05BEF" w:rsidP="00B05BEF">
      <w:pPr>
        <w:jc w:val="center"/>
        <w:rPr>
          <w:rFonts w:eastAsia="Times New Roman"/>
          <w:b/>
          <w:sz w:val="24"/>
          <w:szCs w:val="24"/>
        </w:rPr>
      </w:pPr>
    </w:p>
    <w:p w14:paraId="7C9A3C03"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43FD3BC5" w14:textId="77777777" w:rsidR="00B05BEF" w:rsidRPr="00B05BEF" w:rsidRDefault="00B05BEF" w:rsidP="00B05BEF">
      <w:pPr>
        <w:jc w:val="center"/>
        <w:rPr>
          <w:rFonts w:eastAsia="Times New Roman"/>
          <w:b/>
          <w:sz w:val="24"/>
          <w:szCs w:val="24"/>
        </w:rPr>
      </w:pPr>
    </w:p>
    <w:p w14:paraId="64EAD7FF"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206D2CE7" w14:textId="77777777" w:rsidR="00B05BEF" w:rsidRPr="00B05BEF" w:rsidRDefault="00B05BEF" w:rsidP="00B05BEF">
      <w:pPr>
        <w:jc w:val="center"/>
        <w:rPr>
          <w:rFonts w:eastAsia="Times New Roman"/>
          <w:b/>
          <w:sz w:val="24"/>
          <w:szCs w:val="24"/>
        </w:rPr>
      </w:pP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t>Foreperson</w:t>
      </w:r>
    </w:p>
    <w:p w14:paraId="1760568A" w14:textId="77777777" w:rsidR="00B05BEF" w:rsidRPr="00B05BEF" w:rsidRDefault="00B05BEF" w:rsidP="00B05BEF">
      <w:pPr>
        <w:rPr>
          <w:rFonts w:eastAsia="Times New Roman"/>
          <w:b/>
          <w:sz w:val="24"/>
          <w:szCs w:val="24"/>
        </w:rPr>
      </w:pPr>
    </w:p>
    <w:p w14:paraId="65E49D95" w14:textId="77777777" w:rsidR="00B05BEF" w:rsidRPr="00B05BEF" w:rsidRDefault="00B05BEF" w:rsidP="00B05BEF">
      <w:pPr>
        <w:rPr>
          <w:rFonts w:eastAsia="Times New Roman"/>
          <w:b/>
          <w:sz w:val="24"/>
          <w:szCs w:val="24"/>
        </w:rPr>
      </w:pPr>
    </w:p>
    <w:p w14:paraId="0E7E58D7" w14:textId="77777777" w:rsidR="00B05BEF" w:rsidRPr="00B05BEF" w:rsidRDefault="00B05BEF" w:rsidP="00B05BEF">
      <w:pPr>
        <w:jc w:val="center"/>
        <w:rPr>
          <w:rFonts w:eastAsia="Times New Roman"/>
          <w:b/>
          <w:sz w:val="24"/>
          <w:szCs w:val="24"/>
        </w:rPr>
      </w:pPr>
      <w:r w:rsidRPr="00B05BEF">
        <w:rPr>
          <w:rFonts w:eastAsia="Times New Roman"/>
          <w:b/>
          <w:sz w:val="24"/>
          <w:szCs w:val="24"/>
        </w:rPr>
        <w:t>FORM B</w:t>
      </w:r>
    </w:p>
    <w:p w14:paraId="2022DF50" w14:textId="77777777" w:rsidR="00B05BEF" w:rsidRPr="00B05BEF" w:rsidRDefault="00B05BEF" w:rsidP="00B05BEF">
      <w:pPr>
        <w:jc w:val="center"/>
        <w:rPr>
          <w:rFonts w:eastAsia="Times New Roman"/>
          <w:b/>
          <w:sz w:val="24"/>
          <w:szCs w:val="24"/>
        </w:rPr>
      </w:pPr>
    </w:p>
    <w:p w14:paraId="74DDC42B" w14:textId="77777777" w:rsidR="00B05BEF" w:rsidRPr="00B05BEF" w:rsidRDefault="00B05BEF" w:rsidP="00B05BEF">
      <w:pPr>
        <w:jc w:val="center"/>
        <w:rPr>
          <w:rFonts w:eastAsia="Times New Roman"/>
          <w:b/>
          <w:sz w:val="24"/>
          <w:szCs w:val="24"/>
        </w:rPr>
      </w:pPr>
      <w:r w:rsidRPr="00B05BEF">
        <w:rPr>
          <w:rFonts w:eastAsia="Times New Roman"/>
          <w:b/>
          <w:sz w:val="24"/>
          <w:szCs w:val="24"/>
        </w:rPr>
        <w:t>IN THE _______ COURT IN AND FOR THE</w:t>
      </w:r>
    </w:p>
    <w:p w14:paraId="7ABBAA17" w14:textId="77777777" w:rsidR="00B05BEF" w:rsidRPr="00B05BEF" w:rsidRDefault="00B05BEF" w:rsidP="00B05BEF">
      <w:pPr>
        <w:jc w:val="center"/>
        <w:rPr>
          <w:rFonts w:eastAsia="Times New Roman"/>
          <w:b/>
          <w:sz w:val="24"/>
          <w:szCs w:val="24"/>
        </w:rPr>
      </w:pPr>
      <w:r w:rsidRPr="00B05BEF">
        <w:rPr>
          <w:rFonts w:eastAsia="Times New Roman"/>
          <w:b/>
          <w:sz w:val="24"/>
          <w:szCs w:val="24"/>
        </w:rPr>
        <w:t>COUNTY OF _______, STATE OF COLORADO</w:t>
      </w:r>
    </w:p>
    <w:p w14:paraId="0C7939F5" w14:textId="77777777" w:rsidR="00B05BEF" w:rsidRPr="00B05BEF" w:rsidRDefault="00B05BEF" w:rsidP="00B05BEF">
      <w:pPr>
        <w:jc w:val="center"/>
        <w:rPr>
          <w:rFonts w:eastAsia="Times New Roman"/>
          <w:b/>
          <w:sz w:val="24"/>
          <w:szCs w:val="24"/>
        </w:rPr>
      </w:pPr>
    </w:p>
    <w:p w14:paraId="21B11A63" w14:textId="77777777" w:rsidR="00B05BEF" w:rsidRPr="00B05BEF" w:rsidRDefault="00B05BEF" w:rsidP="00B05BEF">
      <w:pPr>
        <w:jc w:val="center"/>
        <w:rPr>
          <w:rFonts w:eastAsia="Times New Roman"/>
          <w:b/>
          <w:sz w:val="24"/>
          <w:szCs w:val="24"/>
        </w:rPr>
      </w:pPr>
    </w:p>
    <w:p w14:paraId="224E0C27" w14:textId="77777777" w:rsidR="00B05BEF" w:rsidRPr="00B05BEF" w:rsidRDefault="00B05BEF" w:rsidP="00B05BEF">
      <w:pPr>
        <w:jc w:val="center"/>
        <w:rPr>
          <w:rFonts w:eastAsia="Times New Roman"/>
          <w:b/>
          <w:sz w:val="24"/>
          <w:szCs w:val="24"/>
        </w:rPr>
      </w:pPr>
      <w:r w:rsidRPr="00B05BEF">
        <w:rPr>
          <w:rFonts w:eastAsia="Times New Roman"/>
          <w:b/>
          <w:sz w:val="24"/>
          <w:szCs w:val="24"/>
        </w:rPr>
        <w:t>Civil Action No. _______</w:t>
      </w:r>
    </w:p>
    <w:p w14:paraId="2734F2E3" w14:textId="77777777" w:rsidR="00B05BEF" w:rsidRPr="00B05BEF" w:rsidRDefault="00B05BEF" w:rsidP="00B05BEF">
      <w:pPr>
        <w:rPr>
          <w:rFonts w:eastAsia="Times New Roman"/>
          <w:b/>
          <w:sz w:val="24"/>
          <w:szCs w:val="24"/>
        </w:rPr>
      </w:pPr>
    </w:p>
    <w:p w14:paraId="3556A337" w14:textId="77777777" w:rsidR="00B05BEF" w:rsidRPr="00B05BEF" w:rsidRDefault="00B05BEF" w:rsidP="00B05BEF">
      <w:pPr>
        <w:rPr>
          <w:rFonts w:eastAsia="Times New Roman"/>
          <w:b/>
          <w:sz w:val="24"/>
          <w:szCs w:val="24"/>
        </w:rPr>
      </w:pPr>
    </w:p>
    <w:p w14:paraId="57C04A06" w14:textId="77777777" w:rsidR="00B05BEF" w:rsidRPr="00B05BEF" w:rsidRDefault="00B05BEF" w:rsidP="00B05BEF">
      <w:pPr>
        <w:rPr>
          <w:rFonts w:eastAsia="Times New Roman"/>
          <w:b/>
          <w:sz w:val="24"/>
          <w:szCs w:val="24"/>
        </w:rPr>
      </w:pPr>
    </w:p>
    <w:p w14:paraId="06E4A83E"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0D1700C2" w14:textId="77777777" w:rsidR="00B05BEF" w:rsidRPr="00B05BEF" w:rsidRDefault="00B05BEF" w:rsidP="00B05BEF">
      <w:pPr>
        <w:rPr>
          <w:rFonts w:eastAsia="Times New Roman"/>
          <w:b/>
          <w:sz w:val="24"/>
          <w:szCs w:val="24"/>
        </w:rPr>
      </w:pPr>
      <w:r w:rsidRPr="00B05BEF">
        <w:rPr>
          <w:rFonts w:eastAsia="Times New Roman"/>
          <w:b/>
          <w:sz w:val="24"/>
          <w:szCs w:val="24"/>
        </w:rPr>
        <w:t xml:space="preserve">               Plaintiff,                      )</w:t>
      </w:r>
    </w:p>
    <w:p w14:paraId="4684C8B9" w14:textId="77777777" w:rsidR="00B05BEF" w:rsidRPr="00B05BEF" w:rsidRDefault="00B05BEF" w:rsidP="00B05BEF">
      <w:pPr>
        <w:rPr>
          <w:rFonts w:eastAsia="Times New Roman"/>
          <w:b/>
          <w:sz w:val="24"/>
          <w:szCs w:val="24"/>
        </w:rPr>
      </w:pPr>
      <w:r w:rsidRPr="00B05BEF">
        <w:rPr>
          <w:rFonts w:eastAsia="Times New Roman"/>
          <w:b/>
          <w:sz w:val="24"/>
          <w:szCs w:val="24"/>
        </w:rPr>
        <w:t xml:space="preserve">                                                    )</w:t>
      </w:r>
    </w:p>
    <w:p w14:paraId="6F154E86" w14:textId="77777777" w:rsidR="00B05BEF" w:rsidRPr="00B05BEF" w:rsidRDefault="00B05BEF" w:rsidP="00B05BEF">
      <w:pPr>
        <w:rPr>
          <w:rFonts w:eastAsia="Times New Roman"/>
          <w:b/>
          <w:sz w:val="24"/>
          <w:szCs w:val="24"/>
        </w:rPr>
      </w:pPr>
      <w:r w:rsidRPr="00B05BEF">
        <w:rPr>
          <w:rFonts w:eastAsia="Times New Roman"/>
          <w:b/>
          <w:sz w:val="24"/>
          <w:szCs w:val="24"/>
        </w:rPr>
        <w:t xml:space="preserve">                       v.                          )         SPECIAL VERDICT</w:t>
      </w:r>
    </w:p>
    <w:p w14:paraId="1F726B69" w14:textId="77777777" w:rsidR="00B05BEF" w:rsidRPr="00B05BEF" w:rsidRDefault="00B05BEF" w:rsidP="00B05BEF">
      <w:pPr>
        <w:rPr>
          <w:rFonts w:eastAsia="Times New Roman"/>
          <w:b/>
          <w:sz w:val="24"/>
          <w:szCs w:val="24"/>
        </w:rPr>
      </w:pPr>
      <w:r w:rsidRPr="00B05BEF">
        <w:rPr>
          <w:rFonts w:eastAsia="Times New Roman"/>
          <w:b/>
          <w:sz w:val="24"/>
          <w:szCs w:val="24"/>
        </w:rPr>
        <w:t xml:space="preserve">                                                    )         FORM B</w:t>
      </w:r>
    </w:p>
    <w:p w14:paraId="038F5106"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2C23F74C" w14:textId="77777777" w:rsidR="00B05BEF" w:rsidRPr="00B05BEF" w:rsidRDefault="00B05BEF" w:rsidP="00B05BEF">
      <w:pPr>
        <w:rPr>
          <w:rFonts w:eastAsia="Times New Roman"/>
          <w:b/>
          <w:sz w:val="24"/>
          <w:szCs w:val="24"/>
        </w:rPr>
      </w:pPr>
      <w:r w:rsidRPr="00B05BEF">
        <w:rPr>
          <w:rFonts w:eastAsia="Times New Roman"/>
          <w:b/>
          <w:sz w:val="24"/>
          <w:szCs w:val="24"/>
        </w:rPr>
        <w:t xml:space="preserve">            Defendant(s).  </w:t>
      </w:r>
      <w:r w:rsidRPr="00B05BEF">
        <w:rPr>
          <w:rFonts w:eastAsia="Times New Roman"/>
          <w:b/>
          <w:sz w:val="24"/>
          <w:szCs w:val="24"/>
        </w:rPr>
        <w:tab/>
        <w:t xml:space="preserve">    )</w:t>
      </w:r>
    </w:p>
    <w:p w14:paraId="7AD2E736" w14:textId="77777777" w:rsidR="00B05BEF" w:rsidRPr="00B05BEF" w:rsidRDefault="00B05BEF" w:rsidP="00B05BEF">
      <w:pPr>
        <w:rPr>
          <w:rFonts w:eastAsia="Times New Roman"/>
          <w:b/>
          <w:sz w:val="24"/>
          <w:szCs w:val="24"/>
        </w:rPr>
      </w:pPr>
    </w:p>
    <w:p w14:paraId="07FD0333" w14:textId="77777777" w:rsidR="00B05BEF" w:rsidRPr="00B05BEF" w:rsidRDefault="00B05BEF" w:rsidP="00B05BEF">
      <w:pPr>
        <w:rPr>
          <w:rFonts w:eastAsia="Times New Roman"/>
          <w:b/>
          <w:sz w:val="24"/>
          <w:szCs w:val="24"/>
        </w:rPr>
      </w:pPr>
    </w:p>
    <w:p w14:paraId="10706351" w14:textId="77777777" w:rsidR="00B05BEF" w:rsidRPr="00B05BEF" w:rsidRDefault="00B05BEF" w:rsidP="00B05BEF">
      <w:pPr>
        <w:rPr>
          <w:rFonts w:eastAsia="Times New Roman"/>
          <w:b/>
          <w:sz w:val="24"/>
          <w:szCs w:val="24"/>
        </w:rPr>
      </w:pPr>
      <w:r w:rsidRPr="00B05BEF">
        <w:rPr>
          <w:rFonts w:eastAsia="Times New Roman"/>
          <w:b/>
          <w:sz w:val="24"/>
          <w:szCs w:val="24"/>
        </w:rPr>
        <w:t>DO NOT ANSWER THIS SPECIAL VERDICT FORM B IF YOUR FOREPERSON HAS COMPLETED SPECIAL VERDICT FORM A AND ALL JURORS HAVE SIGNED IT.</w:t>
      </w:r>
    </w:p>
    <w:p w14:paraId="429EDF36" w14:textId="77777777" w:rsidR="00B05BEF" w:rsidRPr="00B05BEF" w:rsidRDefault="00B05BEF" w:rsidP="00B05BEF">
      <w:pPr>
        <w:rPr>
          <w:rFonts w:eastAsia="Times New Roman"/>
          <w:b/>
          <w:sz w:val="24"/>
          <w:szCs w:val="24"/>
        </w:rPr>
      </w:pPr>
    </w:p>
    <w:p w14:paraId="63E5EAB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present our Answers to Questions submitted by the Court, to which we have all agreed:</w:t>
      </w:r>
    </w:p>
    <w:p w14:paraId="066A4EFE" w14:textId="77777777" w:rsidR="00B05BEF" w:rsidRPr="00B05BEF" w:rsidRDefault="00B05BEF" w:rsidP="00B05BEF">
      <w:pPr>
        <w:ind w:firstLine="720"/>
        <w:rPr>
          <w:rFonts w:eastAsia="Times New Roman"/>
          <w:b/>
          <w:sz w:val="24"/>
          <w:szCs w:val="24"/>
        </w:rPr>
      </w:pPr>
    </w:p>
    <w:p w14:paraId="376517F4"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 Did the plaintiff, </w:t>
      </w:r>
      <w:r w:rsidRPr="00B05BEF">
        <w:rPr>
          <w:rFonts w:eastAsia="Times New Roman"/>
          <w:i/>
          <w:sz w:val="24"/>
          <w:szCs w:val="24"/>
        </w:rPr>
        <w:t>(name)</w:t>
      </w:r>
      <w:r w:rsidRPr="00B05BEF">
        <w:rPr>
          <w:rFonts w:eastAsia="Times New Roman"/>
          <w:b/>
          <w:sz w:val="24"/>
          <w:szCs w:val="24"/>
        </w:rPr>
        <w:t>, have (injuries) (damages) (losses)? (Yes or No)</w:t>
      </w:r>
    </w:p>
    <w:p w14:paraId="3C54AF87" w14:textId="77777777" w:rsidR="00B05BEF" w:rsidRPr="00B05BEF" w:rsidRDefault="00B05BEF" w:rsidP="00B05BEF">
      <w:pPr>
        <w:ind w:firstLine="720"/>
        <w:rPr>
          <w:rFonts w:eastAsia="Times New Roman"/>
          <w:b/>
          <w:sz w:val="24"/>
          <w:szCs w:val="24"/>
        </w:rPr>
      </w:pPr>
    </w:p>
    <w:p w14:paraId="17DE974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15D377C" w14:textId="77777777" w:rsidR="00B05BEF" w:rsidRPr="00B05BEF" w:rsidRDefault="00B05BEF" w:rsidP="00B05BEF">
      <w:pPr>
        <w:ind w:firstLine="720"/>
        <w:rPr>
          <w:rFonts w:eastAsia="Times New Roman"/>
          <w:b/>
          <w:sz w:val="24"/>
          <w:szCs w:val="24"/>
        </w:rPr>
      </w:pPr>
    </w:p>
    <w:p w14:paraId="0026639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2. Was the defendant, </w:t>
      </w:r>
      <w:r w:rsidRPr="00B05BEF">
        <w:rPr>
          <w:rFonts w:eastAsia="Times New Roman"/>
          <w:i/>
          <w:sz w:val="24"/>
          <w:szCs w:val="24"/>
        </w:rPr>
        <w:t>(name of first or only defendant)</w:t>
      </w:r>
      <w:r w:rsidRPr="00B05BEF">
        <w:rPr>
          <w:rFonts w:eastAsia="Times New Roman"/>
          <w:b/>
          <w:sz w:val="24"/>
          <w:szCs w:val="24"/>
        </w:rPr>
        <w:t>, negligent? (Yes or No)</w:t>
      </w:r>
    </w:p>
    <w:p w14:paraId="5BC78600" w14:textId="77777777" w:rsidR="00B05BEF" w:rsidRPr="00B05BEF" w:rsidRDefault="00B05BEF" w:rsidP="00B05BEF">
      <w:pPr>
        <w:ind w:firstLine="720"/>
        <w:rPr>
          <w:rFonts w:eastAsia="Times New Roman"/>
          <w:b/>
          <w:sz w:val="24"/>
          <w:szCs w:val="24"/>
        </w:rPr>
      </w:pPr>
    </w:p>
    <w:p w14:paraId="106C884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2EB56264" w14:textId="77777777" w:rsidR="00B05BEF" w:rsidRPr="00B05BEF" w:rsidRDefault="00B05BEF" w:rsidP="00B05BEF">
      <w:pPr>
        <w:ind w:firstLine="720"/>
        <w:rPr>
          <w:rFonts w:eastAsia="Times New Roman"/>
          <w:b/>
          <w:sz w:val="24"/>
          <w:szCs w:val="24"/>
        </w:rPr>
      </w:pPr>
    </w:p>
    <w:p w14:paraId="7F8C5231" w14:textId="77777777" w:rsidR="00B05BEF" w:rsidRPr="00B05BEF" w:rsidRDefault="00B05BEF" w:rsidP="00B05BEF">
      <w:pPr>
        <w:ind w:firstLine="720"/>
        <w:rPr>
          <w:rFonts w:eastAsia="Times New Roman"/>
          <w:b/>
          <w:sz w:val="24"/>
          <w:szCs w:val="24"/>
        </w:rPr>
      </w:pPr>
      <w:r w:rsidRPr="00B05BEF">
        <w:rPr>
          <w:rFonts w:eastAsia="Times New Roman"/>
          <w:b/>
          <w:sz w:val="24"/>
          <w:szCs w:val="24"/>
        </w:rPr>
        <w:lastRenderedPageBreak/>
        <w:t xml:space="preserve">3. Was the negligence, if any, of the defendant, </w:t>
      </w:r>
      <w:r w:rsidRPr="00B05BEF">
        <w:rPr>
          <w:rFonts w:eastAsia="Times New Roman"/>
          <w:i/>
          <w:sz w:val="24"/>
          <w:szCs w:val="24"/>
        </w:rPr>
        <w:t>(name of first or only defendant)</w:t>
      </w:r>
      <w:r w:rsidRPr="00B05BEF">
        <w:rPr>
          <w:rFonts w:eastAsia="Times New Roman"/>
          <w:b/>
          <w:sz w:val="24"/>
          <w:szCs w:val="24"/>
        </w:rPr>
        <w:t>, a cause of any of the (injuries) (damages) (losses) claimed by the plaintiff? (Yes or No)</w:t>
      </w:r>
    </w:p>
    <w:p w14:paraId="453A2706" w14:textId="77777777" w:rsidR="00B05BEF" w:rsidRPr="00B05BEF" w:rsidRDefault="00B05BEF" w:rsidP="00B05BEF">
      <w:pPr>
        <w:ind w:firstLine="720"/>
        <w:rPr>
          <w:rFonts w:eastAsia="Times New Roman"/>
          <w:b/>
          <w:sz w:val="24"/>
          <w:szCs w:val="24"/>
        </w:rPr>
      </w:pPr>
    </w:p>
    <w:p w14:paraId="62F7E98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BC67313" w14:textId="77777777" w:rsidR="00B05BEF" w:rsidRPr="00B05BEF" w:rsidRDefault="00B05BEF" w:rsidP="00B05BEF">
      <w:pPr>
        <w:ind w:firstLine="720"/>
        <w:rPr>
          <w:rFonts w:eastAsia="Times New Roman"/>
          <w:b/>
          <w:sz w:val="24"/>
          <w:szCs w:val="24"/>
        </w:rPr>
      </w:pPr>
    </w:p>
    <w:p w14:paraId="67397EFC"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4. Was the defendant, </w:t>
      </w:r>
      <w:r w:rsidRPr="00B05BEF">
        <w:rPr>
          <w:rFonts w:eastAsia="Times New Roman"/>
          <w:i/>
          <w:sz w:val="24"/>
          <w:szCs w:val="24"/>
        </w:rPr>
        <w:t>(name of second defendant)</w:t>
      </w:r>
      <w:r w:rsidRPr="00B05BEF">
        <w:rPr>
          <w:rFonts w:eastAsia="Times New Roman"/>
          <w:b/>
          <w:sz w:val="24"/>
          <w:szCs w:val="24"/>
        </w:rPr>
        <w:t>, negligent? (Yes or No)</w:t>
      </w:r>
    </w:p>
    <w:p w14:paraId="23C976A5" w14:textId="77777777" w:rsidR="00B05BEF" w:rsidRPr="00B05BEF" w:rsidRDefault="00B05BEF" w:rsidP="00B05BEF">
      <w:pPr>
        <w:ind w:firstLine="720"/>
        <w:rPr>
          <w:rFonts w:eastAsia="Times New Roman"/>
          <w:b/>
          <w:sz w:val="24"/>
          <w:szCs w:val="24"/>
        </w:rPr>
      </w:pPr>
    </w:p>
    <w:p w14:paraId="02D95D6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7E0FA81" w14:textId="77777777" w:rsidR="00B05BEF" w:rsidRPr="00B05BEF" w:rsidRDefault="00B05BEF" w:rsidP="00B05BEF">
      <w:pPr>
        <w:ind w:firstLine="720"/>
        <w:rPr>
          <w:rFonts w:eastAsia="Times New Roman"/>
          <w:b/>
          <w:sz w:val="24"/>
          <w:szCs w:val="24"/>
        </w:rPr>
      </w:pPr>
    </w:p>
    <w:p w14:paraId="3CF708A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5. Was the negligence, if any, of the defendant, </w:t>
      </w:r>
      <w:r w:rsidRPr="00B05BEF">
        <w:rPr>
          <w:rFonts w:eastAsia="Times New Roman"/>
          <w:i/>
          <w:sz w:val="24"/>
          <w:szCs w:val="24"/>
        </w:rPr>
        <w:t>(name of second defendant)</w:t>
      </w:r>
      <w:r w:rsidRPr="00B05BEF">
        <w:rPr>
          <w:rFonts w:eastAsia="Times New Roman"/>
          <w:b/>
          <w:sz w:val="24"/>
          <w:szCs w:val="24"/>
        </w:rPr>
        <w:t>, a cause of any of the (injuries) (damages) (losses) claimed by the plaintiff? (Yes or No)</w:t>
      </w:r>
    </w:p>
    <w:p w14:paraId="6C13945B" w14:textId="77777777" w:rsidR="00B05BEF" w:rsidRPr="00B05BEF" w:rsidRDefault="00B05BEF" w:rsidP="00B05BEF">
      <w:pPr>
        <w:ind w:firstLine="720"/>
        <w:rPr>
          <w:rFonts w:eastAsia="Times New Roman"/>
          <w:b/>
          <w:sz w:val="24"/>
          <w:szCs w:val="24"/>
        </w:rPr>
      </w:pPr>
    </w:p>
    <w:p w14:paraId="462F4EE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1FF31132" w14:textId="77777777" w:rsidR="00B05BEF" w:rsidRPr="00B05BEF" w:rsidRDefault="00B05BEF" w:rsidP="00B05BEF">
      <w:pPr>
        <w:ind w:firstLine="720"/>
        <w:rPr>
          <w:rFonts w:eastAsia="Times New Roman"/>
          <w:b/>
          <w:sz w:val="24"/>
          <w:szCs w:val="24"/>
        </w:rPr>
      </w:pPr>
    </w:p>
    <w:p w14:paraId="4AE768C1" w14:textId="77777777" w:rsidR="00B05BEF" w:rsidRPr="00B05BEF" w:rsidRDefault="00B05BEF" w:rsidP="00B05BEF">
      <w:pPr>
        <w:ind w:firstLine="720"/>
        <w:rPr>
          <w:rFonts w:eastAsia="Times New Roman"/>
          <w:b/>
          <w:sz w:val="24"/>
          <w:szCs w:val="24"/>
        </w:rPr>
      </w:pPr>
      <w:r w:rsidRPr="00B05BEF">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2AAA99CB" w14:textId="77777777" w:rsidR="00B05BEF" w:rsidRPr="00B05BEF" w:rsidRDefault="00B05BEF" w:rsidP="00B05BEF">
      <w:pPr>
        <w:ind w:firstLine="720"/>
        <w:rPr>
          <w:rFonts w:eastAsia="Times New Roman"/>
          <w:b/>
          <w:sz w:val="24"/>
          <w:szCs w:val="24"/>
        </w:rPr>
      </w:pPr>
    </w:p>
    <w:p w14:paraId="6DDAC6E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6. Was </w:t>
      </w:r>
      <w:r w:rsidRPr="00B05BEF">
        <w:rPr>
          <w:rFonts w:eastAsia="Times New Roman"/>
          <w:i/>
          <w:sz w:val="24"/>
          <w:szCs w:val="24"/>
        </w:rPr>
        <w:t>(name or other appropriate description of designated nonparty)</w:t>
      </w:r>
      <w:r w:rsidRPr="00B05BEF">
        <w:rPr>
          <w:rFonts w:eastAsia="Times New Roman"/>
          <w:b/>
          <w:sz w:val="24"/>
          <w:szCs w:val="24"/>
        </w:rPr>
        <w:t xml:space="preserve"> negligent or at fault? (Yes or No)</w:t>
      </w:r>
    </w:p>
    <w:p w14:paraId="7D0C802C" w14:textId="77777777" w:rsidR="00B05BEF" w:rsidRPr="00B05BEF" w:rsidRDefault="00B05BEF" w:rsidP="00B05BEF">
      <w:pPr>
        <w:ind w:firstLine="720"/>
        <w:rPr>
          <w:rFonts w:eastAsia="Times New Roman"/>
          <w:b/>
          <w:sz w:val="24"/>
          <w:szCs w:val="24"/>
        </w:rPr>
      </w:pPr>
    </w:p>
    <w:p w14:paraId="639E217A"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44772B26" w14:textId="77777777" w:rsidR="00B05BEF" w:rsidRPr="00B05BEF" w:rsidRDefault="00B05BEF" w:rsidP="00B05BEF">
      <w:pPr>
        <w:ind w:firstLine="720"/>
        <w:rPr>
          <w:rFonts w:eastAsia="Times New Roman"/>
          <w:b/>
          <w:sz w:val="24"/>
          <w:szCs w:val="24"/>
        </w:rPr>
      </w:pPr>
    </w:p>
    <w:p w14:paraId="2ABF24E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7. Was the negligence or fault, if any, of </w:t>
      </w:r>
      <w:r w:rsidRPr="00B05BEF">
        <w:rPr>
          <w:rFonts w:eastAsia="Times New Roman"/>
          <w:i/>
          <w:sz w:val="24"/>
          <w:szCs w:val="24"/>
        </w:rPr>
        <w:t>(name or other appropriate description of designated nonparty)</w:t>
      </w:r>
      <w:r w:rsidRPr="00B05BEF">
        <w:rPr>
          <w:rFonts w:eastAsia="Times New Roman"/>
          <w:b/>
          <w:sz w:val="24"/>
          <w:szCs w:val="24"/>
        </w:rPr>
        <w:t xml:space="preserve"> a cause of any of the (injuries) (damages) (losses) claimed by the plaintiff? (Yes or No)</w:t>
      </w:r>
    </w:p>
    <w:p w14:paraId="01F67793" w14:textId="77777777" w:rsidR="00B05BEF" w:rsidRPr="00B05BEF" w:rsidRDefault="00B05BEF" w:rsidP="00B05BEF">
      <w:pPr>
        <w:ind w:firstLine="720"/>
        <w:rPr>
          <w:rFonts w:eastAsia="Times New Roman"/>
          <w:b/>
          <w:sz w:val="24"/>
          <w:szCs w:val="24"/>
        </w:rPr>
      </w:pPr>
    </w:p>
    <w:p w14:paraId="6755FFD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944D936" w14:textId="77777777" w:rsidR="00B05BEF" w:rsidRPr="00B05BEF" w:rsidRDefault="00B05BEF" w:rsidP="00B05BEF">
      <w:pPr>
        <w:ind w:firstLine="720"/>
        <w:rPr>
          <w:rFonts w:eastAsia="Times New Roman"/>
          <w:b/>
          <w:sz w:val="24"/>
          <w:szCs w:val="24"/>
        </w:rPr>
      </w:pPr>
    </w:p>
    <w:p w14:paraId="114DD20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8. Was the plaintiff, </w:t>
      </w:r>
      <w:r w:rsidRPr="00B05BEF">
        <w:rPr>
          <w:rFonts w:eastAsia="Times New Roman"/>
          <w:i/>
          <w:sz w:val="24"/>
          <w:szCs w:val="24"/>
        </w:rPr>
        <w:t>(name)</w:t>
      </w:r>
      <w:r w:rsidRPr="00B05BEF">
        <w:rPr>
          <w:rFonts w:eastAsia="Times New Roman"/>
          <w:b/>
          <w:sz w:val="24"/>
          <w:szCs w:val="24"/>
        </w:rPr>
        <w:t>, negligent? (Yes or No)</w:t>
      </w:r>
    </w:p>
    <w:p w14:paraId="717DF442" w14:textId="77777777" w:rsidR="00B05BEF" w:rsidRPr="00B05BEF" w:rsidRDefault="00B05BEF" w:rsidP="00B05BEF">
      <w:pPr>
        <w:ind w:firstLine="720"/>
        <w:rPr>
          <w:rFonts w:eastAsia="Times New Roman"/>
          <w:b/>
          <w:sz w:val="24"/>
          <w:szCs w:val="24"/>
        </w:rPr>
      </w:pPr>
    </w:p>
    <w:p w14:paraId="081072E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7A14C32F" w14:textId="77777777" w:rsidR="00B05BEF" w:rsidRPr="00B05BEF" w:rsidRDefault="00B05BEF" w:rsidP="00B05BEF">
      <w:pPr>
        <w:ind w:firstLine="720"/>
        <w:rPr>
          <w:rFonts w:eastAsia="Times New Roman"/>
          <w:b/>
          <w:sz w:val="24"/>
          <w:szCs w:val="24"/>
        </w:rPr>
      </w:pPr>
    </w:p>
    <w:p w14:paraId="0990D5E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9. Was the negligence, if any, of the plaintiff a cause of (his) (her) claimed (injuries) (damages) (losses)? (Yes or No)</w:t>
      </w:r>
    </w:p>
    <w:p w14:paraId="146B44F5" w14:textId="77777777" w:rsidR="00B05BEF" w:rsidRPr="00B05BEF" w:rsidRDefault="00B05BEF" w:rsidP="00B05BEF">
      <w:pPr>
        <w:ind w:firstLine="720"/>
        <w:rPr>
          <w:rFonts w:eastAsia="Times New Roman"/>
          <w:b/>
          <w:sz w:val="24"/>
          <w:szCs w:val="24"/>
        </w:rPr>
      </w:pPr>
    </w:p>
    <w:p w14:paraId="7241216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47AB4150" w14:textId="77777777" w:rsidR="00B05BEF" w:rsidRPr="00B05BEF" w:rsidRDefault="00B05BEF" w:rsidP="00B05BEF">
      <w:pPr>
        <w:ind w:firstLine="720"/>
        <w:rPr>
          <w:rFonts w:eastAsia="Times New Roman"/>
          <w:b/>
          <w:sz w:val="24"/>
          <w:szCs w:val="24"/>
        </w:rPr>
      </w:pPr>
    </w:p>
    <w:p w14:paraId="0FF56C43"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State your answers to the following questions numbered 10 and 11 relating to the damages the plaintiff had that were caused by the negligence of the (plaintiff) (defendant) (one or more of the defendants) and the negligence, if any, of the nonparty </w:t>
      </w:r>
      <w:r w:rsidRPr="00B05BEF">
        <w:rPr>
          <w:rFonts w:eastAsia="Times New Roman"/>
          <w:i/>
          <w:sz w:val="24"/>
          <w:szCs w:val="24"/>
        </w:rPr>
        <w:t>(name or other appropriate description)</w:t>
      </w:r>
      <w:r w:rsidRPr="00B05BEF">
        <w:rPr>
          <w:rFonts w:eastAsia="Times New Roman"/>
          <w:b/>
          <w:sz w:val="24"/>
          <w:szCs w:val="24"/>
        </w:rPr>
        <w:t>:</w:t>
      </w:r>
    </w:p>
    <w:p w14:paraId="554703C8" w14:textId="77777777" w:rsidR="00B05BEF" w:rsidRPr="00B05BEF" w:rsidRDefault="00B05BEF" w:rsidP="00B05BEF">
      <w:pPr>
        <w:ind w:firstLine="720"/>
        <w:rPr>
          <w:rFonts w:eastAsia="Times New Roman"/>
          <w:b/>
          <w:sz w:val="24"/>
          <w:szCs w:val="24"/>
        </w:rPr>
      </w:pPr>
    </w:p>
    <w:p w14:paraId="2068E76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10. Damages to the present: What is the total amount of (injuries) (damages) (losses) that the plaintiff has had to the present in each of the following categories? Enter the figure </w:t>
      </w:r>
      <w:r w:rsidRPr="00B05BEF">
        <w:rPr>
          <w:rFonts w:eastAsia="Times New Roman"/>
          <w:b/>
          <w:sz w:val="24"/>
          <w:szCs w:val="24"/>
        </w:rPr>
        <w:lastRenderedPageBreak/>
        <w:t>zero, “0,” for any category if you determine there were no (injuries) (damages) (losses) in that category.</w:t>
      </w:r>
    </w:p>
    <w:p w14:paraId="7382026D" w14:textId="77777777" w:rsidR="00B05BEF" w:rsidRPr="00B05BEF" w:rsidRDefault="00B05BEF" w:rsidP="00B05BEF">
      <w:pPr>
        <w:rPr>
          <w:rFonts w:eastAsia="Times New Roman"/>
          <w:b/>
          <w:sz w:val="24"/>
          <w:szCs w:val="24"/>
        </w:rPr>
      </w:pPr>
    </w:p>
    <w:p w14:paraId="5DA40FA6" w14:textId="77777777" w:rsidR="00B05BEF" w:rsidRPr="00B05BEF" w:rsidRDefault="00B05BEF" w:rsidP="00B05BEF">
      <w:pPr>
        <w:tabs>
          <w:tab w:val="left" w:pos="1080"/>
          <w:tab w:val="right" w:pos="8280"/>
        </w:tabs>
        <w:ind w:left="1080" w:hanging="360"/>
        <w:rPr>
          <w:rFonts w:eastAsia="Times New Roman"/>
          <w:b/>
          <w:sz w:val="24"/>
          <w:szCs w:val="24"/>
        </w:rPr>
      </w:pPr>
      <w:r w:rsidRPr="00B05BEF">
        <w:rPr>
          <w:rFonts w:eastAsia="Times New Roman"/>
          <w:b/>
          <w:sz w:val="24"/>
          <w:szCs w:val="24"/>
        </w:rPr>
        <w:t>a.</w:t>
      </w:r>
      <w:r w:rsidRPr="00B05BEF">
        <w:rPr>
          <w:rFonts w:eastAsia="Times New Roman"/>
          <w:b/>
          <w:sz w:val="24"/>
          <w:szCs w:val="24"/>
        </w:rPr>
        <w:tab/>
        <w:t>Medical and other health care expenses:</w:t>
      </w:r>
      <w:r w:rsidRPr="00B05BEF">
        <w:rPr>
          <w:rFonts w:eastAsia="Times New Roman"/>
          <w:b/>
          <w:sz w:val="24"/>
          <w:szCs w:val="24"/>
        </w:rPr>
        <w:tab/>
        <w:t>$____</w:t>
      </w:r>
    </w:p>
    <w:p w14:paraId="79F93D7A"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b.</w:t>
      </w:r>
      <w:r w:rsidRPr="00B05BEF">
        <w:rPr>
          <w:rFonts w:eastAsia="Times New Roman"/>
          <w:b/>
          <w:sz w:val="24"/>
          <w:szCs w:val="24"/>
        </w:rPr>
        <w:tab/>
        <w:t>Lost earnings (and lost earning capacity):</w:t>
      </w:r>
      <w:r w:rsidRPr="00B05BEF">
        <w:rPr>
          <w:rFonts w:eastAsia="Times New Roman"/>
          <w:b/>
          <w:sz w:val="24"/>
          <w:szCs w:val="24"/>
        </w:rPr>
        <w:tab/>
        <w:t>$____</w:t>
      </w:r>
    </w:p>
    <w:p w14:paraId="69B859EB"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c.</w:t>
      </w:r>
      <w:r w:rsidRPr="00B05BEF">
        <w:rPr>
          <w:rFonts w:eastAsia="Times New Roman"/>
          <w:b/>
          <w:sz w:val="24"/>
          <w:szCs w:val="24"/>
        </w:rPr>
        <w:tab/>
        <w:t xml:space="preserve">Other economic losses than those included immediately </w:t>
      </w:r>
      <w:r w:rsidRPr="00B05BEF">
        <w:rPr>
          <w:rFonts w:eastAsia="Times New Roman"/>
          <w:b/>
          <w:sz w:val="24"/>
          <w:szCs w:val="24"/>
        </w:rPr>
        <w:br/>
        <w:t>above in a. and b.:</w:t>
      </w:r>
      <w:r w:rsidRPr="00B05BEF">
        <w:rPr>
          <w:rFonts w:eastAsia="Times New Roman"/>
          <w:b/>
          <w:sz w:val="24"/>
          <w:szCs w:val="24"/>
        </w:rPr>
        <w:tab/>
        <w:t>$____</w:t>
      </w:r>
    </w:p>
    <w:p w14:paraId="605E7C16"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d.</w:t>
      </w:r>
      <w:r w:rsidRPr="00B05BEF">
        <w:rPr>
          <w:rFonts w:eastAsia="Times New Roman"/>
          <w:b/>
          <w:sz w:val="24"/>
          <w:szCs w:val="24"/>
        </w:rPr>
        <w:tab/>
        <w:t xml:space="preserve">Non-economic losses, including pain and suffering, </w:t>
      </w:r>
      <w:r w:rsidRPr="00B05BEF">
        <w:rPr>
          <w:rFonts w:eastAsia="Times New Roman"/>
          <w:b/>
          <w:sz w:val="24"/>
          <w:szCs w:val="24"/>
        </w:rPr>
        <w:br/>
        <w:t xml:space="preserve">inconvenience, emotional stress, impairment of the </w:t>
      </w:r>
      <w:r w:rsidRPr="00B05BEF">
        <w:rPr>
          <w:rFonts w:eastAsia="Times New Roman"/>
          <w:b/>
          <w:sz w:val="24"/>
          <w:szCs w:val="24"/>
        </w:rPr>
        <w:br/>
        <w:t xml:space="preserve">quality of life, and </w:t>
      </w:r>
      <w:r w:rsidRPr="00B05BEF">
        <w:rPr>
          <w:rFonts w:eastAsia="Times New Roman"/>
          <w:i/>
          <w:sz w:val="24"/>
          <w:szCs w:val="24"/>
        </w:rPr>
        <w:t>(insert any other recoverable non-</w:t>
      </w:r>
      <w:r w:rsidRPr="00B05BEF">
        <w:rPr>
          <w:rFonts w:eastAsia="Times New Roman"/>
          <w:i/>
          <w:sz w:val="24"/>
          <w:szCs w:val="24"/>
        </w:rPr>
        <w:br/>
        <w:t>economic loss of which there is sufficient evidence)</w:t>
      </w:r>
      <w:r w:rsidRPr="00B05BEF">
        <w:rPr>
          <w:rFonts w:eastAsia="Times New Roman"/>
          <w:b/>
          <w:sz w:val="24"/>
          <w:szCs w:val="24"/>
        </w:rPr>
        <w:t xml:space="preserve">: </w:t>
      </w:r>
      <w:r w:rsidRPr="00B05BEF">
        <w:rPr>
          <w:rFonts w:eastAsia="Times New Roman"/>
          <w:b/>
          <w:sz w:val="24"/>
          <w:szCs w:val="24"/>
        </w:rPr>
        <w:tab/>
        <w:t>$____</w:t>
      </w:r>
    </w:p>
    <w:p w14:paraId="23CB5187" w14:textId="77777777" w:rsidR="00B05BEF" w:rsidRPr="00B05BEF" w:rsidRDefault="00B05BEF" w:rsidP="00B05BEF">
      <w:pPr>
        <w:rPr>
          <w:rFonts w:eastAsia="Times New Roman"/>
          <w:b/>
          <w:sz w:val="24"/>
          <w:szCs w:val="24"/>
        </w:rPr>
      </w:pPr>
    </w:p>
    <w:p w14:paraId="4A037358" w14:textId="77777777" w:rsidR="00B05BEF" w:rsidRPr="00B05BEF" w:rsidRDefault="00B05BEF" w:rsidP="00B05BEF">
      <w:pPr>
        <w:ind w:firstLine="720"/>
        <w:rPr>
          <w:rFonts w:eastAsia="Times New Roman"/>
          <w:b/>
          <w:sz w:val="24"/>
          <w:szCs w:val="24"/>
        </w:rPr>
      </w:pPr>
      <w:r w:rsidRPr="00B05BEF">
        <w:rPr>
          <w:rFonts w:eastAsia="Times New Roman"/>
          <w:b/>
          <w:sz w:val="24"/>
          <w:szCs w:val="24"/>
        </w:rPr>
        <w:t>11. Future damages: What is the present value of the total amount of (injuries) (damages) (losses)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period of time that plaintiff will probably have those future (injuries) (damages) (losses).</w:t>
      </w:r>
    </w:p>
    <w:p w14:paraId="016CE5DE" w14:textId="77777777" w:rsidR="00B05BEF" w:rsidRPr="00B05BEF" w:rsidRDefault="00B05BEF" w:rsidP="00B05BEF">
      <w:pPr>
        <w:rPr>
          <w:rFonts w:eastAsia="Times New Roman"/>
          <w:b/>
          <w:sz w:val="24"/>
          <w:szCs w:val="24"/>
        </w:rPr>
      </w:pPr>
    </w:p>
    <w:p w14:paraId="49BB2288"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a. Medical and other health care expenses:</w:t>
      </w:r>
      <w:r w:rsidRPr="00B05BEF">
        <w:rPr>
          <w:rFonts w:eastAsia="Times New Roman"/>
          <w:b/>
          <w:sz w:val="24"/>
          <w:szCs w:val="24"/>
        </w:rPr>
        <w:tab/>
        <w:t xml:space="preserve"> $_______</w:t>
      </w:r>
    </w:p>
    <w:p w14:paraId="2B288DAE" w14:textId="77777777" w:rsidR="00B05BEF" w:rsidRPr="00B05BEF" w:rsidRDefault="00B05BEF" w:rsidP="00B05BEF">
      <w:pPr>
        <w:tabs>
          <w:tab w:val="right" w:pos="8280"/>
        </w:tabs>
        <w:ind w:left="1080" w:hanging="360"/>
        <w:rPr>
          <w:rFonts w:eastAsia="Times New Roman"/>
          <w:b/>
          <w:sz w:val="24"/>
          <w:szCs w:val="24"/>
        </w:rPr>
      </w:pPr>
    </w:p>
    <w:p w14:paraId="4DD01C15" w14:textId="77777777" w:rsidR="00B05BEF" w:rsidRPr="00B05BEF" w:rsidRDefault="00B05BEF" w:rsidP="00B05BEF">
      <w:pPr>
        <w:keepNext/>
        <w:tabs>
          <w:tab w:val="right" w:pos="8280"/>
        </w:tabs>
        <w:ind w:left="1080" w:hanging="360"/>
        <w:outlineLvl w:val="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43D24398" w14:textId="77777777" w:rsidR="00B05BEF" w:rsidRPr="00B05BEF" w:rsidRDefault="00B05BEF" w:rsidP="00B05BEF">
      <w:pPr>
        <w:tabs>
          <w:tab w:val="right" w:pos="8280"/>
        </w:tabs>
        <w:ind w:left="1080" w:hanging="360"/>
        <w:rPr>
          <w:rFonts w:eastAsia="Times New Roman"/>
          <w:b/>
          <w:sz w:val="24"/>
          <w:szCs w:val="24"/>
        </w:rPr>
      </w:pPr>
    </w:p>
    <w:p w14:paraId="7478029F"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 xml:space="preserve">b. Lost earnings (and lost earning capacity): </w:t>
      </w:r>
      <w:r w:rsidRPr="00B05BEF">
        <w:rPr>
          <w:rFonts w:eastAsia="Times New Roman"/>
          <w:b/>
          <w:sz w:val="24"/>
          <w:szCs w:val="24"/>
        </w:rPr>
        <w:tab/>
        <w:t xml:space="preserve"> $_______</w:t>
      </w:r>
    </w:p>
    <w:p w14:paraId="3B0976E3" w14:textId="77777777" w:rsidR="00B05BEF" w:rsidRPr="00B05BEF" w:rsidRDefault="00B05BEF" w:rsidP="00B05BEF">
      <w:pPr>
        <w:tabs>
          <w:tab w:val="right" w:pos="8280"/>
        </w:tabs>
        <w:ind w:left="1080" w:hanging="360"/>
        <w:rPr>
          <w:rFonts w:eastAsia="Times New Roman"/>
          <w:b/>
          <w:sz w:val="24"/>
          <w:szCs w:val="24"/>
        </w:rPr>
      </w:pPr>
    </w:p>
    <w:p w14:paraId="7522B64F" w14:textId="77777777" w:rsidR="00B05BEF" w:rsidRPr="00B05BEF" w:rsidRDefault="00B05BEF" w:rsidP="00B05BEF">
      <w:pPr>
        <w:keepNext/>
        <w:tabs>
          <w:tab w:val="right" w:pos="8280"/>
        </w:tabs>
        <w:ind w:left="1080" w:right="360" w:hanging="360"/>
        <w:outlineLvl w:val="1"/>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4FB8D85A" w14:textId="77777777" w:rsidR="00B05BEF" w:rsidRPr="00B05BEF" w:rsidRDefault="00B05BEF" w:rsidP="00B05BEF">
      <w:pPr>
        <w:tabs>
          <w:tab w:val="right" w:pos="8280"/>
        </w:tabs>
        <w:ind w:left="1080" w:hanging="360"/>
        <w:rPr>
          <w:rFonts w:eastAsia="Times New Roman"/>
          <w:b/>
          <w:sz w:val="24"/>
          <w:szCs w:val="24"/>
        </w:rPr>
      </w:pPr>
    </w:p>
    <w:p w14:paraId="0150E504" w14:textId="77777777" w:rsidR="00B05BEF" w:rsidRPr="00B05BEF" w:rsidRDefault="00B05BEF" w:rsidP="00B05BEF">
      <w:pPr>
        <w:tabs>
          <w:tab w:val="right" w:pos="8280"/>
        </w:tabs>
        <w:ind w:left="1080" w:hanging="360"/>
        <w:rPr>
          <w:rFonts w:eastAsia="Times New Roman"/>
          <w:sz w:val="24"/>
          <w:szCs w:val="24"/>
        </w:rPr>
      </w:pPr>
      <w:r w:rsidRPr="00B05BEF">
        <w:rPr>
          <w:rFonts w:eastAsia="Times New Roman"/>
          <w:b/>
          <w:sz w:val="24"/>
          <w:szCs w:val="24"/>
        </w:rPr>
        <w:t xml:space="preserve">c. Other economic losses than those included immediately </w:t>
      </w:r>
      <w:r w:rsidRPr="00B05BEF">
        <w:rPr>
          <w:rFonts w:eastAsia="Times New Roman"/>
          <w:b/>
          <w:sz w:val="24"/>
          <w:szCs w:val="24"/>
        </w:rPr>
        <w:br/>
        <w:t>above in a. and b.:</w:t>
      </w:r>
      <w:r w:rsidRPr="00B05BEF">
        <w:rPr>
          <w:rFonts w:eastAsia="Times New Roman"/>
          <w:b/>
          <w:sz w:val="24"/>
          <w:szCs w:val="24"/>
        </w:rPr>
        <w:tab/>
      </w:r>
      <w:r w:rsidRPr="00B05BEF">
        <w:rPr>
          <w:rFonts w:eastAsia="Times New Roman"/>
          <w:sz w:val="24"/>
          <w:szCs w:val="24"/>
        </w:rPr>
        <w:t>$_______</w:t>
      </w:r>
    </w:p>
    <w:p w14:paraId="176E88A5" w14:textId="77777777" w:rsidR="00B05BEF" w:rsidRPr="00B05BEF" w:rsidRDefault="00B05BEF" w:rsidP="00B05BEF">
      <w:pPr>
        <w:tabs>
          <w:tab w:val="right" w:pos="8280"/>
        </w:tabs>
        <w:ind w:left="1080" w:hanging="360"/>
        <w:rPr>
          <w:rFonts w:eastAsia="Times New Roman"/>
          <w:b/>
          <w:sz w:val="24"/>
          <w:szCs w:val="24"/>
        </w:rPr>
      </w:pPr>
    </w:p>
    <w:p w14:paraId="067CF2A5" w14:textId="77777777" w:rsidR="00B05BEF" w:rsidRPr="00B05BEF" w:rsidRDefault="00B05BEF" w:rsidP="00B05BEF">
      <w:pPr>
        <w:keepNext/>
        <w:tabs>
          <w:tab w:val="right" w:pos="8280"/>
        </w:tabs>
        <w:ind w:left="1080" w:hanging="360"/>
        <w:outlineLvl w:val="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0275549D" w14:textId="77777777" w:rsidR="00B05BEF" w:rsidRPr="00B05BEF" w:rsidRDefault="00B05BEF" w:rsidP="00B05BEF">
      <w:pPr>
        <w:tabs>
          <w:tab w:val="right" w:pos="8280"/>
        </w:tabs>
        <w:ind w:left="1080" w:hanging="360"/>
        <w:rPr>
          <w:rFonts w:eastAsia="Times New Roman"/>
          <w:b/>
          <w:sz w:val="24"/>
          <w:szCs w:val="24"/>
        </w:rPr>
      </w:pPr>
    </w:p>
    <w:p w14:paraId="6A3BAA64" w14:textId="77777777" w:rsidR="00B05BEF" w:rsidRPr="00B05BEF" w:rsidRDefault="00B05BEF" w:rsidP="00B05BEF">
      <w:pPr>
        <w:tabs>
          <w:tab w:val="left" w:pos="1080"/>
          <w:tab w:val="right" w:pos="8280"/>
        </w:tabs>
        <w:ind w:left="1080" w:hanging="360"/>
        <w:rPr>
          <w:rFonts w:eastAsia="Times New Roman"/>
          <w:b/>
          <w:sz w:val="24"/>
          <w:szCs w:val="24"/>
        </w:rPr>
      </w:pPr>
      <w:r w:rsidRPr="00B05BEF">
        <w:rPr>
          <w:rFonts w:eastAsia="Times New Roman"/>
          <w:b/>
          <w:sz w:val="24"/>
          <w:szCs w:val="24"/>
        </w:rPr>
        <w:t>d.</w:t>
      </w:r>
      <w:r w:rsidRPr="00B05BEF">
        <w:rPr>
          <w:rFonts w:eastAsia="Times New Roman"/>
          <w:b/>
          <w:sz w:val="24"/>
          <w:szCs w:val="24"/>
        </w:rPr>
        <w:tab/>
        <w:t xml:space="preserve">Non-economic losses, including pain and suffering, </w:t>
      </w:r>
      <w:r w:rsidRPr="00B05BEF">
        <w:rPr>
          <w:rFonts w:eastAsia="Times New Roman"/>
          <w:b/>
          <w:sz w:val="24"/>
          <w:szCs w:val="24"/>
        </w:rPr>
        <w:br/>
        <w:t xml:space="preserve">inconvenience, emotional stress, impairment of the </w:t>
      </w:r>
      <w:r w:rsidRPr="00B05BEF">
        <w:rPr>
          <w:rFonts w:eastAsia="Times New Roman"/>
          <w:b/>
          <w:sz w:val="24"/>
          <w:szCs w:val="24"/>
        </w:rPr>
        <w:br/>
        <w:t xml:space="preserve">quality of life, and </w:t>
      </w:r>
      <w:r w:rsidRPr="00B05BEF">
        <w:rPr>
          <w:rFonts w:eastAsia="Times New Roman"/>
          <w:i/>
          <w:sz w:val="24"/>
          <w:szCs w:val="24"/>
        </w:rPr>
        <w:t>(insert any other recoverable non-</w:t>
      </w:r>
      <w:r w:rsidRPr="00B05BEF">
        <w:rPr>
          <w:rFonts w:eastAsia="Times New Roman"/>
          <w:i/>
          <w:sz w:val="24"/>
          <w:szCs w:val="24"/>
        </w:rPr>
        <w:br/>
        <w:t>economic loss of which there is sufficient evidence)</w:t>
      </w:r>
      <w:r w:rsidRPr="00B05BEF">
        <w:rPr>
          <w:rFonts w:eastAsia="Times New Roman"/>
          <w:b/>
          <w:sz w:val="24"/>
          <w:szCs w:val="24"/>
        </w:rPr>
        <w:t xml:space="preserve">: </w:t>
      </w:r>
      <w:r w:rsidRPr="00B05BEF">
        <w:rPr>
          <w:rFonts w:eastAsia="Times New Roman"/>
          <w:b/>
          <w:sz w:val="24"/>
          <w:szCs w:val="24"/>
        </w:rPr>
        <w:tab/>
        <w:t>$_______</w:t>
      </w:r>
    </w:p>
    <w:p w14:paraId="0E04ABFE" w14:textId="77777777" w:rsidR="00B05BEF" w:rsidRPr="00B05BEF" w:rsidRDefault="00B05BEF" w:rsidP="00B05BEF">
      <w:pPr>
        <w:tabs>
          <w:tab w:val="right" w:pos="8280"/>
        </w:tabs>
        <w:ind w:left="1080" w:hanging="360"/>
        <w:rPr>
          <w:rFonts w:eastAsia="Times New Roman"/>
          <w:b/>
          <w:sz w:val="24"/>
          <w:szCs w:val="24"/>
        </w:rPr>
      </w:pPr>
    </w:p>
    <w:p w14:paraId="6446E00D"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0E0E3615" w14:textId="77777777" w:rsidR="00B05BEF" w:rsidRPr="00B05BEF" w:rsidRDefault="00B05BEF" w:rsidP="00B05BEF">
      <w:pPr>
        <w:ind w:firstLine="720"/>
        <w:rPr>
          <w:rFonts w:eastAsia="Times New Roman"/>
          <w:b/>
          <w:sz w:val="24"/>
          <w:szCs w:val="24"/>
        </w:rPr>
      </w:pPr>
    </w:p>
    <w:p w14:paraId="523D718F"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rFonts w:eastAsia="Times New Roman"/>
          <w:i/>
          <w:sz w:val="24"/>
          <w:szCs w:val="24"/>
        </w:rPr>
        <w:t>(name of first or only defendant)</w:t>
      </w:r>
      <w:r w:rsidRPr="00B05BEF">
        <w:rPr>
          <w:rFonts w:eastAsia="Times New Roman"/>
          <w:b/>
          <w:sz w:val="24"/>
          <w:szCs w:val="24"/>
        </w:rPr>
        <w:t xml:space="preserve">, of the defendant, </w:t>
      </w:r>
      <w:r w:rsidRPr="00B05BEF">
        <w:rPr>
          <w:rFonts w:eastAsia="Times New Roman"/>
          <w:i/>
          <w:sz w:val="24"/>
          <w:szCs w:val="24"/>
        </w:rPr>
        <w:t>(name of second defendant)</w:t>
      </w:r>
      <w:r w:rsidRPr="00B05BEF">
        <w:rPr>
          <w:rFonts w:eastAsia="Times New Roman"/>
          <w:b/>
          <w:sz w:val="24"/>
          <w:szCs w:val="24"/>
        </w:rPr>
        <w:t xml:space="preserve">, of the plaintiff, </w:t>
      </w:r>
      <w:r w:rsidRPr="00B05BEF">
        <w:rPr>
          <w:rFonts w:eastAsia="Times New Roman"/>
          <w:i/>
          <w:sz w:val="24"/>
          <w:szCs w:val="24"/>
        </w:rPr>
        <w:t>(name)</w:t>
      </w:r>
      <w:r w:rsidRPr="00B05BEF">
        <w:rPr>
          <w:rFonts w:eastAsia="Times New Roman"/>
          <w:b/>
          <w:sz w:val="24"/>
          <w:szCs w:val="24"/>
        </w:rPr>
        <w:t xml:space="preserve">, and of the nonparty, </w:t>
      </w:r>
      <w:r w:rsidRPr="00B05BEF">
        <w:rPr>
          <w:rFonts w:eastAsia="Times New Roman"/>
          <w:i/>
          <w:sz w:val="24"/>
          <w:szCs w:val="24"/>
        </w:rPr>
        <w:t>(name or other appropriate description)</w:t>
      </w:r>
      <w:r w:rsidRPr="00B05BEF">
        <w:rPr>
          <w:rFonts w:eastAsia="Times New Roman"/>
          <w:b/>
          <w:sz w:val="24"/>
          <w:szCs w:val="24"/>
        </w:rPr>
        <w:t>?</w:t>
      </w:r>
    </w:p>
    <w:p w14:paraId="1A3A620E" w14:textId="77777777" w:rsidR="00B05BEF" w:rsidRPr="00B05BEF" w:rsidRDefault="00B05BEF" w:rsidP="00B05BEF">
      <w:pPr>
        <w:ind w:firstLine="720"/>
        <w:rPr>
          <w:rFonts w:eastAsia="Times New Roman"/>
          <w:b/>
          <w:sz w:val="24"/>
          <w:szCs w:val="24"/>
        </w:rPr>
      </w:pPr>
    </w:p>
    <w:p w14:paraId="4CD0642A" w14:textId="77777777" w:rsidR="00B05BEF" w:rsidRPr="00B05BEF" w:rsidRDefault="00B05BEF" w:rsidP="00B05BEF">
      <w:pPr>
        <w:ind w:firstLine="720"/>
        <w:rPr>
          <w:rFonts w:eastAsia="Times New Roman"/>
          <w:b/>
          <w:sz w:val="24"/>
          <w:szCs w:val="24"/>
        </w:rPr>
      </w:pPr>
      <w:r w:rsidRPr="00B05BEF">
        <w:rPr>
          <w:rFonts w:eastAsia="Times New Roman"/>
          <w:b/>
          <w:sz w:val="24"/>
          <w:szCs w:val="24"/>
        </w:rPr>
        <w:t>You must enter the figure of zero, “0,” for the nonparty and any party you decide was not negligent or at fault or whose negligence or fault you decide was not a cause of any of the plaintiff’s (injuries) (damages) (losses).</w:t>
      </w:r>
    </w:p>
    <w:p w14:paraId="719F781F" w14:textId="77777777" w:rsidR="00B05BEF" w:rsidRPr="00B05BEF" w:rsidRDefault="00B05BEF" w:rsidP="00B05BEF">
      <w:pPr>
        <w:ind w:firstLine="720"/>
        <w:rPr>
          <w:rFonts w:eastAsia="Times New Roman"/>
          <w:b/>
          <w:sz w:val="24"/>
          <w:szCs w:val="24"/>
        </w:rPr>
      </w:pPr>
    </w:p>
    <w:p w14:paraId="0DD0277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 _______</w:t>
      </w:r>
    </w:p>
    <w:p w14:paraId="0585B601" w14:textId="77777777" w:rsidR="00B05BEF" w:rsidRPr="00B05BEF" w:rsidRDefault="00B05BEF" w:rsidP="00B05BEF">
      <w:pPr>
        <w:rPr>
          <w:rFonts w:eastAsia="Times New Roman"/>
          <w:b/>
          <w:sz w:val="24"/>
          <w:szCs w:val="24"/>
        </w:rPr>
      </w:pPr>
    </w:p>
    <w:p w14:paraId="75A3EE52"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first or only defendant)</w:t>
      </w:r>
      <w:r w:rsidRPr="00B05BEF">
        <w:rPr>
          <w:rFonts w:eastAsia="Times New Roman"/>
          <w:b/>
          <w:sz w:val="24"/>
          <w:szCs w:val="24"/>
        </w:rPr>
        <w:t>:</w:t>
      </w:r>
      <w:r w:rsidRPr="00B05BEF">
        <w:rPr>
          <w:rFonts w:eastAsia="Times New Roman"/>
          <w:b/>
          <w:sz w:val="24"/>
          <w:szCs w:val="24"/>
        </w:rPr>
        <w:tab/>
        <w:t>_______ %</w:t>
      </w:r>
    </w:p>
    <w:p w14:paraId="2CFAB534"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second defendant)</w:t>
      </w:r>
      <w:r w:rsidRPr="00B05BEF">
        <w:rPr>
          <w:rFonts w:eastAsia="Times New Roman"/>
          <w:b/>
          <w:sz w:val="24"/>
          <w:szCs w:val="24"/>
        </w:rPr>
        <w:t xml:space="preserve">: </w:t>
      </w:r>
      <w:r w:rsidRPr="00B05BEF">
        <w:rPr>
          <w:rFonts w:eastAsia="Times New Roman"/>
          <w:b/>
          <w:sz w:val="24"/>
          <w:szCs w:val="24"/>
        </w:rPr>
        <w:tab/>
        <w:t>_______ %</w:t>
      </w:r>
    </w:p>
    <w:p w14:paraId="290657A5" w14:textId="77777777" w:rsidR="00B05BEF" w:rsidRPr="00B05BEF" w:rsidRDefault="00B05BEF" w:rsidP="00B05BEF">
      <w:pPr>
        <w:tabs>
          <w:tab w:val="right" w:pos="8280"/>
        </w:tabs>
        <w:ind w:left="360" w:hanging="360"/>
        <w:rPr>
          <w:rFonts w:eastAsia="Times New Roman"/>
          <w:i/>
          <w:sz w:val="24"/>
          <w:szCs w:val="24"/>
        </w:rPr>
      </w:pPr>
      <w:r w:rsidRPr="00B05BEF">
        <w:rPr>
          <w:rFonts w:eastAsia="Times New Roman"/>
          <w:b/>
          <w:sz w:val="24"/>
          <w:szCs w:val="24"/>
        </w:rPr>
        <w:t xml:space="preserve">Percentage charged to </w:t>
      </w:r>
      <w:r w:rsidRPr="00B05BEF">
        <w:rPr>
          <w:rFonts w:eastAsia="Times New Roman"/>
          <w:i/>
          <w:sz w:val="24"/>
          <w:szCs w:val="24"/>
        </w:rPr>
        <w:t xml:space="preserve">(name or other appropriate description </w:t>
      </w:r>
      <w:r w:rsidRPr="00B05BEF">
        <w:rPr>
          <w:rFonts w:eastAsia="Times New Roman"/>
          <w:i/>
          <w:sz w:val="24"/>
          <w:szCs w:val="24"/>
        </w:rPr>
        <w:br/>
        <w:t>of nonparty)</w:t>
      </w:r>
      <w:r w:rsidRPr="00B05BEF">
        <w:rPr>
          <w:rFonts w:eastAsia="Times New Roman"/>
          <w:b/>
          <w:sz w:val="24"/>
          <w:szCs w:val="24"/>
        </w:rPr>
        <w:t>:</w:t>
      </w:r>
      <w:r w:rsidRPr="00B05BEF">
        <w:rPr>
          <w:rFonts w:eastAsia="Times New Roman"/>
          <w:b/>
          <w:sz w:val="24"/>
          <w:szCs w:val="24"/>
        </w:rPr>
        <w:tab/>
        <w:t>_______ %</w:t>
      </w:r>
    </w:p>
    <w:p w14:paraId="735D20EA"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plaintiff)</w:t>
      </w:r>
      <w:r w:rsidRPr="00B05BEF">
        <w:rPr>
          <w:rFonts w:eastAsia="Times New Roman"/>
          <w:b/>
          <w:sz w:val="24"/>
          <w:szCs w:val="24"/>
        </w:rPr>
        <w:t>:</w:t>
      </w:r>
      <w:r w:rsidRPr="00B05BEF">
        <w:rPr>
          <w:rFonts w:eastAsia="Times New Roman"/>
          <w:b/>
          <w:sz w:val="24"/>
          <w:szCs w:val="24"/>
        </w:rPr>
        <w:tab/>
        <w:t>_______ %</w:t>
      </w:r>
    </w:p>
    <w:p w14:paraId="56C4B841" w14:textId="77777777" w:rsidR="00B05BEF" w:rsidRPr="00B05BEF" w:rsidRDefault="00B05BEF" w:rsidP="00B05BEF">
      <w:pPr>
        <w:tabs>
          <w:tab w:val="right" w:pos="8280"/>
        </w:tabs>
        <w:rPr>
          <w:rFonts w:eastAsia="Times New Roman"/>
          <w:b/>
          <w:sz w:val="24"/>
          <w:szCs w:val="24"/>
        </w:rPr>
      </w:pPr>
    </w:p>
    <w:p w14:paraId="53DD6A35"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MUST TOTAL: 100%</w:t>
      </w:r>
      <w:r w:rsidRPr="00B05BEF">
        <w:rPr>
          <w:rFonts w:eastAsia="Times New Roman"/>
          <w:b/>
          <w:sz w:val="24"/>
          <w:szCs w:val="24"/>
        </w:rPr>
        <w:tab/>
        <w:t>_______%</w:t>
      </w:r>
    </w:p>
    <w:p w14:paraId="70404FDD" w14:textId="77777777" w:rsidR="00B05BEF" w:rsidRPr="00B05BEF" w:rsidRDefault="00B05BEF" w:rsidP="00B05BEF">
      <w:pPr>
        <w:rPr>
          <w:rFonts w:eastAsia="Times New Roman"/>
          <w:b/>
          <w:sz w:val="24"/>
          <w:szCs w:val="24"/>
        </w:rPr>
      </w:pPr>
    </w:p>
    <w:p w14:paraId="6E44BE9A" w14:textId="77777777" w:rsidR="00B05BEF" w:rsidRPr="00B05BEF" w:rsidRDefault="00B05BEF" w:rsidP="00B05BEF">
      <w:pPr>
        <w:rPr>
          <w:rFonts w:eastAsia="Times New Roman"/>
          <w:b/>
          <w:sz w:val="24"/>
          <w:szCs w:val="24"/>
        </w:rPr>
      </w:pPr>
    </w:p>
    <w:p w14:paraId="5E511ABF"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687BF484" w14:textId="77777777" w:rsidR="00B05BEF" w:rsidRPr="00B05BEF" w:rsidRDefault="00B05BEF" w:rsidP="00B05BEF">
      <w:pPr>
        <w:jc w:val="center"/>
        <w:rPr>
          <w:rFonts w:eastAsia="Times New Roman"/>
          <w:b/>
          <w:sz w:val="24"/>
          <w:szCs w:val="24"/>
        </w:rPr>
      </w:pPr>
    </w:p>
    <w:p w14:paraId="766051B4"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682B59DA" w14:textId="77777777" w:rsidR="00B05BEF" w:rsidRPr="00B05BEF" w:rsidRDefault="00B05BEF" w:rsidP="00B05BEF">
      <w:pPr>
        <w:jc w:val="center"/>
        <w:rPr>
          <w:rFonts w:eastAsia="Times New Roman"/>
          <w:b/>
          <w:sz w:val="24"/>
          <w:szCs w:val="24"/>
        </w:rPr>
      </w:pPr>
    </w:p>
    <w:p w14:paraId="6222FCF3"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734EE0AC" w14:textId="77777777" w:rsidR="00B05BEF" w:rsidRPr="00B05BEF" w:rsidRDefault="00B05BEF" w:rsidP="00B05BEF">
      <w:pPr>
        <w:jc w:val="center"/>
        <w:rPr>
          <w:rFonts w:eastAsia="Times New Roman"/>
          <w:b/>
          <w:sz w:val="24"/>
          <w:szCs w:val="24"/>
        </w:rPr>
      </w:pP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t>Foreperson</w:t>
      </w:r>
    </w:p>
    <w:p w14:paraId="340E23FE" w14:textId="77777777" w:rsidR="00B05BEF" w:rsidRPr="00B05BEF" w:rsidRDefault="00B05BEF" w:rsidP="00B05BEF">
      <w:pPr>
        <w:spacing w:after="240"/>
        <w:ind w:firstLine="720"/>
        <w:rPr>
          <w:rFonts w:eastAsia="Times New Roman"/>
          <w:sz w:val="24"/>
          <w:szCs w:val="24"/>
        </w:rPr>
      </w:pPr>
    </w:p>
    <w:p w14:paraId="1D878458" w14:textId="77777777" w:rsidR="00B05BEF" w:rsidRPr="0054263B" w:rsidRDefault="00B05BEF" w:rsidP="00B05BEF">
      <w:pPr>
        <w:keepNext/>
        <w:spacing w:after="240"/>
        <w:jc w:val="center"/>
        <w:rPr>
          <w:rFonts w:eastAsia="Times New Roman"/>
          <w:b/>
          <w:sz w:val="24"/>
          <w:szCs w:val="24"/>
        </w:rPr>
      </w:pPr>
      <w:r w:rsidRPr="0054263B">
        <w:rPr>
          <w:rFonts w:eastAsia="Times New Roman"/>
          <w:b/>
          <w:sz w:val="24"/>
          <w:szCs w:val="24"/>
        </w:rPr>
        <w:t>Notes on Use</w:t>
      </w:r>
    </w:p>
    <w:p w14:paraId="72ECD8DE"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1. The Notes on Use to Instruction 15:14 also apply to this instruction.</w:t>
      </w:r>
    </w:p>
    <w:p w14:paraId="03489FA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2. Use whichever parenthesized words are appropriate.</w:t>
      </w:r>
    </w:p>
    <w:p w14:paraId="1420BB6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3. Delete any category of damages if there is insufficient evidence of any damages in that category. </w:t>
      </w:r>
      <w:r w:rsidRPr="00B05BEF">
        <w:rPr>
          <w:rFonts w:eastAsia="Times New Roman"/>
          <w:i/>
          <w:sz w:val="24"/>
          <w:szCs w:val="24"/>
        </w:rPr>
        <w:t xml:space="preserve">See </w:t>
      </w:r>
      <w:r w:rsidRPr="00B05BEF">
        <w:rPr>
          <w:rFonts w:eastAsia="Times New Roman"/>
          <w:b/>
          <w:sz w:val="24"/>
          <w:szCs w:val="24"/>
        </w:rPr>
        <w:t>Wallbank v. Rothenberg,</w:t>
      </w:r>
      <w:r w:rsidRPr="00B05BEF">
        <w:rPr>
          <w:rFonts w:eastAsia="Times New Roman"/>
          <w:sz w:val="24"/>
          <w:szCs w:val="24"/>
        </w:rPr>
        <w:t xml:space="preserve"> 74 P.3d 413 (Colo. App. 2003) (award of future medical expenses must be based upon substantial evidence that establishes reasonable probability that such expenses will necessarily be incurred).</w:t>
      </w:r>
    </w:p>
    <w:p w14:paraId="46C1548D" w14:textId="77777777" w:rsidR="00B05BEF" w:rsidRPr="0054263B" w:rsidRDefault="00B05BEF" w:rsidP="00B05BEF">
      <w:pPr>
        <w:keepNext/>
        <w:spacing w:after="240"/>
        <w:jc w:val="center"/>
        <w:rPr>
          <w:rFonts w:eastAsia="Times New Roman"/>
          <w:b/>
          <w:sz w:val="24"/>
          <w:szCs w:val="24"/>
        </w:rPr>
      </w:pPr>
      <w:r>
        <w:rPr>
          <w:rFonts w:eastAsia="Times New Roman"/>
          <w:b/>
          <w:sz w:val="24"/>
          <w:szCs w:val="24"/>
        </w:rPr>
        <w:t>Source and Authority</w:t>
      </w:r>
    </w:p>
    <w:p w14:paraId="01D58DAD"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1. This instruction is supported by sections 13-64-204 and 13-64-205(1)(d), C.R.S.; </w:t>
      </w:r>
      <w:r w:rsidRPr="00B05BEF">
        <w:rPr>
          <w:rFonts w:eastAsia="Times New Roman"/>
          <w:b/>
          <w:sz w:val="24"/>
          <w:szCs w:val="24"/>
        </w:rPr>
        <w:t>HealthONE v. Rodriguez</w:t>
      </w:r>
      <w:r w:rsidRPr="00B05BEF">
        <w:rPr>
          <w:rFonts w:eastAsia="Times New Roman"/>
          <w:sz w:val="24"/>
          <w:szCs w:val="24"/>
        </w:rPr>
        <w:t>, 50 P.3d 879 (Colo. 2002);</w:t>
      </w:r>
      <w:r w:rsidRPr="00B05BEF" w:rsidDel="00884623">
        <w:rPr>
          <w:rFonts w:eastAsia="Times New Roman"/>
          <w:sz w:val="24"/>
          <w:szCs w:val="24"/>
        </w:rPr>
        <w:t xml:space="preserve"> </w:t>
      </w:r>
      <w:r w:rsidRPr="00B05BEF">
        <w:rPr>
          <w:rFonts w:eastAsia="Times New Roman"/>
          <w:b/>
          <w:sz w:val="24"/>
          <w:szCs w:val="24"/>
        </w:rPr>
        <w:t>Preston v. Dupont</w:t>
      </w:r>
      <w:r w:rsidRPr="00B05BEF">
        <w:rPr>
          <w:rFonts w:eastAsia="Times New Roman"/>
          <w:sz w:val="24"/>
          <w:szCs w:val="24"/>
        </w:rPr>
        <w:t xml:space="preserve">, 35 P.3d 433 (Colo. 2001); and </w:t>
      </w:r>
      <w:r w:rsidRPr="00B05BEF">
        <w:rPr>
          <w:rFonts w:eastAsia="Times New Roman"/>
          <w:b/>
          <w:sz w:val="24"/>
          <w:szCs w:val="24"/>
        </w:rPr>
        <w:t>Garhart v. Columbia/HealthONE L.L.C.</w:t>
      </w:r>
      <w:r w:rsidRPr="00B05BEF">
        <w:rPr>
          <w:rFonts w:eastAsia="Times New Roman"/>
          <w:sz w:val="24"/>
          <w:szCs w:val="24"/>
        </w:rPr>
        <w:t>, 168 P.3d 512 (Colo. App. 2007).</w:t>
      </w:r>
    </w:p>
    <w:p w14:paraId="78A8E143"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2. As to how the court should use the various findings of the jury, see</w:t>
      </w:r>
      <w:r w:rsidRPr="00B05BEF">
        <w:rPr>
          <w:rFonts w:eastAsia="Times New Roman"/>
          <w:b/>
          <w:i/>
          <w:sz w:val="24"/>
          <w:szCs w:val="24"/>
        </w:rPr>
        <w:t xml:space="preserve"> </w:t>
      </w:r>
      <w:r w:rsidRPr="00B05BEF">
        <w:rPr>
          <w:rFonts w:eastAsia="Times New Roman"/>
          <w:sz w:val="24"/>
          <w:szCs w:val="24"/>
        </w:rPr>
        <w:t>sections 13-21-102.5, and 13-64-201 to -213, C.R.S. As to the limitations on the total damages for personal injuries in actions against a health care professional or institution, see</w:t>
      </w:r>
      <w:r w:rsidRPr="00B05BEF">
        <w:rPr>
          <w:rFonts w:eastAsia="Times New Roman"/>
          <w:b/>
          <w:i/>
          <w:sz w:val="24"/>
          <w:szCs w:val="24"/>
        </w:rPr>
        <w:t xml:space="preserve"> </w:t>
      </w:r>
      <w:r w:rsidRPr="00B05BEF">
        <w:rPr>
          <w:rFonts w:eastAsia="Times New Roman"/>
          <w:sz w:val="24"/>
          <w:szCs w:val="24"/>
        </w:rPr>
        <w:t>section 13-64-302(1)(b), C.R.S. In addition, as to limitations on the recovery of damages for noneconomic loss or injury in cases in which the acts or omissions occurred before July 1, 2003, see section 13-21-</w:t>
      </w:r>
      <w:r w:rsidRPr="00B05BEF">
        <w:rPr>
          <w:rFonts w:eastAsia="Times New Roman"/>
          <w:sz w:val="24"/>
          <w:szCs w:val="24"/>
        </w:rPr>
        <w:lastRenderedPageBreak/>
        <w:t>102.5(3)(a). For the limitations on such damages both before and after that date in actions involving “medical malpractice,” see also</w:t>
      </w:r>
      <w:r w:rsidRPr="00B05BEF">
        <w:rPr>
          <w:rFonts w:eastAsia="Times New Roman"/>
          <w:b/>
          <w:i/>
          <w:sz w:val="24"/>
          <w:szCs w:val="24"/>
        </w:rPr>
        <w:t xml:space="preserve"> </w:t>
      </w:r>
      <w:r w:rsidRPr="00B05BEF">
        <w:rPr>
          <w:rFonts w:eastAsia="Times New Roman"/>
          <w:sz w:val="24"/>
          <w:szCs w:val="24"/>
        </w:rPr>
        <w:t xml:space="preserve">sections 13-64-102 and 13-64-302(1). </w:t>
      </w:r>
    </w:p>
    <w:p w14:paraId="01D6C91F" w14:textId="60302879" w:rsidR="00B05BEF" w:rsidRPr="00B05BEF" w:rsidRDefault="00B05BEF" w:rsidP="00B05BEF">
      <w:pPr>
        <w:spacing w:after="240"/>
        <w:ind w:firstLine="720"/>
        <w:rPr>
          <w:rFonts w:eastAsia="Times New Roman"/>
          <w:sz w:val="24"/>
          <w:szCs w:val="24"/>
        </w:rPr>
      </w:pPr>
      <w:r w:rsidRPr="00B05BEF">
        <w:rPr>
          <w:rFonts w:eastAsia="Times New Roman"/>
          <w:sz w:val="24"/>
          <w:szCs w:val="24"/>
        </w:rPr>
        <w:t>3. The Health Care Availability Act (HCAA) contains several caps on damages. Recovery against all health care professionals and institutions, as defined in the statute, is limited to a total of $1.0 million, including punitive damages. §§ 13-64-20</w:t>
      </w:r>
      <w:r w:rsidR="00BD0C53">
        <w:rPr>
          <w:rFonts w:eastAsia="Times New Roman"/>
          <w:sz w:val="24"/>
          <w:szCs w:val="24"/>
        </w:rPr>
        <w:t>2</w:t>
      </w:r>
      <w:r w:rsidRPr="00B05BEF">
        <w:rPr>
          <w:rFonts w:eastAsia="Times New Roman"/>
          <w:sz w:val="24"/>
          <w:szCs w:val="24"/>
        </w:rPr>
        <w:t>(6), 13-64-302(1)(b), C.R.S. Within the $1.0 million limit, noneconomic losses, including physical impairment and disfigurement damages, are subject to a limit of $300,000.</w:t>
      </w:r>
      <w:r w:rsidRPr="00B05BEF">
        <w:rPr>
          <w:rFonts w:eastAsia="Times New Roman"/>
          <w:sz w:val="24"/>
          <w:szCs w:val="24"/>
          <w:vertAlign w:val="superscript"/>
        </w:rPr>
        <w:t xml:space="preserve"> </w:t>
      </w:r>
      <w:r w:rsidRPr="00B05BEF">
        <w:rPr>
          <w:rFonts w:eastAsia="Times New Roman"/>
          <w:sz w:val="24"/>
          <w:szCs w:val="24"/>
        </w:rPr>
        <w:t xml:space="preserve">§§ 13-64-102(2)(b), 13-64-302(1)(b) &amp; (c), C.R.S. However, the court may enter judgment in excess of the $1.0 million recovery cap upon good cause shown, as detailed in the statute—that is, if the present value of past and future economic damages would exceed the limitations, such that it would be unfair to limit a plaintiff’s recovery. § 13-64-302(1)(b); </w:t>
      </w:r>
      <w:r w:rsidRPr="00B05BEF">
        <w:rPr>
          <w:rFonts w:eastAsia="Times New Roman"/>
          <w:i/>
          <w:iCs/>
          <w:sz w:val="24"/>
          <w:szCs w:val="24"/>
        </w:rPr>
        <w:t>see also</w:t>
      </w:r>
      <w:r w:rsidRPr="00B05BEF">
        <w:rPr>
          <w:rFonts w:eastAsia="Times New Roman"/>
          <w:sz w:val="24"/>
          <w:szCs w:val="24"/>
        </w:rPr>
        <w:t xml:space="preserve"> </w:t>
      </w:r>
      <w:r w:rsidRPr="00B05BEF">
        <w:rPr>
          <w:rFonts w:eastAsia="Times New Roman"/>
          <w:b/>
          <w:sz w:val="24"/>
          <w:szCs w:val="24"/>
        </w:rPr>
        <w:t>Pressey v. Children’s Hosp. Colo.</w:t>
      </w:r>
      <w:r w:rsidRPr="00B05BEF">
        <w:rPr>
          <w:rFonts w:eastAsia="Times New Roman"/>
          <w:sz w:val="24"/>
          <w:szCs w:val="24"/>
        </w:rPr>
        <w:t xml:space="preserve">, 2017 COA 28, ¶ 10; </w:t>
      </w:r>
      <w:r w:rsidRPr="00B05BEF">
        <w:rPr>
          <w:rFonts w:eastAsia="Times New Roman"/>
          <w:b/>
          <w:bCs/>
          <w:sz w:val="24"/>
          <w:szCs w:val="24"/>
        </w:rPr>
        <w:t>Vitetta v. Corrigan</w:t>
      </w:r>
      <w:r w:rsidRPr="00B05BEF">
        <w:rPr>
          <w:rFonts w:eastAsia="Times New Roman"/>
          <w:sz w:val="24"/>
          <w:szCs w:val="24"/>
        </w:rPr>
        <w:t xml:space="preserve">, 240 P.3d 322 (Colo. App. 2009); </w:t>
      </w:r>
      <w:r w:rsidRPr="00B05BEF">
        <w:rPr>
          <w:rFonts w:eastAsia="Times New Roman"/>
          <w:b/>
          <w:bCs/>
          <w:sz w:val="24"/>
          <w:szCs w:val="24"/>
        </w:rPr>
        <w:t>Wallbank v. Rothenberg</w:t>
      </w:r>
      <w:r w:rsidRPr="00B05BEF">
        <w:rPr>
          <w:rFonts w:eastAsia="Times New Roman"/>
          <w:sz w:val="24"/>
          <w:szCs w:val="24"/>
        </w:rPr>
        <w:t xml:space="preserve">, 140 P.3d 177 (Colo. App. 2006) (decided under former version of statute). Any prefiling prejudgment interest, which begins when the action accrues and ends when the lawsuit is filed, is subject to the $1.0 million and $300,000 limits. § 13-64-302(2); </w:t>
      </w:r>
      <w:r w:rsidRPr="00B05BEF">
        <w:rPr>
          <w:rFonts w:eastAsia="Times New Roman"/>
          <w:b/>
          <w:bCs/>
          <w:sz w:val="24"/>
          <w:szCs w:val="24"/>
        </w:rPr>
        <w:t>Ochoa v. Vered</w:t>
      </w:r>
      <w:r w:rsidRPr="00B05BEF">
        <w:rPr>
          <w:rFonts w:eastAsia="Times New Roman"/>
          <w:sz w:val="24"/>
          <w:szCs w:val="24"/>
        </w:rPr>
        <w:t xml:space="preserve">, 212 P.3d 963 (Colo. App. 2009); </w:t>
      </w:r>
      <w:r w:rsidRPr="00B05BEF">
        <w:rPr>
          <w:rFonts w:eastAsia="Times New Roman"/>
          <w:b/>
          <w:bCs/>
          <w:sz w:val="24"/>
          <w:szCs w:val="24"/>
        </w:rPr>
        <w:t>Wallbank</w:t>
      </w:r>
      <w:r w:rsidRPr="00B05BEF">
        <w:rPr>
          <w:rFonts w:eastAsia="Times New Roman"/>
          <w:iCs/>
          <w:sz w:val="24"/>
          <w:szCs w:val="24"/>
        </w:rPr>
        <w:t>,</w:t>
      </w:r>
      <w:r w:rsidRPr="00B05BEF">
        <w:rPr>
          <w:rFonts w:eastAsia="Times New Roman"/>
          <w:sz w:val="24"/>
          <w:szCs w:val="24"/>
        </w:rPr>
        <w:t xml:space="preserve"> 74 P.3d at 419.</w:t>
      </w:r>
    </w:p>
    <w:p w14:paraId="27EE6588"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4. Unlike the statutory caps on recovery of tort damages generally and for wrongful death, the caps under the HCAA are not adjusted for inflation. § 13-64-302; </w:t>
      </w:r>
      <w:r w:rsidRPr="00B05BEF">
        <w:rPr>
          <w:rFonts w:eastAsia="Times New Roman"/>
          <w:i/>
          <w:iCs/>
          <w:sz w:val="24"/>
          <w:szCs w:val="24"/>
        </w:rPr>
        <w:t>see also</w:t>
      </w:r>
      <w:r w:rsidRPr="00B05BEF">
        <w:rPr>
          <w:rFonts w:eastAsia="Times New Roman"/>
          <w:sz w:val="24"/>
          <w:szCs w:val="24"/>
        </w:rPr>
        <w:t xml:space="preserve"> </w:t>
      </w:r>
      <w:r w:rsidRPr="007A4945">
        <w:rPr>
          <w:rFonts w:eastAsia="Times New Roman"/>
          <w:smallCaps/>
          <w:sz w:val="24"/>
          <w:szCs w:val="24"/>
        </w:rPr>
        <w:t xml:space="preserve">7 John W. Grund, et al., Colo. Prac. Series: </w:t>
      </w:r>
      <w:r w:rsidRPr="007A4945">
        <w:rPr>
          <w:rFonts w:eastAsia="Times New Roman"/>
          <w:bCs/>
          <w:smallCaps/>
          <w:sz w:val="24"/>
          <w:szCs w:val="24"/>
        </w:rPr>
        <w:t>Personal Injury Practice — Torts and Insurance</w:t>
      </w:r>
      <w:r w:rsidRPr="00B05BEF">
        <w:rPr>
          <w:rFonts w:eastAsia="Times New Roman"/>
          <w:sz w:val="24"/>
          <w:szCs w:val="24"/>
        </w:rPr>
        <w:t xml:space="preserve"> § 21.37 (3d ed. 2012).</w:t>
      </w:r>
    </w:p>
    <w:p w14:paraId="7FB9DFE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5. Although the jury will issue its findings, the HCAA requires that a plaintiff prove both that good cause exists to support such an award, and that applying the total damages limit under the Act would be unfair. § 13-64-302(1)(b); </w:t>
      </w:r>
      <w:r w:rsidRPr="00B05BEF">
        <w:rPr>
          <w:rFonts w:eastAsia="Times New Roman"/>
          <w:b/>
          <w:sz w:val="24"/>
          <w:szCs w:val="24"/>
        </w:rPr>
        <w:t>Vitetta</w:t>
      </w:r>
      <w:r w:rsidRPr="00B05BEF">
        <w:rPr>
          <w:rFonts w:eastAsia="Times New Roman"/>
          <w:sz w:val="24"/>
          <w:szCs w:val="24"/>
        </w:rPr>
        <w:t xml:space="preserve">, 240 P.3d at 329; </w:t>
      </w:r>
      <w:r w:rsidRPr="00B05BEF">
        <w:rPr>
          <w:rFonts w:eastAsia="Times New Roman"/>
          <w:b/>
          <w:sz w:val="24"/>
          <w:szCs w:val="24"/>
        </w:rPr>
        <w:t>Wallbank</w:t>
      </w:r>
      <w:r w:rsidRPr="00B05BEF">
        <w:rPr>
          <w:rFonts w:eastAsia="Times New Roman"/>
          <w:sz w:val="24"/>
          <w:szCs w:val="24"/>
        </w:rPr>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particular case. </w:t>
      </w:r>
      <w:r w:rsidRPr="00B05BEF">
        <w:rPr>
          <w:rFonts w:eastAsia="Times New Roman"/>
          <w:b/>
          <w:sz w:val="24"/>
          <w:szCs w:val="24"/>
        </w:rPr>
        <w:t>Wallbank</w:t>
      </w:r>
      <w:r w:rsidRPr="00B05BEF">
        <w:rPr>
          <w:rFonts w:eastAsia="Times New Roman"/>
          <w:sz w:val="24"/>
          <w:szCs w:val="24"/>
        </w:rPr>
        <w:t xml:space="preserve">, 140 P.3d at 180-81 (trial court did not abuse discretion in considering relevant factors not expressly specified in the statute); </w:t>
      </w:r>
      <w:r w:rsidRPr="007A4945">
        <w:rPr>
          <w:rFonts w:eastAsia="Times New Roman"/>
          <w:b/>
          <w:iCs/>
          <w:sz w:val="24"/>
          <w:szCs w:val="24"/>
        </w:rPr>
        <w:t>Vitetta</w:t>
      </w:r>
      <w:r w:rsidRPr="00B05BEF">
        <w:rPr>
          <w:rFonts w:eastAsia="Times New Roman"/>
          <w:sz w:val="24"/>
          <w:szCs w:val="24"/>
        </w:rPr>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to reduce damages . . . under the HCAA,” and the court should not consider “Medicaid payments (and private insurance) in determining whether to exceed the HCAA’s $1,000,000 limitation on damages.” </w:t>
      </w:r>
      <w:r w:rsidRPr="00B05BEF">
        <w:rPr>
          <w:rFonts w:eastAsia="Times New Roman"/>
          <w:b/>
          <w:sz w:val="24"/>
          <w:szCs w:val="24"/>
        </w:rPr>
        <w:t>Pressey</w:t>
      </w:r>
      <w:r w:rsidRPr="00B05BEF">
        <w:rPr>
          <w:rFonts w:eastAsia="Times New Roman"/>
          <w:sz w:val="24"/>
          <w:szCs w:val="24"/>
        </w:rPr>
        <w:t>, 2017 COA 28, ¶ 22.</w:t>
      </w:r>
    </w:p>
    <w:p w14:paraId="18CECAE7" w14:textId="77777777" w:rsidR="007A4945" w:rsidRDefault="00B05BEF" w:rsidP="00731AFC">
      <w:pPr>
        <w:spacing w:after="240"/>
        <w:ind w:firstLine="720"/>
        <w:rPr>
          <w:rFonts w:eastAsia="Times New Roman"/>
          <w:sz w:val="24"/>
          <w:szCs w:val="24"/>
        </w:rPr>
      </w:pPr>
      <w:r w:rsidRPr="00B05BEF">
        <w:rPr>
          <w:rFonts w:eastAsia="Times New Roman"/>
          <w:sz w:val="24"/>
          <w:szCs w:val="24"/>
        </w:rPr>
        <w:t xml:space="preserve">6. In </w:t>
      </w:r>
      <w:r w:rsidRPr="00B05BEF">
        <w:rPr>
          <w:rFonts w:eastAsia="Times New Roman"/>
          <w:b/>
          <w:sz w:val="24"/>
          <w:szCs w:val="24"/>
        </w:rPr>
        <w:t xml:space="preserve">Garhart v. Columbia/HealthONE, L.L.C., </w:t>
      </w:r>
      <w:r w:rsidRPr="00B05BEF">
        <w:rPr>
          <w:rFonts w:eastAsia="Times New Roman"/>
          <w:sz w:val="24"/>
          <w:szCs w:val="24"/>
        </w:rPr>
        <w:t xml:space="preserve">95 P.3d 571 (Colo. 2004), the supreme court held that the HCAA allows a total recovery of the cap amount against all defendants, and that statutory cap applies to both defendants and designated nonparty health care tortfeasors; thus, a trial court must first apply the HCAA cap to the jury’s noneconomic damages award, and then apportion those damages according to the jury’s allocation of fault among any health care defendants and nonparty tortfeasors. For a case involving apportionment among health care tortfeasors and non-health care tortfeasors, see </w:t>
      </w:r>
      <w:r w:rsidRPr="00B05BEF">
        <w:rPr>
          <w:rFonts w:eastAsia="Times New Roman"/>
          <w:b/>
          <w:sz w:val="24"/>
          <w:szCs w:val="24"/>
        </w:rPr>
        <w:t>Chavez v. Parkview Episcopal Medical Center</w:t>
      </w:r>
      <w:r w:rsidRPr="00B05BEF">
        <w:rPr>
          <w:rFonts w:eastAsia="Times New Roman"/>
          <w:sz w:val="24"/>
          <w:szCs w:val="24"/>
        </w:rPr>
        <w:t>, 32 P. 3d 609 (Colo. App. 2001).</w:t>
      </w:r>
      <w:r w:rsidR="007A4945">
        <w:rPr>
          <w:rFonts w:eastAsia="Times New Roman"/>
          <w:sz w:val="24"/>
          <w:szCs w:val="24"/>
        </w:rPr>
        <w:br w:type="page"/>
      </w:r>
    </w:p>
    <w:p w14:paraId="504AC5AD" w14:textId="77777777" w:rsidR="00731AFC" w:rsidRPr="009E3DA4" w:rsidRDefault="00731AFC" w:rsidP="00731AFC">
      <w:pPr>
        <w:spacing w:after="240"/>
        <w:ind w:left="720" w:hanging="720"/>
        <w:rPr>
          <w:rFonts w:eastAsia="Times New Roman"/>
          <w:b/>
          <w:sz w:val="24"/>
          <w:szCs w:val="24"/>
        </w:rPr>
      </w:pPr>
      <w:bookmarkStart w:id="16" w:name="a15_16"/>
      <w:bookmarkEnd w:id="16"/>
      <w:r w:rsidRPr="00731AFC">
        <w:rPr>
          <w:rFonts w:eastAsia="Times New Roman"/>
          <w:b/>
          <w:sz w:val="24"/>
          <w:szCs w:val="24"/>
        </w:rPr>
        <w:lastRenderedPageBreak/>
        <w:t xml:space="preserve">15:16 </w:t>
      </w:r>
      <w:r w:rsidRPr="00731AFC">
        <w:rPr>
          <w:rFonts w:eastAsia="Times New Roman"/>
          <w:b/>
          <w:sz w:val="24"/>
          <w:szCs w:val="24"/>
        </w:rPr>
        <w:tab/>
        <w:t>DETERMINING PRESENT VALUE OF FUTURE DAMAGES</w:t>
      </w:r>
    </w:p>
    <w:p w14:paraId="5F8E5BCE"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 xml:space="preserve">If you determine the plaintiff, </w:t>
      </w:r>
      <w:r w:rsidRPr="00731AFC">
        <w:rPr>
          <w:rFonts w:eastAsia="Times New Roman"/>
          <w:i/>
          <w:sz w:val="24"/>
          <w:szCs w:val="24"/>
        </w:rPr>
        <w:t>(name)</w:t>
      </w:r>
      <w:r w:rsidRPr="00731AFC">
        <w:rPr>
          <w:rFonts w:eastAsia="Times New Roman"/>
          <w:b/>
          <w:sz w:val="24"/>
          <w:szCs w:val="24"/>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To state any future damages in any category in terms of their present value, you must:</w:t>
      </w:r>
    </w:p>
    <w:p w14:paraId="00C5160D"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1. Determine the total damages for the (injuries) (damages) (losses) the plaintiff will have in each category in the future, for the period of time plaintiff will probably have those (injuries) (damages) (losses); and</w:t>
      </w:r>
    </w:p>
    <w:p w14:paraId="23EBAD31"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2. Discount the damages in each category to today’s value, using a reasonable commercial rate.</w:t>
      </w:r>
    </w:p>
    <w:p w14:paraId="235FFAAF" w14:textId="77777777" w:rsidR="00731AFC" w:rsidRDefault="00731AFC" w:rsidP="00731AFC">
      <w:pPr>
        <w:jc w:val="center"/>
        <w:rPr>
          <w:rFonts w:eastAsia="Times New Roman"/>
          <w:sz w:val="24"/>
          <w:szCs w:val="24"/>
        </w:rPr>
      </w:pPr>
    </w:p>
    <w:p w14:paraId="3420CE4D" w14:textId="77777777" w:rsidR="00731AFC" w:rsidRPr="0054263B" w:rsidRDefault="00731AFC" w:rsidP="00731AFC">
      <w:pPr>
        <w:keepNext/>
        <w:spacing w:after="240"/>
        <w:jc w:val="center"/>
        <w:rPr>
          <w:rFonts w:eastAsia="Times New Roman"/>
          <w:b/>
          <w:sz w:val="24"/>
          <w:szCs w:val="24"/>
        </w:rPr>
      </w:pPr>
      <w:r w:rsidRPr="0054263B">
        <w:rPr>
          <w:rFonts w:eastAsia="Times New Roman"/>
          <w:b/>
          <w:sz w:val="24"/>
          <w:szCs w:val="24"/>
        </w:rPr>
        <w:t>Notes on Use</w:t>
      </w:r>
    </w:p>
    <w:p w14:paraId="69971D13" w14:textId="77777777" w:rsidR="00731AFC" w:rsidRPr="00731AFC" w:rsidRDefault="00731AFC" w:rsidP="00731AFC">
      <w:pPr>
        <w:spacing w:after="240"/>
        <w:ind w:firstLine="720"/>
        <w:rPr>
          <w:rFonts w:eastAsia="Times New Roman"/>
          <w:sz w:val="24"/>
          <w:szCs w:val="24"/>
        </w:rPr>
      </w:pPr>
      <w:r w:rsidRPr="00731AFC">
        <w:rPr>
          <w:rFonts w:eastAsia="Times New Roman"/>
          <w:sz w:val="24"/>
          <w:szCs w:val="24"/>
        </w:rPr>
        <w:t>1. This instruction must be given with Instructions 15:14 and 15:15 whenever those instructions are given and any category of future damages is included in Question 11 of Instruction 15:15.</w:t>
      </w:r>
    </w:p>
    <w:p w14:paraId="654353D4" w14:textId="77777777" w:rsidR="00731AFC" w:rsidRPr="00731AFC" w:rsidRDefault="00731AFC" w:rsidP="00731AFC">
      <w:pPr>
        <w:spacing w:after="240"/>
        <w:ind w:firstLine="720"/>
        <w:rPr>
          <w:rFonts w:eastAsia="Times New Roman"/>
          <w:sz w:val="24"/>
          <w:szCs w:val="24"/>
        </w:rPr>
      </w:pPr>
      <w:r w:rsidRPr="00731AFC">
        <w:rPr>
          <w:rFonts w:eastAsia="Times New Roman"/>
          <w:sz w:val="24"/>
          <w:szCs w:val="24"/>
        </w:rPr>
        <w:t>2. Use whichever parenthesized words are appropriate.</w:t>
      </w:r>
    </w:p>
    <w:p w14:paraId="62F3E027" w14:textId="77777777" w:rsidR="00731AFC" w:rsidRPr="0054263B" w:rsidRDefault="00731AFC" w:rsidP="00731AFC">
      <w:pPr>
        <w:keepNext/>
        <w:spacing w:after="240"/>
        <w:jc w:val="center"/>
        <w:rPr>
          <w:rFonts w:eastAsia="Times New Roman"/>
          <w:b/>
          <w:sz w:val="24"/>
          <w:szCs w:val="24"/>
        </w:rPr>
      </w:pPr>
      <w:r>
        <w:rPr>
          <w:rFonts w:eastAsia="Times New Roman"/>
          <w:b/>
          <w:sz w:val="24"/>
          <w:szCs w:val="24"/>
        </w:rPr>
        <w:t>Source and Authority</w:t>
      </w:r>
    </w:p>
    <w:p w14:paraId="40EB26D6" w14:textId="66A0A916" w:rsidR="00731AFC" w:rsidRPr="00731AFC" w:rsidRDefault="00731AFC" w:rsidP="00731AFC">
      <w:pPr>
        <w:spacing w:after="240"/>
        <w:ind w:firstLine="720"/>
        <w:rPr>
          <w:rFonts w:eastAsia="Times New Roman"/>
          <w:sz w:val="24"/>
          <w:szCs w:val="24"/>
        </w:rPr>
      </w:pPr>
      <w:r w:rsidRPr="00731AFC">
        <w:rPr>
          <w:rFonts w:eastAsia="Times New Roman"/>
          <w:sz w:val="24"/>
          <w:szCs w:val="24"/>
        </w:rPr>
        <w:t xml:space="preserve">1. This instruction </w:t>
      </w:r>
      <w:r w:rsidR="00456F47">
        <w:rPr>
          <w:rFonts w:eastAsia="Times New Roman"/>
          <w:sz w:val="24"/>
          <w:szCs w:val="24"/>
        </w:rPr>
        <w:t>is supported by section</w:t>
      </w:r>
      <w:r w:rsidRPr="00731AFC">
        <w:rPr>
          <w:rFonts w:eastAsia="Times New Roman"/>
          <w:sz w:val="24"/>
          <w:szCs w:val="24"/>
        </w:rPr>
        <w:t xml:space="preserve"> 13-64-202(7), C.R.S.</w:t>
      </w:r>
      <w:r w:rsidR="00456F47">
        <w:rPr>
          <w:rFonts w:eastAsia="Times New Roman"/>
          <w:sz w:val="24"/>
          <w:szCs w:val="24"/>
        </w:rPr>
        <w:t xml:space="preserve"> (defining “present value”</w:t>
      </w:r>
      <w:r w:rsidR="00C63E45">
        <w:rPr>
          <w:rFonts w:eastAsia="Times New Roman"/>
          <w:sz w:val="24"/>
          <w:szCs w:val="24"/>
        </w:rPr>
        <w:t xml:space="preserve"> applicable</w:t>
      </w:r>
      <w:r w:rsidRPr="00731AFC">
        <w:rPr>
          <w:rFonts w:eastAsia="Times New Roman"/>
          <w:sz w:val="24"/>
          <w:szCs w:val="24"/>
        </w:rPr>
        <w:t xml:space="preserve"> when </w:t>
      </w:r>
      <w:r w:rsidR="00C63E45">
        <w:rPr>
          <w:rFonts w:eastAsia="Times New Roman"/>
          <w:sz w:val="24"/>
          <w:szCs w:val="24"/>
        </w:rPr>
        <w:t xml:space="preserve">jury </w:t>
      </w:r>
      <w:r w:rsidRPr="00731AFC">
        <w:rPr>
          <w:rFonts w:eastAsia="Times New Roman"/>
          <w:sz w:val="24"/>
          <w:szCs w:val="24"/>
        </w:rPr>
        <w:t>determin</w:t>
      </w:r>
      <w:r w:rsidR="00C63E45">
        <w:rPr>
          <w:rFonts w:eastAsia="Times New Roman"/>
          <w:sz w:val="24"/>
          <w:szCs w:val="24"/>
        </w:rPr>
        <w:t>es</w:t>
      </w:r>
      <w:r w:rsidRPr="00731AFC">
        <w:rPr>
          <w:rFonts w:eastAsia="Times New Roman"/>
          <w:sz w:val="24"/>
          <w:szCs w:val="24"/>
        </w:rPr>
        <w:t xml:space="preserve"> future damages under </w:t>
      </w:r>
      <w:r w:rsidR="00456F47">
        <w:rPr>
          <w:rFonts w:eastAsia="Times New Roman"/>
          <w:sz w:val="24"/>
          <w:szCs w:val="24"/>
        </w:rPr>
        <w:t>section</w:t>
      </w:r>
      <w:r w:rsidRPr="00731AFC">
        <w:rPr>
          <w:rFonts w:eastAsia="Times New Roman"/>
          <w:sz w:val="24"/>
          <w:szCs w:val="24"/>
        </w:rPr>
        <w:t xml:space="preserve"> 13-64-205(1)(d), C.R.S.</w:t>
      </w:r>
      <w:r w:rsidR="00C63E45">
        <w:rPr>
          <w:rFonts w:eastAsia="Times New Roman"/>
          <w:sz w:val="24"/>
          <w:szCs w:val="24"/>
        </w:rPr>
        <w:t>).</w:t>
      </w:r>
      <w:r w:rsidRPr="00731AFC">
        <w:rPr>
          <w:rFonts w:eastAsia="Times New Roman"/>
          <w:sz w:val="24"/>
          <w:szCs w:val="24"/>
        </w:rPr>
        <w:t xml:space="preserve"> </w:t>
      </w:r>
      <w:r w:rsidRPr="00731AFC">
        <w:rPr>
          <w:rFonts w:eastAsia="Times New Roman"/>
          <w:i/>
          <w:sz w:val="24"/>
          <w:szCs w:val="24"/>
        </w:rPr>
        <w:t>See</w:t>
      </w:r>
      <w:r w:rsidRPr="00731AFC">
        <w:rPr>
          <w:rFonts w:eastAsia="Times New Roman"/>
          <w:sz w:val="24"/>
          <w:szCs w:val="24"/>
        </w:rPr>
        <w:t xml:space="preserve"> </w:t>
      </w:r>
      <w:r w:rsidR="00C63E45" w:rsidRPr="00731AFC">
        <w:rPr>
          <w:rFonts w:eastAsia="Times New Roman"/>
          <w:b/>
          <w:sz w:val="24"/>
          <w:szCs w:val="24"/>
        </w:rPr>
        <w:t>Garhart v. Columbia/HealthONE, L.L.C.</w:t>
      </w:r>
      <w:r w:rsidR="00C63E45" w:rsidRPr="00731AFC">
        <w:rPr>
          <w:rFonts w:eastAsia="Times New Roman"/>
          <w:sz w:val="24"/>
          <w:szCs w:val="24"/>
        </w:rPr>
        <w:t>, 168 P.3d 512 (</w:t>
      </w:r>
      <w:r w:rsidR="00C63E45">
        <w:rPr>
          <w:rFonts w:eastAsia="Times New Roman"/>
          <w:sz w:val="24"/>
          <w:szCs w:val="24"/>
        </w:rPr>
        <w:t>Colo. App.</w:t>
      </w:r>
      <w:r w:rsidR="00C63E45" w:rsidRPr="00731AFC">
        <w:rPr>
          <w:rFonts w:eastAsia="Times New Roman"/>
          <w:sz w:val="24"/>
          <w:szCs w:val="24"/>
        </w:rPr>
        <w:t xml:space="preserve"> 2007)</w:t>
      </w:r>
      <w:r w:rsidR="00C63E45">
        <w:rPr>
          <w:rFonts w:eastAsia="Times New Roman"/>
          <w:sz w:val="24"/>
          <w:szCs w:val="24"/>
        </w:rPr>
        <w:t>;</w:t>
      </w:r>
      <w:r w:rsidR="00C63E45" w:rsidRPr="00731AFC">
        <w:rPr>
          <w:rFonts w:eastAsia="Times New Roman"/>
          <w:sz w:val="24"/>
          <w:szCs w:val="24"/>
        </w:rPr>
        <w:t xml:space="preserve"> </w:t>
      </w:r>
      <w:r w:rsidRPr="00731AFC">
        <w:rPr>
          <w:rFonts w:eastAsia="Times New Roman"/>
          <w:b/>
          <w:sz w:val="24"/>
          <w:szCs w:val="24"/>
        </w:rPr>
        <w:t>Dupont v. Preston</w:t>
      </w:r>
      <w:r w:rsidRPr="00731AFC">
        <w:rPr>
          <w:rFonts w:eastAsia="Times New Roman"/>
          <w:sz w:val="24"/>
          <w:szCs w:val="24"/>
        </w:rPr>
        <w:t>, 9 P.3d 1193 (</w:t>
      </w:r>
      <w:r w:rsidR="00735ECD">
        <w:rPr>
          <w:rFonts w:eastAsia="Times New Roman"/>
          <w:sz w:val="24"/>
          <w:szCs w:val="24"/>
        </w:rPr>
        <w:t>Colo. App.</w:t>
      </w:r>
      <w:r w:rsidRPr="00731AFC">
        <w:rPr>
          <w:rFonts w:eastAsia="Times New Roman"/>
          <w:sz w:val="24"/>
          <w:szCs w:val="24"/>
        </w:rPr>
        <w:t xml:space="preserve"> 2000)</w:t>
      </w:r>
      <w:r w:rsidR="00C63E45">
        <w:rPr>
          <w:rFonts w:eastAsia="Times New Roman"/>
          <w:sz w:val="24"/>
          <w:szCs w:val="24"/>
        </w:rPr>
        <w:t xml:space="preserve"> </w:t>
      </w:r>
      <w:r w:rsidR="00C63E45" w:rsidRPr="00731AFC">
        <w:rPr>
          <w:rFonts w:eastAsia="Times New Roman"/>
          <w:sz w:val="24"/>
          <w:szCs w:val="24"/>
        </w:rPr>
        <w:t>(</w:t>
      </w:r>
      <w:r w:rsidR="00C63E45">
        <w:rPr>
          <w:rFonts w:eastAsia="Times New Roman"/>
          <w:sz w:val="24"/>
          <w:szCs w:val="24"/>
        </w:rPr>
        <w:t>section</w:t>
      </w:r>
      <w:r w:rsidR="00C63E45" w:rsidRPr="00731AFC">
        <w:rPr>
          <w:rFonts w:eastAsia="Times New Roman"/>
          <w:sz w:val="24"/>
          <w:szCs w:val="24"/>
        </w:rPr>
        <w:t xml:space="preserve"> 13-64-205(1)(d) mandates that all future damages be discounted to present value)</w:t>
      </w:r>
      <w:r w:rsidRPr="00731AFC">
        <w:rPr>
          <w:rFonts w:eastAsia="Times New Roman"/>
          <w:sz w:val="24"/>
          <w:szCs w:val="24"/>
        </w:rPr>
        <w:t xml:space="preserve">, </w:t>
      </w:r>
      <w:r w:rsidRPr="00731AFC">
        <w:rPr>
          <w:rFonts w:eastAsia="Times New Roman"/>
          <w:i/>
          <w:sz w:val="24"/>
          <w:szCs w:val="24"/>
        </w:rPr>
        <w:t>aff’d on other grounds</w:t>
      </w:r>
      <w:r w:rsidRPr="00731AFC">
        <w:rPr>
          <w:rFonts w:eastAsia="Times New Roman"/>
          <w:sz w:val="24"/>
          <w:szCs w:val="24"/>
        </w:rPr>
        <w:t>, 35 P.3d 433 (Colo. 2001)</w:t>
      </w:r>
      <w:r w:rsidR="00C63E45">
        <w:rPr>
          <w:rFonts w:eastAsia="Times New Roman"/>
          <w:sz w:val="24"/>
          <w:szCs w:val="24"/>
        </w:rPr>
        <w:t xml:space="preserve">. </w:t>
      </w:r>
      <w:r w:rsidRPr="00731AFC">
        <w:rPr>
          <w:rFonts w:eastAsia="Times New Roman"/>
          <w:sz w:val="24"/>
          <w:szCs w:val="24"/>
        </w:rPr>
        <w:t xml:space="preserve">In </w:t>
      </w:r>
      <w:r w:rsidRPr="00731AFC">
        <w:rPr>
          <w:rFonts w:eastAsia="Times New Roman"/>
          <w:b/>
          <w:sz w:val="24"/>
          <w:szCs w:val="24"/>
        </w:rPr>
        <w:t>Garhart</w:t>
      </w:r>
      <w:r w:rsidRPr="00731AFC">
        <w:rPr>
          <w:rFonts w:eastAsia="Times New Roman"/>
          <w:sz w:val="24"/>
          <w:szCs w:val="24"/>
        </w:rPr>
        <w:t xml:space="preserve">, </w:t>
      </w:r>
      <w:r w:rsidR="00C63E45">
        <w:rPr>
          <w:rFonts w:eastAsia="Times New Roman"/>
          <w:sz w:val="24"/>
          <w:szCs w:val="24"/>
        </w:rPr>
        <w:t xml:space="preserve">168 P.3d at 517-18, </w:t>
      </w:r>
      <w:r w:rsidRPr="00731AFC">
        <w:rPr>
          <w:rFonts w:eastAsia="Times New Roman"/>
          <w:sz w:val="24"/>
          <w:szCs w:val="24"/>
        </w:rPr>
        <w:t xml:space="preserve">the court upheld an order requiring the future payments to be funded with the full amount of the jury’s calculation of the present value, and not with an annuity in a lesser amount that defendant’s expert projected would pay out plaintiff’s gross future damages. </w:t>
      </w:r>
      <w:r w:rsidRPr="00731AFC">
        <w:rPr>
          <w:rFonts w:eastAsia="Times New Roman"/>
          <w:i/>
          <w:sz w:val="24"/>
          <w:szCs w:val="24"/>
        </w:rPr>
        <w:t>See also</w:t>
      </w:r>
      <w:r w:rsidRPr="00731AFC">
        <w:rPr>
          <w:rFonts w:eastAsia="Times New Roman"/>
          <w:sz w:val="24"/>
          <w:szCs w:val="24"/>
        </w:rPr>
        <w:t xml:space="preserve"> </w:t>
      </w:r>
      <w:r w:rsidRPr="00731AFC">
        <w:rPr>
          <w:rFonts w:eastAsia="Times New Roman"/>
          <w:b/>
          <w:sz w:val="24"/>
          <w:szCs w:val="24"/>
        </w:rPr>
        <w:t>Brady v. Burlington N.</w:t>
      </w:r>
      <w:r w:rsidR="00C63E45">
        <w:rPr>
          <w:rFonts w:eastAsia="Times New Roman"/>
          <w:b/>
          <w:sz w:val="24"/>
          <w:szCs w:val="24"/>
        </w:rPr>
        <w:t xml:space="preserve"> </w:t>
      </w:r>
      <w:r w:rsidRPr="00731AFC">
        <w:rPr>
          <w:rFonts w:eastAsia="Times New Roman"/>
          <w:b/>
          <w:sz w:val="24"/>
          <w:szCs w:val="24"/>
        </w:rPr>
        <w:t>R.R.</w:t>
      </w:r>
      <w:r w:rsidRPr="00731AFC">
        <w:rPr>
          <w:rFonts w:eastAsia="Times New Roman"/>
          <w:sz w:val="24"/>
          <w:szCs w:val="24"/>
        </w:rPr>
        <w:t>, 752 P.2d 592 (</w:t>
      </w:r>
      <w:r w:rsidR="00735ECD">
        <w:rPr>
          <w:rFonts w:eastAsia="Times New Roman"/>
          <w:sz w:val="24"/>
          <w:szCs w:val="24"/>
        </w:rPr>
        <w:t>Colo. App.</w:t>
      </w:r>
      <w:r w:rsidRPr="00731AFC">
        <w:rPr>
          <w:rFonts w:eastAsia="Times New Roman"/>
          <w:sz w:val="24"/>
          <w:szCs w:val="24"/>
        </w:rPr>
        <w:t xml:space="preserve"> 1988) (discussing the various methods of calculating present value in the context of a FELA case, and recognizing the propriety of including an adjustment for inflation when determining total future damages, if there is sufficient evidence of an appropriate inflation rate). Expert testimony is not required to determine present value. </w:t>
      </w:r>
      <w:r w:rsidRPr="00731AFC">
        <w:rPr>
          <w:rFonts w:eastAsia="Times New Roman"/>
          <w:b/>
          <w:sz w:val="24"/>
          <w:szCs w:val="24"/>
        </w:rPr>
        <w:t>Dupont</w:t>
      </w:r>
      <w:r w:rsidRPr="00731AFC">
        <w:rPr>
          <w:rFonts w:eastAsia="Times New Roman"/>
          <w:sz w:val="24"/>
          <w:szCs w:val="24"/>
        </w:rPr>
        <w:t xml:space="preserve">, 9 P.3d </w:t>
      </w:r>
      <w:r w:rsidR="00C63E45">
        <w:rPr>
          <w:rFonts w:eastAsia="Times New Roman"/>
          <w:sz w:val="24"/>
          <w:szCs w:val="24"/>
        </w:rPr>
        <w:t>at 1200</w:t>
      </w:r>
      <w:r w:rsidRPr="00731AFC">
        <w:rPr>
          <w:rFonts w:eastAsia="Times New Roman"/>
          <w:sz w:val="24"/>
          <w:szCs w:val="24"/>
        </w:rPr>
        <w:t>.</w:t>
      </w:r>
    </w:p>
    <w:p w14:paraId="183DC473" w14:textId="1F186C0B" w:rsidR="007B6141" w:rsidRDefault="00731AFC" w:rsidP="007B6141">
      <w:pPr>
        <w:spacing w:after="240"/>
        <w:ind w:firstLine="720"/>
      </w:pPr>
      <w:r w:rsidRPr="00731AFC">
        <w:rPr>
          <w:rFonts w:eastAsia="Times New Roman"/>
          <w:sz w:val="24"/>
          <w:szCs w:val="24"/>
        </w:rPr>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lump-sum amount in lieu of periodic payments” under certain circumstances outlined in </w:t>
      </w:r>
      <w:r w:rsidR="00975FB9">
        <w:rPr>
          <w:rFonts w:eastAsia="Times New Roman"/>
          <w:sz w:val="24"/>
          <w:szCs w:val="24"/>
        </w:rPr>
        <w:t>section</w:t>
      </w:r>
      <w:r w:rsidRPr="00731AFC">
        <w:rPr>
          <w:rFonts w:eastAsia="Times New Roman"/>
          <w:sz w:val="24"/>
          <w:szCs w:val="24"/>
        </w:rPr>
        <w:t xml:space="preserve"> 13-64-205(1)(f), C.R.S. </w:t>
      </w:r>
      <w:r w:rsidRPr="00731AFC">
        <w:rPr>
          <w:rFonts w:eastAsia="Times New Roman"/>
          <w:i/>
          <w:sz w:val="24"/>
          <w:szCs w:val="24"/>
        </w:rPr>
        <w:t>See also</w:t>
      </w:r>
      <w:r w:rsidRPr="00731AFC">
        <w:rPr>
          <w:rFonts w:eastAsia="Times New Roman"/>
          <w:sz w:val="24"/>
          <w:szCs w:val="24"/>
        </w:rPr>
        <w:t xml:space="preserve"> </w:t>
      </w:r>
      <w:r w:rsidRPr="00731AFC">
        <w:rPr>
          <w:rFonts w:eastAsia="Times New Roman"/>
          <w:b/>
          <w:sz w:val="24"/>
          <w:szCs w:val="24"/>
        </w:rPr>
        <w:t>Vitetta v. Corrigan</w:t>
      </w:r>
      <w:r w:rsidRPr="00731AFC">
        <w:rPr>
          <w:rFonts w:eastAsia="Times New Roman"/>
          <w:sz w:val="24"/>
          <w:szCs w:val="24"/>
        </w:rPr>
        <w:t>, 240 P.3d 322 (</w:t>
      </w:r>
      <w:r w:rsidR="00735ECD">
        <w:rPr>
          <w:rFonts w:eastAsia="Times New Roman"/>
          <w:sz w:val="24"/>
          <w:szCs w:val="24"/>
        </w:rPr>
        <w:t>Colo. App.</w:t>
      </w:r>
      <w:r w:rsidRPr="00731AFC">
        <w:rPr>
          <w:rFonts w:eastAsia="Times New Roman"/>
          <w:sz w:val="24"/>
          <w:szCs w:val="24"/>
        </w:rPr>
        <w:t xml:space="preserve"> 2009).</w:t>
      </w:r>
      <w:r w:rsidR="007B6141">
        <w:br w:type="page"/>
      </w:r>
    </w:p>
    <w:p w14:paraId="14A6280D" w14:textId="77777777" w:rsidR="007B6141" w:rsidRPr="009E3DA4" w:rsidRDefault="00CB7FAF" w:rsidP="007B6141">
      <w:pPr>
        <w:spacing w:after="240"/>
        <w:ind w:left="720" w:hanging="720"/>
        <w:rPr>
          <w:rFonts w:eastAsia="Times New Roman"/>
          <w:b/>
          <w:sz w:val="24"/>
          <w:szCs w:val="24"/>
        </w:rPr>
      </w:pPr>
      <w:bookmarkStart w:id="17" w:name="a15_17"/>
      <w:bookmarkEnd w:id="17"/>
      <w:r w:rsidRPr="00CB7FAF">
        <w:rPr>
          <w:rFonts w:eastAsia="Times New Roman"/>
          <w:b/>
          <w:sz w:val="24"/>
          <w:szCs w:val="24"/>
        </w:rPr>
        <w:lastRenderedPageBreak/>
        <w:t xml:space="preserve">15:17 </w:t>
      </w:r>
      <w:r w:rsidRPr="00CB7FAF">
        <w:rPr>
          <w:rFonts w:eastAsia="Times New Roman"/>
          <w:b/>
          <w:sz w:val="24"/>
          <w:szCs w:val="24"/>
        </w:rPr>
        <w:tab/>
        <w:t>DETERMINING LIFELONG FUTURE DAMAGES — SHORTENED LIFE EXPECTANCY</w:t>
      </w:r>
    </w:p>
    <w:p w14:paraId="455B3E02"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 xml:space="preserve">If you determine that the plaintiff’s, </w:t>
      </w:r>
      <w:r w:rsidRPr="00CB7FAF">
        <w:rPr>
          <w:rFonts w:eastAsia="Times New Roman"/>
          <w:i/>
          <w:sz w:val="24"/>
          <w:szCs w:val="24"/>
        </w:rPr>
        <w:t>(name’s)</w:t>
      </w:r>
      <w:r w:rsidRPr="00CB7FAF">
        <w:rPr>
          <w:rFonts w:eastAsia="Times New Roman"/>
          <w:b/>
          <w:sz w:val="24"/>
          <w:szCs w:val="24"/>
        </w:rPr>
        <w:t xml:space="preserve">, life expectancy has been shortened because of the negligence or fault, if any, of (one or more of) the defendant(s), </w:t>
      </w:r>
      <w:r w:rsidRPr="00CB7FAF">
        <w:rPr>
          <w:rFonts w:eastAsia="Times New Roman"/>
          <w:i/>
          <w:sz w:val="24"/>
          <w:szCs w:val="24"/>
        </w:rPr>
        <w:t>(name[s])</w:t>
      </w:r>
      <w:r w:rsidRPr="00CB7FAF">
        <w:rPr>
          <w:rFonts w:eastAsia="Times New Roman"/>
          <w:b/>
          <w:sz w:val="24"/>
          <w:szCs w:val="24"/>
        </w:rPr>
        <w:t>, and that the plaintiff will probably have future damages in any one or more of the categories set out in Question 11 of Special Verdict Form B, and that those damages will probably continue until the end of (his) (her) life, then in determining the amount of damages in any category, you must apply the following rule(s):</w:t>
      </w:r>
    </w:p>
    <w:p w14:paraId="5866B0E9"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(1. Any damages for lost earnings or earning capacity are to be calculated on the basis of what the plaintiff would or could probably have earned had [he] [she] not been injured by the negligence or fault of [one or more of] the defendant[s]); (and)</w:t>
      </w:r>
    </w:p>
    <w:p w14:paraId="769DC0D8"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(2. Any damages for [medical and other health care expenses] [or] [other economic losses than medical and health care expenses] [or] [any noneconomic losses] are to be calculated on the basis of what the plaintiff’s shortened life expectancy is now).</w:t>
      </w:r>
    </w:p>
    <w:p w14:paraId="1CFC1562" w14:textId="77777777" w:rsidR="007B6141" w:rsidRDefault="007B6141" w:rsidP="007B6141">
      <w:pPr>
        <w:jc w:val="center"/>
        <w:rPr>
          <w:rFonts w:eastAsia="Times New Roman"/>
          <w:sz w:val="24"/>
          <w:szCs w:val="24"/>
        </w:rPr>
      </w:pPr>
    </w:p>
    <w:p w14:paraId="0DCD0E45" w14:textId="77777777" w:rsidR="007B6141" w:rsidRPr="0054263B" w:rsidRDefault="007B6141" w:rsidP="007B6141">
      <w:pPr>
        <w:keepNext/>
        <w:spacing w:after="240"/>
        <w:jc w:val="center"/>
        <w:rPr>
          <w:rFonts w:eastAsia="Times New Roman"/>
          <w:b/>
          <w:sz w:val="24"/>
          <w:szCs w:val="24"/>
        </w:rPr>
      </w:pPr>
      <w:r w:rsidRPr="0054263B">
        <w:rPr>
          <w:rFonts w:eastAsia="Times New Roman"/>
          <w:b/>
          <w:sz w:val="24"/>
          <w:szCs w:val="24"/>
        </w:rPr>
        <w:t>Notes on Use</w:t>
      </w:r>
    </w:p>
    <w:p w14:paraId="0EA9335A"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2. If there is sufficient evidence that the tort involved is other than malpractice in the form of a professional negligence, e.g., battery, this instruction must be appropriately modified.</w:t>
      </w:r>
    </w:p>
    <w:p w14:paraId="53648B91" w14:textId="77777777" w:rsidR="007B6141" w:rsidRPr="0054263B" w:rsidRDefault="007B6141" w:rsidP="007B6141">
      <w:pPr>
        <w:keepNext/>
        <w:spacing w:after="240"/>
        <w:jc w:val="center"/>
        <w:rPr>
          <w:rFonts w:eastAsia="Times New Roman"/>
          <w:b/>
          <w:sz w:val="24"/>
          <w:szCs w:val="24"/>
        </w:rPr>
      </w:pPr>
      <w:r>
        <w:rPr>
          <w:rFonts w:eastAsia="Times New Roman"/>
          <w:b/>
          <w:sz w:val="24"/>
          <w:szCs w:val="24"/>
        </w:rPr>
        <w:t>Source and Authority</w:t>
      </w:r>
    </w:p>
    <w:p w14:paraId="534B1935" w14:textId="001004D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This instruction </w:t>
      </w:r>
      <w:r w:rsidR="00975FB9">
        <w:rPr>
          <w:rFonts w:eastAsia="Times New Roman"/>
          <w:sz w:val="24"/>
          <w:szCs w:val="24"/>
        </w:rPr>
        <w:t>is supported by</w:t>
      </w:r>
      <w:r w:rsidRPr="00CB7FAF">
        <w:rPr>
          <w:rFonts w:eastAsia="Times New Roman"/>
          <w:sz w:val="24"/>
          <w:szCs w:val="24"/>
        </w:rPr>
        <w:t xml:space="preserve"> </w:t>
      </w:r>
      <w:r w:rsidR="00975FB9">
        <w:rPr>
          <w:rFonts w:eastAsia="Times New Roman"/>
          <w:sz w:val="24"/>
          <w:szCs w:val="24"/>
        </w:rPr>
        <w:t>section</w:t>
      </w:r>
      <w:r w:rsidRPr="00CB7FAF">
        <w:rPr>
          <w:rFonts w:eastAsia="Times New Roman"/>
          <w:sz w:val="24"/>
          <w:szCs w:val="24"/>
        </w:rPr>
        <w:t xml:space="preserve"> 13-64-204(2), C.R.S</w:t>
      </w:r>
      <w:r w:rsidR="00975FB9">
        <w:rPr>
          <w:rFonts w:eastAsia="Times New Roman"/>
          <w:sz w:val="24"/>
          <w:szCs w:val="24"/>
        </w:rPr>
        <w:t xml:space="preserve"> (setting out life expectancy rules)</w:t>
      </w:r>
      <w:r w:rsidRPr="00CB7FAF">
        <w:rPr>
          <w:rFonts w:eastAsia="Times New Roman"/>
          <w:sz w:val="24"/>
          <w:szCs w:val="24"/>
        </w:rPr>
        <w:t>.</w:t>
      </w:r>
    </w:p>
    <w:p w14:paraId="0312F6CD" w14:textId="77777777" w:rsidR="00CB7FAF" w:rsidRDefault="00CB7FAF">
      <w:pPr>
        <w:rPr>
          <w:rFonts w:eastAsia="Times New Roman"/>
          <w:sz w:val="24"/>
          <w:szCs w:val="24"/>
        </w:rPr>
      </w:pPr>
      <w:r>
        <w:rPr>
          <w:rFonts w:eastAsia="Times New Roman"/>
          <w:sz w:val="24"/>
          <w:szCs w:val="24"/>
        </w:rPr>
        <w:br w:type="page"/>
      </w:r>
    </w:p>
    <w:p w14:paraId="0992C335" w14:textId="77777777" w:rsidR="00CB7FAF" w:rsidRDefault="00CB7FAF" w:rsidP="00CB7FAF">
      <w:pPr>
        <w:spacing w:after="240"/>
        <w:jc w:val="center"/>
        <w:rPr>
          <w:rFonts w:eastAsia="Times New Roman"/>
          <w:b/>
          <w:sz w:val="24"/>
          <w:szCs w:val="24"/>
        </w:rPr>
      </w:pPr>
      <w:r w:rsidRPr="00CB7FAF">
        <w:rPr>
          <w:rFonts w:eastAsia="Times New Roman"/>
          <w:b/>
          <w:sz w:val="24"/>
          <w:szCs w:val="24"/>
        </w:rPr>
        <w:lastRenderedPageBreak/>
        <w:t>II. ATTORNEYS — MALPRACTICE</w:t>
      </w:r>
    </w:p>
    <w:p w14:paraId="5E578C97" w14:textId="77777777" w:rsidR="00CB7FAF" w:rsidRPr="009E3DA4" w:rsidRDefault="00CB7FAF" w:rsidP="00CB7FAF">
      <w:pPr>
        <w:spacing w:after="240"/>
        <w:ind w:left="720" w:hanging="720"/>
        <w:rPr>
          <w:rFonts w:eastAsia="Times New Roman"/>
          <w:b/>
          <w:sz w:val="24"/>
          <w:szCs w:val="24"/>
        </w:rPr>
      </w:pPr>
      <w:bookmarkStart w:id="18" w:name="a15_18"/>
      <w:bookmarkEnd w:id="18"/>
      <w:r w:rsidRPr="00CB7FAF">
        <w:rPr>
          <w:rFonts w:eastAsia="Times New Roman"/>
          <w:b/>
          <w:sz w:val="24"/>
          <w:szCs w:val="24"/>
        </w:rPr>
        <w:t xml:space="preserve">15:18 </w:t>
      </w:r>
      <w:r w:rsidRPr="00CB7FAF">
        <w:rPr>
          <w:rFonts w:eastAsia="Times New Roman"/>
          <w:b/>
          <w:sz w:val="24"/>
          <w:szCs w:val="24"/>
        </w:rPr>
        <w:tab/>
        <w:t>ELEMENTS OF LIABILITY OF ATTORNEYS — NOT INVOLVING AN UNDERLYING CLAIM OR CASE</w:t>
      </w:r>
    </w:p>
    <w:p w14:paraId="5FB96080"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Use Instruction 9:1 or 9:22, whichever is appropriate in light of the evidence in the case.</w:t>
      </w:r>
    </w:p>
    <w:p w14:paraId="65B7EF61" w14:textId="77777777" w:rsidR="00CB7FAF" w:rsidRDefault="00CB7FAF" w:rsidP="00CB7FAF">
      <w:pPr>
        <w:jc w:val="center"/>
        <w:rPr>
          <w:rFonts w:eastAsia="Times New Roman"/>
          <w:sz w:val="24"/>
          <w:szCs w:val="24"/>
        </w:rPr>
      </w:pPr>
    </w:p>
    <w:p w14:paraId="5C67571F" w14:textId="77777777" w:rsidR="00CB7FAF" w:rsidRPr="0054263B" w:rsidRDefault="00CB7FAF" w:rsidP="00CB7FAF">
      <w:pPr>
        <w:keepNext/>
        <w:spacing w:after="240"/>
        <w:jc w:val="center"/>
        <w:rPr>
          <w:rFonts w:eastAsia="Times New Roman"/>
          <w:b/>
          <w:sz w:val="24"/>
          <w:szCs w:val="24"/>
        </w:rPr>
      </w:pPr>
      <w:r w:rsidRPr="0054263B">
        <w:rPr>
          <w:rFonts w:eastAsia="Times New Roman"/>
          <w:b/>
          <w:sz w:val="24"/>
          <w:szCs w:val="24"/>
        </w:rPr>
        <w:t>Notes on Use</w:t>
      </w:r>
    </w:p>
    <w:p w14:paraId="038615E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in light of the evidence in the case. </w:t>
      </w:r>
      <w:r w:rsidRPr="00CB7FAF">
        <w:rPr>
          <w:rFonts w:eastAsia="Times New Roman"/>
          <w:i/>
          <w:sz w:val="24"/>
          <w:szCs w:val="24"/>
        </w:rPr>
        <w:t>See</w:t>
      </w:r>
      <w:r w:rsidRPr="00CB7FAF">
        <w:rPr>
          <w:rFonts w:eastAsia="Times New Roman"/>
          <w:sz w:val="24"/>
          <w:szCs w:val="24"/>
        </w:rPr>
        <w:t xml:space="preserve"> </w:t>
      </w:r>
      <w:r w:rsidRPr="00CB7FAF">
        <w:rPr>
          <w:rFonts w:eastAsia="Times New Roman"/>
          <w:b/>
          <w:sz w:val="24"/>
          <w:szCs w:val="24"/>
        </w:rPr>
        <w:t>Rantz v. Kaufman</w:t>
      </w:r>
      <w:r w:rsidRPr="00CB7FAF">
        <w:rPr>
          <w:rFonts w:eastAsia="Times New Roman"/>
          <w:sz w:val="24"/>
          <w:szCs w:val="24"/>
        </w:rPr>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rFonts w:eastAsia="Times New Roman"/>
          <w:b/>
          <w:sz w:val="24"/>
          <w:szCs w:val="24"/>
        </w:rPr>
        <w:t>Stone v. Satriana</w:t>
      </w:r>
      <w:r w:rsidRPr="00CB7FAF">
        <w:rPr>
          <w:rFonts w:eastAsia="Times New Roman"/>
          <w:sz w:val="24"/>
          <w:szCs w:val="24"/>
        </w:rPr>
        <w:t xml:space="preserve">, 41 P.3d 705 (Colo. 2002) (same); </w:t>
      </w:r>
      <w:r w:rsidRPr="00CB7FAF">
        <w:rPr>
          <w:rFonts w:eastAsia="Times New Roman"/>
          <w:b/>
          <w:sz w:val="24"/>
          <w:szCs w:val="24"/>
        </w:rPr>
        <w:t>Boulders at Escalante LLC v. Otten Johnson Robinson Neff &amp; Ragonetti PC</w:t>
      </w:r>
      <w:r w:rsidRPr="00CB7FAF">
        <w:rPr>
          <w:rFonts w:eastAsia="Times New Roman"/>
          <w:sz w:val="24"/>
          <w:szCs w:val="24"/>
        </w:rPr>
        <w:t>, 2015 COA 85, ¶ 27</w:t>
      </w:r>
      <w:r w:rsidR="0061116A">
        <w:rPr>
          <w:rFonts w:eastAsia="Times New Roman"/>
          <w:sz w:val="24"/>
          <w:szCs w:val="24"/>
        </w:rPr>
        <w:t>, 412 P.3d 751</w:t>
      </w:r>
      <w:r w:rsidRPr="00CB7FAF">
        <w:rPr>
          <w:rFonts w:eastAsia="Times New Roman"/>
          <w:sz w:val="24"/>
          <w:szCs w:val="24"/>
        </w:rPr>
        <w:t xml:space="preserve"> (same); </w:t>
      </w:r>
      <w:r w:rsidRPr="00CB7FAF">
        <w:rPr>
          <w:rFonts w:eastAsia="Times New Roman"/>
          <w:b/>
          <w:sz w:val="24"/>
          <w:szCs w:val="24"/>
        </w:rPr>
        <w:t>Schultz v. Stanton</w:t>
      </w:r>
      <w:r w:rsidRPr="00CB7FAF">
        <w:rPr>
          <w:rFonts w:eastAsia="Times New Roman"/>
          <w:sz w:val="24"/>
          <w:szCs w:val="24"/>
        </w:rPr>
        <w:t>, 198 P.3d 1253 (Colo. App. 2009</w:t>
      </w:r>
      <w:r w:rsidRPr="00CB7FAF">
        <w:rPr>
          <w:rFonts w:eastAsia="Times New Roman"/>
          <w:i/>
          <w:sz w:val="24"/>
          <w:szCs w:val="24"/>
        </w:rPr>
        <w:t>)</w:t>
      </w:r>
      <w:r w:rsidRPr="00CB7FAF">
        <w:rPr>
          <w:rFonts w:eastAsia="Times New Roman"/>
          <w:sz w:val="24"/>
          <w:szCs w:val="24"/>
        </w:rPr>
        <w:t xml:space="preserve"> (same), </w:t>
      </w:r>
      <w:r w:rsidRPr="00CB7FAF">
        <w:rPr>
          <w:rFonts w:eastAsia="Times New Roman"/>
          <w:i/>
          <w:sz w:val="24"/>
          <w:szCs w:val="24"/>
        </w:rPr>
        <w:t>aff’d on other grounds</w:t>
      </w:r>
      <w:r w:rsidRPr="00CB7FAF">
        <w:rPr>
          <w:rFonts w:eastAsia="Times New Roman"/>
          <w:sz w:val="24"/>
          <w:szCs w:val="24"/>
        </w:rPr>
        <w:t>, 222 P.3d 303 (Colo. 2010);</w:t>
      </w:r>
      <w:r w:rsidRPr="00CB7FAF">
        <w:rPr>
          <w:rFonts w:eastAsia="Times New Roman"/>
          <w:b/>
          <w:sz w:val="24"/>
          <w:szCs w:val="24"/>
        </w:rPr>
        <w:t xml:space="preserve"> Luttgen v. Fischer</w:t>
      </w:r>
      <w:r w:rsidRPr="00CB7FAF">
        <w:rPr>
          <w:rFonts w:eastAsia="Times New Roman"/>
          <w:sz w:val="24"/>
          <w:szCs w:val="24"/>
        </w:rPr>
        <w:t xml:space="preserve">, 107 P.3d 1152 (Colo. App. 2005) (same). For a discussion as to the distinctions between legal malpractice claims based on (1) breach of contract, (2) breach of fiduciary duty, and (3) negligence, see </w:t>
      </w:r>
      <w:r w:rsidRPr="00CB7FAF">
        <w:rPr>
          <w:rFonts w:eastAsia="Times New Roman"/>
          <w:b/>
          <w:sz w:val="24"/>
          <w:szCs w:val="24"/>
        </w:rPr>
        <w:t>General Steel Domestic Sales, LLC v. Hogan &amp; Hartson, LLP</w:t>
      </w:r>
      <w:r w:rsidRPr="00CB7FAF">
        <w:rPr>
          <w:rFonts w:eastAsia="Times New Roman"/>
          <w:sz w:val="24"/>
          <w:szCs w:val="24"/>
        </w:rPr>
        <w:t xml:space="preserve">, 230 P.3d 1275 (Colo. App. 2010) (discussing contract and negligence claims); </w:t>
      </w:r>
      <w:r w:rsidRPr="00CB7FAF">
        <w:rPr>
          <w:rFonts w:eastAsia="Times New Roman"/>
          <w:b/>
          <w:sz w:val="24"/>
          <w:szCs w:val="24"/>
        </w:rPr>
        <w:t>Aller v. Law Office of Carole C. Schriefer, P.C.</w:t>
      </w:r>
      <w:r w:rsidRPr="00CB7FAF">
        <w:rPr>
          <w:rFonts w:eastAsia="Times New Roman"/>
          <w:sz w:val="24"/>
          <w:szCs w:val="24"/>
        </w:rPr>
        <w:t xml:space="preserve">, 140 P.3d 23 (Colo. App. 2005) (discussing latter two claims); </w:t>
      </w:r>
      <w:r w:rsidRPr="00CB7FAF">
        <w:rPr>
          <w:rFonts w:eastAsia="Times New Roman"/>
          <w:b/>
          <w:sz w:val="24"/>
          <w:szCs w:val="24"/>
        </w:rPr>
        <w:t>Smith v. Mehaffy</w:t>
      </w:r>
      <w:r w:rsidRPr="00CB7FAF">
        <w:rPr>
          <w:rFonts w:eastAsia="Times New Roman"/>
          <w:sz w:val="24"/>
          <w:szCs w:val="24"/>
        </w:rPr>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rFonts w:eastAsia="Times New Roman"/>
          <w:i/>
          <w:sz w:val="24"/>
          <w:szCs w:val="24"/>
        </w:rPr>
        <w:t>see</w:t>
      </w:r>
      <w:r w:rsidRPr="00CB7FAF">
        <w:rPr>
          <w:rFonts w:eastAsia="Times New Roman"/>
          <w:sz w:val="24"/>
          <w:szCs w:val="24"/>
        </w:rPr>
        <w:t xml:space="preserve"> </w:t>
      </w:r>
      <w:r w:rsidRPr="00CB7FAF">
        <w:rPr>
          <w:rFonts w:eastAsia="Times New Roman"/>
          <w:b/>
          <w:sz w:val="24"/>
          <w:szCs w:val="24"/>
        </w:rPr>
        <w:t>Anstine v. Alexander</w:t>
      </w:r>
      <w:r w:rsidRPr="00CB7FAF">
        <w:rPr>
          <w:rFonts w:eastAsia="Times New Roman"/>
          <w:sz w:val="24"/>
          <w:szCs w:val="24"/>
        </w:rPr>
        <w:t>, 128 P.3d 249 (Colo. App. 2005),</w:t>
      </w:r>
      <w:r w:rsidRPr="00CB7FAF">
        <w:rPr>
          <w:rFonts w:eastAsia="Times New Roman"/>
          <w:i/>
          <w:sz w:val="24"/>
          <w:szCs w:val="24"/>
        </w:rPr>
        <w:t xml:space="preserve"> vacated in part and rev’d in part on other grounds</w:t>
      </w:r>
      <w:r w:rsidRPr="00CB7FAF">
        <w:rPr>
          <w:rFonts w:eastAsia="Times New Roman"/>
          <w:sz w:val="24"/>
          <w:szCs w:val="24"/>
        </w:rPr>
        <w:t>, 152 P.3d 497 (Colo. 2007); however, any precedential value of that discussion is questionable because the supreme court vacated that portion of the lower court opinion that addressed the latter claim.</w:t>
      </w:r>
    </w:p>
    <w:p w14:paraId="4A03305C"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 2. This instruction should not be used when the claim against the attorney involves the handling of an underlying matter that can be characterized as a “case within a case.” For such situations, Instructions 15:19 and 15:20 should be used.</w:t>
      </w:r>
    </w:p>
    <w:p w14:paraId="77631368" w14:textId="77777777" w:rsidR="00CB7FAF" w:rsidRPr="0054263B" w:rsidRDefault="00CB7FAF" w:rsidP="00CB7FAF">
      <w:pPr>
        <w:keepNext/>
        <w:spacing w:after="240"/>
        <w:jc w:val="center"/>
        <w:rPr>
          <w:rFonts w:eastAsia="Times New Roman"/>
          <w:b/>
          <w:sz w:val="24"/>
          <w:szCs w:val="24"/>
        </w:rPr>
      </w:pPr>
      <w:r>
        <w:rPr>
          <w:rFonts w:eastAsia="Times New Roman"/>
          <w:b/>
          <w:sz w:val="24"/>
          <w:szCs w:val="24"/>
        </w:rPr>
        <w:t>Source and Authority</w:t>
      </w:r>
    </w:p>
    <w:p w14:paraId="2EEC82C1"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1. Use of Instruction 9:1 or 9:22 is supported by </w:t>
      </w:r>
      <w:r w:rsidRPr="00CB7FAF">
        <w:rPr>
          <w:rFonts w:eastAsia="Times New Roman"/>
          <w:b/>
          <w:sz w:val="24"/>
          <w:szCs w:val="24"/>
        </w:rPr>
        <w:t>Fleming v. Lentz, Evans, &amp; King, P.C.</w:t>
      </w:r>
      <w:r w:rsidRPr="00CB7FAF">
        <w:rPr>
          <w:rFonts w:eastAsia="Times New Roman"/>
          <w:sz w:val="24"/>
          <w:szCs w:val="24"/>
        </w:rPr>
        <w:t xml:space="preserve">, 873 P.2d 38 (Colo. App. 1994); and </w:t>
      </w:r>
      <w:r w:rsidRPr="00CB7FAF">
        <w:rPr>
          <w:rFonts w:eastAsia="Times New Roman"/>
          <w:b/>
          <w:sz w:val="24"/>
          <w:szCs w:val="24"/>
        </w:rPr>
        <w:t>McCafferty v. Musat</w:t>
      </w:r>
      <w:r w:rsidRPr="00CB7FAF">
        <w:rPr>
          <w:rFonts w:eastAsia="Times New Roman"/>
          <w:sz w:val="24"/>
          <w:szCs w:val="24"/>
        </w:rPr>
        <w:t>, 817 P.2d 1039 (Colo. App. 1990).</w:t>
      </w:r>
    </w:p>
    <w:p w14:paraId="4260F743"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Standard of Care</w:t>
      </w:r>
    </w:p>
    <w:p w14:paraId="1CFA9451"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2. An attorney owes a client a duty to employ that degree of knowledge, skill, and judgment ordinarily possessed by members of the legal profession in representing the client. </w:t>
      </w:r>
      <w:r w:rsidRPr="00CB7FAF">
        <w:rPr>
          <w:rFonts w:eastAsia="Times New Roman"/>
          <w:b/>
          <w:sz w:val="24"/>
          <w:szCs w:val="24"/>
        </w:rPr>
        <w:lastRenderedPageBreak/>
        <w:t>Hopp &amp; Flesch, LLC v. Backstreet</w:t>
      </w:r>
      <w:r w:rsidRPr="00CB7FAF">
        <w:rPr>
          <w:rFonts w:eastAsia="Times New Roman"/>
          <w:sz w:val="24"/>
          <w:szCs w:val="24"/>
        </w:rPr>
        <w:t xml:space="preserve">, 123 P.3d 1176 (Colo. 2005); </w:t>
      </w:r>
      <w:r w:rsidRPr="00CB7FAF">
        <w:rPr>
          <w:rFonts w:eastAsia="Times New Roman"/>
          <w:b/>
          <w:sz w:val="24"/>
          <w:szCs w:val="24"/>
        </w:rPr>
        <w:t>Rantz</w:t>
      </w:r>
      <w:r w:rsidRPr="00CB7FAF">
        <w:rPr>
          <w:rFonts w:eastAsia="Times New Roman"/>
          <w:sz w:val="24"/>
          <w:szCs w:val="24"/>
        </w:rPr>
        <w:t xml:space="preserve">, 109 P.3d at 139; </w:t>
      </w:r>
      <w:r w:rsidRPr="00CB7FAF">
        <w:rPr>
          <w:rFonts w:eastAsia="Times New Roman"/>
          <w:b/>
          <w:sz w:val="24"/>
          <w:szCs w:val="24"/>
        </w:rPr>
        <w:t>Stone</w:t>
      </w:r>
      <w:r w:rsidRPr="00CB7FAF">
        <w:rPr>
          <w:rFonts w:eastAsia="Times New Roman"/>
          <w:sz w:val="24"/>
          <w:szCs w:val="24"/>
        </w:rPr>
        <w:t xml:space="preserve">, 41 P.3d at 712; </w:t>
      </w:r>
      <w:r w:rsidRPr="00CB7FAF">
        <w:rPr>
          <w:rFonts w:eastAsia="Times New Roman"/>
          <w:b/>
          <w:sz w:val="24"/>
          <w:szCs w:val="24"/>
        </w:rPr>
        <w:t>Bebo Constr. Co. v. Mattox &amp; O’Brien</w:t>
      </w:r>
      <w:r w:rsidRPr="00CB7FAF">
        <w:rPr>
          <w:rFonts w:eastAsia="Times New Roman"/>
          <w:sz w:val="24"/>
          <w:szCs w:val="24"/>
        </w:rPr>
        <w:t>,</w:t>
      </w:r>
      <w:r w:rsidRPr="00CB7FAF">
        <w:rPr>
          <w:rFonts w:eastAsia="Times New Roman"/>
          <w:b/>
          <w:sz w:val="24"/>
          <w:szCs w:val="24"/>
        </w:rPr>
        <w:t xml:space="preserve"> P.C.</w:t>
      </w:r>
      <w:r w:rsidRPr="00CB7FAF">
        <w:rPr>
          <w:rFonts w:eastAsia="Times New Roman"/>
          <w:sz w:val="24"/>
          <w:szCs w:val="24"/>
        </w:rPr>
        <w:t xml:space="preserve">, 990 P.2d 78 (Colo. 1999); </w:t>
      </w:r>
      <w:r w:rsidRPr="00CB7FAF">
        <w:rPr>
          <w:rFonts w:eastAsia="Times New Roman"/>
          <w:b/>
          <w:sz w:val="24"/>
          <w:szCs w:val="24"/>
        </w:rPr>
        <w:t>Anstine</w:t>
      </w:r>
      <w:r w:rsidRPr="00CB7FAF">
        <w:rPr>
          <w:rFonts w:eastAsia="Times New Roman"/>
          <w:sz w:val="24"/>
          <w:szCs w:val="24"/>
        </w:rPr>
        <w:t xml:space="preserve">, 128 P.3d at 255; </w:t>
      </w:r>
      <w:r w:rsidRPr="00CB7FAF">
        <w:rPr>
          <w:rFonts w:eastAsia="Times New Roman"/>
          <w:b/>
          <w:sz w:val="24"/>
          <w:szCs w:val="24"/>
        </w:rPr>
        <w:t>Boyd v. Garvert</w:t>
      </w:r>
      <w:r w:rsidRPr="00CB7FAF">
        <w:rPr>
          <w:rFonts w:eastAsia="Times New Roman"/>
          <w:sz w:val="24"/>
          <w:szCs w:val="24"/>
        </w:rPr>
        <w:t>, 9 P.3d 1161 (Colo. App. 2000).</w:t>
      </w:r>
    </w:p>
    <w:p w14:paraId="5418AC22"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Attorney-Client Relationship</w:t>
      </w:r>
    </w:p>
    <w:p w14:paraId="519083D8"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3. Generally, there can be no legal malpractice claim without an attorney-client relationship, </w:t>
      </w:r>
      <w:r w:rsidRPr="00CB7FAF">
        <w:rPr>
          <w:rFonts w:eastAsia="Times New Roman"/>
          <w:b/>
          <w:sz w:val="24"/>
          <w:szCs w:val="24"/>
        </w:rPr>
        <w:t>Allen v. Steele</w:t>
      </w:r>
      <w:r w:rsidRPr="00CB7FAF">
        <w:rPr>
          <w:rFonts w:eastAsia="Times New Roman"/>
          <w:sz w:val="24"/>
          <w:szCs w:val="24"/>
        </w:rPr>
        <w:t xml:space="preserve">, 252 P.3d 476 (Colo. 2011); </w:t>
      </w:r>
      <w:r w:rsidRPr="00CB7FAF">
        <w:rPr>
          <w:rFonts w:eastAsia="Times New Roman"/>
          <w:b/>
          <w:sz w:val="24"/>
          <w:szCs w:val="24"/>
        </w:rPr>
        <w:t>Mehaffy, Rider, Windholz &amp; Wilson v. Central Bank Denver, N.A.</w:t>
      </w:r>
      <w:r w:rsidRPr="00CB7FAF">
        <w:rPr>
          <w:rFonts w:eastAsia="Times New Roman"/>
          <w:sz w:val="24"/>
          <w:szCs w:val="24"/>
        </w:rPr>
        <w:t xml:space="preserve">, 892 P.2d 230 (Colo. 1995), as a non-client has no standing to maintain a legal malpractice action. </w:t>
      </w:r>
      <w:r w:rsidRPr="00CB7FAF">
        <w:rPr>
          <w:rFonts w:eastAsia="Times New Roman"/>
          <w:i/>
          <w:sz w:val="24"/>
          <w:szCs w:val="24"/>
        </w:rPr>
        <w:t>See, e.g.</w:t>
      </w:r>
      <w:r w:rsidRPr="00CB7FAF">
        <w:rPr>
          <w:rFonts w:eastAsia="Times New Roman"/>
          <w:sz w:val="24"/>
          <w:szCs w:val="24"/>
        </w:rPr>
        <w:t xml:space="preserve">, </w:t>
      </w:r>
      <w:r w:rsidRPr="00CB7FAF">
        <w:rPr>
          <w:rFonts w:eastAsia="Times New Roman"/>
          <w:b/>
          <w:sz w:val="24"/>
          <w:szCs w:val="24"/>
        </w:rPr>
        <w:t>Brown v. Silvern</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45 P.3d 749 (Colo. App. 2001) (an attorney who ceased to represent client and was replaced by other counsel before statute of limitations had run on client’s action could not be held liable for failing to timely file action); </w:t>
      </w:r>
      <w:r w:rsidRPr="00CB7FAF">
        <w:rPr>
          <w:rFonts w:eastAsia="Times New Roman"/>
          <w:b/>
          <w:sz w:val="24"/>
          <w:szCs w:val="24"/>
        </w:rPr>
        <w:t>Peltz v. Shidler</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952 P.2d 793 (Colo. App. 1997) (client who filed petition in bankruptcy was not “real party in interest” in legal malpractice action and, therefore, lacked standing to bring action); </w:t>
      </w:r>
      <w:r w:rsidRPr="00CB7FAF">
        <w:rPr>
          <w:rFonts w:eastAsia="Times New Roman"/>
          <w:b/>
          <w:sz w:val="24"/>
          <w:szCs w:val="24"/>
        </w:rPr>
        <w:t>Gavend v. Malman</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946 P.2d 558 (Colo. App. 1997) (same); </w:t>
      </w:r>
      <w:r w:rsidRPr="00CB7FAF">
        <w:rPr>
          <w:rFonts w:eastAsia="Times New Roman"/>
          <w:b/>
          <w:sz w:val="24"/>
          <w:szCs w:val="24"/>
        </w:rPr>
        <w:t>Glover v. Southard</w:t>
      </w:r>
      <w:r w:rsidRPr="00CB7FAF">
        <w:rPr>
          <w:rFonts w:eastAsia="Times New Roman"/>
          <w:sz w:val="24"/>
          <w:szCs w:val="24"/>
        </w:rPr>
        <w:t xml:space="preserve">, 894 P.2d 21, 24 (Colo. App. 1994) (a nonclient/testamentary beneficiary has no standing to bring a malpractice claim for attorney’s “alleged negligence in drafting a valid testamentary instrument so long as the document accurately reflects the testator’s intent”); </w:t>
      </w:r>
      <w:r w:rsidRPr="00CB7FAF">
        <w:rPr>
          <w:rFonts w:eastAsia="Times New Roman"/>
          <w:b/>
          <w:sz w:val="24"/>
          <w:szCs w:val="24"/>
        </w:rPr>
        <w:t>Shriners Hosp. for Crippled Children, Inc. v. Southard</w:t>
      </w:r>
      <w:r w:rsidRPr="00CB7FAF">
        <w:rPr>
          <w:rFonts w:eastAsia="Times New Roman"/>
          <w:sz w:val="24"/>
          <w:szCs w:val="24"/>
        </w:rPr>
        <w:t xml:space="preserve">, 892 P.2d 417 (Colo. App. 1994); </w:t>
      </w:r>
      <w:r w:rsidRPr="00CB7FAF">
        <w:rPr>
          <w:rFonts w:eastAsia="Times New Roman"/>
          <w:b/>
          <w:sz w:val="24"/>
          <w:szCs w:val="24"/>
        </w:rPr>
        <w:t>Hill v. Boatright</w:t>
      </w:r>
      <w:r w:rsidRPr="00CB7FAF">
        <w:rPr>
          <w:rFonts w:eastAsia="Times New Roman"/>
          <w:sz w:val="24"/>
          <w:szCs w:val="24"/>
        </w:rPr>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rFonts w:eastAsia="Times New Roman"/>
          <w:i/>
          <w:sz w:val="24"/>
          <w:szCs w:val="24"/>
        </w:rPr>
        <w:t>aff’d in part, rev’d in part on other grounds sub nom.</w:t>
      </w:r>
      <w:r w:rsidRPr="00CB7FAF">
        <w:rPr>
          <w:rFonts w:eastAsia="Times New Roman"/>
          <w:sz w:val="24"/>
          <w:szCs w:val="24"/>
        </w:rPr>
        <w:t xml:space="preserve"> </w:t>
      </w:r>
      <w:r w:rsidRPr="00CB7FAF">
        <w:rPr>
          <w:rFonts w:eastAsia="Times New Roman"/>
          <w:b/>
          <w:sz w:val="24"/>
          <w:szCs w:val="24"/>
        </w:rPr>
        <w:t>Boatright v. Derr</w:t>
      </w:r>
      <w:r w:rsidRPr="00CB7FAF">
        <w:rPr>
          <w:rFonts w:eastAsia="Times New Roman"/>
          <w:sz w:val="24"/>
          <w:szCs w:val="24"/>
        </w:rPr>
        <w:t xml:space="preserve">, 919 P.2d 221 (Colo. 1996); </w:t>
      </w:r>
      <w:r w:rsidRPr="00CB7FAF">
        <w:rPr>
          <w:rFonts w:eastAsia="Times New Roman"/>
          <w:b/>
          <w:sz w:val="24"/>
          <w:szCs w:val="24"/>
        </w:rPr>
        <w:t>Klancke v. Smith</w:t>
      </w:r>
      <w:r w:rsidRPr="00CB7FAF">
        <w:rPr>
          <w:rFonts w:eastAsia="Times New Roman"/>
          <w:sz w:val="24"/>
          <w:szCs w:val="24"/>
        </w:rPr>
        <w:t>, 829 P.2d 464 (Colo. App. 1991) (decedent’s children had no attorney-client relationship with attorney who distributed wrongful death proceeds to decedent’s spouse and had no duty to ensure that proceeds were shared with or paid to children).</w:t>
      </w:r>
    </w:p>
    <w:p w14:paraId="301EDA1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4. The attorney-client relationship involves a fiduciary relationship as a matter of law. </w:t>
      </w:r>
      <w:r w:rsidRPr="00CB7FAF">
        <w:rPr>
          <w:rFonts w:eastAsia="Times New Roman"/>
          <w:b/>
          <w:sz w:val="24"/>
          <w:szCs w:val="24"/>
        </w:rPr>
        <w:t>Accident &amp; Injury Med. Specialists, P.C. v. Mintz</w:t>
      </w:r>
      <w:r w:rsidRPr="00CB7FAF">
        <w:rPr>
          <w:rFonts w:eastAsia="Times New Roman"/>
          <w:sz w:val="24"/>
          <w:szCs w:val="24"/>
        </w:rPr>
        <w:t xml:space="preserve">, 2012 CO 50, ¶ 25, 279 P.3d 658; </w:t>
      </w:r>
      <w:r w:rsidRPr="00CB7FAF">
        <w:rPr>
          <w:rFonts w:eastAsia="Times New Roman"/>
          <w:b/>
          <w:sz w:val="24"/>
          <w:szCs w:val="24"/>
        </w:rPr>
        <w:t>Olsen &amp; Brown v. City of Englewood</w:t>
      </w:r>
      <w:r w:rsidRPr="00CB7FAF">
        <w:rPr>
          <w:rFonts w:eastAsia="Times New Roman"/>
          <w:sz w:val="24"/>
          <w:szCs w:val="24"/>
        </w:rPr>
        <w:t xml:space="preserve">, 889 P.2d 673 (Colo. 1995). Nonetheless, where the same operative facts support claims for both legal malpractice and breach of fiduciary duty, the latter claim should be dismissed as duplicative. </w:t>
      </w:r>
      <w:r w:rsidRPr="00CB7FAF">
        <w:rPr>
          <w:rFonts w:eastAsia="Times New Roman"/>
          <w:b/>
          <w:sz w:val="24"/>
          <w:szCs w:val="24"/>
        </w:rPr>
        <w:t>Aller</w:t>
      </w:r>
      <w:r w:rsidRPr="00CB7FAF">
        <w:rPr>
          <w:rFonts w:eastAsia="Times New Roman"/>
          <w:sz w:val="24"/>
          <w:szCs w:val="24"/>
        </w:rPr>
        <w:t xml:space="preserve">, 140 P.3d at 27; </w:t>
      </w:r>
      <w:r w:rsidRPr="00CB7FAF">
        <w:rPr>
          <w:rFonts w:eastAsia="Times New Roman"/>
          <w:b/>
          <w:sz w:val="24"/>
          <w:szCs w:val="24"/>
        </w:rPr>
        <w:t>Moguls of Aspen, Inc. v. Faegre &amp; Benson</w:t>
      </w:r>
      <w:r w:rsidRPr="00CB7FAF">
        <w:rPr>
          <w:rFonts w:eastAsia="Times New Roman"/>
          <w:sz w:val="24"/>
          <w:szCs w:val="24"/>
        </w:rPr>
        <w:t xml:space="preserve">, 956 P.2d 618 (Colo. App. 1997). The court of appeals has held that when different facts support each theory, recovery may be allowed for each. </w:t>
      </w:r>
      <w:r w:rsidRPr="00CB7FAF">
        <w:rPr>
          <w:rFonts w:eastAsia="Times New Roman"/>
          <w:b/>
          <w:sz w:val="24"/>
          <w:szCs w:val="24"/>
        </w:rPr>
        <w:t>Boyd</w:t>
      </w:r>
      <w:r w:rsidRPr="00CB7FAF">
        <w:rPr>
          <w:rFonts w:eastAsia="Times New Roman"/>
          <w:sz w:val="24"/>
          <w:szCs w:val="24"/>
        </w:rPr>
        <w:t xml:space="preserve">, 9 P.3d at 1163 (permitting separate claims for professional negligence and for breach of fiduciary duty where claims were based on different factual allegations); </w:t>
      </w:r>
      <w:r w:rsidRPr="00CB7FAF">
        <w:rPr>
          <w:rFonts w:eastAsia="Times New Roman"/>
          <w:b/>
          <w:sz w:val="24"/>
          <w:szCs w:val="24"/>
        </w:rPr>
        <w:t>Allen v. Martin</w:t>
      </w:r>
      <w:r w:rsidRPr="00CB7FAF">
        <w:rPr>
          <w:rFonts w:eastAsia="Times New Roman"/>
          <w:sz w:val="24"/>
          <w:szCs w:val="24"/>
        </w:rPr>
        <w:t>, 203 P.3d 546 (Colo. App. 2008) (discussing as different claim, one defendant attorney’s failure to aid former client after she was charged with criminal fraud for transaction in which she claimed he advised her).</w:t>
      </w:r>
      <w:r w:rsidRPr="00CB7FAF">
        <w:rPr>
          <w:rFonts w:eastAsia="Times New Roman"/>
          <w:b/>
          <w:sz w:val="24"/>
          <w:szCs w:val="24"/>
        </w:rPr>
        <w:t xml:space="preserve"> </w:t>
      </w:r>
      <w:r w:rsidRPr="00CB7FAF">
        <w:rPr>
          <w:rFonts w:eastAsia="Times New Roman"/>
          <w:sz w:val="24"/>
          <w:szCs w:val="24"/>
        </w:rPr>
        <w:t xml:space="preserve">The court of appeals clarified that “where . . . an attorney makes a decision based on professional judgment pertaining to the representation of a client, the cause of action is indistinguishable from one for professional negligence.” </w:t>
      </w:r>
      <w:r w:rsidRPr="00CB7FAF">
        <w:rPr>
          <w:rFonts w:eastAsia="Times New Roman"/>
          <w:b/>
          <w:sz w:val="24"/>
          <w:szCs w:val="24"/>
        </w:rPr>
        <w:t>Aller</w:t>
      </w:r>
      <w:r w:rsidRPr="00CB7FAF">
        <w:rPr>
          <w:rFonts w:eastAsia="Times New Roman"/>
          <w:sz w:val="24"/>
          <w:szCs w:val="24"/>
        </w:rPr>
        <w:t xml:space="preserve">, 140 P.3d at 28 (suggesting that an independent claim for breach of fiduciary duty is not apt to survive absent allegations of “an intentional tort or a breach of trust involving matters of moral turpitude”). In </w:t>
      </w:r>
      <w:r w:rsidRPr="00CB7FAF">
        <w:rPr>
          <w:rFonts w:eastAsia="Times New Roman"/>
          <w:b/>
          <w:sz w:val="24"/>
          <w:szCs w:val="24"/>
        </w:rPr>
        <w:t>Hartman v. Community Responsibility Center, Inc.</w:t>
      </w:r>
      <w:r w:rsidRPr="00CB7FAF">
        <w:rPr>
          <w:rFonts w:eastAsia="Times New Roman"/>
          <w:sz w:val="24"/>
          <w:szCs w:val="24"/>
        </w:rPr>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 </w:t>
      </w:r>
    </w:p>
    <w:p w14:paraId="2AA1C8C0"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lastRenderedPageBreak/>
        <w:t xml:space="preserve">5. A law firm does not owe a fiduciary duty to a client to disclose information related to an attorney’s past disciplinary history, mental illness, alcoholism, or arrests where such problems did not materially affect the attorney’s performance. </w:t>
      </w:r>
      <w:r w:rsidRPr="00CB7FAF">
        <w:rPr>
          <w:rFonts w:eastAsia="Times New Roman"/>
          <w:b/>
          <w:sz w:val="24"/>
          <w:szCs w:val="24"/>
        </w:rPr>
        <w:t>Moye White LLP v. Beren</w:t>
      </w:r>
      <w:r w:rsidRPr="00CB7FAF">
        <w:rPr>
          <w:rFonts w:eastAsia="Times New Roman"/>
          <w:sz w:val="24"/>
          <w:szCs w:val="24"/>
        </w:rPr>
        <w:t xml:space="preserve">, 2013 COA 89, ¶¶ 26-29, </w:t>
      </w:r>
      <w:r w:rsidRPr="00CB7FAF">
        <w:rPr>
          <w:rFonts w:eastAsia="Times New Roman"/>
          <w:bCs/>
          <w:iCs/>
          <w:sz w:val="24"/>
          <w:szCs w:val="24"/>
        </w:rPr>
        <w:t>320 P.3d 373</w:t>
      </w:r>
      <w:r w:rsidRPr="00CB7FAF">
        <w:rPr>
          <w:rFonts w:eastAsia="Times New Roman"/>
          <w:sz w:val="24"/>
          <w:szCs w:val="24"/>
        </w:rPr>
        <w:t>.</w:t>
      </w:r>
    </w:p>
    <w:p w14:paraId="1B9F352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6. An attorney-client relationship is based on contract that may be express or implied by the conduct of the parties. </w:t>
      </w:r>
      <w:r w:rsidRPr="00CB7FAF">
        <w:rPr>
          <w:rFonts w:eastAsia="Times New Roman"/>
          <w:b/>
          <w:sz w:val="24"/>
          <w:szCs w:val="24"/>
        </w:rPr>
        <w:t>Turkey Creek, LLC v. Rosania</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953 P.2d 1306 (Colo. App. 1998); </w:t>
      </w:r>
      <w:r w:rsidRPr="00CB7FAF">
        <w:rPr>
          <w:rFonts w:eastAsia="Times New Roman"/>
          <w:b/>
          <w:sz w:val="24"/>
          <w:szCs w:val="24"/>
        </w:rPr>
        <w:t>Klancke</w:t>
      </w:r>
      <w:r w:rsidRPr="00CB7FAF">
        <w:rPr>
          <w:rFonts w:eastAsia="Times New Roman"/>
          <w:sz w:val="24"/>
          <w:szCs w:val="24"/>
        </w:rPr>
        <w:t xml:space="preserve">, 829 P.2d at 466. Irrespective of whether an attorney-client relationship is express or implied, the parties must agree on all essential contractual terms. </w:t>
      </w:r>
      <w:r w:rsidRPr="00CB7FAF">
        <w:rPr>
          <w:rFonts w:eastAsia="Times New Roman"/>
          <w:b/>
          <w:sz w:val="24"/>
          <w:szCs w:val="24"/>
        </w:rPr>
        <w:t>Schmidt v. Frankewich</w:t>
      </w:r>
      <w:r w:rsidRPr="00CB7FAF">
        <w:rPr>
          <w:rFonts w:eastAsia="Times New Roman"/>
          <w:sz w:val="24"/>
          <w:szCs w:val="24"/>
        </w:rPr>
        <w:t xml:space="preserve">, 819 P.2d 1074 (Colo. App. 1991). If the parties fail to agree on sufficiently definite and certain terms, no valid agreement is formed. </w:t>
      </w:r>
      <w:r w:rsidRPr="00CB7FAF">
        <w:rPr>
          <w:rFonts w:eastAsia="Times New Roman"/>
          <w:i/>
          <w:sz w:val="24"/>
          <w:szCs w:val="24"/>
        </w:rPr>
        <w:t>Id</w:t>
      </w:r>
      <w:r w:rsidRPr="00CB7FAF">
        <w:rPr>
          <w:rFonts w:eastAsia="Times New Roman"/>
          <w:sz w:val="24"/>
          <w:szCs w:val="24"/>
        </w:rPr>
        <w:t xml:space="preserve">. The payment of attorney fees on behalf of a client, does not, in and of itself, establish an attorney-client relationship. </w:t>
      </w:r>
      <w:r w:rsidRPr="00CB7FAF">
        <w:rPr>
          <w:rFonts w:eastAsia="Times New Roman"/>
          <w:b/>
          <w:sz w:val="24"/>
          <w:szCs w:val="24"/>
        </w:rPr>
        <w:t>Turkey Creek, LLC</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rFonts w:eastAsia="Times New Roman"/>
          <w:i/>
          <w:sz w:val="24"/>
          <w:szCs w:val="24"/>
        </w:rPr>
        <w:t>Id.</w:t>
      </w:r>
    </w:p>
    <w:p w14:paraId="45C71D57" w14:textId="77777777" w:rsidR="00BD0C53" w:rsidRPr="00CB7FAF" w:rsidRDefault="00CB7FAF" w:rsidP="00BD0C53">
      <w:pPr>
        <w:spacing w:after="240"/>
        <w:ind w:firstLine="720"/>
        <w:rPr>
          <w:rFonts w:eastAsia="Times New Roman"/>
          <w:sz w:val="24"/>
          <w:szCs w:val="24"/>
        </w:rPr>
      </w:pPr>
      <w:r w:rsidRPr="00CB7FAF">
        <w:rPr>
          <w:rFonts w:eastAsia="Times New Roman"/>
          <w:sz w:val="24"/>
          <w:szCs w:val="24"/>
        </w:rPr>
        <w:t xml:space="preserve">7. Where the client is a business entity, the attorney-client relationship is typically considered to be between the attorney and the entity and not the entity’s individual members. </w:t>
      </w:r>
      <w:r w:rsidRPr="00CB7FAF">
        <w:rPr>
          <w:rFonts w:eastAsia="Times New Roman"/>
          <w:b/>
          <w:sz w:val="24"/>
          <w:szCs w:val="24"/>
        </w:rPr>
        <w:t>Zimmerman v. Dan Kamphausen Co.</w:t>
      </w:r>
      <w:r w:rsidRPr="00CB7FAF">
        <w:rPr>
          <w:rFonts w:eastAsia="Times New Roman"/>
          <w:sz w:val="24"/>
          <w:szCs w:val="24"/>
        </w:rPr>
        <w:t xml:space="preserve">, 971 P.2d 236 (Colo. App. 1998) (when attorney represents partnership, attorney does not necessarily have attorney-client relationship with each of the partners); </w:t>
      </w:r>
      <w:r w:rsidRPr="00CB7FAF">
        <w:rPr>
          <w:rFonts w:eastAsia="Times New Roman"/>
          <w:b/>
          <w:sz w:val="24"/>
          <w:szCs w:val="24"/>
        </w:rPr>
        <w:t>Turkey Creek, LLC</w:t>
      </w:r>
      <w:r w:rsidRPr="00CB7FAF">
        <w:rPr>
          <w:rFonts w:eastAsia="Times New Roman"/>
          <w:sz w:val="24"/>
          <w:szCs w:val="24"/>
        </w:rPr>
        <w:t xml:space="preserve">, 953 P.2d at 1311 (no attorney-client relationship existed between joint venturer and attorneys for co-venturer); </w:t>
      </w:r>
      <w:r w:rsidRPr="00CB7FAF">
        <w:rPr>
          <w:rFonts w:eastAsia="Times New Roman"/>
          <w:b/>
          <w:sz w:val="24"/>
          <w:szCs w:val="24"/>
        </w:rPr>
        <w:t>Schmidt</w:t>
      </w:r>
      <w:r w:rsidRPr="00CB7FAF">
        <w:rPr>
          <w:rFonts w:eastAsia="Times New Roman"/>
          <w:sz w:val="24"/>
          <w:szCs w:val="24"/>
        </w:rPr>
        <w:t>, 819 P.2d at 1079 (attorneys for corporation could not be held liable to shareholders asserting third-party beneficiary claim).</w:t>
      </w:r>
    </w:p>
    <w:p w14:paraId="02BD7C55"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Liability to Non-Clients</w:t>
      </w:r>
    </w:p>
    <w:p w14:paraId="3A5787AB" w14:textId="6FD03ED3" w:rsidR="00555A3B" w:rsidRDefault="00CB7FAF" w:rsidP="00CB7FAF">
      <w:pPr>
        <w:spacing w:after="240"/>
        <w:ind w:firstLine="720"/>
        <w:rPr>
          <w:rFonts w:eastAsia="Times New Roman"/>
          <w:sz w:val="24"/>
          <w:szCs w:val="24"/>
        </w:rPr>
      </w:pPr>
      <w:r w:rsidRPr="00CB7FAF">
        <w:rPr>
          <w:rFonts w:eastAsia="Times New Roman"/>
          <w:sz w:val="24"/>
          <w:szCs w:val="24"/>
        </w:rPr>
        <w:t>8. A non-client may assert a claim against an attorney only in limited circumstances</w:t>
      </w:r>
      <w:r w:rsidR="00555A3B">
        <w:rPr>
          <w:rFonts w:eastAsia="Times New Roman"/>
          <w:sz w:val="24"/>
          <w:szCs w:val="24"/>
        </w:rPr>
        <w:t>:</w:t>
      </w:r>
      <w:r w:rsidRPr="00CB7FAF">
        <w:rPr>
          <w:rFonts w:eastAsia="Times New Roman"/>
          <w:sz w:val="24"/>
          <w:szCs w:val="24"/>
        </w:rPr>
        <w:t xml:space="preserve"> when the attorney’s conduct is alleged to have been willful and wanton, fraudulent or malicious, </w:t>
      </w:r>
      <w:r w:rsidRPr="00CB7FAF">
        <w:rPr>
          <w:rFonts w:eastAsia="Times New Roman"/>
          <w:b/>
          <w:sz w:val="24"/>
          <w:szCs w:val="24"/>
        </w:rPr>
        <w:t>Allen</w:t>
      </w:r>
      <w:r w:rsidRPr="00CB7FAF">
        <w:rPr>
          <w:rFonts w:eastAsia="Times New Roman"/>
          <w:sz w:val="24"/>
          <w:szCs w:val="24"/>
        </w:rPr>
        <w:t xml:space="preserve">, 252 P.3d at 482; </w:t>
      </w:r>
      <w:r w:rsidRPr="00CB7FAF">
        <w:rPr>
          <w:rFonts w:eastAsia="Times New Roman"/>
          <w:b/>
          <w:sz w:val="24"/>
          <w:szCs w:val="24"/>
        </w:rPr>
        <w:t>Mehaffy, Rider, Windholz &amp; Wilson</w:t>
      </w:r>
      <w:r w:rsidRPr="00CB7FAF">
        <w:rPr>
          <w:rFonts w:eastAsia="Times New Roman"/>
          <w:sz w:val="24"/>
          <w:szCs w:val="24"/>
        </w:rPr>
        <w:t xml:space="preserve">, 892 P.2d at 235; </w:t>
      </w:r>
      <w:r w:rsidRPr="00CB7FAF">
        <w:rPr>
          <w:rFonts w:eastAsia="Times New Roman"/>
          <w:b/>
          <w:sz w:val="24"/>
          <w:szCs w:val="24"/>
        </w:rPr>
        <w:t>Turman v. Castle Law Firm, LLC</w:t>
      </w:r>
      <w:r w:rsidRPr="00CB7FAF">
        <w:rPr>
          <w:rFonts w:eastAsia="Times New Roman"/>
          <w:sz w:val="24"/>
          <w:szCs w:val="24"/>
        </w:rPr>
        <w:t xml:space="preserve">, 129 P.3d 1103 (Colo. App. 2006); </w:t>
      </w:r>
      <w:r w:rsidRPr="00CB7FAF">
        <w:rPr>
          <w:rFonts w:eastAsia="Times New Roman"/>
          <w:b/>
          <w:sz w:val="24"/>
          <w:szCs w:val="24"/>
        </w:rPr>
        <w:t>Zimmerman</w:t>
      </w:r>
      <w:r w:rsidRPr="00CB7FAF">
        <w:rPr>
          <w:rFonts w:eastAsia="Times New Roman"/>
          <w:sz w:val="24"/>
          <w:szCs w:val="24"/>
        </w:rPr>
        <w:t xml:space="preserve">, 971 P.2d at 242; </w:t>
      </w:r>
      <w:r w:rsidRPr="00CB7FAF">
        <w:rPr>
          <w:rFonts w:eastAsia="Times New Roman"/>
          <w:b/>
          <w:sz w:val="24"/>
          <w:szCs w:val="24"/>
        </w:rPr>
        <w:t>Holmes v. Young</w:t>
      </w:r>
      <w:r w:rsidRPr="00CB7FAF">
        <w:rPr>
          <w:rFonts w:eastAsia="Times New Roman"/>
          <w:sz w:val="24"/>
          <w:szCs w:val="24"/>
        </w:rPr>
        <w:t xml:space="preserve">, 885 P.2d 305 (Colo. App. 1994), or when the claim is for negligent misrepresentation, </w:t>
      </w:r>
      <w:r w:rsidRPr="00CB7FAF">
        <w:rPr>
          <w:rFonts w:eastAsia="Times New Roman"/>
          <w:b/>
          <w:sz w:val="24"/>
          <w:szCs w:val="24"/>
        </w:rPr>
        <w:t>Allen</w:t>
      </w:r>
      <w:r w:rsidRPr="00CB7FAF">
        <w:rPr>
          <w:rFonts w:eastAsia="Times New Roman"/>
          <w:sz w:val="24"/>
          <w:szCs w:val="24"/>
        </w:rPr>
        <w:t xml:space="preserve">, 252 P.3d at 482; </w:t>
      </w:r>
      <w:r w:rsidRPr="00CB7FAF">
        <w:rPr>
          <w:rFonts w:eastAsia="Times New Roman"/>
          <w:b/>
          <w:sz w:val="24"/>
          <w:szCs w:val="24"/>
        </w:rPr>
        <w:t>Mehaffy, Rider, Windholz &amp; Wilson</w:t>
      </w:r>
      <w:r w:rsidRPr="00CB7FAF">
        <w:rPr>
          <w:rFonts w:eastAsia="Times New Roman"/>
          <w:sz w:val="24"/>
          <w:szCs w:val="24"/>
        </w:rPr>
        <w:t xml:space="preserve">, 892 P.2d at 236; </w:t>
      </w:r>
      <w:r w:rsidRPr="00CB7FAF">
        <w:rPr>
          <w:rFonts w:eastAsia="Times New Roman"/>
          <w:b/>
          <w:sz w:val="24"/>
          <w:szCs w:val="24"/>
        </w:rPr>
        <w:t>Zimmerman</w:t>
      </w:r>
      <w:r w:rsidRPr="00CB7FAF">
        <w:rPr>
          <w:rFonts w:eastAsia="Times New Roman"/>
          <w:sz w:val="24"/>
          <w:szCs w:val="24"/>
        </w:rPr>
        <w:t xml:space="preserve">, 971 P.2d at 242. </w:t>
      </w:r>
      <w:r w:rsidRPr="00CB7FAF">
        <w:rPr>
          <w:rFonts w:eastAsia="Times New Roman"/>
          <w:i/>
          <w:sz w:val="24"/>
          <w:szCs w:val="24"/>
        </w:rPr>
        <w:t xml:space="preserve">See also </w:t>
      </w:r>
      <w:r w:rsidRPr="00CB7FAF">
        <w:rPr>
          <w:rFonts w:eastAsia="Times New Roman"/>
          <w:b/>
          <w:sz w:val="24"/>
          <w:szCs w:val="24"/>
        </w:rPr>
        <w:t>Mintz</w:t>
      </w:r>
      <w:r w:rsidRPr="00CB7FAF">
        <w:rPr>
          <w:rFonts w:eastAsia="Times New Roman"/>
          <w:sz w:val="24"/>
          <w:szCs w:val="24"/>
        </w:rPr>
        <w:t xml:space="preserve">, 2012 CO 50, ¶ 32 (holding that an attorney did not owe fiduciary duty to non-client third parties who were entitled to funds from the Colorado Lawyer Trust Account Foundation trust accounts); </w:t>
      </w:r>
      <w:r w:rsidRPr="00CB7FAF">
        <w:rPr>
          <w:rFonts w:eastAsia="Times New Roman"/>
          <w:b/>
          <w:sz w:val="24"/>
          <w:szCs w:val="24"/>
        </w:rPr>
        <w:t>State Farm Fire &amp; Cas. Co. v. Weiss</w:t>
      </w:r>
      <w:r w:rsidRPr="00CB7FAF">
        <w:rPr>
          <w:rFonts w:eastAsia="Times New Roman"/>
          <w:sz w:val="24"/>
          <w:szCs w:val="24"/>
        </w:rPr>
        <w:t xml:space="preserve">, 194 P.3d 1063 (Colo. App. 2008) (equitable subrogation claim of insurer based on alleged attorney malpractice in representation of insured properly dismissed on public-policy grounds). </w:t>
      </w:r>
    </w:p>
    <w:p w14:paraId="4AFC8D34" w14:textId="2106A10A" w:rsidR="00CB7FAF" w:rsidRPr="00CB7FAF" w:rsidRDefault="00555A3B" w:rsidP="00CB7FAF">
      <w:pPr>
        <w:spacing w:after="240"/>
        <w:ind w:firstLine="720"/>
        <w:rPr>
          <w:rFonts w:eastAsia="Times New Roman"/>
          <w:sz w:val="24"/>
          <w:szCs w:val="24"/>
        </w:rPr>
      </w:pPr>
      <w:r>
        <w:rPr>
          <w:rFonts w:eastAsia="Times New Roman"/>
          <w:sz w:val="24"/>
          <w:szCs w:val="24"/>
        </w:rPr>
        <w:t xml:space="preserve">9. </w:t>
      </w:r>
      <w:r w:rsidR="00CB7FAF" w:rsidRPr="00CB7FAF">
        <w:rPr>
          <w:rFonts w:eastAsia="Times New Roman"/>
          <w:sz w:val="24"/>
          <w:szCs w:val="24"/>
        </w:rPr>
        <w:t xml:space="preserve">In </w:t>
      </w:r>
      <w:r w:rsidR="00CB7FAF" w:rsidRPr="00CB7FAF">
        <w:rPr>
          <w:rFonts w:eastAsia="Times New Roman"/>
          <w:b/>
          <w:sz w:val="24"/>
          <w:szCs w:val="24"/>
        </w:rPr>
        <w:t>Baker v. Wood, Ris &amp; Hames, P.C.</w:t>
      </w:r>
      <w:r w:rsidR="00CB7FAF" w:rsidRPr="00CB7FAF">
        <w:rPr>
          <w:rFonts w:eastAsia="Times New Roman"/>
          <w:sz w:val="24"/>
          <w:szCs w:val="24"/>
        </w:rPr>
        <w:t xml:space="preserve">, 2016 CO 5, ¶ 35, 364 P.3d 872, 879, </w:t>
      </w:r>
      <w:r w:rsidR="00332EF2">
        <w:rPr>
          <w:rFonts w:eastAsia="Times New Roman"/>
          <w:sz w:val="24"/>
          <w:szCs w:val="24"/>
        </w:rPr>
        <w:t xml:space="preserve">and </w:t>
      </w:r>
      <w:r w:rsidR="00332EF2" w:rsidRPr="00332EF2">
        <w:rPr>
          <w:rFonts w:eastAsia="Times New Roman"/>
          <w:b/>
          <w:sz w:val="24"/>
          <w:szCs w:val="24"/>
        </w:rPr>
        <w:t>Bewley v. Semler</w:t>
      </w:r>
      <w:r w:rsidR="00332EF2">
        <w:rPr>
          <w:rFonts w:eastAsia="Times New Roman"/>
          <w:sz w:val="24"/>
          <w:szCs w:val="24"/>
        </w:rPr>
        <w:t xml:space="preserve">, 2018 CO 79, ¶ 25, </w:t>
      </w:r>
      <w:r w:rsidR="0057305E">
        <w:rPr>
          <w:rFonts w:eastAsia="Times New Roman"/>
          <w:sz w:val="24"/>
          <w:szCs w:val="24"/>
        </w:rPr>
        <w:t xml:space="preserve">432 P.3d 582, 588, </w:t>
      </w:r>
      <w:r w:rsidR="00CB7FAF" w:rsidRPr="00CB7FAF">
        <w:rPr>
          <w:rFonts w:eastAsia="Times New Roman"/>
          <w:sz w:val="24"/>
          <w:szCs w:val="24"/>
        </w:rPr>
        <w:t xml:space="preserve">the supreme court affirmed the strict privity rule that “an attorney’s liability to a non-client is limited to the narrow set of circumstances in which the attorney has committed fraud or a malicious or tortious act, including negligent misrepresentation.” </w:t>
      </w:r>
      <w:r w:rsidR="00332EF2">
        <w:rPr>
          <w:rFonts w:eastAsia="Times New Roman"/>
          <w:sz w:val="24"/>
          <w:szCs w:val="24"/>
        </w:rPr>
        <w:t xml:space="preserve">In </w:t>
      </w:r>
      <w:r w:rsidR="00332EF2" w:rsidRPr="00332EF2">
        <w:rPr>
          <w:rFonts w:eastAsia="Times New Roman"/>
          <w:b/>
          <w:sz w:val="24"/>
          <w:szCs w:val="24"/>
        </w:rPr>
        <w:t>Baker</w:t>
      </w:r>
      <w:r w:rsidR="00CB7FAF" w:rsidRPr="00CB7FAF">
        <w:rPr>
          <w:rFonts w:eastAsia="Times New Roman"/>
          <w:sz w:val="24"/>
          <w:szCs w:val="24"/>
        </w:rPr>
        <w:t xml:space="preserve">, the court concluded that dissatisfied beneficiaries of a testator’s estate </w:t>
      </w:r>
      <w:r w:rsidR="00332EF2">
        <w:rPr>
          <w:rFonts w:eastAsia="Times New Roman"/>
          <w:sz w:val="24"/>
          <w:szCs w:val="24"/>
        </w:rPr>
        <w:t xml:space="preserve">(non-clients) </w:t>
      </w:r>
      <w:r w:rsidR="00CB7FAF" w:rsidRPr="00CB7FAF">
        <w:rPr>
          <w:rFonts w:eastAsia="Times New Roman"/>
          <w:sz w:val="24"/>
          <w:szCs w:val="24"/>
        </w:rPr>
        <w:t>did not have standing to bring legal malpractice or contract claims against the attorney who drafted the testator’s estate planning documents</w:t>
      </w:r>
      <w:r w:rsidR="00332EF2" w:rsidRPr="00332EF2">
        <w:rPr>
          <w:rFonts w:eastAsia="Times New Roman"/>
          <w:sz w:val="24"/>
          <w:szCs w:val="24"/>
        </w:rPr>
        <w:t xml:space="preserve"> </w:t>
      </w:r>
      <w:r w:rsidR="00332EF2">
        <w:rPr>
          <w:rFonts w:eastAsia="Times New Roman"/>
          <w:sz w:val="24"/>
          <w:szCs w:val="24"/>
        </w:rPr>
        <w:t>because of the strict privity rule</w:t>
      </w:r>
      <w:r w:rsidR="00332EF2" w:rsidRPr="00CB7FAF">
        <w:rPr>
          <w:rFonts w:eastAsia="Times New Roman"/>
          <w:sz w:val="24"/>
          <w:szCs w:val="24"/>
        </w:rPr>
        <w:t>.</w:t>
      </w:r>
      <w:r w:rsidR="00332EF2">
        <w:rPr>
          <w:rFonts w:eastAsia="Times New Roman"/>
          <w:sz w:val="24"/>
          <w:szCs w:val="24"/>
        </w:rPr>
        <w:t xml:space="preserve"> 2016 CO 5, ¶¶ 1-2, </w:t>
      </w:r>
      <w:r w:rsidR="00332EF2" w:rsidRPr="00CB7FAF">
        <w:rPr>
          <w:rFonts w:eastAsia="Times New Roman"/>
          <w:sz w:val="24"/>
          <w:szCs w:val="24"/>
        </w:rPr>
        <w:t>364 P.3d</w:t>
      </w:r>
      <w:r w:rsidR="00332EF2">
        <w:rPr>
          <w:rFonts w:eastAsia="Times New Roman"/>
          <w:sz w:val="24"/>
          <w:szCs w:val="24"/>
        </w:rPr>
        <w:t xml:space="preserve"> at 874. In </w:t>
      </w:r>
      <w:r w:rsidR="00332EF2" w:rsidRPr="00394EE7">
        <w:rPr>
          <w:rFonts w:eastAsia="Times New Roman"/>
          <w:b/>
          <w:sz w:val="24"/>
          <w:szCs w:val="24"/>
        </w:rPr>
        <w:t>Bewley</w:t>
      </w:r>
      <w:r w:rsidR="00332EF2">
        <w:rPr>
          <w:rFonts w:eastAsia="Times New Roman"/>
          <w:sz w:val="24"/>
          <w:szCs w:val="24"/>
        </w:rPr>
        <w:t xml:space="preserve">, the court concluded that a member of the condominium association (a non-client) who was a third-party beneficiary to the </w:t>
      </w:r>
      <w:r w:rsidR="00332EF2">
        <w:rPr>
          <w:rFonts w:eastAsia="Times New Roman"/>
          <w:sz w:val="24"/>
          <w:szCs w:val="24"/>
        </w:rPr>
        <w:lastRenderedPageBreak/>
        <w:t>agreement between the condominium association and the law firm could not bring a breach of contract claim against the law firm because of the strict privity rule.</w:t>
      </w:r>
      <w:r w:rsidR="00332EF2" w:rsidRPr="00CB7FAF">
        <w:rPr>
          <w:rFonts w:eastAsia="Times New Roman"/>
          <w:sz w:val="24"/>
          <w:szCs w:val="24"/>
        </w:rPr>
        <w:t xml:space="preserve"> </w:t>
      </w:r>
      <w:r w:rsidR="00332EF2">
        <w:rPr>
          <w:rFonts w:eastAsia="Times New Roman"/>
          <w:sz w:val="24"/>
          <w:szCs w:val="24"/>
        </w:rPr>
        <w:t xml:space="preserve">2018 CO 79, </w:t>
      </w:r>
      <w:r w:rsidR="00332EF2" w:rsidRPr="00CB7FAF">
        <w:rPr>
          <w:rFonts w:eastAsia="Times New Roman"/>
          <w:sz w:val="24"/>
          <w:szCs w:val="24"/>
        </w:rPr>
        <w:t>¶</w:t>
      </w:r>
      <w:r w:rsidR="00332EF2">
        <w:rPr>
          <w:rFonts w:eastAsia="Times New Roman"/>
          <w:sz w:val="24"/>
          <w:szCs w:val="24"/>
        </w:rPr>
        <w:t>¶ 25, 3</w:t>
      </w:r>
      <w:r w:rsidR="0057305E">
        <w:rPr>
          <w:rFonts w:eastAsia="Times New Roman"/>
          <w:sz w:val="24"/>
          <w:szCs w:val="24"/>
        </w:rPr>
        <w:t>0, 432 P.3d at 588-89</w:t>
      </w:r>
      <w:r w:rsidR="00CB7FAF" w:rsidRPr="00CB7FAF">
        <w:rPr>
          <w:rFonts w:eastAsia="Times New Roman"/>
          <w:sz w:val="24"/>
          <w:szCs w:val="24"/>
        </w:rPr>
        <w:t>.</w:t>
      </w:r>
    </w:p>
    <w:p w14:paraId="55C1EBD1" w14:textId="165CC5B1" w:rsidR="00CB7FAF" w:rsidRPr="00CB7FAF" w:rsidRDefault="00332EF2" w:rsidP="00CB7FAF">
      <w:pPr>
        <w:spacing w:after="240"/>
        <w:ind w:firstLine="720"/>
        <w:rPr>
          <w:rFonts w:eastAsia="Times New Roman"/>
          <w:sz w:val="24"/>
          <w:szCs w:val="24"/>
        </w:rPr>
      </w:pPr>
      <w:r>
        <w:rPr>
          <w:rFonts w:eastAsia="Times New Roman"/>
          <w:sz w:val="24"/>
          <w:szCs w:val="24"/>
        </w:rPr>
        <w:t>10</w:t>
      </w:r>
      <w:r w:rsidR="00CB7FAF" w:rsidRPr="00CB7FAF">
        <w:rPr>
          <w:rFonts w:eastAsia="Times New Roman"/>
          <w:sz w:val="24"/>
          <w:szCs w:val="24"/>
        </w:rPr>
        <w:t xml:space="preserve">. The supreme court </w:t>
      </w:r>
      <w:r>
        <w:rPr>
          <w:rFonts w:eastAsia="Times New Roman"/>
          <w:sz w:val="24"/>
          <w:szCs w:val="24"/>
        </w:rPr>
        <w:t xml:space="preserve">has </w:t>
      </w:r>
      <w:r w:rsidR="00CB7FAF" w:rsidRPr="00CB7FAF">
        <w:rPr>
          <w:rFonts w:eastAsia="Times New Roman"/>
          <w:sz w:val="24"/>
          <w:szCs w:val="24"/>
        </w:rPr>
        <w:t xml:space="preserve">“save[d] for another day the question of whether an attorney can ever be liable for aiding and abetting a breach of fiduciary duty to a non-client.” </w:t>
      </w:r>
      <w:r w:rsidR="00CB7FAF" w:rsidRPr="00CB7FAF">
        <w:rPr>
          <w:rFonts w:eastAsia="Times New Roman"/>
          <w:b/>
          <w:sz w:val="24"/>
          <w:szCs w:val="24"/>
        </w:rPr>
        <w:t>Alexander v. Anstine</w:t>
      </w:r>
      <w:r w:rsidR="00CB7FAF" w:rsidRPr="00CB7FAF">
        <w:rPr>
          <w:rFonts w:eastAsia="Times New Roman"/>
          <w:sz w:val="24"/>
          <w:szCs w:val="24"/>
        </w:rPr>
        <w:t xml:space="preserve">, 152 P.3d 497, 503 (Colo. 2007). In </w:t>
      </w:r>
      <w:r w:rsidR="00CB7FAF" w:rsidRPr="00CB7FAF">
        <w:rPr>
          <w:rFonts w:eastAsia="Times New Roman"/>
          <w:b/>
          <w:sz w:val="24"/>
          <w:szCs w:val="24"/>
        </w:rPr>
        <w:t>Anstine</w:t>
      </w:r>
      <w:r w:rsidR="00CB7FAF" w:rsidRPr="00CB7FAF">
        <w:rPr>
          <w:rFonts w:eastAsia="Times New Roman"/>
          <w:sz w:val="24"/>
          <w:szCs w:val="24"/>
        </w:rPr>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r w:rsidR="00CB7FAF" w:rsidRPr="00CB7FAF">
        <w:rPr>
          <w:rFonts w:eastAsia="Times New Roman"/>
          <w:b/>
          <w:sz w:val="24"/>
          <w:szCs w:val="24"/>
        </w:rPr>
        <w:t>Anstine</w:t>
      </w:r>
      <w:r w:rsidR="00CB7FAF" w:rsidRPr="00CB7FAF">
        <w:rPr>
          <w:rFonts w:eastAsia="Times New Roman"/>
          <w:sz w:val="24"/>
          <w:szCs w:val="24"/>
        </w:rPr>
        <w:t xml:space="preserve"> opinion, the lower court’s decision on this issue is not binding precedent. </w:t>
      </w:r>
      <w:r w:rsidR="00CB7FAF" w:rsidRPr="00CB7FAF">
        <w:rPr>
          <w:rFonts w:eastAsia="Times New Roman"/>
          <w:i/>
          <w:sz w:val="24"/>
          <w:szCs w:val="24"/>
        </w:rPr>
        <w:t>But</w:t>
      </w:r>
      <w:r w:rsidR="00CB7FAF" w:rsidRPr="00CB7FAF">
        <w:rPr>
          <w:rFonts w:eastAsia="Times New Roman"/>
          <w:sz w:val="24"/>
          <w:szCs w:val="24"/>
        </w:rPr>
        <w:t xml:space="preserve"> </w:t>
      </w:r>
      <w:r w:rsidR="00CB7FAF" w:rsidRPr="00CB7FAF">
        <w:rPr>
          <w:rFonts w:eastAsia="Times New Roman"/>
          <w:i/>
          <w:sz w:val="24"/>
          <w:szCs w:val="24"/>
        </w:rPr>
        <w:t>see</w:t>
      </w:r>
      <w:r w:rsidR="00CB7FAF" w:rsidRPr="00CB7FAF">
        <w:rPr>
          <w:rFonts w:eastAsia="Times New Roman"/>
          <w:sz w:val="24"/>
          <w:szCs w:val="24"/>
        </w:rPr>
        <w:t xml:space="preserve"> </w:t>
      </w:r>
      <w:r w:rsidR="00CB7FAF" w:rsidRPr="00CB7FAF">
        <w:rPr>
          <w:rFonts w:eastAsia="Times New Roman"/>
          <w:b/>
          <w:sz w:val="24"/>
          <w:szCs w:val="24"/>
        </w:rPr>
        <w:t>Holmes</w:t>
      </w:r>
      <w:r w:rsidR="00CB7FAF" w:rsidRPr="00CB7FAF">
        <w:rPr>
          <w:rFonts w:eastAsia="Times New Roman"/>
          <w:sz w:val="24"/>
          <w:szCs w:val="24"/>
        </w:rPr>
        <w:t xml:space="preserve">, 885 P.2d at 308-09 (suggesting that an attorney could be liable for aiding and abetting in breach of fiduciary duty); </w:t>
      </w:r>
      <w:r w:rsidR="00CB7FAF" w:rsidRPr="00CB7FAF">
        <w:rPr>
          <w:rFonts w:eastAsia="Times New Roman"/>
          <w:b/>
          <w:sz w:val="24"/>
          <w:szCs w:val="24"/>
        </w:rPr>
        <w:t>Semler v. Hellerstein</w:t>
      </w:r>
      <w:r w:rsidR="00CB7FAF" w:rsidRPr="00CB7FAF">
        <w:rPr>
          <w:rFonts w:eastAsia="Times New Roman"/>
          <w:sz w:val="24"/>
          <w:szCs w:val="24"/>
        </w:rPr>
        <w:t>, 2016 COA 143, ¶ 41</w:t>
      </w:r>
      <w:r w:rsidR="0057305E">
        <w:rPr>
          <w:rFonts w:eastAsia="Times New Roman"/>
          <w:sz w:val="24"/>
          <w:szCs w:val="24"/>
        </w:rPr>
        <w:t>, 428 P.3d 555</w:t>
      </w:r>
      <w:r w:rsidR="00CB7FAF" w:rsidRPr="00CB7FAF">
        <w:rPr>
          <w:rFonts w:eastAsia="Times New Roman"/>
          <w:sz w:val="24"/>
          <w:szCs w:val="24"/>
        </w:rPr>
        <w:t xml:space="preserve"> (plaintiff’s aiding and abetting breach of fiduciary duty claim against a lawyer failed as a matter of law because the client did not owe fiduciary duty to the plaintiff)</w:t>
      </w:r>
      <w:r>
        <w:rPr>
          <w:rFonts w:eastAsia="Times New Roman"/>
          <w:sz w:val="24"/>
          <w:szCs w:val="24"/>
        </w:rPr>
        <w:t xml:space="preserve">, </w:t>
      </w:r>
      <w:r w:rsidRPr="00492EBF">
        <w:rPr>
          <w:rFonts w:eastAsia="Times New Roman"/>
          <w:i/>
          <w:sz w:val="24"/>
          <w:szCs w:val="24"/>
        </w:rPr>
        <w:t>rev’d on other grounds</w:t>
      </w:r>
      <w:r w:rsidR="0057305E">
        <w:rPr>
          <w:rFonts w:eastAsia="Times New Roman"/>
          <w:i/>
          <w:sz w:val="24"/>
          <w:szCs w:val="24"/>
        </w:rPr>
        <w:t xml:space="preserve"> sub nom.</w:t>
      </w:r>
      <w:r w:rsidR="0057305E" w:rsidRPr="003A2F4E">
        <w:rPr>
          <w:rFonts w:eastAsia="Times New Roman"/>
          <w:b/>
          <w:sz w:val="24"/>
          <w:szCs w:val="24"/>
        </w:rPr>
        <w:t xml:space="preserve"> Bewley v. Semler</w:t>
      </w:r>
      <w:r>
        <w:rPr>
          <w:rFonts w:eastAsia="Times New Roman"/>
          <w:sz w:val="24"/>
          <w:szCs w:val="24"/>
        </w:rPr>
        <w:t xml:space="preserve">, 2018 CO </w:t>
      </w:r>
      <w:r w:rsidR="0057305E">
        <w:rPr>
          <w:rFonts w:eastAsia="Times New Roman"/>
          <w:sz w:val="24"/>
          <w:szCs w:val="24"/>
        </w:rPr>
        <w:t>7</w:t>
      </w:r>
      <w:r>
        <w:rPr>
          <w:rFonts w:eastAsia="Times New Roman"/>
          <w:sz w:val="24"/>
          <w:szCs w:val="24"/>
        </w:rPr>
        <w:t>9</w:t>
      </w:r>
      <w:r w:rsidR="0057305E">
        <w:rPr>
          <w:rFonts w:eastAsia="Times New Roman"/>
          <w:sz w:val="24"/>
          <w:szCs w:val="24"/>
        </w:rPr>
        <w:t>, 432 P.3d 582</w:t>
      </w:r>
      <w:r w:rsidR="00CB7FAF" w:rsidRPr="00CB7FAF">
        <w:rPr>
          <w:rFonts w:eastAsia="Times New Roman"/>
          <w:sz w:val="24"/>
          <w:szCs w:val="24"/>
        </w:rPr>
        <w:t>.</w:t>
      </w:r>
    </w:p>
    <w:p w14:paraId="0B80884C" w14:textId="4FB5736F"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1</w:t>
      </w:r>
      <w:r w:rsidRPr="00CB7FAF">
        <w:rPr>
          <w:rFonts w:eastAsia="Times New Roman"/>
          <w:sz w:val="24"/>
          <w:szCs w:val="24"/>
        </w:rPr>
        <w:t xml:space="preserve">. A litigation privilege protects a lawyer from civil liability for statements made in the course of a judicial proceeding if the statements are related to the litigation. </w:t>
      </w:r>
      <w:r w:rsidRPr="00CB7FAF">
        <w:rPr>
          <w:rFonts w:eastAsia="Times New Roman"/>
          <w:i/>
          <w:iCs/>
          <w:sz w:val="24"/>
          <w:szCs w:val="24"/>
        </w:rPr>
        <w:t xml:space="preserve">See </w:t>
      </w:r>
      <w:r w:rsidRPr="00CB7FAF">
        <w:rPr>
          <w:rFonts w:eastAsia="Times New Roman"/>
          <w:b/>
          <w:sz w:val="24"/>
          <w:szCs w:val="24"/>
        </w:rPr>
        <w:t>Begley v. Ireson</w:t>
      </w:r>
      <w:r w:rsidRPr="00CB7FAF">
        <w:rPr>
          <w:rFonts w:eastAsia="Times New Roman"/>
          <w:sz w:val="24"/>
          <w:szCs w:val="24"/>
        </w:rPr>
        <w:t xml:space="preserve">, 2017 COA 3, ¶ 13, 399 P.3d 777; </w:t>
      </w:r>
      <w:r w:rsidRPr="00CB7FAF">
        <w:rPr>
          <w:rFonts w:eastAsia="Times New Roman"/>
          <w:b/>
          <w:iCs/>
          <w:sz w:val="24"/>
          <w:szCs w:val="24"/>
        </w:rPr>
        <w:t>Buckhannon v. U.S. W. Commc’ns, Inc.</w:t>
      </w:r>
      <w:r w:rsidRPr="00CB7FAF">
        <w:rPr>
          <w:rFonts w:eastAsia="Times New Roman"/>
          <w:sz w:val="24"/>
          <w:szCs w:val="24"/>
        </w:rPr>
        <w:t xml:space="preserve">, 928 P.2d 1331 (Colo. App. 1996); </w:t>
      </w:r>
      <w:r w:rsidRPr="00CB7FAF">
        <w:rPr>
          <w:rFonts w:eastAsia="Times New Roman"/>
          <w:b/>
          <w:iCs/>
          <w:sz w:val="24"/>
          <w:szCs w:val="24"/>
        </w:rPr>
        <w:t>Club Valencia Homeowners Ass’n v. Valencia Assocs.</w:t>
      </w:r>
      <w:r w:rsidRPr="00CB7FAF">
        <w:rPr>
          <w:rFonts w:eastAsia="Times New Roman"/>
          <w:iCs/>
          <w:sz w:val="24"/>
          <w:szCs w:val="24"/>
        </w:rPr>
        <w:t>,</w:t>
      </w:r>
      <w:r w:rsidRPr="00CB7FAF">
        <w:rPr>
          <w:rFonts w:eastAsia="Times New Roman"/>
          <w:sz w:val="24"/>
          <w:szCs w:val="24"/>
        </w:rPr>
        <w:t xml:space="preserve"> 712 P.2d 1024 (Colo. App. 1985). However, only a qualified litigation privilege applies to prelitigation statements. For a litigation privilege to apply to an attorney’s prelitigation statement, the prelitigation statement must be (1) related to prospective litigation, and (2) the prospective litigation must be contemplated in good faith. </w:t>
      </w:r>
      <w:r w:rsidRPr="00CB7FAF">
        <w:rPr>
          <w:rFonts w:eastAsia="Times New Roman"/>
          <w:b/>
          <w:sz w:val="24"/>
          <w:szCs w:val="24"/>
        </w:rPr>
        <w:t>Begley</w:t>
      </w:r>
      <w:r w:rsidRPr="00CB7FAF">
        <w:rPr>
          <w:rFonts w:eastAsia="Times New Roman"/>
          <w:sz w:val="24"/>
          <w:szCs w:val="24"/>
        </w:rPr>
        <w:t xml:space="preserve">, 2017 COA 3, ¶ 17; </w:t>
      </w:r>
      <w:r w:rsidRPr="00CB7FAF">
        <w:rPr>
          <w:rFonts w:eastAsia="Times New Roman"/>
          <w:i/>
          <w:sz w:val="24"/>
          <w:szCs w:val="24"/>
        </w:rPr>
        <w:t>see also</w:t>
      </w:r>
      <w:r w:rsidRPr="00CB7FAF">
        <w:rPr>
          <w:rFonts w:eastAsia="Times New Roman"/>
          <w:sz w:val="24"/>
          <w:szCs w:val="24"/>
        </w:rPr>
        <w:t xml:space="preserve"> </w:t>
      </w:r>
      <w:r w:rsidRPr="00CB7FAF">
        <w:rPr>
          <w:rFonts w:eastAsia="Times New Roman"/>
          <w:b/>
          <w:iCs/>
          <w:sz w:val="24"/>
          <w:szCs w:val="24"/>
        </w:rPr>
        <w:t>Merrick v. Burns, Wall, Smith &amp; Mueller, P.C.</w:t>
      </w:r>
      <w:r w:rsidRPr="00CB7FAF">
        <w:rPr>
          <w:rFonts w:eastAsia="Times New Roman"/>
          <w:sz w:val="24"/>
          <w:szCs w:val="24"/>
        </w:rPr>
        <w:t>, 43 P.3d 712 (Colo. App. 2001).</w:t>
      </w:r>
    </w:p>
    <w:p w14:paraId="5CF97724"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Causation</w:t>
      </w:r>
    </w:p>
    <w:p w14:paraId="695C8E5F" w14:textId="7F1A5751" w:rsidR="00CB7FAF" w:rsidRPr="00CB7FAF" w:rsidRDefault="00CB7FAF" w:rsidP="00CB7FAF">
      <w:pPr>
        <w:spacing w:after="240"/>
        <w:ind w:firstLine="720"/>
        <w:rPr>
          <w:rFonts w:eastAsia="Times New Roman"/>
          <w:i/>
          <w:sz w:val="24"/>
          <w:szCs w:val="24"/>
        </w:rPr>
      </w:pPr>
      <w:r w:rsidRPr="00CB7FAF">
        <w:rPr>
          <w:rFonts w:eastAsia="Times New Roman"/>
          <w:sz w:val="24"/>
          <w:szCs w:val="24"/>
        </w:rPr>
        <w:t>1</w:t>
      </w:r>
      <w:r w:rsidR="00332EF2">
        <w:rPr>
          <w:rFonts w:eastAsia="Times New Roman"/>
          <w:sz w:val="24"/>
          <w:szCs w:val="24"/>
        </w:rPr>
        <w:t>2</w:t>
      </w:r>
      <w:r w:rsidRPr="00CB7FAF">
        <w:rPr>
          <w:rFonts w:eastAsia="Times New Roman"/>
          <w:sz w:val="24"/>
          <w:szCs w:val="24"/>
        </w:rPr>
        <w:t xml:space="preserve">. In </w:t>
      </w:r>
      <w:r w:rsidRPr="00CB7FAF">
        <w:rPr>
          <w:rFonts w:eastAsia="Times New Roman"/>
          <w:b/>
          <w:sz w:val="24"/>
          <w:szCs w:val="24"/>
        </w:rPr>
        <w:t>Boulders at Escalante LLC</w:t>
      </w:r>
      <w:r w:rsidRPr="00CB7FAF">
        <w:rPr>
          <w:rFonts w:eastAsia="Times New Roman"/>
          <w:sz w:val="24"/>
          <w:szCs w:val="24"/>
        </w:rPr>
        <w:t xml:space="preserve">, 2015 COA 85, ¶ 35, 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rFonts w:eastAsia="Times New Roman"/>
          <w:i/>
          <w:sz w:val="24"/>
          <w:szCs w:val="24"/>
        </w:rPr>
        <w:t>Id.</w:t>
      </w:r>
      <w:r w:rsidRPr="00CB7FAF">
        <w:rPr>
          <w:rFonts w:eastAsia="Times New Roman"/>
          <w:sz w:val="24"/>
          <w:szCs w:val="24"/>
        </w:rPr>
        <w:t xml:space="preserve"> at ¶ 49. “Rather, the plaintiff must prove that the attorney’s negligent acts or omissions caused him or her to suffer some financial loss or harm by applying the generally applicable test for cause in fact in negligence actions: that the plaintiff would not have suffered the harm but for the attorney’s negligence.” </w:t>
      </w:r>
      <w:r w:rsidRPr="00CB7FAF">
        <w:rPr>
          <w:rFonts w:eastAsia="Times New Roman"/>
          <w:i/>
          <w:sz w:val="24"/>
          <w:szCs w:val="24"/>
        </w:rPr>
        <w:t>Id.</w:t>
      </w:r>
      <w:r w:rsidRPr="00C977C0">
        <w:rPr>
          <w:rFonts w:eastAsia="Times New Roman"/>
          <w:sz w:val="24"/>
          <w:szCs w:val="24"/>
        </w:rPr>
        <w:t xml:space="preserve">; </w:t>
      </w:r>
      <w:r w:rsidRPr="00CB7FAF">
        <w:rPr>
          <w:rFonts w:eastAsia="Times New Roman"/>
          <w:i/>
          <w:sz w:val="24"/>
          <w:szCs w:val="24"/>
        </w:rPr>
        <w:t xml:space="preserve">see also </w:t>
      </w:r>
      <w:r w:rsidRPr="00CB7FAF">
        <w:rPr>
          <w:rFonts w:eastAsia="Times New Roman"/>
          <w:sz w:val="24"/>
          <w:szCs w:val="24"/>
        </w:rPr>
        <w:t>Source and Authority for Instruction 15:19.</w:t>
      </w:r>
    </w:p>
    <w:p w14:paraId="1ECEBABD"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Emotional Distress Damages</w:t>
      </w:r>
    </w:p>
    <w:p w14:paraId="7BDEB189" w14:textId="3094B124"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3</w:t>
      </w:r>
      <w:r w:rsidRPr="00CB7FAF">
        <w:rPr>
          <w:rFonts w:eastAsia="Times New Roman"/>
          <w:sz w:val="24"/>
          <w:szCs w:val="24"/>
        </w:rPr>
        <w:t xml:space="preserve">. Damages for emotional distress or other noneconomic damages resulting solely from pecuniary loss are not recoverable in a legal malpractice action based on negligence. </w:t>
      </w:r>
      <w:r w:rsidRPr="00CB7FAF">
        <w:rPr>
          <w:rFonts w:eastAsia="Times New Roman"/>
          <w:b/>
          <w:sz w:val="24"/>
          <w:szCs w:val="24"/>
        </w:rPr>
        <w:t>Aller</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140 P.3d at 26-30; </w:t>
      </w:r>
      <w:r w:rsidRPr="00CB7FAF">
        <w:rPr>
          <w:rFonts w:eastAsia="Times New Roman"/>
          <w:b/>
          <w:sz w:val="24"/>
          <w:szCs w:val="24"/>
        </w:rPr>
        <w:t>Gavend</w:t>
      </w:r>
      <w:r w:rsidRPr="00CB7FAF">
        <w:rPr>
          <w:rFonts w:eastAsia="Times New Roman"/>
          <w:sz w:val="24"/>
          <w:szCs w:val="24"/>
        </w:rPr>
        <w:t>, 946 P.2d 562-63.</w:t>
      </w:r>
    </w:p>
    <w:p w14:paraId="294DBC8C" w14:textId="77777777" w:rsidR="00CB7FAF" w:rsidRPr="00E86FC1" w:rsidRDefault="00CB7FAF" w:rsidP="00E86FC1">
      <w:pPr>
        <w:keepNext/>
        <w:rPr>
          <w:rFonts w:eastAsia="Times New Roman"/>
          <w:b/>
          <w:sz w:val="24"/>
          <w:szCs w:val="24"/>
          <w:u w:val="single"/>
        </w:rPr>
      </w:pPr>
      <w:r w:rsidRPr="00CB7FAF">
        <w:rPr>
          <w:rFonts w:eastAsia="Times New Roman"/>
          <w:b/>
          <w:sz w:val="24"/>
          <w:szCs w:val="24"/>
          <w:u w:val="single"/>
        </w:rPr>
        <w:lastRenderedPageBreak/>
        <w:t>Colorado Consumer Protection Act</w:t>
      </w:r>
    </w:p>
    <w:p w14:paraId="2647105E" w14:textId="535C8F83"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4</w:t>
      </w:r>
      <w:r w:rsidRPr="00CB7FAF">
        <w:rPr>
          <w:rFonts w:eastAsia="Times New Roman"/>
          <w:sz w:val="24"/>
          <w:szCs w:val="24"/>
        </w:rPr>
        <w:t xml:space="preserve">. In </w:t>
      </w:r>
      <w:r w:rsidRPr="00CB7FAF">
        <w:rPr>
          <w:rFonts w:eastAsia="Times New Roman"/>
          <w:b/>
          <w:sz w:val="24"/>
          <w:szCs w:val="24"/>
        </w:rPr>
        <w:t>Crowe v. Tull</w:t>
      </w:r>
      <w:r w:rsidRPr="00CB7FAF">
        <w:rPr>
          <w:rFonts w:eastAsia="Times New Roman"/>
          <w:sz w:val="24"/>
          <w:szCs w:val="24"/>
        </w:rPr>
        <w:t xml:space="preserve">, 126 P.3d 196 (Colo. 2006), the supreme court held that attorneys may be held liable for violations of the Colorado Consumer Protection Act (CCPA) where a 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rFonts w:eastAsia="Times New Roman"/>
          <w:i/>
          <w:sz w:val="24"/>
          <w:szCs w:val="24"/>
        </w:rPr>
        <w:t xml:space="preserve">Id. </w:t>
      </w:r>
      <w:r w:rsidRPr="00CB7FAF">
        <w:rPr>
          <w:rFonts w:eastAsia="Times New Roman"/>
          <w:sz w:val="24"/>
          <w:szCs w:val="24"/>
        </w:rPr>
        <w:t xml:space="preserve">The enhanced damages available act as an incentive for the injured party and as a deterrent to fraudulent behavior. </w:t>
      </w:r>
      <w:r w:rsidRPr="00CB7FAF">
        <w:rPr>
          <w:rFonts w:eastAsia="Times New Roman"/>
          <w:i/>
          <w:sz w:val="24"/>
          <w:szCs w:val="24"/>
        </w:rPr>
        <w:t>Id.</w:t>
      </w:r>
      <w:r w:rsidRPr="00CB7FAF">
        <w:rPr>
          <w:rFonts w:eastAsia="Times New Roman"/>
          <w:sz w:val="24"/>
          <w:szCs w:val="24"/>
        </w:rPr>
        <w:t xml:space="preserve"> Further, the court held that there was no conflict between the CCPA and the Rules of Professional Conduct in the type of conduct that they proscribe, and that the CCPA complements rather than contradicts, the court’s implementation of professional rules. </w:t>
      </w:r>
      <w:r w:rsidRPr="00CB7FAF">
        <w:rPr>
          <w:rFonts w:eastAsia="Times New Roman"/>
          <w:i/>
          <w:sz w:val="24"/>
          <w:szCs w:val="24"/>
        </w:rPr>
        <w:t xml:space="preserve">Id. </w:t>
      </w:r>
      <w:r w:rsidRPr="00CB7FAF">
        <w:rPr>
          <w:rFonts w:eastAsia="Times New Roman"/>
          <w:sz w:val="24"/>
          <w:szCs w:val="24"/>
        </w:rPr>
        <w:t xml:space="preserve">Where an attorney’s conduct is proven to constitute a violation of the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p>
    <w:p w14:paraId="0F4BA0E5"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Statute of Limitations</w:t>
      </w:r>
    </w:p>
    <w:p w14:paraId="63683440" w14:textId="20FA81D6"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5</w:t>
      </w:r>
      <w:r w:rsidRPr="00CB7FAF">
        <w:rPr>
          <w:rFonts w:eastAsia="Times New Roman"/>
          <w:sz w:val="24"/>
          <w:szCs w:val="24"/>
        </w:rPr>
        <w:t>. For a discussion as to when the statute of limitations commences to run in a legal malpractice action, see</w:t>
      </w:r>
      <w:r w:rsidRPr="00CB7FAF">
        <w:rPr>
          <w:rFonts w:eastAsia="Times New Roman"/>
          <w:i/>
          <w:sz w:val="24"/>
          <w:szCs w:val="24"/>
        </w:rPr>
        <w:t xml:space="preserve"> </w:t>
      </w:r>
      <w:r w:rsidRPr="00CB7FAF">
        <w:rPr>
          <w:rFonts w:eastAsia="Times New Roman"/>
          <w:b/>
          <w:sz w:val="24"/>
          <w:szCs w:val="24"/>
        </w:rPr>
        <w:t>Morrison v. Goff</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91 P.3d 1050 (Colo. 2004); </w:t>
      </w:r>
      <w:r w:rsidRPr="00CB7FAF">
        <w:rPr>
          <w:rFonts w:eastAsia="Times New Roman"/>
          <w:b/>
          <w:sz w:val="24"/>
          <w:szCs w:val="24"/>
        </w:rPr>
        <w:t>Torrez v. Edwards</w:t>
      </w:r>
      <w:r w:rsidRPr="00CB7FAF">
        <w:rPr>
          <w:rFonts w:eastAsia="Times New Roman"/>
          <w:sz w:val="24"/>
          <w:szCs w:val="24"/>
        </w:rPr>
        <w:t xml:space="preserve">, 107 P.3d 1110 (Colo. App. 2004); and </w:t>
      </w:r>
      <w:r w:rsidRPr="00CB7FAF">
        <w:rPr>
          <w:rFonts w:eastAsia="Times New Roman"/>
          <w:b/>
          <w:sz w:val="24"/>
          <w:szCs w:val="24"/>
        </w:rPr>
        <w:t>Broker House International, Ltd. v. Bendelow</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952 P.2d 860 (Colo. App. 1998). </w:t>
      </w:r>
      <w:r w:rsidRPr="00CB7FAF">
        <w:rPr>
          <w:rFonts w:eastAsia="Times New Roman"/>
          <w:i/>
          <w:sz w:val="24"/>
          <w:szCs w:val="24"/>
        </w:rPr>
        <w:t>See also</w:t>
      </w:r>
      <w:r w:rsidRPr="00CB7FAF">
        <w:rPr>
          <w:rFonts w:eastAsia="Times New Roman"/>
          <w:sz w:val="24"/>
          <w:szCs w:val="24"/>
        </w:rPr>
        <w:t xml:space="preserve"> </w:t>
      </w:r>
      <w:r w:rsidRPr="00CB7FAF">
        <w:rPr>
          <w:rFonts w:eastAsia="Times New Roman"/>
          <w:b/>
          <w:sz w:val="24"/>
          <w:szCs w:val="24"/>
        </w:rPr>
        <w:t>Allen</w:t>
      </w:r>
      <w:r w:rsidRPr="00CB7FAF">
        <w:rPr>
          <w:rFonts w:eastAsia="Times New Roman"/>
          <w:sz w:val="24"/>
          <w:szCs w:val="24"/>
        </w:rPr>
        <w:t>, 203 P.3d at 557;</w:t>
      </w:r>
      <w:r w:rsidRPr="00CB7FAF">
        <w:rPr>
          <w:rFonts w:eastAsia="Times New Roman"/>
          <w:b/>
          <w:sz w:val="24"/>
          <w:szCs w:val="24"/>
        </w:rPr>
        <w:t xml:space="preserve"> Peltz</w:t>
      </w:r>
      <w:r w:rsidRPr="00CB7FAF">
        <w:rPr>
          <w:rFonts w:eastAsia="Times New Roman"/>
          <w:sz w:val="24"/>
          <w:szCs w:val="24"/>
        </w:rPr>
        <w:t xml:space="preserve">, 952 P.2d at 796; </w:t>
      </w:r>
      <w:r w:rsidRPr="00CB7FAF">
        <w:rPr>
          <w:rFonts w:eastAsia="Times New Roman"/>
          <w:b/>
          <w:sz w:val="24"/>
          <w:szCs w:val="24"/>
        </w:rPr>
        <w:t>Gavend</w:t>
      </w:r>
      <w:r w:rsidRPr="00CB7FAF">
        <w:rPr>
          <w:rFonts w:eastAsia="Times New Roman"/>
          <w:sz w:val="24"/>
          <w:szCs w:val="24"/>
        </w:rPr>
        <w:t xml:space="preserve">, 946 P.2d at 563. In </w:t>
      </w:r>
      <w:r w:rsidRPr="00CB7FAF">
        <w:rPr>
          <w:rFonts w:eastAsia="Times New Roman"/>
          <w:b/>
          <w:sz w:val="24"/>
          <w:szCs w:val="24"/>
        </w:rPr>
        <w:t>Morrison</w:t>
      </w:r>
      <w:r w:rsidRPr="00CB7FAF">
        <w:rPr>
          <w:rFonts w:eastAsia="Times New Roman"/>
          <w:sz w:val="24"/>
          <w:szCs w:val="24"/>
        </w:rPr>
        <w:t xml:space="preserve">, 91 P.3d 1050, the supreme court held that a criminal defendant must file and preserve any legal malpractice claim by filing it within the two-year statute of limitations 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rFonts w:eastAsia="Times New Roman"/>
          <w:i/>
          <w:sz w:val="24"/>
          <w:szCs w:val="24"/>
        </w:rPr>
        <w:t>But see</w:t>
      </w:r>
      <w:r w:rsidRPr="00CB7FAF">
        <w:rPr>
          <w:rFonts w:eastAsia="Times New Roman"/>
          <w:sz w:val="24"/>
          <w:szCs w:val="24"/>
        </w:rPr>
        <w:t xml:space="preserve"> </w:t>
      </w:r>
      <w:r w:rsidRPr="00CB7FAF">
        <w:rPr>
          <w:rFonts w:eastAsia="Times New Roman"/>
          <w:b/>
          <w:sz w:val="24"/>
          <w:szCs w:val="24"/>
        </w:rPr>
        <w:t>Wallin v. McCabe</w:t>
      </w:r>
      <w:r w:rsidRPr="00CB7FAF">
        <w:rPr>
          <w:rFonts w:eastAsia="Times New Roman"/>
          <w:sz w:val="24"/>
          <w:szCs w:val="24"/>
        </w:rPr>
        <w:t>, 293 P.3d 81 (Colo. App. 2011) (trial court did not err in denying motion to stay civil case pending resolution of post-conviction motion where plaintiff did not make specific showing of hardship, delays, or prejudice).</w:t>
      </w:r>
    </w:p>
    <w:p w14:paraId="2FA96AE5" w14:textId="77777777" w:rsidR="00BB7045" w:rsidRDefault="00BB7045">
      <w:pPr>
        <w:rPr>
          <w:rFonts w:eastAsia="Times New Roman"/>
          <w:sz w:val="24"/>
          <w:szCs w:val="24"/>
        </w:rPr>
      </w:pPr>
      <w:r>
        <w:rPr>
          <w:rFonts w:eastAsia="Times New Roman"/>
          <w:sz w:val="24"/>
          <w:szCs w:val="24"/>
        </w:rPr>
        <w:br w:type="page"/>
      </w:r>
    </w:p>
    <w:p w14:paraId="11769F66" w14:textId="77777777" w:rsidR="00BB7045" w:rsidRPr="009E3DA4" w:rsidRDefault="00BB7045" w:rsidP="00BB7045">
      <w:pPr>
        <w:spacing w:after="240"/>
        <w:ind w:left="720" w:hanging="720"/>
        <w:rPr>
          <w:rFonts w:eastAsia="Times New Roman"/>
          <w:b/>
          <w:sz w:val="24"/>
          <w:szCs w:val="24"/>
        </w:rPr>
      </w:pPr>
      <w:bookmarkStart w:id="19" w:name="a15_19"/>
      <w:bookmarkEnd w:id="19"/>
      <w:r w:rsidRPr="00BB7045">
        <w:rPr>
          <w:rFonts w:eastAsia="Times New Roman"/>
          <w:b/>
          <w:sz w:val="24"/>
          <w:szCs w:val="24"/>
        </w:rPr>
        <w:lastRenderedPageBreak/>
        <w:t xml:space="preserve">15:19 </w:t>
      </w:r>
      <w:r w:rsidRPr="00BB7045">
        <w:rPr>
          <w:rFonts w:eastAsia="Times New Roman"/>
          <w:b/>
          <w:sz w:val="24"/>
          <w:szCs w:val="24"/>
        </w:rPr>
        <w:tab/>
        <w:t>ELEMENTS OF LIABILITY OF ATTORNEYS — INVOLVING AN UNDERLYING MATTER (CASE-WITHIN-A-CASE)</w:t>
      </w:r>
    </w:p>
    <w:p w14:paraId="0ECDB51E"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For the plaintiff, </w:t>
      </w:r>
      <w:r w:rsidRPr="00BB7045">
        <w:rPr>
          <w:rFonts w:eastAsia="Times New Roman"/>
          <w:i/>
          <w:sz w:val="24"/>
          <w:szCs w:val="24"/>
        </w:rPr>
        <w:t>(name)</w:t>
      </w:r>
      <w:r w:rsidRPr="00BB7045">
        <w:rPr>
          <w:rFonts w:eastAsia="Times New Roman"/>
          <w:b/>
          <w:sz w:val="24"/>
          <w:szCs w:val="24"/>
        </w:rPr>
        <w:t xml:space="preserve">, to recover from the defendant, </w:t>
      </w:r>
      <w:r w:rsidRPr="00BB7045">
        <w:rPr>
          <w:rFonts w:eastAsia="Times New Roman"/>
          <w:i/>
          <w:sz w:val="24"/>
          <w:szCs w:val="24"/>
        </w:rPr>
        <w:t>(name)</w:t>
      </w:r>
      <w:r w:rsidRPr="00BB7045">
        <w:rPr>
          <w:rFonts w:eastAsia="Times New Roman"/>
          <w:b/>
          <w:sz w:val="24"/>
          <w:szCs w:val="24"/>
        </w:rPr>
        <w:t>, on (his) (her) (its) claim of negligence, you must find that all of the following have been proved by a preponderance of the evidence:</w:t>
      </w:r>
    </w:p>
    <w:p w14:paraId="04AA080F"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1. The plaintiff should have prevailed (in the underlying case) (on the underlying claim);</w:t>
      </w:r>
    </w:p>
    <w:p w14:paraId="0A03D7DB"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2. The plaintiff did not prevail because the defendant was negligent in handling that matter; and</w:t>
      </w:r>
    </w:p>
    <w:p w14:paraId="507CAD12"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3. The defendant’s negligence caused the plaintiff to have (injuries) (damages) (losses).</w:t>
      </w:r>
    </w:p>
    <w:p w14:paraId="5A087470"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If you find that any one or more of these </w:t>
      </w:r>
      <w:r w:rsidRPr="00BB7045">
        <w:rPr>
          <w:rFonts w:eastAsia="Times New Roman"/>
          <w:i/>
          <w:sz w:val="24"/>
          <w:szCs w:val="24"/>
        </w:rPr>
        <w:t>(number)</w:t>
      </w:r>
      <w:r w:rsidRPr="00BB7045">
        <w:rPr>
          <w:rFonts w:eastAsia="Times New Roman"/>
          <w:b/>
          <w:sz w:val="24"/>
          <w:szCs w:val="24"/>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On the other hand, if you find that all of these </w:t>
      </w:r>
      <w:r w:rsidRPr="00BB7045">
        <w:rPr>
          <w:rFonts w:eastAsia="Times New Roman"/>
          <w:i/>
          <w:sz w:val="24"/>
          <w:szCs w:val="24"/>
        </w:rPr>
        <w:t xml:space="preserve">(number) </w:t>
      </w:r>
      <w:r w:rsidRPr="00BB7045">
        <w:rPr>
          <w:rFonts w:eastAsia="Times New Roman"/>
          <w:b/>
          <w:sz w:val="24"/>
          <w:szCs w:val="24"/>
        </w:rPr>
        <w:t xml:space="preserve">statements have been proved, (then your verdict must be for the plaintiff) (then you must consider the defendant’s affirmative defense(s) of </w:t>
      </w:r>
      <w:r w:rsidRPr="00BB7045">
        <w:rPr>
          <w:rFonts w:eastAsia="Times New Roman"/>
          <w:i/>
          <w:sz w:val="24"/>
          <w:szCs w:val="24"/>
        </w:rPr>
        <w:t>[insert any affirmative defense that would be a complete defense to plaintiff’s claim]</w:t>
      </w:r>
      <w:r w:rsidRPr="00BB7045">
        <w:rPr>
          <w:rFonts w:eastAsia="Times New Roman"/>
          <w:b/>
          <w:sz w:val="24"/>
          <w:szCs w:val="24"/>
        </w:rPr>
        <w:t>).</w:t>
      </w:r>
    </w:p>
    <w:p w14:paraId="56ECE70E"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rPr>
          <w:rFonts w:eastAsia="Times New Roman"/>
          <w:sz w:val="24"/>
          <w:szCs w:val="24"/>
        </w:rPr>
      </w:pPr>
    </w:p>
    <w:p w14:paraId="42CD9400" w14:textId="77777777" w:rsidR="00BB7045" w:rsidRPr="0054263B" w:rsidRDefault="00BB7045" w:rsidP="00BB7045">
      <w:pPr>
        <w:keepNext/>
        <w:spacing w:after="240"/>
        <w:jc w:val="center"/>
        <w:rPr>
          <w:rFonts w:eastAsia="Times New Roman"/>
          <w:b/>
          <w:sz w:val="24"/>
          <w:szCs w:val="24"/>
        </w:rPr>
      </w:pPr>
      <w:r w:rsidRPr="0054263B">
        <w:rPr>
          <w:rFonts w:eastAsia="Times New Roman"/>
          <w:b/>
          <w:sz w:val="24"/>
          <w:szCs w:val="24"/>
        </w:rPr>
        <w:t>Notes on Use</w:t>
      </w:r>
    </w:p>
    <w:p w14:paraId="63B39DC3"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1. When this instruction is used, Instructions </w:t>
      </w:r>
      <w:smartTag w:uri="urn:schemas-microsoft-com:office:smarttags" w:element="time">
        <w:smartTagPr>
          <w:attr w:name="Hour" w:val="15"/>
          <w:attr w:name="Minute" w:val="20"/>
        </w:smartTagPr>
        <w:r w:rsidRPr="00BB7045">
          <w:rPr>
            <w:rFonts w:eastAsia="Times New Roman"/>
            <w:sz w:val="24"/>
            <w:szCs w:val="24"/>
          </w:rPr>
          <w:t>15:20</w:t>
        </w:r>
      </w:smartTag>
      <w:r w:rsidRPr="00BB7045">
        <w:rPr>
          <w:rFonts w:eastAsia="Times New Roman"/>
          <w:sz w:val="24"/>
          <w:szCs w:val="24"/>
        </w:rPr>
        <w:t xml:space="preserve"> and </w:t>
      </w:r>
      <w:smartTag w:uri="urn:schemas-microsoft-com:office:smarttags" w:element="time">
        <w:smartTagPr>
          <w:attr w:name="Hour" w:val="15"/>
          <w:attr w:name="Minute" w:val="21"/>
        </w:smartTagPr>
        <w:r w:rsidRPr="00BB7045">
          <w:rPr>
            <w:rFonts w:eastAsia="Times New Roman"/>
            <w:sz w:val="24"/>
            <w:szCs w:val="24"/>
          </w:rPr>
          <w:t>15:21</w:t>
        </w:r>
      </w:smartTag>
      <w:r w:rsidRPr="00BB7045">
        <w:rPr>
          <w:rFonts w:eastAsia="Times New Roman"/>
          <w:sz w:val="24"/>
          <w:szCs w:val="24"/>
        </w:rPr>
        <w:t xml:space="preserve"> must also be given.</w:t>
      </w:r>
    </w:p>
    <w:p w14:paraId="7CB832E7"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2. Use whichever parenthesized words and phrases are appropriate.</w:t>
      </w:r>
    </w:p>
    <w:p w14:paraId="4185CBCB" w14:textId="394B98EC"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3. In cases alleging transactional malpractice against attorneys, the Committee recommends that Instruction 15:27 be considered and, if necessary, modified to fit the circumstances of the case. In </w:t>
      </w:r>
      <w:r w:rsidRPr="00BB7045">
        <w:rPr>
          <w:rFonts w:eastAsia="Times New Roman"/>
          <w:b/>
          <w:bCs/>
          <w:sz w:val="24"/>
          <w:szCs w:val="24"/>
        </w:rPr>
        <w:t>Gibbons v. Ludlow</w:t>
      </w:r>
      <w:r w:rsidRPr="00BB7045">
        <w:rPr>
          <w:rFonts w:eastAsia="Times New Roman"/>
          <w:bCs/>
          <w:iCs/>
          <w:sz w:val="24"/>
          <w:szCs w:val="24"/>
        </w:rPr>
        <w:t>,</w:t>
      </w:r>
      <w:r w:rsidRPr="00BB7045">
        <w:rPr>
          <w:rFonts w:eastAsia="Times New Roman"/>
          <w:sz w:val="24"/>
          <w:szCs w:val="24"/>
        </w:rPr>
        <w:t xml:space="preserve"> 2013 CO 49, </w:t>
      </w:r>
      <w:r w:rsidR="00DD621C">
        <w:rPr>
          <w:rFonts w:eastAsia="Times New Roman"/>
          <w:sz w:val="24"/>
          <w:szCs w:val="24"/>
        </w:rPr>
        <w:t xml:space="preserve">¶ 16, </w:t>
      </w:r>
      <w:r w:rsidR="0061116A">
        <w:rPr>
          <w:rFonts w:eastAsia="Times New Roman"/>
          <w:sz w:val="24"/>
          <w:szCs w:val="24"/>
        </w:rPr>
        <w:t>304 P.3d 239</w:t>
      </w:r>
      <w:r w:rsidR="00DD621C">
        <w:rPr>
          <w:rFonts w:eastAsia="Times New Roman"/>
          <w:sz w:val="24"/>
          <w:szCs w:val="24"/>
        </w:rPr>
        <w:t>,</w:t>
      </w:r>
      <w:r w:rsidR="0061116A">
        <w:rPr>
          <w:rFonts w:eastAsia="Times New Roman"/>
          <w:sz w:val="24"/>
          <w:szCs w:val="24"/>
        </w:rPr>
        <w:t xml:space="preserve"> </w:t>
      </w:r>
      <w:r w:rsidRPr="00BB7045">
        <w:rPr>
          <w:rFonts w:eastAsia="Times New Roman"/>
          <w:sz w:val="24"/>
          <w:szCs w:val="24"/>
        </w:rPr>
        <w:t xml:space="preserve">the </w:t>
      </w:r>
      <w:r w:rsidR="00DD621C">
        <w:rPr>
          <w:rFonts w:eastAsia="Times New Roman"/>
          <w:sz w:val="24"/>
          <w:szCs w:val="24"/>
        </w:rPr>
        <w:t>s</w:t>
      </w:r>
      <w:r w:rsidRPr="00BB7045">
        <w:rPr>
          <w:rFonts w:eastAsia="Times New Roman"/>
          <w:sz w:val="24"/>
          <w:szCs w:val="24"/>
        </w:rPr>
        <w:t xml:space="preserve">upreme </w:t>
      </w:r>
      <w:r w:rsidR="00DD621C">
        <w:rPr>
          <w:rFonts w:eastAsia="Times New Roman"/>
          <w:sz w:val="24"/>
          <w:szCs w:val="24"/>
        </w:rPr>
        <w:t>c</w:t>
      </w:r>
      <w:r w:rsidRPr="00BB7045">
        <w:rPr>
          <w:rFonts w:eastAsia="Times New Roman"/>
          <w:sz w:val="24"/>
          <w:szCs w:val="24"/>
        </w:rPr>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rFonts w:eastAsia="Times New Roman"/>
          <w:i/>
          <w:sz w:val="24"/>
          <w:szCs w:val="24"/>
        </w:rPr>
        <w:t xml:space="preserve">See also </w:t>
      </w:r>
      <w:r w:rsidRPr="00BB7045">
        <w:rPr>
          <w:rFonts w:eastAsia="Times New Roman"/>
          <w:b/>
          <w:sz w:val="24"/>
          <w:szCs w:val="24"/>
        </w:rPr>
        <w:t>Boulders at Escalante LLC v. Otten Johnson Robinson Neff &amp; Ragonetti PC</w:t>
      </w:r>
      <w:r w:rsidRPr="00BB7045">
        <w:rPr>
          <w:rFonts w:eastAsia="Times New Roman"/>
          <w:sz w:val="24"/>
          <w:szCs w:val="24"/>
        </w:rPr>
        <w:t>, 2015 COA 85, ¶ 46</w:t>
      </w:r>
      <w:r w:rsidR="0061116A">
        <w:rPr>
          <w:rFonts w:eastAsia="Times New Roman"/>
          <w:sz w:val="24"/>
          <w:szCs w:val="24"/>
        </w:rPr>
        <w:t>, 412 P.3d 751</w:t>
      </w:r>
      <w:r w:rsidRPr="00BB7045">
        <w:rPr>
          <w:rFonts w:eastAsia="Times New Roman"/>
          <w:sz w:val="24"/>
          <w:szCs w:val="24"/>
        </w:rPr>
        <w:t xml:space="preserve"> (stating that the case within a case framework </w:t>
      </w:r>
      <w:r w:rsidRPr="00BB7045">
        <w:rPr>
          <w:rFonts w:eastAsia="Times New Roman"/>
          <w:sz w:val="24"/>
          <w:szCs w:val="24"/>
        </w:rPr>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rFonts w:eastAsia="Times New Roman"/>
          <w:b/>
          <w:sz w:val="24"/>
          <w:szCs w:val="24"/>
        </w:rPr>
      </w:pPr>
      <w:r>
        <w:rPr>
          <w:rFonts w:eastAsia="Times New Roman"/>
          <w:b/>
          <w:sz w:val="24"/>
          <w:szCs w:val="24"/>
        </w:rPr>
        <w:t>Source and Authority</w:t>
      </w:r>
    </w:p>
    <w:p w14:paraId="1238D4DC" w14:textId="62CDE702"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1. This instruction is supported by </w:t>
      </w:r>
      <w:r w:rsidRPr="00BB7045">
        <w:rPr>
          <w:rFonts w:eastAsia="Times New Roman"/>
          <w:b/>
          <w:sz w:val="24"/>
          <w:szCs w:val="24"/>
        </w:rPr>
        <w:t>Rantz v. Kaufman</w:t>
      </w:r>
      <w:r w:rsidRPr="00BB7045">
        <w:rPr>
          <w:rFonts w:eastAsia="Times New Roman"/>
          <w:sz w:val="24"/>
          <w:szCs w:val="24"/>
        </w:rPr>
        <w:t xml:space="preserve">, 109 P.3d 132 (Colo. 2005); </w:t>
      </w:r>
      <w:r w:rsidRPr="00BB7045">
        <w:rPr>
          <w:rFonts w:eastAsia="Times New Roman"/>
          <w:b/>
          <w:sz w:val="24"/>
          <w:szCs w:val="24"/>
        </w:rPr>
        <w:t>Bebo Construction Co. v. Mattox &amp; O’Brien</w:t>
      </w:r>
      <w:r w:rsidRPr="00BB7045">
        <w:rPr>
          <w:rFonts w:eastAsia="Times New Roman"/>
          <w:sz w:val="24"/>
          <w:szCs w:val="24"/>
        </w:rPr>
        <w:t>,</w:t>
      </w:r>
      <w:r w:rsidRPr="00BB7045">
        <w:rPr>
          <w:rFonts w:eastAsia="Times New Roman"/>
          <w:b/>
          <w:sz w:val="24"/>
          <w:szCs w:val="24"/>
        </w:rPr>
        <w:t xml:space="preserve"> </w:t>
      </w:r>
      <w:r w:rsidR="00742BEC">
        <w:rPr>
          <w:rFonts w:eastAsia="Times New Roman"/>
          <w:b/>
          <w:sz w:val="24"/>
          <w:szCs w:val="24"/>
        </w:rPr>
        <w:t>P.C.</w:t>
      </w:r>
      <w:r w:rsidR="00742BEC" w:rsidRPr="00742BEC">
        <w:rPr>
          <w:rFonts w:eastAsia="Times New Roman"/>
          <w:sz w:val="24"/>
          <w:szCs w:val="24"/>
        </w:rPr>
        <w:t xml:space="preserve">, </w:t>
      </w:r>
      <w:r w:rsidRPr="00BB7045">
        <w:rPr>
          <w:rFonts w:eastAsia="Times New Roman"/>
          <w:sz w:val="24"/>
          <w:szCs w:val="24"/>
        </w:rPr>
        <w:t xml:space="preserve">990 P.2d 78 (Colo. 1999); </w:t>
      </w:r>
      <w:r w:rsidRPr="00BB7045">
        <w:rPr>
          <w:rFonts w:eastAsia="Times New Roman"/>
          <w:b/>
          <w:sz w:val="24"/>
          <w:szCs w:val="24"/>
        </w:rPr>
        <w:t>Allen v. Martin</w:t>
      </w:r>
      <w:r w:rsidRPr="00BB7045">
        <w:rPr>
          <w:rFonts w:eastAsia="Times New Roman"/>
          <w:sz w:val="24"/>
          <w:szCs w:val="24"/>
        </w:rPr>
        <w:t>, 203 P.3d 546 (</w:t>
      </w:r>
      <w:r w:rsidR="00735ECD">
        <w:rPr>
          <w:rFonts w:eastAsia="Times New Roman"/>
          <w:sz w:val="24"/>
          <w:szCs w:val="24"/>
        </w:rPr>
        <w:t>Colo. App.</w:t>
      </w:r>
      <w:r w:rsidRPr="00BB7045">
        <w:rPr>
          <w:rFonts w:eastAsia="Times New Roman"/>
          <w:sz w:val="24"/>
          <w:szCs w:val="24"/>
        </w:rPr>
        <w:t xml:space="preserve"> 2008); </w:t>
      </w:r>
      <w:r w:rsidRPr="00BB7045">
        <w:rPr>
          <w:rFonts w:eastAsia="Times New Roman"/>
          <w:b/>
          <w:sz w:val="24"/>
          <w:szCs w:val="24"/>
        </w:rPr>
        <w:t>Bristol Co. v. Osman</w:t>
      </w:r>
      <w:r w:rsidRPr="00BB7045">
        <w:rPr>
          <w:rFonts w:eastAsia="Times New Roman"/>
          <w:sz w:val="24"/>
          <w:szCs w:val="24"/>
        </w:rPr>
        <w:t>, 190 P.3d 752 (</w:t>
      </w:r>
      <w:r w:rsidR="00735ECD">
        <w:rPr>
          <w:rFonts w:eastAsia="Times New Roman"/>
          <w:sz w:val="24"/>
          <w:szCs w:val="24"/>
        </w:rPr>
        <w:t>Colo. App.</w:t>
      </w:r>
      <w:r w:rsidR="000F0BDF">
        <w:rPr>
          <w:rFonts w:eastAsia="Times New Roman"/>
          <w:sz w:val="24"/>
          <w:szCs w:val="24"/>
        </w:rPr>
        <w:t xml:space="preserve"> </w:t>
      </w:r>
      <w:r w:rsidRPr="00BB7045">
        <w:rPr>
          <w:rFonts w:eastAsia="Times New Roman"/>
          <w:sz w:val="24"/>
          <w:szCs w:val="24"/>
        </w:rPr>
        <w:t>200</w:t>
      </w:r>
      <w:r w:rsidR="000F0BDF">
        <w:rPr>
          <w:rFonts w:eastAsia="Times New Roman"/>
          <w:sz w:val="24"/>
          <w:szCs w:val="24"/>
        </w:rPr>
        <w:t>7</w:t>
      </w:r>
      <w:r w:rsidRPr="00BB7045">
        <w:rPr>
          <w:rFonts w:eastAsia="Times New Roman"/>
          <w:sz w:val="24"/>
          <w:szCs w:val="24"/>
        </w:rPr>
        <w:t xml:space="preserve">); </w:t>
      </w:r>
      <w:r w:rsidRPr="00BB7045">
        <w:rPr>
          <w:rFonts w:eastAsia="Times New Roman"/>
          <w:b/>
          <w:sz w:val="24"/>
          <w:szCs w:val="24"/>
        </w:rPr>
        <w:t>Giron v. Koktavy</w:t>
      </w:r>
      <w:r w:rsidRPr="00BB7045">
        <w:rPr>
          <w:rFonts w:eastAsia="Times New Roman"/>
          <w:sz w:val="24"/>
          <w:szCs w:val="24"/>
        </w:rPr>
        <w:t>, 124 P.3d 821 (</w:t>
      </w:r>
      <w:r w:rsidR="00735ECD">
        <w:rPr>
          <w:rFonts w:eastAsia="Times New Roman"/>
          <w:sz w:val="24"/>
          <w:szCs w:val="24"/>
        </w:rPr>
        <w:t>Colo. App.</w:t>
      </w:r>
      <w:r w:rsidR="000F0BDF">
        <w:rPr>
          <w:rFonts w:eastAsia="Times New Roman"/>
          <w:sz w:val="24"/>
          <w:szCs w:val="24"/>
        </w:rPr>
        <w:t xml:space="preserve"> </w:t>
      </w:r>
      <w:r w:rsidRPr="00BB7045">
        <w:rPr>
          <w:rFonts w:eastAsia="Times New Roman"/>
          <w:sz w:val="24"/>
          <w:szCs w:val="24"/>
        </w:rPr>
        <w:t xml:space="preserve">2005); </w:t>
      </w:r>
      <w:r w:rsidRPr="00BB7045">
        <w:rPr>
          <w:rFonts w:eastAsia="Times New Roman"/>
          <w:b/>
          <w:sz w:val="24"/>
          <w:szCs w:val="24"/>
        </w:rPr>
        <w:t>Luttgen v. Fischer</w:t>
      </w:r>
      <w:r w:rsidRPr="00BB7045">
        <w:rPr>
          <w:rFonts w:eastAsia="Times New Roman"/>
          <w:sz w:val="24"/>
          <w:szCs w:val="24"/>
        </w:rPr>
        <w:t>, 107 P.3d 1152 (</w:t>
      </w:r>
      <w:r w:rsidR="00735ECD">
        <w:rPr>
          <w:rFonts w:eastAsia="Times New Roman"/>
          <w:sz w:val="24"/>
          <w:szCs w:val="24"/>
        </w:rPr>
        <w:t>Colo. App.</w:t>
      </w:r>
      <w:r w:rsidRPr="00BB7045">
        <w:rPr>
          <w:rFonts w:eastAsia="Times New Roman"/>
          <w:sz w:val="24"/>
          <w:szCs w:val="24"/>
        </w:rPr>
        <w:t xml:space="preserve"> 2005); </w:t>
      </w:r>
      <w:r w:rsidRPr="00BB7045">
        <w:rPr>
          <w:rFonts w:eastAsia="Times New Roman"/>
          <w:b/>
          <w:sz w:val="24"/>
          <w:szCs w:val="24"/>
        </w:rPr>
        <w:t>Brown v. Silvern</w:t>
      </w:r>
      <w:r w:rsidRPr="00BB7045">
        <w:rPr>
          <w:rFonts w:eastAsia="Times New Roman"/>
          <w:sz w:val="24"/>
          <w:szCs w:val="24"/>
        </w:rPr>
        <w:t>, 45 P.3d 749 (</w:t>
      </w:r>
      <w:r w:rsidR="00735ECD">
        <w:rPr>
          <w:rFonts w:eastAsia="Times New Roman"/>
          <w:sz w:val="24"/>
          <w:szCs w:val="24"/>
        </w:rPr>
        <w:t>Colo. App.</w:t>
      </w:r>
      <w:r w:rsidRPr="00BB7045">
        <w:rPr>
          <w:rFonts w:eastAsia="Times New Roman"/>
          <w:sz w:val="24"/>
          <w:szCs w:val="24"/>
        </w:rPr>
        <w:t xml:space="preserve"> 2001); </w:t>
      </w:r>
      <w:r w:rsidRPr="00BB7045">
        <w:rPr>
          <w:rFonts w:eastAsia="Times New Roman"/>
          <w:b/>
          <w:sz w:val="24"/>
          <w:szCs w:val="24"/>
        </w:rPr>
        <w:t>Tripp v. Borchard</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29 P.3d 345 (</w:t>
      </w:r>
      <w:r w:rsidR="00735ECD">
        <w:rPr>
          <w:rFonts w:eastAsia="Times New Roman"/>
          <w:sz w:val="24"/>
          <w:szCs w:val="24"/>
        </w:rPr>
        <w:t>Colo. App.</w:t>
      </w:r>
      <w:r w:rsidRPr="00BB7045">
        <w:rPr>
          <w:rFonts w:eastAsia="Times New Roman"/>
          <w:sz w:val="24"/>
          <w:szCs w:val="24"/>
        </w:rPr>
        <w:t xml:space="preserve"> 2001); and </w:t>
      </w:r>
      <w:r w:rsidRPr="00BB7045">
        <w:rPr>
          <w:rFonts w:eastAsia="Times New Roman"/>
          <w:b/>
          <w:sz w:val="24"/>
          <w:szCs w:val="24"/>
        </w:rPr>
        <w:t>Miller v. Byrne</w:t>
      </w:r>
      <w:r w:rsidRPr="00BB7045">
        <w:rPr>
          <w:rFonts w:eastAsia="Times New Roman"/>
          <w:sz w:val="24"/>
          <w:szCs w:val="24"/>
        </w:rPr>
        <w:t>, 916 P.2d 566 (</w:t>
      </w:r>
      <w:r w:rsidR="00735ECD">
        <w:rPr>
          <w:rFonts w:eastAsia="Times New Roman"/>
          <w:sz w:val="24"/>
          <w:szCs w:val="24"/>
        </w:rPr>
        <w:t>Colo. App.</w:t>
      </w:r>
      <w:r w:rsidRPr="00BB7045">
        <w:rPr>
          <w:rFonts w:eastAsia="Times New Roman"/>
          <w:sz w:val="24"/>
          <w:szCs w:val="24"/>
        </w:rPr>
        <w:t xml:space="preserve"> 1995).</w:t>
      </w:r>
    </w:p>
    <w:p w14:paraId="294AB625" w14:textId="09A73939"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2. Proof of negligence and causation in a legal malpractice claim arising out of an underlying case or claim requires proof that the plaintiff should have prevailed in the underlying claim. </w:t>
      </w:r>
      <w:r w:rsidRPr="00BB7045">
        <w:rPr>
          <w:rFonts w:eastAsia="Times New Roman"/>
          <w:b/>
          <w:sz w:val="24"/>
          <w:szCs w:val="24"/>
        </w:rPr>
        <w:t>Stanton v. Schultz</w:t>
      </w:r>
      <w:r w:rsidRPr="00BB7045">
        <w:rPr>
          <w:rFonts w:eastAsia="Times New Roman"/>
          <w:sz w:val="24"/>
          <w:szCs w:val="24"/>
        </w:rPr>
        <w:t xml:space="preserve">, 222 P.3d 303 (Colo. 2010); </w:t>
      </w:r>
      <w:r w:rsidRPr="00BB7045">
        <w:rPr>
          <w:rFonts w:eastAsia="Times New Roman"/>
          <w:b/>
          <w:sz w:val="24"/>
          <w:szCs w:val="24"/>
        </w:rPr>
        <w:t>Rantz</w:t>
      </w:r>
      <w:r w:rsidRPr="00BB7045">
        <w:rPr>
          <w:rFonts w:eastAsia="Times New Roman"/>
          <w:sz w:val="24"/>
          <w:szCs w:val="24"/>
        </w:rPr>
        <w:t xml:space="preserve">, 109 P.3d </w:t>
      </w:r>
      <w:r w:rsidR="00742BEC">
        <w:rPr>
          <w:rFonts w:eastAsia="Times New Roman"/>
          <w:sz w:val="24"/>
          <w:szCs w:val="24"/>
        </w:rPr>
        <w:t xml:space="preserve">at </w:t>
      </w:r>
      <w:r w:rsidRPr="00BB7045">
        <w:rPr>
          <w:rFonts w:eastAsia="Times New Roman"/>
          <w:sz w:val="24"/>
          <w:szCs w:val="24"/>
        </w:rPr>
        <w:t>13</w:t>
      </w:r>
      <w:r w:rsidR="00742BEC">
        <w:rPr>
          <w:rFonts w:eastAsia="Times New Roman"/>
          <w:sz w:val="24"/>
          <w:szCs w:val="24"/>
        </w:rPr>
        <w:t>6</w:t>
      </w:r>
      <w:r w:rsidRPr="00BB7045">
        <w:rPr>
          <w:rFonts w:eastAsia="Times New Roman"/>
          <w:sz w:val="24"/>
          <w:szCs w:val="24"/>
        </w:rPr>
        <w:t xml:space="preserve">; </w:t>
      </w:r>
      <w:r w:rsidRPr="00BB7045">
        <w:rPr>
          <w:rFonts w:eastAsia="Times New Roman"/>
          <w:b/>
          <w:sz w:val="24"/>
          <w:szCs w:val="24"/>
        </w:rPr>
        <w:t>Bebo Constr. Co.</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990 P.2d </w:t>
      </w:r>
      <w:r w:rsidR="00742BEC">
        <w:rPr>
          <w:rFonts w:eastAsia="Times New Roman"/>
          <w:sz w:val="24"/>
          <w:szCs w:val="24"/>
        </w:rPr>
        <w:t>at 83</w:t>
      </w:r>
      <w:r w:rsidRPr="00BB7045">
        <w:rPr>
          <w:rFonts w:eastAsia="Times New Roman"/>
          <w:sz w:val="24"/>
          <w:szCs w:val="24"/>
        </w:rPr>
        <w:t xml:space="preserve">; </w:t>
      </w:r>
      <w:r w:rsidRPr="00BB7045">
        <w:rPr>
          <w:rFonts w:eastAsia="Times New Roman"/>
          <w:b/>
          <w:sz w:val="24"/>
          <w:szCs w:val="24"/>
        </w:rPr>
        <w:t>Allen</w:t>
      </w:r>
      <w:r w:rsidRPr="00BB7045">
        <w:rPr>
          <w:rFonts w:eastAsia="Times New Roman"/>
          <w:sz w:val="24"/>
          <w:szCs w:val="24"/>
        </w:rPr>
        <w:t xml:space="preserve">, 203 P.3d </w:t>
      </w:r>
      <w:r w:rsidR="00742BEC">
        <w:rPr>
          <w:rFonts w:eastAsia="Times New Roman"/>
          <w:sz w:val="24"/>
          <w:szCs w:val="24"/>
        </w:rPr>
        <w:t xml:space="preserve">at </w:t>
      </w:r>
      <w:r w:rsidRPr="00BB7045">
        <w:rPr>
          <w:rFonts w:eastAsia="Times New Roman"/>
          <w:sz w:val="24"/>
          <w:szCs w:val="24"/>
        </w:rPr>
        <w:t>5</w:t>
      </w:r>
      <w:r w:rsidR="000F0BDF">
        <w:rPr>
          <w:rFonts w:eastAsia="Times New Roman"/>
          <w:sz w:val="24"/>
          <w:szCs w:val="24"/>
        </w:rPr>
        <w:t>57</w:t>
      </w:r>
      <w:r w:rsidRPr="00BB7045">
        <w:rPr>
          <w:rFonts w:eastAsia="Times New Roman"/>
          <w:sz w:val="24"/>
          <w:szCs w:val="24"/>
        </w:rPr>
        <w:t xml:space="preserve">; </w:t>
      </w:r>
      <w:r w:rsidRPr="00BB7045">
        <w:rPr>
          <w:rFonts w:eastAsia="Times New Roman"/>
          <w:b/>
          <w:sz w:val="24"/>
          <w:szCs w:val="24"/>
        </w:rPr>
        <w:t>Giron</w:t>
      </w:r>
      <w:r w:rsidRPr="00BB7045">
        <w:rPr>
          <w:rFonts w:eastAsia="Times New Roman"/>
          <w:sz w:val="24"/>
          <w:szCs w:val="24"/>
        </w:rPr>
        <w:t xml:space="preserve">, 124 P.3d </w:t>
      </w:r>
      <w:r w:rsidR="000F0BDF">
        <w:rPr>
          <w:rFonts w:eastAsia="Times New Roman"/>
          <w:sz w:val="24"/>
          <w:szCs w:val="24"/>
        </w:rPr>
        <w:t xml:space="preserve">at </w:t>
      </w:r>
      <w:r w:rsidRPr="00BB7045">
        <w:rPr>
          <w:rFonts w:eastAsia="Times New Roman"/>
          <w:sz w:val="24"/>
          <w:szCs w:val="24"/>
        </w:rPr>
        <w:t>82</w:t>
      </w:r>
      <w:r w:rsidR="000F0BDF">
        <w:rPr>
          <w:rFonts w:eastAsia="Times New Roman"/>
          <w:sz w:val="24"/>
          <w:szCs w:val="24"/>
        </w:rPr>
        <w:t>4</w:t>
      </w:r>
      <w:r w:rsidRPr="00BB7045">
        <w:rPr>
          <w:rFonts w:eastAsia="Times New Roman"/>
          <w:sz w:val="24"/>
          <w:szCs w:val="24"/>
        </w:rPr>
        <w:t xml:space="preserve">; </w:t>
      </w:r>
      <w:r w:rsidRPr="00BB7045">
        <w:rPr>
          <w:rFonts w:eastAsia="Times New Roman"/>
          <w:b/>
          <w:sz w:val="24"/>
          <w:szCs w:val="24"/>
        </w:rPr>
        <w:t>Luttgen</w:t>
      </w:r>
      <w:r w:rsidRPr="00BB7045">
        <w:rPr>
          <w:rFonts w:eastAsia="Times New Roman"/>
          <w:sz w:val="24"/>
          <w:szCs w:val="24"/>
        </w:rPr>
        <w:t xml:space="preserve">, 107 P.3d </w:t>
      </w:r>
      <w:r w:rsidR="00444452">
        <w:rPr>
          <w:rFonts w:eastAsia="Times New Roman"/>
          <w:sz w:val="24"/>
          <w:szCs w:val="24"/>
        </w:rPr>
        <w:t xml:space="preserve">at </w:t>
      </w:r>
      <w:r w:rsidRPr="00BB7045">
        <w:rPr>
          <w:rFonts w:eastAsia="Times New Roman"/>
          <w:sz w:val="24"/>
          <w:szCs w:val="24"/>
        </w:rPr>
        <w:t>115</w:t>
      </w:r>
      <w:r w:rsidR="00444452">
        <w:rPr>
          <w:rFonts w:eastAsia="Times New Roman"/>
          <w:sz w:val="24"/>
          <w:szCs w:val="24"/>
        </w:rPr>
        <w:t>4</w:t>
      </w:r>
      <w:r w:rsidRPr="00BB7045">
        <w:rPr>
          <w:rFonts w:eastAsia="Times New Roman"/>
          <w:sz w:val="24"/>
          <w:szCs w:val="24"/>
        </w:rPr>
        <w:t xml:space="preserve">; </w:t>
      </w:r>
      <w:r w:rsidRPr="00BB7045">
        <w:rPr>
          <w:rFonts w:eastAsia="Times New Roman"/>
          <w:b/>
          <w:sz w:val="24"/>
          <w:szCs w:val="24"/>
        </w:rPr>
        <w:t>Brown</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45 P.3d </w:t>
      </w:r>
      <w:r w:rsidR="00444452">
        <w:rPr>
          <w:rFonts w:eastAsia="Times New Roman"/>
          <w:sz w:val="24"/>
          <w:szCs w:val="24"/>
        </w:rPr>
        <w:t xml:space="preserve">at </w:t>
      </w:r>
      <w:r w:rsidRPr="00BB7045">
        <w:rPr>
          <w:rFonts w:eastAsia="Times New Roman"/>
          <w:sz w:val="24"/>
          <w:szCs w:val="24"/>
        </w:rPr>
        <w:t>7</w:t>
      </w:r>
      <w:r w:rsidR="00444452">
        <w:rPr>
          <w:rFonts w:eastAsia="Times New Roman"/>
          <w:sz w:val="24"/>
          <w:szCs w:val="24"/>
        </w:rPr>
        <w:t>51</w:t>
      </w:r>
      <w:r w:rsidRPr="00BB7045">
        <w:rPr>
          <w:rFonts w:eastAsia="Times New Roman"/>
          <w:sz w:val="24"/>
          <w:szCs w:val="24"/>
        </w:rPr>
        <w:t xml:space="preserve">; </w:t>
      </w:r>
      <w:r w:rsidRPr="00BB7045">
        <w:rPr>
          <w:rFonts w:eastAsia="Times New Roman"/>
          <w:b/>
          <w:sz w:val="24"/>
          <w:szCs w:val="24"/>
        </w:rPr>
        <w:t>Fleming v. Lentz,</w:t>
      </w:r>
      <w:r w:rsidRPr="00BB7045">
        <w:rPr>
          <w:rFonts w:eastAsia="Times New Roman"/>
          <w:sz w:val="24"/>
          <w:szCs w:val="24"/>
        </w:rPr>
        <w:t xml:space="preserve"> </w:t>
      </w:r>
      <w:r w:rsidRPr="00BB7045">
        <w:rPr>
          <w:rFonts w:eastAsia="Times New Roman"/>
          <w:b/>
          <w:sz w:val="24"/>
          <w:szCs w:val="24"/>
        </w:rPr>
        <w:t>Evans, &amp; King, P.C.</w:t>
      </w:r>
      <w:r w:rsidRPr="00BB7045">
        <w:rPr>
          <w:rFonts w:eastAsia="Times New Roman"/>
          <w:sz w:val="24"/>
          <w:szCs w:val="24"/>
        </w:rPr>
        <w:t>, 873 P.2d 38 (</w:t>
      </w:r>
      <w:r w:rsidR="00735ECD">
        <w:rPr>
          <w:rFonts w:eastAsia="Times New Roman"/>
          <w:sz w:val="24"/>
          <w:szCs w:val="24"/>
        </w:rPr>
        <w:t>Colo. App.</w:t>
      </w:r>
      <w:r w:rsidRPr="00BB7045">
        <w:rPr>
          <w:rFonts w:eastAsia="Times New Roman"/>
          <w:sz w:val="24"/>
          <w:szCs w:val="24"/>
        </w:rPr>
        <w:t xml:space="preserve"> 1994); </w:t>
      </w:r>
      <w:r w:rsidRPr="00BB7045">
        <w:rPr>
          <w:rFonts w:eastAsia="Times New Roman"/>
          <w:b/>
          <w:sz w:val="24"/>
          <w:szCs w:val="24"/>
        </w:rPr>
        <w:t>McCafferty v. Musat</w:t>
      </w:r>
      <w:r w:rsidRPr="00BB7045">
        <w:rPr>
          <w:rFonts w:eastAsia="Times New Roman"/>
          <w:sz w:val="24"/>
          <w:szCs w:val="24"/>
        </w:rPr>
        <w:t>, 817 P.2d 1039 (</w:t>
      </w:r>
      <w:r w:rsidR="00735ECD">
        <w:rPr>
          <w:rFonts w:eastAsia="Times New Roman"/>
          <w:sz w:val="24"/>
          <w:szCs w:val="24"/>
        </w:rPr>
        <w:t>Colo. App.</w:t>
      </w:r>
      <w:r w:rsidRPr="00BB7045">
        <w:rPr>
          <w:rFonts w:eastAsia="Times New Roman"/>
          <w:sz w:val="24"/>
          <w:szCs w:val="24"/>
        </w:rPr>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rFonts w:eastAsia="Times New Roman"/>
          <w:b/>
          <w:sz w:val="24"/>
          <w:szCs w:val="24"/>
        </w:rPr>
        <w:t>Stanton</w:t>
      </w:r>
      <w:r w:rsidRPr="00BB7045">
        <w:rPr>
          <w:rFonts w:eastAsia="Times New Roman"/>
          <w:sz w:val="24"/>
          <w:szCs w:val="24"/>
        </w:rPr>
        <w:t xml:space="preserve">, 222 P.3d </w:t>
      </w:r>
      <w:r w:rsidR="00072C26">
        <w:rPr>
          <w:rFonts w:eastAsia="Times New Roman"/>
          <w:sz w:val="24"/>
          <w:szCs w:val="24"/>
        </w:rPr>
        <w:t xml:space="preserve">at </w:t>
      </w:r>
      <w:r w:rsidRPr="00BB7045">
        <w:rPr>
          <w:rFonts w:eastAsia="Times New Roman"/>
          <w:sz w:val="24"/>
          <w:szCs w:val="24"/>
        </w:rPr>
        <w:t>30</w:t>
      </w:r>
      <w:r w:rsidR="00072C26">
        <w:rPr>
          <w:rFonts w:eastAsia="Times New Roman"/>
          <w:sz w:val="24"/>
          <w:szCs w:val="24"/>
        </w:rPr>
        <w:t>7</w:t>
      </w:r>
      <w:r w:rsidRPr="00BB7045">
        <w:rPr>
          <w:rFonts w:eastAsia="Times New Roman"/>
          <w:sz w:val="24"/>
          <w:szCs w:val="24"/>
        </w:rPr>
        <w:t xml:space="preserve">; </w:t>
      </w:r>
      <w:r w:rsidRPr="00BB7045">
        <w:rPr>
          <w:rFonts w:eastAsia="Times New Roman"/>
          <w:b/>
          <w:sz w:val="24"/>
          <w:szCs w:val="24"/>
        </w:rPr>
        <w:t>Rantz</w:t>
      </w:r>
      <w:r w:rsidRPr="00BB7045">
        <w:rPr>
          <w:rFonts w:eastAsia="Times New Roman"/>
          <w:sz w:val="24"/>
          <w:szCs w:val="24"/>
        </w:rPr>
        <w:t xml:space="preserve">, 109 P.3d </w:t>
      </w:r>
      <w:r w:rsidR="00742BEC">
        <w:rPr>
          <w:rFonts w:eastAsia="Times New Roman"/>
          <w:sz w:val="24"/>
          <w:szCs w:val="24"/>
        </w:rPr>
        <w:t xml:space="preserve">at </w:t>
      </w:r>
      <w:r w:rsidRPr="00BB7045">
        <w:rPr>
          <w:rFonts w:eastAsia="Times New Roman"/>
          <w:sz w:val="24"/>
          <w:szCs w:val="24"/>
        </w:rPr>
        <w:t>13</w:t>
      </w:r>
      <w:r w:rsidR="00742BEC">
        <w:rPr>
          <w:rFonts w:eastAsia="Times New Roman"/>
          <w:sz w:val="24"/>
          <w:szCs w:val="24"/>
        </w:rPr>
        <w:t>6</w:t>
      </w:r>
      <w:r w:rsidRPr="00BB7045">
        <w:rPr>
          <w:rFonts w:eastAsia="Times New Roman"/>
          <w:sz w:val="24"/>
          <w:szCs w:val="24"/>
        </w:rPr>
        <w:t xml:space="preserve">; </w:t>
      </w:r>
      <w:r w:rsidRPr="00BB7045">
        <w:rPr>
          <w:rFonts w:eastAsia="Times New Roman"/>
          <w:b/>
          <w:sz w:val="24"/>
          <w:szCs w:val="24"/>
        </w:rPr>
        <w:t>Bristol Co.</w:t>
      </w:r>
      <w:r w:rsidRPr="00BB7045">
        <w:rPr>
          <w:rFonts w:eastAsia="Times New Roman"/>
          <w:sz w:val="24"/>
          <w:szCs w:val="24"/>
        </w:rPr>
        <w:t xml:space="preserve">, 190 P.3d </w:t>
      </w:r>
      <w:r w:rsidR="000F0BDF">
        <w:rPr>
          <w:rFonts w:eastAsia="Times New Roman"/>
          <w:sz w:val="24"/>
          <w:szCs w:val="24"/>
        </w:rPr>
        <w:t xml:space="preserve">at </w:t>
      </w:r>
      <w:r w:rsidRPr="00BB7045">
        <w:rPr>
          <w:rFonts w:eastAsia="Times New Roman"/>
          <w:sz w:val="24"/>
          <w:szCs w:val="24"/>
        </w:rPr>
        <w:t>75</w:t>
      </w:r>
      <w:r w:rsidR="000F0BDF">
        <w:rPr>
          <w:rFonts w:eastAsia="Times New Roman"/>
          <w:sz w:val="24"/>
          <w:szCs w:val="24"/>
        </w:rPr>
        <w:t>5</w:t>
      </w:r>
      <w:r w:rsidRPr="00BB7045">
        <w:rPr>
          <w:rFonts w:eastAsia="Times New Roman"/>
          <w:sz w:val="24"/>
          <w:szCs w:val="24"/>
        </w:rPr>
        <w:t xml:space="preserve">; </w:t>
      </w:r>
      <w:r w:rsidRPr="00BB7045">
        <w:rPr>
          <w:rFonts w:eastAsia="Times New Roman"/>
          <w:b/>
          <w:sz w:val="24"/>
          <w:szCs w:val="24"/>
        </w:rPr>
        <w:t>Brown</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45 P.3d </w:t>
      </w:r>
      <w:r w:rsidR="00072C26">
        <w:rPr>
          <w:rFonts w:eastAsia="Times New Roman"/>
          <w:sz w:val="24"/>
          <w:szCs w:val="24"/>
        </w:rPr>
        <w:t xml:space="preserve">at </w:t>
      </w:r>
      <w:r w:rsidRPr="00BB7045">
        <w:rPr>
          <w:rFonts w:eastAsia="Times New Roman"/>
          <w:sz w:val="24"/>
          <w:szCs w:val="24"/>
        </w:rPr>
        <w:t>7</w:t>
      </w:r>
      <w:r w:rsidR="00072C26">
        <w:rPr>
          <w:rFonts w:eastAsia="Times New Roman"/>
          <w:sz w:val="24"/>
          <w:szCs w:val="24"/>
        </w:rPr>
        <w:t>51</w:t>
      </w:r>
      <w:r w:rsidR="00045344">
        <w:rPr>
          <w:rFonts w:eastAsia="Times New Roman"/>
          <w:sz w:val="24"/>
          <w:szCs w:val="24"/>
        </w:rPr>
        <w:t>;</w:t>
      </w:r>
      <w:r w:rsidRPr="00BB7045">
        <w:rPr>
          <w:rFonts w:eastAsia="Times New Roman"/>
          <w:sz w:val="24"/>
          <w:szCs w:val="24"/>
        </w:rPr>
        <w:t xml:space="preserve"> </w:t>
      </w:r>
      <w:r w:rsidR="00045344">
        <w:rPr>
          <w:rFonts w:eastAsia="Times New Roman"/>
          <w:i/>
          <w:sz w:val="24"/>
          <w:szCs w:val="24"/>
        </w:rPr>
        <w:t>s</w:t>
      </w:r>
      <w:r w:rsidRPr="00BB7045">
        <w:rPr>
          <w:rFonts w:eastAsia="Times New Roman"/>
          <w:i/>
          <w:sz w:val="24"/>
          <w:szCs w:val="24"/>
        </w:rPr>
        <w:t xml:space="preserve">ee </w:t>
      </w:r>
      <w:r w:rsidRPr="00BB7045">
        <w:rPr>
          <w:rFonts w:eastAsia="Times New Roman"/>
          <w:b/>
          <w:sz w:val="24"/>
          <w:szCs w:val="24"/>
        </w:rPr>
        <w:t>Aller v. Law Office of Carole C. Schriefer, PC</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140 P.3d 23 (</w:t>
      </w:r>
      <w:r w:rsidR="00735ECD">
        <w:rPr>
          <w:rFonts w:eastAsia="Times New Roman"/>
          <w:sz w:val="24"/>
          <w:szCs w:val="24"/>
        </w:rPr>
        <w:t>Colo. App.</w:t>
      </w:r>
      <w:r w:rsidRPr="00BB7045">
        <w:rPr>
          <w:rFonts w:eastAsia="Times New Roman"/>
          <w:sz w:val="24"/>
          <w:szCs w:val="24"/>
        </w:rPr>
        <w:t xml:space="preserve"> 2005) (plaintiff’s damages claim failed where settled underlying matter and attorney’s conduct did not cause her any pecuniary loss as matter of law). Accordingly, in order to determine whether the plaintiff should have prevailed on the underlying claim, “the case-within-a-case,” the jury must also be instructed on the law applicable to the underlying claim. </w:t>
      </w:r>
      <w:r w:rsidRPr="00BB7045">
        <w:rPr>
          <w:rFonts w:eastAsia="Times New Roman"/>
          <w:b/>
          <w:sz w:val="24"/>
          <w:szCs w:val="24"/>
        </w:rPr>
        <w:t>Miller</w:t>
      </w:r>
      <w:r w:rsidRPr="00BB7045">
        <w:rPr>
          <w:rFonts w:eastAsia="Times New Roman"/>
          <w:sz w:val="24"/>
          <w:szCs w:val="24"/>
        </w:rPr>
        <w:t xml:space="preserve">, 916 P.2d </w:t>
      </w:r>
      <w:r w:rsidR="00072C26">
        <w:rPr>
          <w:rFonts w:eastAsia="Times New Roman"/>
          <w:sz w:val="24"/>
          <w:szCs w:val="24"/>
        </w:rPr>
        <w:t xml:space="preserve">at </w:t>
      </w:r>
      <w:r w:rsidRPr="00BB7045">
        <w:rPr>
          <w:rFonts w:eastAsia="Times New Roman"/>
          <w:sz w:val="24"/>
          <w:szCs w:val="24"/>
        </w:rPr>
        <w:t>5</w:t>
      </w:r>
      <w:r w:rsidR="00072C26">
        <w:rPr>
          <w:rFonts w:eastAsia="Times New Roman"/>
          <w:sz w:val="24"/>
          <w:szCs w:val="24"/>
        </w:rPr>
        <w:t>79</w:t>
      </w:r>
      <w:r w:rsidRPr="00BB7045">
        <w:rPr>
          <w:rFonts w:eastAsia="Times New Roman"/>
          <w:sz w:val="24"/>
          <w:szCs w:val="24"/>
        </w:rPr>
        <w:t>.</w:t>
      </w:r>
    </w:p>
    <w:p w14:paraId="323A6217" w14:textId="33722172"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3. In the event that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settled, but the plaintiff alleges that the settlement was as a result of the attorney’s negligence. </w:t>
      </w:r>
      <w:r w:rsidRPr="00BB7045">
        <w:rPr>
          <w:rFonts w:eastAsia="Times New Roman"/>
          <w:i/>
          <w:sz w:val="24"/>
          <w:szCs w:val="24"/>
        </w:rPr>
        <w:t>See</w:t>
      </w:r>
      <w:r w:rsidRPr="00BB7045">
        <w:rPr>
          <w:rFonts w:eastAsia="Times New Roman"/>
          <w:sz w:val="24"/>
          <w:szCs w:val="24"/>
        </w:rPr>
        <w:t xml:space="preserve"> </w:t>
      </w:r>
      <w:r w:rsidRPr="00BB7045">
        <w:rPr>
          <w:rFonts w:eastAsia="Times New Roman"/>
          <w:b/>
          <w:sz w:val="24"/>
          <w:szCs w:val="24"/>
        </w:rPr>
        <w:t>White v. Jungbauer</w:t>
      </w:r>
      <w:r w:rsidRPr="00BB7045">
        <w:rPr>
          <w:rFonts w:eastAsia="Times New Roman"/>
          <w:sz w:val="24"/>
          <w:szCs w:val="24"/>
        </w:rPr>
        <w:t>, 128 P.3d 263 (</w:t>
      </w:r>
      <w:r w:rsidR="00735ECD">
        <w:rPr>
          <w:rFonts w:eastAsia="Times New Roman"/>
          <w:sz w:val="24"/>
          <w:szCs w:val="24"/>
        </w:rPr>
        <w:t>Colo. App.</w:t>
      </w:r>
      <w:r w:rsidRPr="00BB7045">
        <w:rPr>
          <w:rFonts w:eastAsia="Times New Roman"/>
          <w:sz w:val="24"/>
          <w:szCs w:val="24"/>
        </w:rPr>
        <w:t xml:space="preserve"> 2005) (notwithstanding public policy considerations encouraging settlement, litigant may bring legal malpractice suit against his or her attorney even though underlying action settled)</w:t>
      </w:r>
      <w:r w:rsidR="00045344">
        <w:rPr>
          <w:rFonts w:eastAsia="Times New Roman"/>
          <w:sz w:val="24"/>
          <w:szCs w:val="24"/>
        </w:rPr>
        <w:t>;</w:t>
      </w:r>
      <w:r w:rsidRPr="00BB7045">
        <w:rPr>
          <w:rFonts w:eastAsia="Times New Roman"/>
          <w:sz w:val="24"/>
          <w:szCs w:val="24"/>
        </w:rPr>
        <w:t xml:space="preserve"> </w:t>
      </w:r>
      <w:r w:rsidR="00045344">
        <w:rPr>
          <w:rFonts w:eastAsia="Times New Roman"/>
          <w:i/>
          <w:sz w:val="24"/>
          <w:szCs w:val="24"/>
        </w:rPr>
        <w:t>c</w:t>
      </w:r>
      <w:r w:rsidRPr="00BB7045">
        <w:rPr>
          <w:rFonts w:eastAsia="Times New Roman"/>
          <w:i/>
          <w:sz w:val="24"/>
          <w:szCs w:val="24"/>
        </w:rPr>
        <w:t>f</w:t>
      </w:r>
      <w:r w:rsidRPr="00BB7045">
        <w:rPr>
          <w:rFonts w:eastAsia="Times New Roman"/>
          <w:sz w:val="24"/>
          <w:szCs w:val="24"/>
        </w:rPr>
        <w:t xml:space="preserve">. </w:t>
      </w:r>
      <w:r w:rsidRPr="00BB7045">
        <w:rPr>
          <w:rFonts w:eastAsia="Times New Roman"/>
          <w:b/>
          <w:sz w:val="24"/>
          <w:szCs w:val="24"/>
        </w:rPr>
        <w:t>Crowe v. Tull</w:t>
      </w:r>
      <w:r w:rsidRPr="00BB7045">
        <w:rPr>
          <w:rFonts w:eastAsia="Times New Roman"/>
          <w:sz w:val="24"/>
          <w:szCs w:val="24"/>
        </w:rPr>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rPr>
          <w:rFonts w:eastAsia="Times New Roman"/>
          <w:sz w:val="24"/>
          <w:szCs w:val="24"/>
        </w:rPr>
        <w:t xml:space="preserve">, and </w:t>
      </w:r>
      <w:r w:rsidRPr="00BB7045">
        <w:rPr>
          <w:rFonts w:eastAsia="Times New Roman"/>
          <w:sz w:val="24"/>
          <w:szCs w:val="24"/>
        </w:rPr>
        <w:t>Act’s application did not conflict with Rules of Professional Conduct).</w:t>
      </w:r>
    </w:p>
    <w:p w14:paraId="04D1CC20"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4. For a discussion of when a plaintiff must prove “a case within a case” in legal malpractice cases, see </w:t>
      </w:r>
      <w:r w:rsidRPr="00BB7045">
        <w:rPr>
          <w:rFonts w:eastAsia="Times New Roman"/>
          <w:b/>
          <w:sz w:val="24"/>
          <w:szCs w:val="24"/>
        </w:rPr>
        <w:t>Boulders at Escalante LLC</w:t>
      </w:r>
      <w:r w:rsidRPr="00BB7045">
        <w:rPr>
          <w:rFonts w:eastAsia="Times New Roman"/>
          <w:sz w:val="24"/>
          <w:szCs w:val="24"/>
        </w:rPr>
        <w:t>, 2015 COA 85, ¶¶ 36-49</w:t>
      </w:r>
      <w:r w:rsidRPr="00BB7045">
        <w:rPr>
          <w:rFonts w:eastAsia="Times New Roman"/>
          <w:i/>
          <w:sz w:val="24"/>
          <w:szCs w:val="24"/>
        </w:rPr>
        <w:t xml:space="preserve">. </w:t>
      </w:r>
      <w:r w:rsidRPr="00BB7045">
        <w:rPr>
          <w:rFonts w:eastAsia="Times New Roman"/>
          <w:sz w:val="24"/>
          <w:szCs w:val="24"/>
        </w:rPr>
        <w:t xml:space="preserve">There, the Colorado Court of Appeals explained that “[t]he case within a case requirement makes eminent sense when the claimed injury relates to the lawyer’s representation of a client in litigation.” </w:t>
      </w:r>
      <w:r w:rsidRPr="00BB7045">
        <w:rPr>
          <w:rFonts w:eastAsia="Times New Roman"/>
          <w:i/>
          <w:sz w:val="24"/>
          <w:szCs w:val="24"/>
        </w:rPr>
        <w:t>Id.</w:t>
      </w:r>
      <w:r w:rsidRPr="00BB7045">
        <w:rPr>
          <w:rFonts w:eastAsia="Times New Roman"/>
          <w:sz w:val="24"/>
          <w:szCs w:val="24"/>
        </w:rPr>
        <w:t xml:space="preserve"> at ¶ 45. Specifically, “[w]hen the lawyer acts negligently with respect to the litigation, the only way to determine if the negligence caused the harm claimed by the client is to compare what </w:t>
      </w:r>
      <w:r w:rsidRPr="00BB7045">
        <w:rPr>
          <w:rFonts w:eastAsia="Times New Roman"/>
          <w:sz w:val="24"/>
          <w:szCs w:val="24"/>
        </w:rPr>
        <w:lastRenderedPageBreak/>
        <w:t xml:space="preserve">actually happened with what would have happened had the negligence not occurred: the case within a case requirement.” </w:t>
      </w:r>
      <w:r w:rsidRPr="00BB7045">
        <w:rPr>
          <w:rFonts w:eastAsia="Times New Roman"/>
          <w:i/>
          <w:sz w:val="24"/>
          <w:szCs w:val="24"/>
        </w:rPr>
        <w:t>Id.</w:t>
      </w:r>
      <w:r w:rsidRPr="00BB7045">
        <w:rPr>
          <w:rFonts w:eastAsia="Times New Roman"/>
          <w:sz w:val="24"/>
          <w:szCs w:val="24"/>
        </w:rPr>
        <w:t xml:space="preserve"> However, “when the injury claimed does not depend on the merits of the underlying action or matter, the plaintiff does not need to prove a case within a case.” </w:t>
      </w:r>
      <w:r w:rsidRPr="00BB7045">
        <w:rPr>
          <w:rFonts w:eastAsia="Times New Roman"/>
          <w:i/>
          <w:sz w:val="24"/>
          <w:szCs w:val="24"/>
        </w:rPr>
        <w:t>Id.</w:t>
      </w:r>
      <w:r w:rsidRPr="00BB7045">
        <w:rPr>
          <w:rFonts w:eastAsia="Times New Roman"/>
          <w:sz w:val="24"/>
          <w:szCs w:val="24"/>
        </w:rPr>
        <w:t xml:space="preserve"> at ¶ 49.</w:t>
      </w:r>
    </w:p>
    <w:p w14:paraId="7F908AD6" w14:textId="77777777" w:rsidR="00BB7045" w:rsidRDefault="00BB7045">
      <w:pPr>
        <w:rPr>
          <w:rFonts w:eastAsia="Times New Roman"/>
          <w:sz w:val="24"/>
          <w:szCs w:val="24"/>
        </w:rPr>
      </w:pPr>
      <w:r>
        <w:rPr>
          <w:rFonts w:eastAsia="Times New Roman"/>
          <w:sz w:val="24"/>
          <w:szCs w:val="24"/>
        </w:rPr>
        <w:br w:type="page"/>
      </w:r>
    </w:p>
    <w:p w14:paraId="672B422E" w14:textId="77777777" w:rsidR="00BB7045" w:rsidRPr="009E3DA4" w:rsidRDefault="00B05542" w:rsidP="00BB7045">
      <w:pPr>
        <w:spacing w:after="240"/>
        <w:ind w:left="720" w:hanging="720"/>
        <w:rPr>
          <w:rFonts w:eastAsia="Times New Roman"/>
          <w:b/>
          <w:sz w:val="24"/>
          <w:szCs w:val="24"/>
        </w:rPr>
      </w:pPr>
      <w:bookmarkStart w:id="20" w:name="a15_20"/>
      <w:bookmarkEnd w:id="20"/>
      <w:r w:rsidRPr="00B05542">
        <w:rPr>
          <w:rFonts w:eastAsia="Times New Roman"/>
          <w:b/>
          <w:sz w:val="24"/>
          <w:szCs w:val="24"/>
        </w:rPr>
        <w:lastRenderedPageBreak/>
        <w:t xml:space="preserve">15:20 </w:t>
      </w:r>
      <w:r w:rsidRPr="00B05542">
        <w:rPr>
          <w:rFonts w:eastAsia="Times New Roman"/>
          <w:b/>
          <w:sz w:val="24"/>
          <w:szCs w:val="24"/>
        </w:rPr>
        <w:tab/>
        <w:t>ELEMENTS OF LIABILITY OF ATTORNEYS — INVOLVING AN UNDERLYING MATTER (CASE-WITHIN-A-CASE) — DETERMINING WHETHER PLAINTIFF SHOULD HAVE PREVAILED IN THE UNDERLYING MATTER</w:t>
      </w:r>
    </w:p>
    <w:p w14:paraId="0196C418" w14:textId="77777777" w:rsidR="00B05542" w:rsidRPr="00B05542" w:rsidRDefault="00B05542" w:rsidP="00B05542">
      <w:pPr>
        <w:spacing w:after="240"/>
        <w:ind w:firstLine="720"/>
        <w:rPr>
          <w:rFonts w:eastAsia="Times New Roman"/>
          <w:b/>
          <w:sz w:val="24"/>
          <w:szCs w:val="24"/>
        </w:rPr>
      </w:pPr>
      <w:r w:rsidRPr="00B05542">
        <w:rPr>
          <w:rFonts w:eastAsia="Times New Roman"/>
          <w:b/>
          <w:sz w:val="24"/>
          <w:szCs w:val="24"/>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rFonts w:eastAsia="Times New Roman"/>
          <w:b/>
          <w:sz w:val="24"/>
          <w:szCs w:val="24"/>
        </w:rPr>
      </w:pPr>
      <w:r w:rsidRPr="00B05542">
        <w:rPr>
          <w:rFonts w:eastAsia="Times New Roman"/>
          <w:i/>
          <w:sz w:val="24"/>
          <w:szCs w:val="24"/>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rFonts w:eastAsia="Times New Roman"/>
          <w:b/>
          <w:sz w:val="24"/>
          <w:szCs w:val="24"/>
        </w:rPr>
        <w:t>.</w:t>
      </w:r>
    </w:p>
    <w:p w14:paraId="23FA3FBF" w14:textId="77777777" w:rsidR="00BB7045" w:rsidRDefault="00BB7045" w:rsidP="00BB7045">
      <w:pPr>
        <w:jc w:val="center"/>
        <w:rPr>
          <w:rFonts w:eastAsia="Times New Roman"/>
          <w:sz w:val="24"/>
          <w:szCs w:val="24"/>
        </w:rPr>
      </w:pPr>
    </w:p>
    <w:p w14:paraId="526C4915" w14:textId="77777777" w:rsidR="00BB7045" w:rsidRPr="0054263B" w:rsidRDefault="00BB7045" w:rsidP="00BB7045">
      <w:pPr>
        <w:keepNext/>
        <w:spacing w:after="240"/>
        <w:jc w:val="center"/>
        <w:rPr>
          <w:rFonts w:eastAsia="Times New Roman"/>
          <w:b/>
          <w:sz w:val="24"/>
          <w:szCs w:val="24"/>
        </w:rPr>
      </w:pPr>
      <w:r w:rsidRPr="0054263B">
        <w:rPr>
          <w:rFonts w:eastAsia="Times New Roman"/>
          <w:b/>
          <w:sz w:val="24"/>
          <w:szCs w:val="24"/>
        </w:rPr>
        <w:t>Notes on Use</w:t>
      </w:r>
    </w:p>
    <w:p w14:paraId="1F3C7FCA" w14:textId="77777777"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1. This instruction should usually be given with Instruction 15:19 when the malpractice asserted is negligence in handling an underlying claim or case. </w:t>
      </w:r>
      <w:r w:rsidRPr="00B05542">
        <w:rPr>
          <w:rFonts w:eastAsia="Times New Roman"/>
          <w:i/>
          <w:sz w:val="24"/>
          <w:szCs w:val="24"/>
        </w:rPr>
        <w:t xml:space="preserve">But see </w:t>
      </w:r>
      <w:r w:rsidRPr="00B05542">
        <w:rPr>
          <w:rFonts w:eastAsia="Times New Roman"/>
          <w:b/>
          <w:sz w:val="24"/>
          <w:szCs w:val="24"/>
        </w:rPr>
        <w:t>Allen v. Martin</w:t>
      </w:r>
      <w:r w:rsidRPr="00B05542">
        <w:rPr>
          <w:rFonts w:eastAsia="Times New Roman"/>
          <w:sz w:val="24"/>
          <w:szCs w:val="24"/>
        </w:rPr>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2C4972D6"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rFonts w:eastAsia="Times New Roman"/>
          <w:b/>
          <w:sz w:val="24"/>
          <w:szCs w:val="24"/>
        </w:rPr>
        <w:t>Miller v. Byrne</w:t>
      </w:r>
      <w:r w:rsidRPr="00B05542">
        <w:rPr>
          <w:rFonts w:eastAsia="Times New Roman"/>
          <w:sz w:val="24"/>
          <w:szCs w:val="24"/>
        </w:rPr>
        <w:t>, 916 P.2d 566 (Colo. App. 1995)</w:t>
      </w:r>
      <w:r w:rsidR="00C903BA">
        <w:rPr>
          <w:rFonts w:eastAsia="Times New Roman"/>
          <w:sz w:val="24"/>
          <w:szCs w:val="24"/>
        </w:rPr>
        <w:t>;</w:t>
      </w:r>
      <w:r w:rsidRPr="00B05542">
        <w:rPr>
          <w:rFonts w:eastAsia="Times New Roman"/>
          <w:sz w:val="24"/>
          <w:szCs w:val="24"/>
        </w:rPr>
        <w:t xml:space="preserve"> </w:t>
      </w:r>
      <w:r w:rsidR="00C903BA">
        <w:rPr>
          <w:rFonts w:eastAsia="Times New Roman"/>
          <w:i/>
          <w:sz w:val="24"/>
          <w:szCs w:val="24"/>
        </w:rPr>
        <w:t>s</w:t>
      </w:r>
      <w:r w:rsidRPr="00B05542">
        <w:rPr>
          <w:rFonts w:eastAsia="Times New Roman"/>
          <w:i/>
          <w:sz w:val="24"/>
          <w:szCs w:val="24"/>
        </w:rPr>
        <w:t>ee also</w:t>
      </w:r>
      <w:r w:rsidRPr="00B05542">
        <w:rPr>
          <w:rFonts w:eastAsia="Times New Roman"/>
          <w:sz w:val="24"/>
          <w:szCs w:val="24"/>
        </w:rPr>
        <w:t xml:space="preserve"> </w:t>
      </w:r>
      <w:r w:rsidRPr="00B6522D">
        <w:rPr>
          <w:rFonts w:eastAsia="Times New Roman"/>
          <w:smallCaps/>
          <w:sz w:val="24"/>
          <w:szCs w:val="24"/>
        </w:rPr>
        <w:t>R. Mallen, Legal Malpractice</w:t>
      </w:r>
      <w:r w:rsidRPr="00B05542">
        <w:rPr>
          <w:rFonts w:eastAsia="Times New Roman"/>
          <w:sz w:val="24"/>
          <w:szCs w:val="24"/>
        </w:rPr>
        <w:t xml:space="preserve"> § </w:t>
      </w:r>
      <w:r w:rsidR="00C903BA">
        <w:rPr>
          <w:rFonts w:eastAsia="Times New Roman"/>
          <w:sz w:val="24"/>
          <w:szCs w:val="24"/>
        </w:rPr>
        <w:t>37:153</w:t>
      </w:r>
      <w:r w:rsidRPr="00B05542">
        <w:rPr>
          <w:rFonts w:eastAsia="Times New Roman"/>
          <w:sz w:val="24"/>
          <w:szCs w:val="24"/>
        </w:rPr>
        <w:t xml:space="preserve"> (</w:t>
      </w:r>
      <w:r w:rsidR="00C903BA">
        <w:rPr>
          <w:rFonts w:eastAsia="Times New Roman"/>
          <w:sz w:val="24"/>
          <w:szCs w:val="24"/>
        </w:rPr>
        <w:t>2018</w:t>
      </w:r>
      <w:r w:rsidRPr="00B05542">
        <w:rPr>
          <w:rFonts w:eastAsia="Times New Roman"/>
          <w:sz w:val="24"/>
          <w:szCs w:val="24"/>
        </w:rPr>
        <w:t>).</w:t>
      </w:r>
    </w:p>
    <w:p w14:paraId="4B7DBCDC" w14:textId="7D2CA8A9"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3. The goal of trying the case-within-a-case is to decide what the result of the underlying proceeding or matter should have been according to an objective standard. Recreating the underlying matter generally requires calling and examining those persons who would have been witnesses and presenting the demonstrative and documentary evidence that would have been presented but for the attorney’s negligence. </w:t>
      </w:r>
      <w:r w:rsidRPr="00B05542">
        <w:rPr>
          <w:rFonts w:eastAsia="Times New Roman"/>
          <w:i/>
          <w:sz w:val="24"/>
          <w:szCs w:val="24"/>
        </w:rPr>
        <w:t>See</w:t>
      </w:r>
      <w:r w:rsidRPr="00B05542">
        <w:rPr>
          <w:rFonts w:eastAsia="Times New Roman"/>
          <w:sz w:val="24"/>
          <w:szCs w:val="24"/>
        </w:rPr>
        <w:t xml:space="preserve"> </w:t>
      </w:r>
      <w:r w:rsidR="00C903BA" w:rsidRPr="007B0C10">
        <w:rPr>
          <w:rFonts w:eastAsia="Times New Roman"/>
          <w:smallCaps/>
          <w:sz w:val="24"/>
          <w:szCs w:val="24"/>
        </w:rPr>
        <w:t>Legal Malpractice</w:t>
      </w:r>
      <w:r w:rsidR="00C903BA">
        <w:rPr>
          <w:rFonts w:eastAsia="Times New Roman"/>
          <w:smallCaps/>
          <w:sz w:val="24"/>
          <w:szCs w:val="24"/>
        </w:rPr>
        <w:t xml:space="preserve">, </w:t>
      </w:r>
      <w:r w:rsidR="00C903BA" w:rsidRPr="00C903BA">
        <w:rPr>
          <w:rFonts w:eastAsia="Times New Roman"/>
          <w:i/>
          <w:sz w:val="24"/>
          <w:szCs w:val="24"/>
        </w:rPr>
        <w:t>supra</w:t>
      </w:r>
      <w:r w:rsidRPr="00B05542">
        <w:rPr>
          <w:rFonts w:eastAsia="Times New Roman"/>
          <w:sz w:val="24"/>
          <w:szCs w:val="24"/>
        </w:rPr>
        <w:t xml:space="preserve">, § </w:t>
      </w:r>
      <w:r w:rsidR="00C903BA">
        <w:rPr>
          <w:rFonts w:eastAsia="Times New Roman"/>
          <w:sz w:val="24"/>
          <w:szCs w:val="24"/>
        </w:rPr>
        <w:t>37:87</w:t>
      </w:r>
      <w:r w:rsidRPr="00B05542">
        <w:rPr>
          <w:rFonts w:eastAsia="Times New Roman"/>
          <w:sz w:val="24"/>
          <w:szCs w:val="24"/>
        </w:rPr>
        <w:t xml:space="preserve">. However, where legal questions are central to the underlying case, expert testimony may well be required to establish causation. </w:t>
      </w:r>
      <w:r w:rsidRPr="00B05542">
        <w:rPr>
          <w:rFonts w:eastAsia="Times New Roman"/>
          <w:b/>
          <w:sz w:val="24"/>
          <w:szCs w:val="24"/>
        </w:rPr>
        <w:t>Allen</w:t>
      </w:r>
      <w:r w:rsidRPr="00B05542">
        <w:rPr>
          <w:rFonts w:eastAsia="Times New Roman"/>
          <w:sz w:val="24"/>
          <w:szCs w:val="24"/>
        </w:rPr>
        <w:t>, 203 P.3d at 569.</w:t>
      </w:r>
    </w:p>
    <w:p w14:paraId="31C3324B" w14:textId="2EF0E71D"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4. </w:t>
      </w:r>
      <w:r w:rsidR="00324D4D" w:rsidRPr="007B0EED">
        <w:rPr>
          <w:rFonts w:eastAsia="Times New Roman"/>
          <w:sz w:val="24"/>
          <w:szCs w:val="24"/>
        </w:rPr>
        <w:t>“</w:t>
      </w:r>
      <w:r w:rsidR="00324D4D" w:rsidRPr="000C0D29">
        <w:rPr>
          <w:rFonts w:eastAsia="Times New Roman"/>
          <w:color w:val="000000"/>
          <w:sz w:val="24"/>
          <w:szCs w:val="24"/>
          <w:shd w:val="clear" w:color="auto" w:fill="FFFFFF"/>
        </w:rPr>
        <w:t>[P]roving the case within a case in an attorney malpractice suit includes resolving the question of whether the judgment in the underlying case would have been collectible.”</w:t>
      </w:r>
      <w:r w:rsidR="00324D4D" w:rsidRPr="000C0D29">
        <w:rPr>
          <w:rFonts w:eastAsia="Times New Roman"/>
          <w:color w:val="000000"/>
          <w:sz w:val="24"/>
          <w:szCs w:val="24"/>
        </w:rPr>
        <w:t xml:space="preserve"> </w:t>
      </w:r>
      <w:r w:rsidR="00324D4D" w:rsidRPr="000C0D29">
        <w:rPr>
          <w:rFonts w:eastAsia="Times New Roman"/>
          <w:b/>
          <w:color w:val="000000"/>
          <w:sz w:val="24"/>
          <w:szCs w:val="24"/>
        </w:rPr>
        <w:t>LeHouillier v. Gallegos</w:t>
      </w:r>
      <w:r w:rsidR="00324D4D" w:rsidRPr="000C0D29">
        <w:rPr>
          <w:rFonts w:eastAsia="Times New Roman"/>
          <w:color w:val="000000"/>
          <w:sz w:val="24"/>
          <w:szCs w:val="24"/>
        </w:rPr>
        <w:t xml:space="preserve">, 2019 CO 8, ¶ 20, 434 P.3d 156, 160 (citing </w:t>
      </w:r>
      <w:r w:rsidR="00324D4D" w:rsidRPr="000C0D29">
        <w:rPr>
          <w:rFonts w:eastAsia="Times New Roman"/>
          <w:b/>
          <w:iCs/>
          <w:color w:val="000000"/>
          <w:sz w:val="24"/>
          <w:szCs w:val="24"/>
        </w:rPr>
        <w:t>Lawson v. Sigfrid</w:t>
      </w:r>
      <w:r w:rsidR="00324D4D" w:rsidRPr="000C0D29">
        <w:rPr>
          <w:rFonts w:eastAsia="Times New Roman"/>
          <w:color w:val="000000"/>
          <w:sz w:val="24"/>
          <w:szCs w:val="24"/>
          <w:shd w:val="clear" w:color="auto" w:fill="FFFFFF"/>
        </w:rPr>
        <w:t>, 83 C</w:t>
      </w:r>
      <w:r w:rsidR="00324D4D" w:rsidRPr="007B0EED">
        <w:rPr>
          <w:rFonts w:eastAsia="Times New Roman"/>
          <w:color w:val="000000"/>
          <w:sz w:val="24"/>
          <w:szCs w:val="24"/>
          <w:shd w:val="clear" w:color="auto" w:fill="FFFFFF"/>
        </w:rPr>
        <w:t>olo. 116, 262 P. 1018 (1927)</w:t>
      </w:r>
      <w:r w:rsidR="00324D4D">
        <w:rPr>
          <w:rFonts w:eastAsia="Times New Roman"/>
          <w:color w:val="000000"/>
          <w:sz w:val="24"/>
          <w:szCs w:val="24"/>
          <w:shd w:val="clear" w:color="auto" w:fill="FFFFFF"/>
        </w:rPr>
        <w:t>)</w:t>
      </w:r>
      <w:r w:rsidR="00324D4D" w:rsidRPr="007B0EED">
        <w:rPr>
          <w:rFonts w:eastAsia="Times New Roman"/>
          <w:color w:val="000000"/>
          <w:sz w:val="24"/>
          <w:szCs w:val="24"/>
          <w:shd w:val="clear" w:color="auto" w:fill="FFFFFF"/>
        </w:rPr>
        <w:t>.</w:t>
      </w:r>
      <w:r w:rsidR="00324D4D" w:rsidRPr="007B0EED" w:rsidDel="000109B7">
        <w:rPr>
          <w:rFonts w:eastAsia="Times New Roman"/>
          <w:color w:val="000000"/>
          <w:sz w:val="24"/>
          <w:szCs w:val="24"/>
          <w:shd w:val="clear" w:color="auto" w:fill="FFFFFF"/>
        </w:rPr>
        <w:t xml:space="preserve"> </w:t>
      </w:r>
      <w:r w:rsidR="00324D4D" w:rsidRPr="007B0EED">
        <w:rPr>
          <w:rFonts w:eastAsia="Times New Roman"/>
          <w:sz w:val="24"/>
          <w:szCs w:val="24"/>
        </w:rPr>
        <w:t xml:space="preserve">The supreme court held that because </w:t>
      </w:r>
      <w:r w:rsidR="00324D4D" w:rsidRPr="000C0D29">
        <w:rPr>
          <w:rFonts w:eastAsia="Times New Roman"/>
          <w:color w:val="000000"/>
          <w:sz w:val="24"/>
          <w:szCs w:val="24"/>
          <w:shd w:val="clear" w:color="auto" w:fill="FFFFFF"/>
        </w:rPr>
        <w:t>“the collectibility of the underlying judgment is essential to the causation and damages elements of a client’s professional neglig</w:t>
      </w:r>
      <w:r w:rsidR="00324D4D">
        <w:rPr>
          <w:rFonts w:eastAsia="Times New Roman"/>
          <w:color w:val="000000"/>
          <w:sz w:val="24"/>
          <w:szCs w:val="24"/>
          <w:shd w:val="clear" w:color="auto" w:fill="FFFFFF"/>
        </w:rPr>
        <w:t xml:space="preserve">ence claim against her attorney, </w:t>
      </w:r>
      <w:r w:rsidR="0045019F">
        <w:rPr>
          <w:rFonts w:eastAsia="Times New Roman"/>
          <w:color w:val="000000"/>
          <w:sz w:val="24"/>
          <w:szCs w:val="24"/>
          <w:shd w:val="clear" w:color="auto" w:fill="FFFFFF"/>
        </w:rPr>
        <w:t>. . .</w:t>
      </w:r>
      <w:r w:rsidR="00324D4D">
        <w:rPr>
          <w:rFonts w:eastAsia="Times New Roman"/>
          <w:color w:val="000000"/>
          <w:sz w:val="24"/>
          <w:szCs w:val="24"/>
          <w:shd w:val="clear" w:color="auto" w:fill="FFFFFF"/>
        </w:rPr>
        <w:t xml:space="preserve"> </w:t>
      </w:r>
      <w:r w:rsidR="00324D4D" w:rsidRPr="000C0D29">
        <w:rPr>
          <w:rFonts w:eastAsia="Times New Roman"/>
          <w:color w:val="000000"/>
          <w:sz w:val="24"/>
          <w:szCs w:val="24"/>
          <w:shd w:val="clear" w:color="auto" w:fill="FFFFFF"/>
        </w:rPr>
        <w:t xml:space="preserve">the client-plaintiff bears the burden to prove that the underlying judgment was collectible.” </w:t>
      </w:r>
      <w:r w:rsidR="0045019F" w:rsidRPr="0045019F">
        <w:rPr>
          <w:rFonts w:eastAsia="Times New Roman"/>
          <w:i/>
          <w:color w:val="000000"/>
          <w:sz w:val="24"/>
          <w:szCs w:val="24"/>
        </w:rPr>
        <w:t>Id.</w:t>
      </w:r>
      <w:r w:rsidR="0045019F" w:rsidRPr="0045019F">
        <w:rPr>
          <w:rFonts w:eastAsia="Times New Roman"/>
          <w:color w:val="000000"/>
          <w:sz w:val="24"/>
          <w:szCs w:val="24"/>
        </w:rPr>
        <w:t xml:space="preserve"> at</w:t>
      </w:r>
      <w:r w:rsidR="00324D4D">
        <w:rPr>
          <w:rFonts w:eastAsia="Times New Roman"/>
          <w:color w:val="000000"/>
          <w:sz w:val="24"/>
          <w:szCs w:val="24"/>
        </w:rPr>
        <w:t xml:space="preserve"> </w:t>
      </w:r>
      <w:r w:rsidR="00324D4D" w:rsidRPr="007B0EED">
        <w:rPr>
          <w:rFonts w:eastAsia="Times New Roman"/>
          <w:color w:val="000000"/>
          <w:sz w:val="24"/>
          <w:szCs w:val="24"/>
        </w:rPr>
        <w:t>¶ 22, 434 P.3d at 160</w:t>
      </w:r>
      <w:r w:rsidRPr="00B05542">
        <w:rPr>
          <w:rFonts w:eastAsia="Times New Roman"/>
          <w:sz w:val="24"/>
          <w:szCs w:val="24"/>
        </w:rPr>
        <w:t>.</w:t>
      </w:r>
    </w:p>
    <w:p w14:paraId="286D3014" w14:textId="77777777" w:rsidR="00BB7045" w:rsidRPr="0054263B" w:rsidRDefault="00BB7045" w:rsidP="00BB7045">
      <w:pPr>
        <w:keepNext/>
        <w:spacing w:after="240"/>
        <w:jc w:val="center"/>
        <w:rPr>
          <w:rFonts w:eastAsia="Times New Roman"/>
          <w:b/>
          <w:sz w:val="24"/>
          <w:szCs w:val="24"/>
        </w:rPr>
      </w:pPr>
      <w:r>
        <w:rPr>
          <w:rFonts w:eastAsia="Times New Roman"/>
          <w:b/>
          <w:sz w:val="24"/>
          <w:szCs w:val="24"/>
        </w:rPr>
        <w:lastRenderedPageBreak/>
        <w:t>Source and Authority</w:t>
      </w:r>
    </w:p>
    <w:p w14:paraId="7FDA3804" w14:textId="77777777"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This instruction is supported by </w:t>
      </w:r>
      <w:r w:rsidRPr="00B05542">
        <w:rPr>
          <w:rFonts w:eastAsia="Times New Roman"/>
          <w:b/>
          <w:sz w:val="24"/>
          <w:szCs w:val="24"/>
        </w:rPr>
        <w:t>Miller</w:t>
      </w:r>
      <w:r w:rsidRPr="00B05542">
        <w:rPr>
          <w:rFonts w:eastAsia="Times New Roman"/>
          <w:sz w:val="24"/>
          <w:szCs w:val="24"/>
        </w:rPr>
        <w:t>, 916 P.2d at 573.</w:t>
      </w:r>
    </w:p>
    <w:p w14:paraId="71A3FFF7" w14:textId="77777777" w:rsidR="0089665A" w:rsidRDefault="0089665A">
      <w:pPr>
        <w:rPr>
          <w:rFonts w:eastAsia="Times New Roman"/>
          <w:sz w:val="24"/>
          <w:szCs w:val="24"/>
        </w:rPr>
      </w:pPr>
      <w:r>
        <w:rPr>
          <w:rFonts w:eastAsia="Times New Roman"/>
          <w:sz w:val="24"/>
          <w:szCs w:val="24"/>
        </w:rPr>
        <w:br w:type="page"/>
      </w:r>
    </w:p>
    <w:p w14:paraId="3B9F9327" w14:textId="77777777" w:rsidR="0089665A" w:rsidRPr="0089665A" w:rsidRDefault="0089665A" w:rsidP="0089665A">
      <w:pPr>
        <w:spacing w:after="240"/>
        <w:ind w:left="720" w:hanging="720"/>
        <w:rPr>
          <w:rFonts w:eastAsia="Times New Roman"/>
          <w:b/>
          <w:caps/>
          <w:sz w:val="24"/>
          <w:szCs w:val="24"/>
        </w:rPr>
      </w:pPr>
      <w:bookmarkStart w:id="21" w:name="a15_21"/>
      <w:bookmarkEnd w:id="21"/>
      <w:r w:rsidRPr="0089665A">
        <w:rPr>
          <w:rFonts w:eastAsia="Times New Roman"/>
          <w:b/>
          <w:caps/>
          <w:sz w:val="24"/>
          <w:szCs w:val="24"/>
        </w:rPr>
        <w:lastRenderedPageBreak/>
        <w:t xml:space="preserve">15:21 </w:t>
      </w:r>
      <w:r w:rsidRPr="0089665A">
        <w:rPr>
          <w:rFonts w:eastAsia="Times New Roman"/>
          <w:b/>
          <w:caps/>
          <w:sz w:val="24"/>
          <w:szCs w:val="24"/>
        </w:rPr>
        <w:tab/>
        <w:t>NEGLIGENCE — AttorneyS — DEFINED</w:t>
      </w:r>
    </w:p>
    <w:p w14:paraId="73DD12B6"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An attorney is negligent when (he) (she)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rPr>
          <w:rFonts w:eastAsia="Times New Roman"/>
          <w:sz w:val="24"/>
          <w:szCs w:val="24"/>
        </w:rPr>
      </w:pPr>
    </w:p>
    <w:p w14:paraId="74A9B759" w14:textId="77777777" w:rsidR="0089665A" w:rsidRPr="0054263B" w:rsidRDefault="0089665A" w:rsidP="0089665A">
      <w:pPr>
        <w:keepNext/>
        <w:spacing w:after="240"/>
        <w:jc w:val="center"/>
        <w:rPr>
          <w:rFonts w:eastAsia="Times New Roman"/>
          <w:b/>
          <w:sz w:val="24"/>
          <w:szCs w:val="24"/>
        </w:rPr>
      </w:pPr>
      <w:r w:rsidRPr="0054263B">
        <w:rPr>
          <w:rFonts w:eastAsia="Times New Roman"/>
          <w:b/>
          <w:sz w:val="24"/>
          <w:szCs w:val="24"/>
        </w:rPr>
        <w:t>Notes on Use</w:t>
      </w:r>
    </w:p>
    <w:p w14:paraId="2DEBC71D"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1. This instruction, rather than Instruction 9:6, should be used in conjunction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2. Use whichever parenthesized words and phrases are appropriate.</w:t>
      </w:r>
    </w:p>
    <w:p w14:paraId="11E59632" w14:textId="77777777" w:rsidR="0089665A" w:rsidRPr="0054263B" w:rsidRDefault="0089665A" w:rsidP="0089665A">
      <w:pPr>
        <w:keepNext/>
        <w:spacing w:after="240"/>
        <w:jc w:val="center"/>
        <w:rPr>
          <w:rFonts w:eastAsia="Times New Roman"/>
          <w:b/>
          <w:sz w:val="24"/>
          <w:szCs w:val="24"/>
        </w:rPr>
      </w:pPr>
      <w:r>
        <w:rPr>
          <w:rFonts w:eastAsia="Times New Roman"/>
          <w:b/>
          <w:sz w:val="24"/>
          <w:szCs w:val="24"/>
        </w:rPr>
        <w:t>Source and Authority</w:t>
      </w:r>
    </w:p>
    <w:p w14:paraId="2FBFB124" w14:textId="2E2531AD"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1. This instruction is supported by </w:t>
      </w:r>
      <w:r w:rsidRPr="0089665A">
        <w:rPr>
          <w:rFonts w:eastAsia="Times New Roman"/>
          <w:b/>
          <w:sz w:val="24"/>
          <w:szCs w:val="24"/>
        </w:rPr>
        <w:t>Stone v. Satriana</w:t>
      </w:r>
      <w:r w:rsidRPr="0089665A">
        <w:rPr>
          <w:rFonts w:eastAsia="Times New Roman"/>
          <w:sz w:val="24"/>
          <w:szCs w:val="24"/>
        </w:rPr>
        <w:t>,</w:t>
      </w:r>
      <w:r w:rsidRPr="0089665A">
        <w:rPr>
          <w:rFonts w:eastAsia="Times New Roman"/>
          <w:b/>
          <w:sz w:val="24"/>
          <w:szCs w:val="24"/>
        </w:rPr>
        <w:t xml:space="preserve"> </w:t>
      </w:r>
      <w:r w:rsidRPr="0089665A">
        <w:rPr>
          <w:rFonts w:eastAsia="Times New Roman"/>
          <w:sz w:val="24"/>
          <w:szCs w:val="24"/>
        </w:rPr>
        <w:t>41 P.3d 705 (</w:t>
      </w:r>
      <w:smartTag w:uri="urn:schemas-microsoft-com:office:smarttags" w:element="State">
        <w:smartTag w:uri="urn:schemas-microsoft-com:office:smarttags" w:element="place">
          <w:r w:rsidRPr="0089665A">
            <w:rPr>
              <w:rFonts w:eastAsia="Times New Roman"/>
              <w:sz w:val="24"/>
              <w:szCs w:val="24"/>
            </w:rPr>
            <w:t>Colo.</w:t>
          </w:r>
        </w:smartTag>
      </w:smartTag>
      <w:r w:rsidRPr="0089665A">
        <w:rPr>
          <w:rFonts w:eastAsia="Times New Roman"/>
          <w:sz w:val="24"/>
          <w:szCs w:val="24"/>
        </w:rPr>
        <w:t xml:space="preserve"> 2002); </w:t>
      </w:r>
      <w:r w:rsidRPr="0089665A">
        <w:rPr>
          <w:rFonts w:eastAsia="Times New Roman"/>
          <w:b/>
          <w:sz w:val="24"/>
          <w:szCs w:val="24"/>
        </w:rPr>
        <w:t>Bebo Construction Co. v. Mattox &amp; O’Brien</w:t>
      </w:r>
      <w:r w:rsidRPr="00742BEC">
        <w:rPr>
          <w:rFonts w:eastAsia="Times New Roman"/>
          <w:b/>
          <w:sz w:val="24"/>
          <w:szCs w:val="24"/>
        </w:rPr>
        <w:t xml:space="preserve">, </w:t>
      </w:r>
      <w:r w:rsidR="00742BEC" w:rsidRPr="00742BEC">
        <w:rPr>
          <w:rFonts w:eastAsia="Times New Roman"/>
          <w:b/>
          <w:sz w:val="24"/>
          <w:szCs w:val="24"/>
        </w:rPr>
        <w:t>P.C.</w:t>
      </w:r>
      <w:r w:rsidR="00742BEC">
        <w:rPr>
          <w:rFonts w:eastAsia="Times New Roman"/>
          <w:sz w:val="24"/>
          <w:szCs w:val="24"/>
        </w:rPr>
        <w:t xml:space="preserve">, </w:t>
      </w:r>
      <w:r w:rsidRPr="0089665A">
        <w:rPr>
          <w:rFonts w:eastAsia="Times New Roman"/>
          <w:sz w:val="24"/>
          <w:szCs w:val="24"/>
        </w:rPr>
        <w:t xml:space="preserve">990 P.2d 78 (Colo. 1999); </w:t>
      </w:r>
      <w:r w:rsidRPr="0089665A">
        <w:rPr>
          <w:rFonts w:eastAsia="Times New Roman"/>
          <w:b/>
          <w:sz w:val="24"/>
          <w:szCs w:val="24"/>
        </w:rPr>
        <w:t>Aller v. Law Office of Carole C. Schriefer, PC</w:t>
      </w:r>
      <w:r w:rsidRPr="0089665A">
        <w:rPr>
          <w:rFonts w:eastAsia="Times New Roman"/>
          <w:sz w:val="24"/>
          <w:szCs w:val="24"/>
        </w:rPr>
        <w:t>, 140 P.3d 23 (</w:t>
      </w:r>
      <w:r w:rsidR="00735ECD">
        <w:rPr>
          <w:rFonts w:eastAsia="Times New Roman"/>
          <w:sz w:val="24"/>
          <w:szCs w:val="24"/>
        </w:rPr>
        <w:t>Colo. App.</w:t>
      </w:r>
      <w:r w:rsidRPr="0089665A">
        <w:rPr>
          <w:rFonts w:eastAsia="Times New Roman"/>
          <w:sz w:val="24"/>
          <w:szCs w:val="24"/>
        </w:rPr>
        <w:t xml:space="preserve"> 2005); </w:t>
      </w:r>
      <w:r w:rsidRPr="0089665A">
        <w:rPr>
          <w:rFonts w:eastAsia="Times New Roman"/>
          <w:b/>
          <w:sz w:val="24"/>
          <w:szCs w:val="24"/>
        </w:rPr>
        <w:t>Boyd v. Garvert</w:t>
      </w:r>
      <w:r w:rsidRPr="0089665A">
        <w:rPr>
          <w:rFonts w:eastAsia="Times New Roman"/>
          <w:sz w:val="24"/>
          <w:szCs w:val="24"/>
        </w:rPr>
        <w:t>, 9 P.3d 1161 (</w:t>
      </w:r>
      <w:r w:rsidR="00735ECD">
        <w:rPr>
          <w:rFonts w:eastAsia="Times New Roman"/>
          <w:sz w:val="24"/>
          <w:szCs w:val="24"/>
        </w:rPr>
        <w:t>Colo. App.</w:t>
      </w:r>
      <w:r w:rsidR="009613F2">
        <w:rPr>
          <w:rFonts w:eastAsia="Times New Roman"/>
          <w:sz w:val="24"/>
          <w:szCs w:val="24"/>
        </w:rPr>
        <w:t xml:space="preserve"> </w:t>
      </w:r>
      <w:r w:rsidRPr="0089665A">
        <w:rPr>
          <w:rFonts w:eastAsia="Times New Roman"/>
          <w:sz w:val="24"/>
          <w:szCs w:val="24"/>
        </w:rPr>
        <w:t xml:space="preserve">2000); </w:t>
      </w:r>
      <w:r w:rsidRPr="0089665A">
        <w:rPr>
          <w:rFonts w:eastAsia="Times New Roman"/>
          <w:b/>
          <w:sz w:val="24"/>
          <w:szCs w:val="24"/>
        </w:rPr>
        <w:t>Fleming v. Lentz, Evans, &amp; King, P.C.</w:t>
      </w:r>
      <w:r w:rsidRPr="0089665A">
        <w:rPr>
          <w:rFonts w:eastAsia="Times New Roman"/>
          <w:sz w:val="24"/>
          <w:szCs w:val="24"/>
        </w:rPr>
        <w:t>, 873 P.2d 38 (</w:t>
      </w:r>
      <w:r w:rsidR="00735ECD">
        <w:rPr>
          <w:rFonts w:eastAsia="Times New Roman"/>
          <w:sz w:val="24"/>
          <w:szCs w:val="24"/>
        </w:rPr>
        <w:t>Colo. App.</w:t>
      </w:r>
      <w:r w:rsidRPr="0089665A">
        <w:rPr>
          <w:rFonts w:eastAsia="Times New Roman"/>
          <w:sz w:val="24"/>
          <w:szCs w:val="24"/>
        </w:rPr>
        <w:t xml:space="preserve"> 1994); </w:t>
      </w:r>
      <w:r w:rsidRPr="0089665A">
        <w:rPr>
          <w:rFonts w:eastAsia="Times New Roman"/>
          <w:b/>
          <w:sz w:val="24"/>
          <w:szCs w:val="24"/>
        </w:rPr>
        <w:t>Temple Hoyne Buell Foundation v. Holland &amp; Hart</w:t>
      </w:r>
      <w:r w:rsidRPr="0089665A">
        <w:rPr>
          <w:rFonts w:eastAsia="Times New Roman"/>
          <w:sz w:val="24"/>
          <w:szCs w:val="24"/>
        </w:rPr>
        <w:t>, 851 P.2d 192 (</w:t>
      </w:r>
      <w:r w:rsidR="00735ECD">
        <w:rPr>
          <w:rFonts w:eastAsia="Times New Roman"/>
          <w:sz w:val="24"/>
          <w:szCs w:val="24"/>
        </w:rPr>
        <w:t>Colo. App.</w:t>
      </w:r>
      <w:r w:rsidRPr="0089665A">
        <w:rPr>
          <w:rFonts w:eastAsia="Times New Roman"/>
          <w:sz w:val="24"/>
          <w:szCs w:val="24"/>
        </w:rPr>
        <w:t xml:space="preserve"> 1992); </w:t>
      </w:r>
      <w:r w:rsidRPr="0089665A">
        <w:rPr>
          <w:rFonts w:eastAsia="Times New Roman"/>
          <w:b/>
          <w:sz w:val="24"/>
          <w:szCs w:val="24"/>
        </w:rPr>
        <w:t>McCafferty v. Musat</w:t>
      </w:r>
      <w:r w:rsidRPr="0089665A">
        <w:rPr>
          <w:rFonts w:eastAsia="Times New Roman"/>
          <w:sz w:val="24"/>
          <w:szCs w:val="24"/>
        </w:rPr>
        <w:t>, 817 P.2d 1039 (</w:t>
      </w:r>
      <w:r w:rsidR="00735ECD">
        <w:rPr>
          <w:rFonts w:eastAsia="Times New Roman"/>
          <w:sz w:val="24"/>
          <w:szCs w:val="24"/>
        </w:rPr>
        <w:t>Colo. App.</w:t>
      </w:r>
      <w:r w:rsidRPr="0089665A">
        <w:rPr>
          <w:rFonts w:eastAsia="Times New Roman"/>
          <w:sz w:val="24"/>
          <w:szCs w:val="24"/>
        </w:rPr>
        <w:t xml:space="preserve"> 1990); </w:t>
      </w:r>
      <w:r w:rsidRPr="0089665A">
        <w:rPr>
          <w:rFonts w:eastAsia="Times New Roman"/>
          <w:b/>
          <w:sz w:val="24"/>
          <w:szCs w:val="24"/>
        </w:rPr>
        <w:t>Boigegrain v. Gilbert</w:t>
      </w:r>
      <w:r w:rsidRPr="0089665A">
        <w:rPr>
          <w:rFonts w:eastAsia="Times New Roman"/>
          <w:sz w:val="24"/>
          <w:szCs w:val="24"/>
        </w:rPr>
        <w:t>, 784 P.2d 849 (</w:t>
      </w:r>
      <w:r w:rsidR="00735ECD">
        <w:rPr>
          <w:rFonts w:eastAsia="Times New Roman"/>
          <w:sz w:val="24"/>
          <w:szCs w:val="24"/>
        </w:rPr>
        <w:t>Colo. App.</w:t>
      </w:r>
      <w:r w:rsidRPr="0089665A">
        <w:rPr>
          <w:rFonts w:eastAsia="Times New Roman"/>
          <w:sz w:val="24"/>
          <w:szCs w:val="24"/>
        </w:rPr>
        <w:t xml:space="preserve"> 1989); </w:t>
      </w:r>
      <w:r w:rsidR="009613F2">
        <w:rPr>
          <w:rFonts w:eastAsia="Times New Roman"/>
          <w:sz w:val="24"/>
          <w:szCs w:val="24"/>
        </w:rPr>
        <w:t xml:space="preserve">and </w:t>
      </w:r>
      <w:r w:rsidRPr="0089665A">
        <w:rPr>
          <w:rFonts w:eastAsia="Times New Roman"/>
          <w:b/>
          <w:sz w:val="24"/>
          <w:szCs w:val="24"/>
        </w:rPr>
        <w:t>Myers v. Beem</w:t>
      </w:r>
      <w:r w:rsidRPr="0089665A">
        <w:rPr>
          <w:rFonts w:eastAsia="Times New Roman"/>
          <w:sz w:val="24"/>
          <w:szCs w:val="24"/>
        </w:rPr>
        <w:t>, 712 P.2d 1092 (</w:t>
      </w:r>
      <w:r w:rsidR="00735ECD">
        <w:rPr>
          <w:rFonts w:eastAsia="Times New Roman"/>
          <w:sz w:val="24"/>
          <w:szCs w:val="24"/>
        </w:rPr>
        <w:t>Colo. App.</w:t>
      </w:r>
      <w:r w:rsidRPr="0089665A">
        <w:rPr>
          <w:rFonts w:eastAsia="Times New Roman"/>
          <w:sz w:val="24"/>
          <w:szCs w:val="24"/>
        </w:rPr>
        <w:t xml:space="preserve"> 1985).</w:t>
      </w:r>
    </w:p>
    <w:p w14:paraId="67FB75A9" w14:textId="01F4FC0F"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2. The provisions of </w:t>
      </w:r>
      <w:r w:rsidR="00706177">
        <w:rPr>
          <w:rFonts w:eastAsia="Times New Roman"/>
          <w:sz w:val="24"/>
          <w:szCs w:val="24"/>
        </w:rPr>
        <w:t>sections</w:t>
      </w:r>
      <w:r w:rsidR="00706177" w:rsidRPr="0089665A">
        <w:rPr>
          <w:rFonts w:eastAsia="Times New Roman"/>
          <w:sz w:val="24"/>
          <w:szCs w:val="24"/>
        </w:rPr>
        <w:t xml:space="preserve"> </w:t>
      </w:r>
      <w:r w:rsidRPr="0089665A">
        <w:rPr>
          <w:rFonts w:eastAsia="Times New Roman"/>
          <w:sz w:val="24"/>
          <w:szCs w:val="24"/>
        </w:rPr>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rFonts w:eastAsia="Times New Roman"/>
          <w:b/>
          <w:sz w:val="24"/>
          <w:szCs w:val="24"/>
        </w:rPr>
        <w:t xml:space="preserve">Redden v. </w:t>
      </w:r>
      <w:smartTag w:uri="urn:schemas-microsoft-com:office:smarttags" w:element="stockticker">
        <w:r w:rsidRPr="0089665A">
          <w:rPr>
            <w:rFonts w:eastAsia="Times New Roman"/>
            <w:b/>
            <w:sz w:val="24"/>
            <w:szCs w:val="24"/>
          </w:rPr>
          <w:t>SCI</w:t>
        </w:r>
      </w:smartTag>
      <w:r w:rsidRPr="0089665A">
        <w:rPr>
          <w:rFonts w:eastAsia="Times New Roman"/>
          <w:b/>
          <w:sz w:val="24"/>
          <w:szCs w:val="24"/>
        </w:rPr>
        <w:t xml:space="preserve"> </w:t>
      </w:r>
      <w:smartTag w:uri="urn:schemas-microsoft-com:office:smarttags" w:element="State">
        <w:smartTag w:uri="urn:schemas-microsoft-com:office:smarttags" w:element="place">
          <w:r w:rsidRPr="0089665A">
            <w:rPr>
              <w:rFonts w:eastAsia="Times New Roman"/>
              <w:b/>
              <w:sz w:val="24"/>
              <w:szCs w:val="24"/>
            </w:rPr>
            <w:t>Colo.</w:t>
          </w:r>
        </w:smartTag>
      </w:smartTag>
      <w:r w:rsidRPr="0089665A">
        <w:rPr>
          <w:rFonts w:eastAsia="Times New Roman"/>
          <w:b/>
          <w:sz w:val="24"/>
          <w:szCs w:val="24"/>
        </w:rPr>
        <w:t xml:space="preserve"> Funeral Servs., Inc.</w:t>
      </w:r>
      <w:r w:rsidRPr="0089665A">
        <w:rPr>
          <w:rFonts w:eastAsia="Times New Roman"/>
          <w:sz w:val="24"/>
          <w:szCs w:val="24"/>
        </w:rPr>
        <w:t>, 38 P.3d 75 (</w:t>
      </w:r>
      <w:smartTag w:uri="urn:schemas-microsoft-com:office:smarttags" w:element="State">
        <w:smartTag w:uri="urn:schemas-microsoft-com:office:smarttags" w:element="place">
          <w:r w:rsidRPr="0089665A">
            <w:rPr>
              <w:rFonts w:eastAsia="Times New Roman"/>
              <w:sz w:val="24"/>
              <w:szCs w:val="24"/>
            </w:rPr>
            <w:t>Colo.</w:t>
          </w:r>
        </w:smartTag>
      </w:smartTag>
      <w:r w:rsidRPr="0089665A">
        <w:rPr>
          <w:rFonts w:eastAsia="Times New Roman"/>
          <w:sz w:val="24"/>
          <w:szCs w:val="24"/>
        </w:rPr>
        <w:t xml:space="preserve"> 2001); </w:t>
      </w:r>
      <w:r w:rsidRPr="0089665A">
        <w:rPr>
          <w:rFonts w:eastAsia="Times New Roman"/>
          <w:b/>
          <w:sz w:val="24"/>
          <w:szCs w:val="24"/>
        </w:rPr>
        <w:t>RMB Servs., Inc. v. Truhlar</w:t>
      </w:r>
      <w:r w:rsidRPr="0089665A">
        <w:rPr>
          <w:rFonts w:eastAsia="Times New Roman"/>
          <w:sz w:val="24"/>
          <w:szCs w:val="24"/>
        </w:rPr>
        <w:t>, 151 P.3d 673 (</w:t>
      </w:r>
      <w:r w:rsidR="00735ECD">
        <w:rPr>
          <w:rFonts w:eastAsia="Times New Roman"/>
          <w:sz w:val="24"/>
          <w:szCs w:val="24"/>
        </w:rPr>
        <w:t>Colo. App.</w:t>
      </w:r>
      <w:r w:rsidRPr="0089665A">
        <w:rPr>
          <w:rFonts w:eastAsia="Times New Roman"/>
          <w:sz w:val="24"/>
          <w:szCs w:val="24"/>
        </w:rPr>
        <w:t xml:space="preserve"> 2006); </w:t>
      </w:r>
      <w:r w:rsidRPr="0089665A">
        <w:rPr>
          <w:rFonts w:eastAsia="Times New Roman"/>
          <w:b/>
          <w:sz w:val="24"/>
          <w:szCs w:val="24"/>
        </w:rPr>
        <w:t>Baumgarten v. Coppage</w:t>
      </w:r>
      <w:r w:rsidRPr="0089665A">
        <w:rPr>
          <w:rFonts w:eastAsia="Times New Roman"/>
          <w:sz w:val="24"/>
          <w:szCs w:val="24"/>
        </w:rPr>
        <w:t>, 15 P.3d 304 (</w:t>
      </w:r>
      <w:r w:rsidR="00735ECD">
        <w:rPr>
          <w:rFonts w:eastAsia="Times New Roman"/>
          <w:sz w:val="24"/>
          <w:szCs w:val="24"/>
        </w:rPr>
        <w:t>Colo. App.</w:t>
      </w:r>
      <w:r w:rsidRPr="0089665A">
        <w:rPr>
          <w:rFonts w:eastAsia="Times New Roman"/>
          <w:sz w:val="24"/>
          <w:szCs w:val="24"/>
        </w:rPr>
        <w:t xml:space="preserve"> 2000). Therefore, some breach of fiduciary duty and breach of contract claims against professionals may require the filing of a certificate of review. </w:t>
      </w:r>
      <w:r w:rsidRPr="0089665A">
        <w:rPr>
          <w:rFonts w:eastAsia="Times New Roman"/>
          <w:b/>
          <w:sz w:val="24"/>
          <w:szCs w:val="24"/>
        </w:rPr>
        <w:t>Martinez v. Badis</w:t>
      </w:r>
      <w:r w:rsidRPr="0089665A">
        <w:rPr>
          <w:rFonts w:eastAsia="Times New Roman"/>
          <w:sz w:val="24"/>
          <w:szCs w:val="24"/>
        </w:rPr>
        <w:t xml:space="preserve">, 842 P.2d 245 (Colo. 1992); </w:t>
      </w:r>
      <w:r w:rsidRPr="0089665A">
        <w:rPr>
          <w:rFonts w:eastAsia="Times New Roman"/>
          <w:b/>
          <w:sz w:val="24"/>
          <w:szCs w:val="24"/>
        </w:rPr>
        <w:t>Ehrlich Feedlot, Inc. v. Oldenburg</w:t>
      </w:r>
      <w:r w:rsidRPr="0089665A">
        <w:rPr>
          <w:rFonts w:eastAsia="Times New Roman"/>
          <w:sz w:val="24"/>
          <w:szCs w:val="24"/>
        </w:rPr>
        <w:t>, 140 P.3d 265 (</w:t>
      </w:r>
      <w:r w:rsidR="00735ECD">
        <w:rPr>
          <w:rFonts w:eastAsia="Times New Roman"/>
          <w:sz w:val="24"/>
          <w:szCs w:val="24"/>
        </w:rPr>
        <w:t>Colo. App.</w:t>
      </w:r>
      <w:r w:rsidR="00E40188">
        <w:rPr>
          <w:rFonts w:eastAsia="Times New Roman"/>
          <w:sz w:val="24"/>
          <w:szCs w:val="24"/>
        </w:rPr>
        <w:t xml:space="preserve"> </w:t>
      </w:r>
      <w:r w:rsidRPr="0089665A">
        <w:rPr>
          <w:rFonts w:eastAsia="Times New Roman"/>
          <w:sz w:val="24"/>
          <w:szCs w:val="24"/>
        </w:rPr>
        <w:t xml:space="preserve">2006); </w:t>
      </w:r>
      <w:r w:rsidRPr="0089665A">
        <w:rPr>
          <w:rFonts w:eastAsia="Times New Roman"/>
          <w:b/>
          <w:sz w:val="24"/>
          <w:szCs w:val="24"/>
        </w:rPr>
        <w:t>Kelton v. Ramsey</w:t>
      </w:r>
      <w:r w:rsidRPr="0089665A">
        <w:rPr>
          <w:rFonts w:eastAsia="Times New Roman"/>
          <w:sz w:val="24"/>
          <w:szCs w:val="24"/>
        </w:rPr>
        <w:t>, 961 P.2d 569 (</w:t>
      </w:r>
      <w:r w:rsidR="00735ECD">
        <w:rPr>
          <w:rFonts w:eastAsia="Times New Roman"/>
          <w:sz w:val="24"/>
          <w:szCs w:val="24"/>
        </w:rPr>
        <w:t>Colo. App.</w:t>
      </w:r>
      <w:r w:rsidRPr="0089665A">
        <w:rPr>
          <w:rFonts w:eastAsia="Times New Roman"/>
          <w:sz w:val="24"/>
          <w:szCs w:val="24"/>
        </w:rPr>
        <w:t xml:space="preserve"> 1998); </w:t>
      </w:r>
      <w:r w:rsidRPr="0089665A">
        <w:rPr>
          <w:rFonts w:eastAsia="Times New Roman"/>
          <w:b/>
          <w:sz w:val="24"/>
          <w:szCs w:val="24"/>
        </w:rPr>
        <w:t>McLister v. Epstein &amp; Lawrence, P.C</w:t>
      </w:r>
      <w:r w:rsidRPr="0089665A">
        <w:rPr>
          <w:rFonts w:eastAsia="Times New Roman"/>
          <w:sz w:val="24"/>
          <w:szCs w:val="24"/>
        </w:rPr>
        <w:t>., 934 P.2d 844 (</w:t>
      </w:r>
      <w:r w:rsidR="00735ECD">
        <w:rPr>
          <w:rFonts w:eastAsia="Times New Roman"/>
          <w:sz w:val="24"/>
          <w:szCs w:val="24"/>
        </w:rPr>
        <w:t>Colo. App.</w:t>
      </w:r>
      <w:r w:rsidRPr="0089665A">
        <w:rPr>
          <w:rFonts w:eastAsia="Times New Roman"/>
          <w:sz w:val="24"/>
          <w:szCs w:val="24"/>
        </w:rPr>
        <w:t xml:space="preserve"> 1996); </w:t>
      </w:r>
      <w:r w:rsidRPr="0089665A">
        <w:rPr>
          <w:rFonts w:eastAsia="Times New Roman"/>
          <w:b/>
          <w:sz w:val="24"/>
          <w:szCs w:val="24"/>
        </w:rPr>
        <w:t>Crystal Homes, Inc. v. Radetsky</w:t>
      </w:r>
      <w:r w:rsidRPr="0089665A">
        <w:rPr>
          <w:rFonts w:eastAsia="Times New Roman"/>
          <w:sz w:val="24"/>
          <w:szCs w:val="24"/>
        </w:rPr>
        <w:t>, 895 P.2d 1179 (</w:t>
      </w:r>
      <w:r w:rsidR="00735ECD">
        <w:rPr>
          <w:rFonts w:eastAsia="Times New Roman"/>
          <w:sz w:val="24"/>
          <w:szCs w:val="24"/>
        </w:rPr>
        <w:t>Colo. App.</w:t>
      </w:r>
      <w:r w:rsidRPr="0089665A">
        <w:rPr>
          <w:rFonts w:eastAsia="Times New Roman"/>
          <w:sz w:val="24"/>
          <w:szCs w:val="24"/>
        </w:rPr>
        <w:t xml:space="preserve"> 1995). Where expert testimony is required to establish a claim of professional liability against an attorney based on negligent misrepresentation, a certificate of review is required. </w:t>
      </w:r>
      <w:r w:rsidRPr="0089665A">
        <w:rPr>
          <w:rFonts w:eastAsia="Times New Roman"/>
          <w:b/>
          <w:sz w:val="24"/>
          <w:szCs w:val="24"/>
        </w:rPr>
        <w:t>RMB Servs.</w:t>
      </w:r>
      <w:r w:rsidRPr="0089665A">
        <w:rPr>
          <w:rFonts w:eastAsia="Times New Roman"/>
          <w:sz w:val="24"/>
          <w:szCs w:val="24"/>
        </w:rPr>
        <w:t>,</w:t>
      </w:r>
      <w:r w:rsidRPr="0089665A">
        <w:rPr>
          <w:rFonts w:eastAsia="Times New Roman"/>
          <w:b/>
          <w:sz w:val="24"/>
          <w:szCs w:val="24"/>
        </w:rPr>
        <w:t xml:space="preserve"> </w:t>
      </w:r>
      <w:r w:rsidRPr="0089665A">
        <w:rPr>
          <w:rFonts w:eastAsia="Times New Roman"/>
          <w:sz w:val="24"/>
          <w:szCs w:val="24"/>
        </w:rPr>
        <w:t xml:space="preserve">151 P.3d </w:t>
      </w:r>
      <w:r w:rsidR="000B30F7">
        <w:rPr>
          <w:rFonts w:eastAsia="Times New Roman"/>
          <w:sz w:val="24"/>
          <w:szCs w:val="24"/>
        </w:rPr>
        <w:t>at 676-77</w:t>
      </w:r>
      <w:r w:rsidRPr="0089665A">
        <w:rPr>
          <w:rFonts w:eastAsia="Times New Roman"/>
          <w:sz w:val="24"/>
          <w:szCs w:val="24"/>
        </w:rPr>
        <w:t xml:space="preserve">. </w:t>
      </w:r>
    </w:p>
    <w:p w14:paraId="34DDCE74" w14:textId="28427316"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3. The filing of a certificate of review is not a jurisdictional requirement. </w:t>
      </w:r>
      <w:r w:rsidRPr="0089665A">
        <w:rPr>
          <w:rFonts w:eastAsia="Times New Roman"/>
          <w:b/>
          <w:sz w:val="24"/>
          <w:szCs w:val="24"/>
        </w:rPr>
        <w:t>Miller v. Rowtech, LLC</w:t>
      </w:r>
      <w:r w:rsidRPr="0089665A">
        <w:rPr>
          <w:rFonts w:eastAsia="Times New Roman"/>
          <w:sz w:val="24"/>
          <w:szCs w:val="24"/>
        </w:rPr>
        <w:t>, 3 P.3d 492 (</w:t>
      </w:r>
      <w:r w:rsidR="00735ECD">
        <w:rPr>
          <w:rFonts w:eastAsia="Times New Roman"/>
          <w:sz w:val="24"/>
          <w:szCs w:val="24"/>
        </w:rPr>
        <w:t>Colo. App.</w:t>
      </w:r>
      <w:r w:rsidRPr="0089665A">
        <w:rPr>
          <w:rFonts w:eastAsia="Times New Roman"/>
          <w:sz w:val="24"/>
          <w:szCs w:val="24"/>
        </w:rPr>
        <w:t xml:space="preserve"> 2000). However, because expert testimony is necessary </w:t>
      </w:r>
      <w:r w:rsidRPr="0089665A">
        <w:rPr>
          <w:rFonts w:eastAsia="Times New Roman"/>
          <w:sz w:val="24"/>
          <w:szCs w:val="24"/>
        </w:rPr>
        <w:lastRenderedPageBreak/>
        <w:t xml:space="preserve">in all but the clearest of legal malpractice cases to establish the standards of acceptable professional conduct, </w:t>
      </w:r>
      <w:r w:rsidRPr="00F93D3C">
        <w:rPr>
          <w:rFonts w:eastAsia="Times New Roman"/>
          <w:i/>
          <w:sz w:val="24"/>
          <w:szCs w:val="24"/>
        </w:rPr>
        <w:t>see</w:t>
      </w:r>
      <w:r w:rsidRPr="0089665A">
        <w:rPr>
          <w:rFonts w:eastAsia="Times New Roman"/>
          <w:sz w:val="24"/>
          <w:szCs w:val="24"/>
        </w:rPr>
        <w:t xml:space="preserve"> </w:t>
      </w:r>
      <w:r w:rsidRPr="0089665A">
        <w:rPr>
          <w:rFonts w:eastAsia="Times New Roman"/>
          <w:b/>
          <w:sz w:val="24"/>
          <w:szCs w:val="24"/>
        </w:rPr>
        <w:t>Hice v. Lott</w:t>
      </w:r>
      <w:r w:rsidRPr="0089665A">
        <w:rPr>
          <w:rFonts w:eastAsia="Times New Roman"/>
          <w:sz w:val="24"/>
          <w:szCs w:val="24"/>
        </w:rPr>
        <w:t>, 223 P.3d 139 (</w:t>
      </w:r>
      <w:r w:rsidR="00735ECD">
        <w:rPr>
          <w:rFonts w:eastAsia="Times New Roman"/>
          <w:sz w:val="24"/>
          <w:szCs w:val="24"/>
        </w:rPr>
        <w:t>Colo. App.</w:t>
      </w:r>
      <w:r w:rsidRPr="0089665A">
        <w:rPr>
          <w:rFonts w:eastAsia="Times New Roman"/>
          <w:sz w:val="24"/>
          <w:szCs w:val="24"/>
        </w:rPr>
        <w:t xml:space="preserve"> 2009); </w:t>
      </w:r>
      <w:r w:rsidRPr="0089665A">
        <w:rPr>
          <w:rFonts w:eastAsia="Times New Roman"/>
          <w:b/>
          <w:sz w:val="24"/>
          <w:szCs w:val="24"/>
        </w:rPr>
        <w:t>Giron v. Koktavy</w:t>
      </w:r>
      <w:r w:rsidRPr="0089665A">
        <w:rPr>
          <w:rFonts w:eastAsia="Times New Roman"/>
          <w:sz w:val="24"/>
          <w:szCs w:val="24"/>
        </w:rPr>
        <w:t>, 124 P.3d 821 (</w:t>
      </w:r>
      <w:r w:rsidR="00735ECD">
        <w:rPr>
          <w:rFonts w:eastAsia="Times New Roman"/>
          <w:sz w:val="24"/>
          <w:szCs w:val="24"/>
        </w:rPr>
        <w:t>Colo. App.</w:t>
      </w:r>
      <w:r w:rsidR="00444452">
        <w:rPr>
          <w:rFonts w:eastAsia="Times New Roman"/>
          <w:sz w:val="24"/>
          <w:szCs w:val="24"/>
        </w:rPr>
        <w:t xml:space="preserve"> </w:t>
      </w:r>
      <w:r w:rsidRPr="0089665A">
        <w:rPr>
          <w:rFonts w:eastAsia="Times New Roman"/>
          <w:sz w:val="24"/>
          <w:szCs w:val="24"/>
        </w:rPr>
        <w:t xml:space="preserve">2005); </w:t>
      </w:r>
      <w:r w:rsidRPr="0089665A">
        <w:rPr>
          <w:rFonts w:eastAsia="Times New Roman"/>
          <w:b/>
          <w:sz w:val="24"/>
          <w:szCs w:val="24"/>
        </w:rPr>
        <w:t>Kelton</w:t>
      </w:r>
      <w:r w:rsidRPr="0089665A">
        <w:rPr>
          <w:rFonts w:eastAsia="Times New Roman"/>
          <w:sz w:val="24"/>
          <w:szCs w:val="24"/>
        </w:rPr>
        <w:t xml:space="preserve">, 961 P.2d </w:t>
      </w:r>
      <w:r w:rsidR="00E40188">
        <w:rPr>
          <w:rFonts w:eastAsia="Times New Roman"/>
          <w:sz w:val="24"/>
          <w:szCs w:val="24"/>
        </w:rPr>
        <w:t xml:space="preserve">at </w:t>
      </w:r>
      <w:r w:rsidRPr="0089665A">
        <w:rPr>
          <w:rFonts w:eastAsia="Times New Roman"/>
          <w:sz w:val="24"/>
          <w:szCs w:val="24"/>
        </w:rPr>
        <w:t>5</w:t>
      </w:r>
      <w:r w:rsidR="00E40188">
        <w:rPr>
          <w:rFonts w:eastAsia="Times New Roman"/>
          <w:sz w:val="24"/>
          <w:szCs w:val="24"/>
        </w:rPr>
        <w:t>71</w:t>
      </w:r>
      <w:r w:rsidRPr="0089665A">
        <w:rPr>
          <w:rFonts w:eastAsia="Times New Roman"/>
          <w:sz w:val="24"/>
          <w:szCs w:val="24"/>
        </w:rPr>
        <w:t xml:space="preserve">; </w:t>
      </w:r>
      <w:r w:rsidRPr="0089665A">
        <w:rPr>
          <w:rFonts w:eastAsia="Times New Roman"/>
          <w:b/>
          <w:sz w:val="24"/>
          <w:szCs w:val="24"/>
        </w:rPr>
        <w:t>Boigegrain</w:t>
      </w:r>
      <w:r w:rsidRPr="0089665A">
        <w:rPr>
          <w:rFonts w:eastAsia="Times New Roman"/>
          <w:sz w:val="24"/>
          <w:szCs w:val="24"/>
        </w:rPr>
        <w:t xml:space="preserve">, 784 P.2d </w:t>
      </w:r>
      <w:r w:rsidR="00045344">
        <w:rPr>
          <w:rFonts w:eastAsia="Times New Roman"/>
          <w:sz w:val="24"/>
          <w:szCs w:val="24"/>
        </w:rPr>
        <w:t xml:space="preserve">at </w:t>
      </w:r>
      <w:r w:rsidRPr="0089665A">
        <w:rPr>
          <w:rFonts w:eastAsia="Times New Roman"/>
          <w:sz w:val="24"/>
          <w:szCs w:val="24"/>
        </w:rPr>
        <w:t>8</w:t>
      </w:r>
      <w:r w:rsidR="00045344">
        <w:rPr>
          <w:rFonts w:eastAsia="Times New Roman"/>
          <w:sz w:val="24"/>
          <w:szCs w:val="24"/>
        </w:rPr>
        <w:t>50</w:t>
      </w:r>
      <w:r w:rsidRPr="0089665A">
        <w:rPr>
          <w:rFonts w:eastAsia="Times New Roman"/>
          <w:sz w:val="24"/>
          <w:szCs w:val="24"/>
        </w:rPr>
        <w:t xml:space="preserve">, a plaintiff’s failure to file a certificate of review may result in dismissal of the case. </w:t>
      </w:r>
      <w:r w:rsidRPr="0089665A">
        <w:rPr>
          <w:rFonts w:eastAsia="Times New Roman"/>
          <w:b/>
          <w:sz w:val="24"/>
          <w:szCs w:val="24"/>
        </w:rPr>
        <w:t>Kelton</w:t>
      </w:r>
      <w:r w:rsidRPr="0089665A">
        <w:rPr>
          <w:rFonts w:eastAsia="Times New Roman"/>
          <w:sz w:val="24"/>
          <w:szCs w:val="24"/>
        </w:rPr>
        <w:t xml:space="preserve">, 961 P.2d </w:t>
      </w:r>
      <w:r w:rsidR="00E40188">
        <w:rPr>
          <w:rFonts w:eastAsia="Times New Roman"/>
          <w:sz w:val="24"/>
          <w:szCs w:val="24"/>
        </w:rPr>
        <w:t xml:space="preserve">at </w:t>
      </w:r>
      <w:r w:rsidRPr="0089665A">
        <w:rPr>
          <w:rFonts w:eastAsia="Times New Roman"/>
          <w:sz w:val="24"/>
          <w:szCs w:val="24"/>
        </w:rPr>
        <w:t>5</w:t>
      </w:r>
      <w:r w:rsidR="00E40188">
        <w:rPr>
          <w:rFonts w:eastAsia="Times New Roman"/>
          <w:sz w:val="24"/>
          <w:szCs w:val="24"/>
        </w:rPr>
        <w:t>71</w:t>
      </w:r>
      <w:r w:rsidRPr="0089665A">
        <w:rPr>
          <w:rFonts w:eastAsia="Times New Roman"/>
          <w:sz w:val="24"/>
          <w:szCs w:val="24"/>
        </w:rPr>
        <w:t xml:space="preserve">; </w:t>
      </w:r>
      <w:r w:rsidRPr="0089665A">
        <w:rPr>
          <w:rFonts w:eastAsia="Times New Roman"/>
          <w:b/>
          <w:sz w:val="24"/>
          <w:szCs w:val="24"/>
        </w:rPr>
        <w:t>Rosenberg v. Grady</w:t>
      </w:r>
      <w:r w:rsidRPr="0089665A">
        <w:rPr>
          <w:rFonts w:eastAsia="Times New Roman"/>
          <w:sz w:val="24"/>
          <w:szCs w:val="24"/>
        </w:rPr>
        <w:t>, 843 P.2d 25 (</w:t>
      </w:r>
      <w:r w:rsidR="00735ECD">
        <w:rPr>
          <w:rFonts w:eastAsia="Times New Roman"/>
          <w:sz w:val="24"/>
          <w:szCs w:val="24"/>
        </w:rPr>
        <w:t>Colo. App.</w:t>
      </w:r>
      <w:r w:rsidRPr="0089665A">
        <w:rPr>
          <w:rFonts w:eastAsia="Times New Roman"/>
          <w:sz w:val="24"/>
          <w:szCs w:val="24"/>
        </w:rPr>
        <w:t xml:space="preserve"> 1992). A claimant is not required to file separate certificates of review for an attorney and his law firm. </w:t>
      </w:r>
      <w:r w:rsidRPr="0089665A">
        <w:rPr>
          <w:rFonts w:eastAsia="Times New Roman"/>
          <w:b/>
          <w:sz w:val="24"/>
          <w:szCs w:val="24"/>
        </w:rPr>
        <w:t>RMB Servs.</w:t>
      </w:r>
      <w:r w:rsidRPr="0089665A">
        <w:rPr>
          <w:rFonts w:eastAsia="Times New Roman"/>
          <w:sz w:val="24"/>
          <w:szCs w:val="24"/>
        </w:rPr>
        <w:t xml:space="preserve">, 151 P.3d </w:t>
      </w:r>
      <w:r w:rsidR="000B30F7">
        <w:rPr>
          <w:rFonts w:eastAsia="Times New Roman"/>
          <w:sz w:val="24"/>
          <w:szCs w:val="24"/>
        </w:rPr>
        <w:t xml:space="preserve">at </w:t>
      </w:r>
      <w:r w:rsidRPr="0089665A">
        <w:rPr>
          <w:rFonts w:eastAsia="Times New Roman"/>
          <w:sz w:val="24"/>
          <w:szCs w:val="24"/>
        </w:rPr>
        <w:t>67</w:t>
      </w:r>
      <w:r w:rsidR="000B30F7">
        <w:rPr>
          <w:rFonts w:eastAsia="Times New Roman"/>
          <w:sz w:val="24"/>
          <w:szCs w:val="24"/>
        </w:rPr>
        <w:t>6</w:t>
      </w:r>
      <w:r w:rsidRPr="0089665A">
        <w:rPr>
          <w:rFonts w:eastAsia="Times New Roman"/>
          <w:sz w:val="24"/>
          <w:szCs w:val="24"/>
        </w:rPr>
        <w:t xml:space="preserve"> (single certificate as to both satisfied statutory requirement). A </w:t>
      </w:r>
      <w:r w:rsidR="00444452">
        <w:rPr>
          <w:rFonts w:eastAsia="Times New Roman"/>
          <w:sz w:val="24"/>
          <w:szCs w:val="24"/>
        </w:rPr>
        <w:t xml:space="preserve">plaintiff is not required to file a </w:t>
      </w:r>
      <w:r w:rsidRPr="0089665A">
        <w:rPr>
          <w:rFonts w:eastAsia="Times New Roman"/>
          <w:sz w:val="24"/>
          <w:szCs w:val="24"/>
        </w:rPr>
        <w:t xml:space="preserve">certificate of review </w:t>
      </w:r>
      <w:r w:rsidR="00444452">
        <w:rPr>
          <w:rFonts w:eastAsia="Times New Roman"/>
          <w:sz w:val="24"/>
          <w:szCs w:val="24"/>
        </w:rPr>
        <w:t xml:space="preserve">when alleging that an attorney </w:t>
      </w:r>
      <w:r w:rsidRPr="0089665A">
        <w:rPr>
          <w:rFonts w:eastAsia="Times New Roman"/>
          <w:sz w:val="24"/>
          <w:szCs w:val="24"/>
        </w:rPr>
        <w:t>fail</w:t>
      </w:r>
      <w:r w:rsidR="00444452">
        <w:rPr>
          <w:rFonts w:eastAsia="Times New Roman"/>
          <w:sz w:val="24"/>
          <w:szCs w:val="24"/>
        </w:rPr>
        <w:t>ed</w:t>
      </w:r>
      <w:r w:rsidRPr="0089665A">
        <w:rPr>
          <w:rFonts w:eastAsia="Times New Roman"/>
          <w:sz w:val="24"/>
          <w:szCs w:val="24"/>
        </w:rPr>
        <w:t xml:space="preserve"> to file an action within the applicable statute of limitations</w:t>
      </w:r>
      <w:r w:rsidR="00444452">
        <w:rPr>
          <w:rFonts w:eastAsia="Times New Roman"/>
          <w:sz w:val="24"/>
          <w:szCs w:val="24"/>
        </w:rPr>
        <w:t xml:space="preserve"> </w:t>
      </w:r>
      <w:r w:rsidR="00444452" w:rsidRPr="00444452">
        <w:rPr>
          <w:rFonts w:eastAsia="Times New Roman"/>
          <w:sz w:val="24"/>
          <w:szCs w:val="24"/>
        </w:rPr>
        <w:t>or</w:t>
      </w:r>
      <w:r w:rsidRPr="0089665A">
        <w:rPr>
          <w:rFonts w:eastAsia="Times New Roman"/>
          <w:sz w:val="24"/>
          <w:szCs w:val="24"/>
        </w:rPr>
        <w:t xml:space="preserve"> to show the existence of an attorney-client relationship.</w:t>
      </w:r>
      <w:r w:rsidRPr="0089665A">
        <w:rPr>
          <w:rFonts w:eastAsia="Times New Roman"/>
          <w:i/>
          <w:sz w:val="24"/>
          <w:szCs w:val="24"/>
        </w:rPr>
        <w:t xml:space="preserve"> </w:t>
      </w:r>
      <w:r w:rsidR="00444452" w:rsidRPr="0089665A">
        <w:rPr>
          <w:rFonts w:eastAsia="Times New Roman"/>
          <w:b/>
          <w:sz w:val="24"/>
          <w:szCs w:val="24"/>
        </w:rPr>
        <w:t>Giron</w:t>
      </w:r>
      <w:r w:rsidR="00444452" w:rsidRPr="0089665A">
        <w:rPr>
          <w:rFonts w:eastAsia="Times New Roman"/>
          <w:sz w:val="24"/>
          <w:szCs w:val="24"/>
        </w:rPr>
        <w:t xml:space="preserve">, 124 P.3d </w:t>
      </w:r>
      <w:r w:rsidR="00444452">
        <w:rPr>
          <w:rFonts w:eastAsia="Times New Roman"/>
          <w:sz w:val="24"/>
          <w:szCs w:val="24"/>
        </w:rPr>
        <w:t xml:space="preserve">at </w:t>
      </w:r>
      <w:r w:rsidR="00444452" w:rsidRPr="0089665A">
        <w:rPr>
          <w:rFonts w:eastAsia="Times New Roman"/>
          <w:sz w:val="24"/>
          <w:szCs w:val="24"/>
        </w:rPr>
        <w:t>8</w:t>
      </w:r>
      <w:r w:rsidR="00444452">
        <w:rPr>
          <w:rFonts w:eastAsia="Times New Roman"/>
          <w:sz w:val="24"/>
          <w:szCs w:val="24"/>
        </w:rPr>
        <w:t>25-</w:t>
      </w:r>
      <w:r w:rsidR="00444452" w:rsidRPr="0089665A">
        <w:rPr>
          <w:rFonts w:eastAsia="Times New Roman"/>
          <w:sz w:val="24"/>
          <w:szCs w:val="24"/>
        </w:rPr>
        <w:t>2</w:t>
      </w:r>
      <w:r w:rsidR="00444452">
        <w:rPr>
          <w:rFonts w:eastAsia="Times New Roman"/>
          <w:sz w:val="24"/>
          <w:szCs w:val="24"/>
        </w:rPr>
        <w:t>6</w:t>
      </w:r>
      <w:r w:rsidR="00F93D3C">
        <w:rPr>
          <w:rFonts w:eastAsia="Times New Roman"/>
          <w:sz w:val="24"/>
          <w:szCs w:val="24"/>
        </w:rPr>
        <w:t>.</w:t>
      </w:r>
    </w:p>
    <w:p w14:paraId="3C460DDC" w14:textId="113C488A"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4. A claim for negligent misrepresentation stated against an attorney by a non-client is not a claim for professional negligence. </w:t>
      </w:r>
      <w:r w:rsidRPr="0089665A">
        <w:rPr>
          <w:rFonts w:eastAsia="Times New Roman"/>
          <w:i/>
          <w:sz w:val="24"/>
          <w:szCs w:val="24"/>
        </w:rPr>
        <w:t>See</w:t>
      </w:r>
      <w:r w:rsidRPr="0089665A">
        <w:rPr>
          <w:rFonts w:eastAsia="Times New Roman"/>
          <w:sz w:val="24"/>
          <w:szCs w:val="24"/>
        </w:rPr>
        <w:t xml:space="preserve"> </w:t>
      </w:r>
      <w:r w:rsidRPr="0089665A">
        <w:rPr>
          <w:rFonts w:eastAsia="Times New Roman"/>
          <w:b/>
          <w:sz w:val="24"/>
          <w:szCs w:val="24"/>
        </w:rPr>
        <w:t>Allen v. Steele</w:t>
      </w:r>
      <w:r w:rsidRPr="0089665A">
        <w:rPr>
          <w:rFonts w:eastAsia="Times New Roman"/>
          <w:sz w:val="24"/>
          <w:szCs w:val="24"/>
        </w:rPr>
        <w:t xml:space="preserve">, 252 P.3d 476 (Colo. 2011); </w:t>
      </w:r>
      <w:r w:rsidRPr="0089665A">
        <w:rPr>
          <w:rFonts w:eastAsia="Times New Roman"/>
          <w:b/>
          <w:sz w:val="24"/>
          <w:szCs w:val="24"/>
        </w:rPr>
        <w:t>Mehaffy, Rider, Windholz &amp; Wilson v. Central Bank Denver, N.A.</w:t>
      </w:r>
      <w:r w:rsidRPr="0089665A">
        <w:rPr>
          <w:rFonts w:eastAsia="Times New Roman"/>
          <w:sz w:val="24"/>
          <w:szCs w:val="24"/>
        </w:rPr>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rFonts w:eastAsia="Times New Roman"/>
          <w:b/>
          <w:sz w:val="24"/>
          <w:szCs w:val="24"/>
        </w:rPr>
        <w:t>Allen</w:t>
      </w:r>
      <w:r w:rsidRPr="0089665A">
        <w:rPr>
          <w:rFonts w:eastAsia="Times New Roman"/>
          <w:sz w:val="24"/>
          <w:szCs w:val="24"/>
        </w:rPr>
        <w:t xml:space="preserve">, 252 P.3d </w:t>
      </w:r>
      <w:r w:rsidR="00766F89">
        <w:rPr>
          <w:rFonts w:eastAsia="Times New Roman"/>
          <w:sz w:val="24"/>
          <w:szCs w:val="24"/>
        </w:rPr>
        <w:t xml:space="preserve">at </w:t>
      </w:r>
      <w:r w:rsidRPr="0089665A">
        <w:rPr>
          <w:rFonts w:eastAsia="Times New Roman"/>
          <w:sz w:val="24"/>
          <w:szCs w:val="24"/>
        </w:rPr>
        <w:t>4</w:t>
      </w:r>
      <w:r w:rsidR="00766F89">
        <w:rPr>
          <w:rFonts w:eastAsia="Times New Roman"/>
          <w:sz w:val="24"/>
          <w:szCs w:val="24"/>
        </w:rPr>
        <w:t>82</w:t>
      </w:r>
      <w:r w:rsidRPr="0089665A">
        <w:rPr>
          <w:rFonts w:eastAsia="Times New Roman"/>
          <w:sz w:val="24"/>
          <w:szCs w:val="24"/>
        </w:rPr>
        <w:t xml:space="preserve">; </w:t>
      </w:r>
      <w:r w:rsidRPr="0089665A">
        <w:rPr>
          <w:rFonts w:eastAsia="Times New Roman"/>
          <w:b/>
          <w:sz w:val="24"/>
          <w:szCs w:val="24"/>
        </w:rPr>
        <w:t>Mehaffy, Rider, Windholz &amp; Wilson</w:t>
      </w:r>
      <w:r w:rsidRPr="0089665A">
        <w:rPr>
          <w:rFonts w:eastAsia="Times New Roman"/>
          <w:sz w:val="24"/>
          <w:szCs w:val="24"/>
        </w:rPr>
        <w:t xml:space="preserve">, 892 P.2d </w:t>
      </w:r>
      <w:r w:rsidR="00766F89">
        <w:rPr>
          <w:rFonts w:eastAsia="Times New Roman"/>
          <w:sz w:val="24"/>
          <w:szCs w:val="24"/>
        </w:rPr>
        <w:t xml:space="preserve">at </w:t>
      </w:r>
      <w:r w:rsidRPr="0089665A">
        <w:rPr>
          <w:rFonts w:eastAsia="Times New Roman"/>
          <w:sz w:val="24"/>
          <w:szCs w:val="24"/>
        </w:rPr>
        <w:t>2</w:t>
      </w:r>
      <w:r w:rsidR="00766F89">
        <w:rPr>
          <w:rFonts w:eastAsia="Times New Roman"/>
          <w:sz w:val="24"/>
          <w:szCs w:val="24"/>
        </w:rPr>
        <w:t>40</w:t>
      </w:r>
      <w:r w:rsidRPr="0089665A">
        <w:rPr>
          <w:rFonts w:eastAsia="Times New Roman"/>
          <w:sz w:val="24"/>
          <w:szCs w:val="24"/>
        </w:rPr>
        <w:t xml:space="preserve">; </w:t>
      </w:r>
      <w:r w:rsidRPr="0089665A">
        <w:rPr>
          <w:rFonts w:eastAsia="Times New Roman"/>
          <w:b/>
          <w:sz w:val="24"/>
          <w:szCs w:val="24"/>
        </w:rPr>
        <w:t>Anstine v. Alexander</w:t>
      </w:r>
      <w:r w:rsidRPr="0089665A">
        <w:rPr>
          <w:rFonts w:eastAsia="Times New Roman"/>
          <w:sz w:val="24"/>
          <w:szCs w:val="24"/>
        </w:rPr>
        <w:t>, 128 P.3d 249 (</w:t>
      </w:r>
      <w:r w:rsidR="00735ECD">
        <w:rPr>
          <w:rFonts w:eastAsia="Times New Roman"/>
          <w:sz w:val="24"/>
          <w:szCs w:val="24"/>
        </w:rPr>
        <w:t>Colo. App.</w:t>
      </w:r>
      <w:r w:rsidRPr="0089665A">
        <w:rPr>
          <w:rFonts w:eastAsia="Times New Roman"/>
          <w:sz w:val="24"/>
          <w:szCs w:val="24"/>
        </w:rPr>
        <w:t xml:space="preserve"> 2005), </w:t>
      </w:r>
      <w:r w:rsidRPr="0089665A">
        <w:rPr>
          <w:rFonts w:eastAsia="Times New Roman"/>
          <w:i/>
          <w:sz w:val="24"/>
          <w:szCs w:val="24"/>
        </w:rPr>
        <w:t>vacated in part and rev’d in part on other grounds</w:t>
      </w:r>
      <w:r w:rsidRPr="0089665A">
        <w:rPr>
          <w:rFonts w:eastAsia="Times New Roman"/>
          <w:sz w:val="24"/>
          <w:szCs w:val="24"/>
        </w:rPr>
        <w:t>, 152 P.3d 497 (Colo. 2007).</w:t>
      </w:r>
    </w:p>
    <w:p w14:paraId="668E82F7" w14:textId="77777777" w:rsidR="0089665A" w:rsidRDefault="0089665A">
      <w:pPr>
        <w:rPr>
          <w:rFonts w:eastAsia="Times New Roman"/>
          <w:sz w:val="24"/>
          <w:szCs w:val="24"/>
        </w:rPr>
      </w:pPr>
      <w:r>
        <w:rPr>
          <w:rFonts w:eastAsia="Times New Roman"/>
          <w:sz w:val="24"/>
          <w:szCs w:val="24"/>
        </w:rPr>
        <w:br w:type="page"/>
      </w:r>
    </w:p>
    <w:p w14:paraId="044339F7" w14:textId="77777777" w:rsidR="0089665A" w:rsidRPr="0089665A" w:rsidRDefault="0089665A" w:rsidP="0089665A">
      <w:pPr>
        <w:spacing w:after="240"/>
        <w:ind w:left="720" w:hanging="720"/>
        <w:rPr>
          <w:rFonts w:eastAsia="Times New Roman"/>
          <w:b/>
          <w:caps/>
          <w:sz w:val="24"/>
          <w:szCs w:val="24"/>
        </w:rPr>
      </w:pPr>
      <w:bookmarkStart w:id="22" w:name="a15_22"/>
      <w:bookmarkEnd w:id="22"/>
      <w:r w:rsidRPr="0089665A">
        <w:rPr>
          <w:rFonts w:eastAsia="Times New Roman"/>
          <w:b/>
          <w:caps/>
          <w:sz w:val="24"/>
          <w:szCs w:val="24"/>
        </w:rPr>
        <w:lastRenderedPageBreak/>
        <w:t xml:space="preserve">15:22 </w:t>
      </w:r>
      <w:r w:rsidRPr="0089665A">
        <w:rPr>
          <w:rFonts w:eastAsia="Times New Roman"/>
          <w:b/>
          <w:caps/>
          <w:sz w:val="24"/>
          <w:szCs w:val="24"/>
        </w:rPr>
        <w:tab/>
        <w:t>NO IMPLIED WARRANTY OF SUCCESSFUL OUTCOME</w:t>
      </w:r>
    </w:p>
    <w:p w14:paraId="2213725A"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rPr>
          <w:rFonts w:eastAsia="Times New Roman"/>
          <w:sz w:val="24"/>
          <w:szCs w:val="24"/>
        </w:rPr>
      </w:pPr>
    </w:p>
    <w:p w14:paraId="67387143" w14:textId="77777777" w:rsidR="0089665A" w:rsidRPr="0054263B" w:rsidRDefault="0089665A" w:rsidP="0089665A">
      <w:pPr>
        <w:keepNext/>
        <w:spacing w:after="240"/>
        <w:jc w:val="center"/>
        <w:rPr>
          <w:rFonts w:eastAsia="Times New Roman"/>
          <w:b/>
          <w:sz w:val="24"/>
          <w:szCs w:val="24"/>
        </w:rPr>
      </w:pPr>
      <w:r w:rsidRPr="0054263B">
        <w:rPr>
          <w:rFonts w:eastAsia="Times New Roman"/>
          <w:b/>
          <w:sz w:val="24"/>
          <w:szCs w:val="24"/>
        </w:rPr>
        <w:t>Notes on Use</w:t>
      </w:r>
    </w:p>
    <w:p w14:paraId="7B5DF539"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1. Use whichever parenthetical words are appropriate.</w:t>
      </w:r>
    </w:p>
    <w:p w14:paraId="5E957C66" w14:textId="2DA54625" w:rsidR="0089665A" w:rsidRPr="0089665A" w:rsidRDefault="0089665A" w:rsidP="0089665A">
      <w:pPr>
        <w:spacing w:after="240"/>
        <w:ind w:firstLine="720"/>
        <w:rPr>
          <w:rFonts w:eastAsia="Times New Roman"/>
          <w:sz w:val="24"/>
          <w:szCs w:val="24"/>
        </w:rPr>
      </w:pPr>
      <w:r w:rsidRPr="0089665A">
        <w:rPr>
          <w:rFonts w:eastAsia="Times New Roman"/>
          <w:sz w:val="24"/>
          <w:szCs w:val="24"/>
        </w:rPr>
        <w:t>2. This cautionary instruction is comparable to the rule that the happening of an accident is not alone sufficient to presume negligence</w:t>
      </w:r>
      <w:r w:rsidR="008C0F03">
        <w:rPr>
          <w:rFonts w:eastAsia="Times New Roman"/>
          <w:sz w:val="24"/>
          <w:szCs w:val="24"/>
        </w:rPr>
        <w:t>,</w:t>
      </w:r>
      <w:r w:rsidRPr="0089665A">
        <w:rPr>
          <w:rFonts w:eastAsia="Times New Roman"/>
          <w:sz w:val="24"/>
          <w:szCs w:val="24"/>
        </w:rPr>
        <w:t xml:space="preserve"> </w:t>
      </w:r>
      <w:r w:rsidRPr="00F93D3C">
        <w:rPr>
          <w:rFonts w:eastAsia="Times New Roman"/>
          <w:i/>
          <w:sz w:val="24"/>
          <w:szCs w:val="24"/>
        </w:rPr>
        <w:t>see</w:t>
      </w:r>
      <w:r w:rsidRPr="0089665A">
        <w:rPr>
          <w:rFonts w:eastAsia="Times New Roman"/>
          <w:sz w:val="24"/>
          <w:szCs w:val="24"/>
        </w:rPr>
        <w:t xml:space="preserve"> Instruction 9:12, and may be given in conjunction with Instruction 15:21 when the evidence of malpractice includes lack of success.</w:t>
      </w:r>
    </w:p>
    <w:p w14:paraId="27D23617" w14:textId="3880C7D1"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3. If there is sufficient evidence that the defendant may have warranted or promised success, instructions based on that contractual theory of relief should be given either in addition to, or as an alternative to, any other theories, </w:t>
      </w:r>
      <w:r w:rsidR="008C0F03">
        <w:rPr>
          <w:rFonts w:eastAsia="Times New Roman"/>
          <w:sz w:val="24"/>
          <w:szCs w:val="24"/>
        </w:rPr>
        <w:t>such as</w:t>
      </w:r>
      <w:r w:rsidRPr="0089665A">
        <w:rPr>
          <w:rFonts w:eastAsia="Times New Roman"/>
          <w:sz w:val="24"/>
          <w:szCs w:val="24"/>
        </w:rPr>
        <w:t xml:space="preserve"> legal malpractice, depending on the evidence in the case.</w:t>
      </w:r>
    </w:p>
    <w:p w14:paraId="4671CC73" w14:textId="77777777" w:rsidR="0089665A" w:rsidRPr="0054263B" w:rsidRDefault="0089665A" w:rsidP="0089665A">
      <w:pPr>
        <w:keepNext/>
        <w:spacing w:after="240"/>
        <w:jc w:val="center"/>
        <w:rPr>
          <w:rFonts w:eastAsia="Times New Roman"/>
          <w:b/>
          <w:sz w:val="24"/>
          <w:szCs w:val="24"/>
        </w:rPr>
      </w:pPr>
      <w:r>
        <w:rPr>
          <w:rFonts w:eastAsia="Times New Roman"/>
          <w:b/>
          <w:sz w:val="24"/>
          <w:szCs w:val="24"/>
        </w:rPr>
        <w:t>Source and Authority</w:t>
      </w:r>
    </w:p>
    <w:p w14:paraId="16BD252E" w14:textId="5F59BCAF"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1. This instruction is supported by </w:t>
      </w:r>
      <w:r w:rsidRPr="0089665A">
        <w:rPr>
          <w:rFonts w:eastAsia="Times New Roman"/>
          <w:b/>
          <w:sz w:val="24"/>
          <w:szCs w:val="24"/>
        </w:rPr>
        <w:t>McLister v. Epstein &amp; Lawrence,</w:t>
      </w:r>
      <w:r w:rsidRPr="0089665A">
        <w:rPr>
          <w:rFonts w:eastAsia="Times New Roman"/>
          <w:sz w:val="24"/>
          <w:szCs w:val="24"/>
        </w:rPr>
        <w:t xml:space="preserve"> </w:t>
      </w:r>
      <w:r w:rsidRPr="0089665A">
        <w:rPr>
          <w:rFonts w:eastAsia="Times New Roman"/>
          <w:b/>
          <w:sz w:val="24"/>
          <w:szCs w:val="24"/>
        </w:rPr>
        <w:t>P.C.</w:t>
      </w:r>
      <w:r w:rsidRPr="0089665A">
        <w:rPr>
          <w:rFonts w:eastAsia="Times New Roman"/>
          <w:sz w:val="24"/>
          <w:szCs w:val="24"/>
        </w:rPr>
        <w:t>, 934 P.2d 844 (</w:t>
      </w:r>
      <w:r w:rsidR="00735ECD">
        <w:rPr>
          <w:rFonts w:eastAsia="Times New Roman"/>
          <w:sz w:val="24"/>
          <w:szCs w:val="24"/>
        </w:rPr>
        <w:t>Colo. App.</w:t>
      </w:r>
      <w:r w:rsidRPr="0089665A">
        <w:rPr>
          <w:rFonts w:eastAsia="Times New Roman"/>
          <w:sz w:val="24"/>
          <w:szCs w:val="24"/>
        </w:rPr>
        <w:t xml:space="preserve"> 1996) (dicta); </w:t>
      </w:r>
      <w:r w:rsidR="000B30F7">
        <w:rPr>
          <w:rFonts w:eastAsia="Times New Roman"/>
          <w:sz w:val="24"/>
          <w:szCs w:val="24"/>
        </w:rPr>
        <w:t xml:space="preserve">and </w:t>
      </w:r>
      <w:r w:rsidRPr="0089665A">
        <w:rPr>
          <w:rFonts w:eastAsia="Times New Roman"/>
          <w:b/>
          <w:sz w:val="24"/>
          <w:szCs w:val="24"/>
        </w:rPr>
        <w:t>Myers v. Beem</w:t>
      </w:r>
      <w:r w:rsidRPr="0089665A">
        <w:rPr>
          <w:rFonts w:eastAsia="Times New Roman"/>
          <w:sz w:val="24"/>
          <w:szCs w:val="24"/>
        </w:rPr>
        <w:t>, 712 P.2d 1092 (</w:t>
      </w:r>
      <w:r w:rsidR="00735ECD">
        <w:rPr>
          <w:rFonts w:eastAsia="Times New Roman"/>
          <w:sz w:val="24"/>
          <w:szCs w:val="24"/>
        </w:rPr>
        <w:t>Colo. App.</w:t>
      </w:r>
      <w:r w:rsidRPr="0089665A">
        <w:rPr>
          <w:rFonts w:eastAsia="Times New Roman"/>
          <w:sz w:val="24"/>
          <w:szCs w:val="24"/>
        </w:rPr>
        <w:t xml:space="preserve"> 1985) (making a mistake is not necessarily negligence).</w:t>
      </w:r>
    </w:p>
    <w:p w14:paraId="71482189" w14:textId="43957408"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rFonts w:eastAsia="Times New Roman"/>
          <w:b/>
          <w:sz w:val="24"/>
          <w:szCs w:val="24"/>
        </w:rPr>
        <w:t>Temple Hoyne Buell Found. v. Holland &amp; Hart</w:t>
      </w:r>
      <w:r w:rsidRPr="0089665A">
        <w:rPr>
          <w:rFonts w:eastAsia="Times New Roman"/>
          <w:sz w:val="24"/>
          <w:szCs w:val="24"/>
        </w:rPr>
        <w:t>, 851 P.2d 192, 198 (</w:t>
      </w:r>
      <w:r w:rsidR="00735ECD">
        <w:rPr>
          <w:rFonts w:eastAsia="Times New Roman"/>
          <w:sz w:val="24"/>
          <w:szCs w:val="24"/>
        </w:rPr>
        <w:t>Colo. App.</w:t>
      </w:r>
      <w:r w:rsidRPr="0089665A">
        <w:rPr>
          <w:rFonts w:eastAsia="Times New Roman"/>
          <w:sz w:val="24"/>
          <w:szCs w:val="24"/>
        </w:rPr>
        <w:t xml:space="preserve"> 1992)</w:t>
      </w:r>
      <w:r w:rsidR="009613F2">
        <w:rPr>
          <w:rFonts w:eastAsia="Times New Roman"/>
          <w:sz w:val="24"/>
          <w:szCs w:val="24"/>
        </w:rPr>
        <w:t>;</w:t>
      </w:r>
      <w:r w:rsidRPr="0089665A">
        <w:rPr>
          <w:rFonts w:eastAsia="Times New Roman"/>
          <w:sz w:val="24"/>
          <w:szCs w:val="24"/>
        </w:rPr>
        <w:t xml:space="preserve"> </w:t>
      </w:r>
      <w:r w:rsidR="009613F2">
        <w:rPr>
          <w:rFonts w:eastAsia="Times New Roman"/>
          <w:i/>
          <w:sz w:val="24"/>
          <w:szCs w:val="24"/>
        </w:rPr>
        <w:t>s</w:t>
      </w:r>
      <w:r w:rsidRPr="0089665A">
        <w:rPr>
          <w:rFonts w:eastAsia="Times New Roman"/>
          <w:i/>
          <w:sz w:val="24"/>
          <w:szCs w:val="24"/>
        </w:rPr>
        <w:t>ee also</w:t>
      </w:r>
      <w:r w:rsidRPr="0089665A">
        <w:rPr>
          <w:rFonts w:eastAsia="Times New Roman"/>
          <w:sz w:val="24"/>
          <w:szCs w:val="24"/>
        </w:rPr>
        <w:t xml:space="preserve"> </w:t>
      </w:r>
      <w:r w:rsidRPr="0089665A">
        <w:rPr>
          <w:rFonts w:eastAsia="Times New Roman"/>
          <w:b/>
          <w:sz w:val="24"/>
          <w:szCs w:val="24"/>
        </w:rPr>
        <w:t>First Interstate Bank of Denver, N.A. v. Berenbaum</w:t>
      </w:r>
      <w:r w:rsidRPr="0089665A">
        <w:rPr>
          <w:rFonts w:eastAsia="Times New Roman"/>
          <w:sz w:val="24"/>
          <w:szCs w:val="24"/>
        </w:rPr>
        <w:t>, 872 P.2d 1297 (</w:t>
      </w:r>
      <w:r w:rsidR="00735ECD">
        <w:rPr>
          <w:rFonts w:eastAsia="Times New Roman"/>
          <w:sz w:val="24"/>
          <w:szCs w:val="24"/>
        </w:rPr>
        <w:t>Colo. App.</w:t>
      </w:r>
      <w:r w:rsidRPr="0089665A">
        <w:rPr>
          <w:rFonts w:eastAsia="Times New Roman"/>
          <w:sz w:val="24"/>
          <w:szCs w:val="24"/>
        </w:rPr>
        <w:t xml:space="preserve"> 1993).</w:t>
      </w:r>
    </w:p>
    <w:p w14:paraId="773B7E13" w14:textId="77777777" w:rsidR="004625BF" w:rsidRDefault="004625BF">
      <w:pPr>
        <w:rPr>
          <w:rFonts w:eastAsia="Times New Roman"/>
          <w:sz w:val="24"/>
          <w:szCs w:val="24"/>
        </w:rPr>
      </w:pPr>
      <w:r>
        <w:rPr>
          <w:rFonts w:eastAsia="Times New Roman"/>
          <w:sz w:val="24"/>
          <w:szCs w:val="24"/>
        </w:rPr>
        <w:br w:type="page"/>
      </w:r>
    </w:p>
    <w:p w14:paraId="4060A21A" w14:textId="77777777" w:rsidR="004625BF" w:rsidRPr="0089665A" w:rsidRDefault="004625BF" w:rsidP="004625BF">
      <w:pPr>
        <w:spacing w:after="240"/>
        <w:ind w:left="720" w:hanging="720"/>
        <w:rPr>
          <w:rFonts w:eastAsia="Times New Roman"/>
          <w:b/>
          <w:caps/>
          <w:sz w:val="24"/>
          <w:szCs w:val="24"/>
        </w:rPr>
      </w:pPr>
      <w:bookmarkStart w:id="23" w:name="a15_23"/>
      <w:bookmarkEnd w:id="23"/>
      <w:r w:rsidRPr="004625BF">
        <w:rPr>
          <w:rFonts w:eastAsia="Times New Roman"/>
          <w:b/>
          <w:caps/>
          <w:sz w:val="24"/>
          <w:szCs w:val="24"/>
        </w:rPr>
        <w:lastRenderedPageBreak/>
        <w:t xml:space="preserve">15:23 </w:t>
      </w:r>
      <w:r w:rsidRPr="004625BF">
        <w:rPr>
          <w:rFonts w:eastAsia="Times New Roman"/>
          <w:b/>
          <w:caps/>
          <w:sz w:val="24"/>
          <w:szCs w:val="24"/>
        </w:rPr>
        <w:tab/>
        <w:t>REFERRAL OF CLIENT TO ANOTHER ATTORNEY</w:t>
      </w:r>
    </w:p>
    <w:p w14:paraId="56379B62" w14:textId="77777777" w:rsidR="004625BF" w:rsidRPr="004625BF" w:rsidRDefault="004625BF" w:rsidP="004625BF">
      <w:pPr>
        <w:spacing w:after="240"/>
        <w:ind w:firstLine="720"/>
        <w:rPr>
          <w:rFonts w:eastAsia="Times New Roman"/>
          <w:b/>
          <w:sz w:val="24"/>
          <w:szCs w:val="24"/>
        </w:rPr>
      </w:pPr>
      <w:r w:rsidRPr="004625BF">
        <w:rPr>
          <w:rFonts w:eastAsia="Times New Roman"/>
          <w:b/>
          <w:sz w:val="24"/>
          <w:szCs w:val="24"/>
        </w:rPr>
        <w:t>An attorney who refers a client to another attorney for legal services is not responsible for any negligence on t</w:t>
      </w:r>
      <w:r w:rsidR="0075053F">
        <w:rPr>
          <w:rFonts w:eastAsia="Times New Roman"/>
          <w:b/>
          <w:sz w:val="24"/>
          <w:szCs w:val="24"/>
        </w:rPr>
        <w:t xml:space="preserve">he part of the other attorney. </w:t>
      </w:r>
      <w:r w:rsidRPr="004625BF">
        <w:rPr>
          <w:rFonts w:eastAsia="Times New Roman"/>
          <w:b/>
          <w:sz w:val="24"/>
          <w:szCs w:val="24"/>
        </w:rPr>
        <w:t>However, a referring attorney who fails to exercise reasonable care in selecting another attorney may be held responsible for (his) (her) own negligence.</w:t>
      </w:r>
    </w:p>
    <w:p w14:paraId="2E50D392" w14:textId="77777777" w:rsidR="004625BF" w:rsidRDefault="004625BF" w:rsidP="004625BF">
      <w:pPr>
        <w:jc w:val="center"/>
        <w:rPr>
          <w:rFonts w:eastAsia="Times New Roman"/>
          <w:sz w:val="24"/>
          <w:szCs w:val="24"/>
        </w:rPr>
      </w:pPr>
    </w:p>
    <w:p w14:paraId="6DD16120"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148807B5"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1. The Notes on Use to Instruction 15:5 are also applicable to this instruction.</w:t>
      </w:r>
    </w:p>
    <w:p w14:paraId="419C60A1"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2. Use whichever parenthesized word is appropriate.</w:t>
      </w:r>
    </w:p>
    <w:p w14:paraId="2733CAF8"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08FE54B4"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There appear to be no Colorado cases specifically establishing the rule stated in this instruction. There are, however, cases involving physicians that support it. </w:t>
      </w:r>
      <w:r w:rsidRPr="00553406">
        <w:rPr>
          <w:rFonts w:eastAsia="Times New Roman"/>
          <w:i/>
          <w:sz w:val="24"/>
          <w:szCs w:val="24"/>
        </w:rPr>
        <w:t>See</w:t>
      </w:r>
      <w:r w:rsidRPr="004625BF">
        <w:rPr>
          <w:rFonts w:eastAsia="Times New Roman"/>
          <w:sz w:val="24"/>
          <w:szCs w:val="24"/>
        </w:rPr>
        <w:t xml:space="preserve"> Source and Authority to Instruction 15:5.</w:t>
      </w:r>
    </w:p>
    <w:p w14:paraId="2004313E" w14:textId="77777777" w:rsidR="004625BF" w:rsidRDefault="004625BF">
      <w:pPr>
        <w:rPr>
          <w:rFonts w:eastAsia="Times New Roman"/>
          <w:sz w:val="24"/>
          <w:szCs w:val="24"/>
        </w:rPr>
      </w:pPr>
      <w:r>
        <w:rPr>
          <w:rFonts w:eastAsia="Times New Roman"/>
          <w:sz w:val="24"/>
          <w:szCs w:val="24"/>
        </w:rPr>
        <w:br w:type="page"/>
      </w:r>
    </w:p>
    <w:p w14:paraId="5BE1E5AC" w14:textId="77777777" w:rsidR="004625BF" w:rsidRPr="0089665A" w:rsidRDefault="004625BF" w:rsidP="004625BF">
      <w:pPr>
        <w:spacing w:after="240"/>
        <w:ind w:left="720" w:hanging="720"/>
        <w:rPr>
          <w:rFonts w:eastAsia="Times New Roman"/>
          <w:b/>
          <w:caps/>
          <w:sz w:val="24"/>
          <w:szCs w:val="24"/>
        </w:rPr>
      </w:pPr>
      <w:bookmarkStart w:id="24" w:name="a15_24"/>
      <w:bookmarkEnd w:id="24"/>
      <w:r w:rsidRPr="004625BF">
        <w:rPr>
          <w:rFonts w:eastAsia="Times New Roman"/>
          <w:b/>
          <w:caps/>
          <w:sz w:val="24"/>
          <w:szCs w:val="24"/>
        </w:rPr>
        <w:lastRenderedPageBreak/>
        <w:t xml:space="preserve">15:24 </w:t>
      </w:r>
      <w:r w:rsidRPr="004625BF">
        <w:rPr>
          <w:rFonts w:eastAsia="Times New Roman"/>
          <w:b/>
          <w:caps/>
          <w:sz w:val="24"/>
          <w:szCs w:val="24"/>
        </w:rPr>
        <w:tab/>
        <w:t>CONTRIBUTORY NEGLIGENCE OF CLIENT — DEFINED</w:t>
      </w:r>
    </w:p>
    <w:p w14:paraId="0434E2A3" w14:textId="77777777" w:rsidR="004625BF" w:rsidRPr="004625BF" w:rsidRDefault="004625BF" w:rsidP="004625BF">
      <w:pPr>
        <w:spacing w:after="240"/>
        <w:ind w:firstLine="720"/>
        <w:rPr>
          <w:rFonts w:eastAsia="Times New Roman"/>
          <w:b/>
          <w:sz w:val="24"/>
          <w:szCs w:val="24"/>
        </w:rPr>
      </w:pPr>
      <w:r w:rsidRPr="004625BF">
        <w:rPr>
          <w:rFonts w:eastAsia="Times New Roman"/>
          <w:b/>
          <w:sz w:val="24"/>
          <w:szCs w:val="24"/>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7BE730F2" w14:textId="77777777" w:rsidR="004625BF" w:rsidRDefault="004625BF" w:rsidP="004625BF">
      <w:pPr>
        <w:jc w:val="center"/>
        <w:rPr>
          <w:rFonts w:eastAsia="Times New Roman"/>
          <w:sz w:val="24"/>
          <w:szCs w:val="24"/>
        </w:rPr>
      </w:pPr>
    </w:p>
    <w:p w14:paraId="6F4DBAC8"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14038910"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1. Use whichever parenthetical words are appropriate.</w:t>
      </w:r>
    </w:p>
    <w:p w14:paraId="66ADEEC5" w14:textId="5739BD06"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or Instructions 15:19 and 15:20. On the other hand, if there is sufficient evidence of the plaintiff’s possible contributory negligence relating to other matters, then Instruction 9:6, rather than this instruction, should be used in conjunction with Instruction 9:22. However, in either event, for the doctrine of contributory or comparative negligence to apply, the client’s alleged negligence must be causally related or linked to the attorney’s representation. </w:t>
      </w:r>
      <w:r w:rsidRPr="004625BF">
        <w:rPr>
          <w:rFonts w:eastAsia="Times New Roman"/>
          <w:b/>
          <w:sz w:val="24"/>
          <w:szCs w:val="24"/>
        </w:rPr>
        <w:t>Smith v. Mehaffy</w:t>
      </w:r>
      <w:r w:rsidRPr="004625BF">
        <w:rPr>
          <w:rFonts w:eastAsia="Times New Roman"/>
          <w:sz w:val="24"/>
          <w:szCs w:val="24"/>
        </w:rPr>
        <w:t>, 30 P.3d 727 (</w:t>
      </w:r>
      <w:r w:rsidR="00735ECD">
        <w:rPr>
          <w:rFonts w:eastAsia="Times New Roman"/>
          <w:sz w:val="24"/>
          <w:szCs w:val="24"/>
        </w:rPr>
        <w:t>Colo. App.</w:t>
      </w:r>
      <w:r w:rsidRPr="004625BF">
        <w:rPr>
          <w:rFonts w:eastAsia="Times New Roman"/>
          <w:sz w:val="24"/>
          <w:szCs w:val="24"/>
        </w:rPr>
        <w:t xml:space="preserve"> 2000) (conduct of client that occurred before client had consulted defendant attorney could not provide basis for comparative negligence defense in legal malpractice action); </w:t>
      </w:r>
      <w:r w:rsidRPr="004625BF">
        <w:rPr>
          <w:rFonts w:eastAsia="Times New Roman"/>
          <w:b/>
          <w:sz w:val="24"/>
          <w:szCs w:val="24"/>
        </w:rPr>
        <w:t>McLister v. Epstein &amp; Lawrence, P.C.</w:t>
      </w:r>
      <w:r w:rsidRPr="004625BF">
        <w:rPr>
          <w:rFonts w:eastAsia="Times New Roman"/>
          <w:sz w:val="24"/>
          <w:szCs w:val="24"/>
        </w:rPr>
        <w:t>, 934 P.2d 844 (</w:t>
      </w:r>
      <w:r w:rsidR="00735ECD">
        <w:rPr>
          <w:rFonts w:eastAsia="Times New Roman"/>
          <w:sz w:val="24"/>
          <w:szCs w:val="24"/>
        </w:rPr>
        <w:t>Colo. App.</w:t>
      </w:r>
      <w:r w:rsidRPr="004625BF">
        <w:rPr>
          <w:rFonts w:eastAsia="Times New Roman"/>
          <w:sz w:val="24"/>
          <w:szCs w:val="24"/>
        </w:rPr>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553406">
        <w:rPr>
          <w:rFonts w:eastAsia="Times New Roman"/>
          <w:i/>
          <w:sz w:val="24"/>
          <w:szCs w:val="24"/>
        </w:rPr>
        <w:t>See</w:t>
      </w:r>
      <w:r w:rsidRPr="004625BF">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rFonts w:eastAsia="Times New Roman"/>
          <w:i/>
          <w:sz w:val="24"/>
          <w:szCs w:val="24"/>
        </w:rPr>
        <w:t>See</w:t>
      </w:r>
      <w:r w:rsidRPr="004625BF">
        <w:rPr>
          <w:rFonts w:eastAsia="Times New Roman"/>
          <w:sz w:val="24"/>
          <w:szCs w:val="24"/>
        </w:rPr>
        <w:t xml:space="preserve"> Instruction 9:6.</w:t>
      </w:r>
    </w:p>
    <w:p w14:paraId="612DB6EB"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31CF4FA8" w14:textId="7B45DE6A"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1. This instruction is supported by </w:t>
      </w:r>
      <w:r w:rsidRPr="004625BF">
        <w:rPr>
          <w:rFonts w:eastAsia="Times New Roman"/>
          <w:b/>
          <w:iCs/>
          <w:sz w:val="24"/>
          <w:szCs w:val="24"/>
        </w:rPr>
        <w:t>Scognamillo v. Olsen</w:t>
      </w:r>
      <w:r w:rsidRPr="004625BF">
        <w:rPr>
          <w:rFonts w:eastAsia="Times New Roman"/>
          <w:iCs/>
          <w:sz w:val="24"/>
          <w:szCs w:val="24"/>
        </w:rPr>
        <w:t>,</w:t>
      </w:r>
      <w:r w:rsidRPr="004625BF">
        <w:rPr>
          <w:rFonts w:eastAsia="Times New Roman"/>
          <w:sz w:val="24"/>
          <w:szCs w:val="24"/>
        </w:rPr>
        <w:t xml:space="preserve"> 795 P.2d 1357 (</w:t>
      </w:r>
      <w:r w:rsidR="00735ECD">
        <w:rPr>
          <w:rFonts w:eastAsia="Times New Roman"/>
          <w:sz w:val="24"/>
          <w:szCs w:val="24"/>
        </w:rPr>
        <w:t>Colo. App.</w:t>
      </w:r>
      <w:r w:rsidR="008C0F03">
        <w:rPr>
          <w:rFonts w:eastAsia="Times New Roman"/>
          <w:sz w:val="24"/>
          <w:szCs w:val="24"/>
        </w:rPr>
        <w:t xml:space="preserve"> </w:t>
      </w:r>
      <w:r w:rsidRPr="004625BF">
        <w:rPr>
          <w:rFonts w:eastAsia="Times New Roman"/>
          <w:sz w:val="24"/>
          <w:szCs w:val="24"/>
        </w:rPr>
        <w:t xml:space="preserve">1990); </w:t>
      </w:r>
      <w:r w:rsidRPr="004625BF">
        <w:rPr>
          <w:rFonts w:eastAsia="Times New Roman"/>
          <w:b/>
          <w:sz w:val="24"/>
          <w:szCs w:val="24"/>
        </w:rPr>
        <w:t>Smith</w:t>
      </w:r>
      <w:r w:rsidRPr="004625BF">
        <w:rPr>
          <w:rFonts w:eastAsia="Times New Roman"/>
          <w:sz w:val="24"/>
          <w:szCs w:val="24"/>
        </w:rPr>
        <w:t xml:space="preserve">, 30 P.3d </w:t>
      </w:r>
      <w:r w:rsidR="008C0F03">
        <w:rPr>
          <w:rFonts w:eastAsia="Times New Roman"/>
          <w:sz w:val="24"/>
          <w:szCs w:val="24"/>
        </w:rPr>
        <w:t xml:space="preserve">at </w:t>
      </w:r>
      <w:r w:rsidRPr="004625BF">
        <w:rPr>
          <w:rFonts w:eastAsia="Times New Roman"/>
          <w:sz w:val="24"/>
          <w:szCs w:val="24"/>
        </w:rPr>
        <w:t>7</w:t>
      </w:r>
      <w:r w:rsidR="008C0F03">
        <w:rPr>
          <w:rFonts w:eastAsia="Times New Roman"/>
          <w:sz w:val="24"/>
          <w:szCs w:val="24"/>
        </w:rPr>
        <w:t>31</w:t>
      </w:r>
      <w:r w:rsidRPr="004625BF">
        <w:rPr>
          <w:rFonts w:eastAsia="Times New Roman"/>
          <w:sz w:val="24"/>
          <w:szCs w:val="24"/>
        </w:rPr>
        <w:t xml:space="preserve"> (Colorado has recognized the defense of comparative negligence in </w:t>
      </w:r>
      <w:r w:rsidRPr="004625BF">
        <w:rPr>
          <w:rFonts w:eastAsia="Times New Roman"/>
          <w:sz w:val="24"/>
          <w:szCs w:val="24"/>
        </w:rPr>
        <w:lastRenderedPageBreak/>
        <w:t xml:space="preserve">legal malpractice claims where the client’s alleged negligence must have related both to the injury alleged to have been caused by the attorney’s negligence and to the attorney’s representation); </w:t>
      </w:r>
      <w:r w:rsidR="00766F89">
        <w:rPr>
          <w:rFonts w:eastAsia="Times New Roman"/>
          <w:sz w:val="24"/>
          <w:szCs w:val="24"/>
        </w:rPr>
        <w:t xml:space="preserve">and </w:t>
      </w:r>
      <w:r w:rsidRPr="004625BF">
        <w:rPr>
          <w:rFonts w:eastAsia="Times New Roman"/>
          <w:b/>
          <w:iCs/>
          <w:sz w:val="24"/>
          <w:szCs w:val="24"/>
        </w:rPr>
        <w:t>McLister</w:t>
      </w:r>
      <w:r w:rsidRPr="004625BF">
        <w:rPr>
          <w:rFonts w:eastAsia="Times New Roman"/>
          <w:iCs/>
          <w:sz w:val="24"/>
          <w:szCs w:val="24"/>
        </w:rPr>
        <w:t>,</w:t>
      </w:r>
      <w:r w:rsidRPr="004625BF">
        <w:rPr>
          <w:rFonts w:eastAsia="Times New Roman"/>
          <w:sz w:val="24"/>
          <w:szCs w:val="24"/>
        </w:rPr>
        <w:t xml:space="preserve"> 934 P.2d </w:t>
      </w:r>
      <w:r w:rsidR="00766F89">
        <w:rPr>
          <w:rFonts w:eastAsia="Times New Roman"/>
          <w:sz w:val="24"/>
          <w:szCs w:val="24"/>
        </w:rPr>
        <w:t xml:space="preserve">at </w:t>
      </w:r>
      <w:r w:rsidRPr="004625BF">
        <w:rPr>
          <w:rFonts w:eastAsia="Times New Roman"/>
          <w:sz w:val="24"/>
          <w:szCs w:val="24"/>
        </w:rPr>
        <w:t>84</w:t>
      </w:r>
      <w:r w:rsidR="00766F89">
        <w:rPr>
          <w:rFonts w:eastAsia="Times New Roman"/>
          <w:sz w:val="24"/>
          <w:szCs w:val="24"/>
        </w:rPr>
        <w:t>6</w:t>
      </w:r>
      <w:r w:rsidRPr="004625BF">
        <w:rPr>
          <w:rFonts w:eastAsia="Times New Roman"/>
          <w:sz w:val="24"/>
          <w:szCs w:val="24"/>
        </w:rPr>
        <w:t xml:space="preserve"> (same).</w:t>
      </w:r>
    </w:p>
    <w:p w14:paraId="792FA44A" w14:textId="3E1EC96F"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2. </w:t>
      </w:r>
      <w:r w:rsidR="00F6773F">
        <w:rPr>
          <w:rFonts w:eastAsia="Times New Roman"/>
          <w:sz w:val="24"/>
          <w:szCs w:val="24"/>
        </w:rPr>
        <w:t>F</w:t>
      </w:r>
      <w:r w:rsidRPr="004625BF">
        <w:rPr>
          <w:rFonts w:eastAsia="Times New Roman"/>
          <w:sz w:val="24"/>
          <w:szCs w:val="24"/>
        </w:rPr>
        <w:t xml:space="preserve">or a discussion of the failure of a patient to follow a physician’s advice as constituting contributory negligence, see </w:t>
      </w:r>
      <w:r w:rsidRPr="004625BF">
        <w:rPr>
          <w:rFonts w:eastAsia="Times New Roman"/>
          <w:b/>
          <w:sz w:val="24"/>
          <w:szCs w:val="24"/>
        </w:rPr>
        <w:t>McGraw v. Kerr</w:t>
      </w:r>
      <w:r w:rsidRPr="004625BF">
        <w:rPr>
          <w:rFonts w:eastAsia="Times New Roman"/>
          <w:sz w:val="24"/>
          <w:szCs w:val="24"/>
        </w:rPr>
        <w:t xml:space="preserve">, 23 </w:t>
      </w:r>
      <w:r w:rsidR="00735ECD">
        <w:rPr>
          <w:rFonts w:eastAsia="Times New Roman"/>
          <w:sz w:val="24"/>
          <w:szCs w:val="24"/>
        </w:rPr>
        <w:t>Colo. App.</w:t>
      </w:r>
      <w:r w:rsidRPr="004625BF">
        <w:rPr>
          <w:rFonts w:eastAsia="Times New Roman"/>
          <w:sz w:val="24"/>
          <w:szCs w:val="24"/>
        </w:rPr>
        <w:t xml:space="preserve"> 163, 128 P. 870 (1912). </w:t>
      </w:r>
      <w:r w:rsidRPr="004625BF">
        <w:rPr>
          <w:rFonts w:eastAsia="Times New Roman"/>
          <w:i/>
          <w:sz w:val="24"/>
          <w:szCs w:val="24"/>
        </w:rPr>
        <w:t>See also</w:t>
      </w:r>
      <w:r w:rsidRPr="004625BF">
        <w:rPr>
          <w:rFonts w:eastAsia="Times New Roman"/>
          <w:sz w:val="24"/>
          <w:szCs w:val="24"/>
        </w:rPr>
        <w:t xml:space="preserve"> </w:t>
      </w:r>
      <w:r w:rsidRPr="004625BF">
        <w:rPr>
          <w:rFonts w:eastAsia="Times New Roman"/>
          <w:b/>
          <w:sz w:val="24"/>
          <w:szCs w:val="24"/>
        </w:rPr>
        <w:t>Hanley v. Spencer</w:t>
      </w:r>
      <w:r w:rsidRPr="004625BF">
        <w:rPr>
          <w:rFonts w:eastAsia="Times New Roman"/>
          <w:sz w:val="24"/>
          <w:szCs w:val="24"/>
        </w:rPr>
        <w:t>,</w:t>
      </w:r>
      <w:r w:rsidRPr="004625BF">
        <w:rPr>
          <w:rFonts w:eastAsia="Times New Roman"/>
          <w:b/>
          <w:sz w:val="24"/>
          <w:szCs w:val="24"/>
        </w:rPr>
        <w:t xml:space="preserve"> </w:t>
      </w:r>
      <w:r w:rsidRPr="004625BF">
        <w:rPr>
          <w:rFonts w:eastAsia="Times New Roman"/>
          <w:sz w:val="24"/>
          <w:szCs w:val="24"/>
        </w:rPr>
        <w:t xml:space="preserve">108 Colo. 184, 115 P.2d 399 (1941); </w:t>
      </w:r>
      <w:r w:rsidRPr="004625BF">
        <w:rPr>
          <w:rFonts w:eastAsia="Times New Roman"/>
          <w:b/>
          <w:sz w:val="24"/>
          <w:szCs w:val="24"/>
        </w:rPr>
        <w:t>Pearson v. Norman</w:t>
      </w:r>
      <w:r w:rsidRPr="004625BF">
        <w:rPr>
          <w:rFonts w:eastAsia="Times New Roman"/>
          <w:sz w:val="24"/>
          <w:szCs w:val="24"/>
        </w:rPr>
        <w:t xml:space="preserve">, 106 Colo. 396, 106 P.2d 361 (1940); </w:t>
      </w:r>
      <w:r w:rsidRPr="004625BF">
        <w:rPr>
          <w:rFonts w:eastAsia="Times New Roman"/>
          <w:b/>
          <w:sz w:val="24"/>
          <w:szCs w:val="24"/>
        </w:rPr>
        <w:t>Scognamillo</w:t>
      </w:r>
      <w:r w:rsidRPr="004625BF">
        <w:rPr>
          <w:rFonts w:eastAsia="Times New Roman"/>
          <w:sz w:val="24"/>
          <w:szCs w:val="24"/>
        </w:rPr>
        <w:t xml:space="preserve">, 795 P.2d </w:t>
      </w:r>
      <w:r w:rsidR="008C0F03">
        <w:rPr>
          <w:rFonts w:eastAsia="Times New Roman"/>
          <w:sz w:val="24"/>
          <w:szCs w:val="24"/>
        </w:rPr>
        <w:t xml:space="preserve">at </w:t>
      </w:r>
      <w:r w:rsidRPr="004625BF">
        <w:rPr>
          <w:rFonts w:eastAsia="Times New Roman"/>
          <w:sz w:val="24"/>
          <w:szCs w:val="24"/>
        </w:rPr>
        <w:t>13</w:t>
      </w:r>
      <w:r w:rsidR="008C0F03">
        <w:rPr>
          <w:rFonts w:eastAsia="Times New Roman"/>
          <w:sz w:val="24"/>
          <w:szCs w:val="24"/>
        </w:rPr>
        <w:t>63</w:t>
      </w:r>
      <w:r w:rsidRPr="004625BF">
        <w:rPr>
          <w:rFonts w:eastAsia="Times New Roman"/>
          <w:sz w:val="24"/>
          <w:szCs w:val="24"/>
        </w:rPr>
        <w:t xml:space="preserve"> (jury could reasonably infer that client’s failure to settle case resulted in part from client’s own negligence)</w:t>
      </w:r>
      <w:r w:rsidR="00F6773F">
        <w:rPr>
          <w:rFonts w:eastAsia="Times New Roman"/>
          <w:sz w:val="24"/>
          <w:szCs w:val="24"/>
        </w:rPr>
        <w:t xml:space="preserve">; </w:t>
      </w:r>
      <w:r w:rsidR="00F6773F" w:rsidRPr="004625BF">
        <w:rPr>
          <w:rFonts w:eastAsia="Times New Roman"/>
          <w:sz w:val="24"/>
          <w:szCs w:val="24"/>
        </w:rPr>
        <w:t>Source and Authority to Instruction 9:6</w:t>
      </w:r>
      <w:r w:rsidRPr="004625BF">
        <w:rPr>
          <w:rFonts w:eastAsia="Times New Roman"/>
          <w:sz w:val="24"/>
          <w:szCs w:val="24"/>
        </w:rPr>
        <w:t>.</w:t>
      </w:r>
    </w:p>
    <w:p w14:paraId="33BE96EE" w14:textId="77777777" w:rsidR="004625BF" w:rsidRDefault="004625BF">
      <w:pPr>
        <w:rPr>
          <w:rFonts w:eastAsia="Times New Roman"/>
          <w:sz w:val="24"/>
          <w:szCs w:val="24"/>
        </w:rPr>
      </w:pPr>
      <w:r>
        <w:rPr>
          <w:rFonts w:eastAsia="Times New Roman"/>
          <w:sz w:val="24"/>
          <w:szCs w:val="24"/>
        </w:rPr>
        <w:br w:type="page"/>
      </w:r>
    </w:p>
    <w:p w14:paraId="31B0FF9B" w14:textId="77777777" w:rsidR="004015E0" w:rsidRDefault="004015E0" w:rsidP="004015E0">
      <w:pPr>
        <w:spacing w:after="240"/>
        <w:jc w:val="center"/>
        <w:rPr>
          <w:rFonts w:eastAsia="Times New Roman"/>
          <w:b/>
          <w:sz w:val="24"/>
          <w:szCs w:val="24"/>
        </w:rPr>
      </w:pPr>
      <w:r w:rsidRPr="004015E0">
        <w:rPr>
          <w:rFonts w:eastAsia="Times New Roman"/>
          <w:b/>
          <w:sz w:val="24"/>
          <w:szCs w:val="24"/>
        </w:rPr>
        <w:lastRenderedPageBreak/>
        <w:t>III.</w:t>
      </w:r>
      <w:r>
        <w:rPr>
          <w:rFonts w:eastAsia="Times New Roman"/>
          <w:b/>
          <w:sz w:val="24"/>
          <w:szCs w:val="24"/>
        </w:rPr>
        <w:t xml:space="preserve"> OTHER PROFESSIONAL MALPRACTICE </w:t>
      </w:r>
      <w:r w:rsidR="00805031">
        <w:rPr>
          <w:rFonts w:eastAsia="Times New Roman"/>
          <w:b/>
          <w:sz w:val="24"/>
          <w:szCs w:val="24"/>
        </w:rPr>
        <w:br/>
      </w:r>
      <w:r w:rsidRPr="004015E0">
        <w:rPr>
          <w:rFonts w:eastAsia="Times New Roman"/>
          <w:b/>
          <w:sz w:val="24"/>
          <w:szCs w:val="24"/>
        </w:rPr>
        <w:t>(ACCOUNTANTS, ARCHITECTS, ETC.)</w:t>
      </w:r>
    </w:p>
    <w:p w14:paraId="6E4A9A4C" w14:textId="77777777" w:rsidR="004625BF" w:rsidRPr="0089665A" w:rsidRDefault="004015E0" w:rsidP="004625BF">
      <w:pPr>
        <w:spacing w:after="240"/>
        <w:ind w:left="720" w:hanging="720"/>
        <w:rPr>
          <w:rFonts w:eastAsia="Times New Roman"/>
          <w:b/>
          <w:caps/>
          <w:sz w:val="24"/>
          <w:szCs w:val="24"/>
        </w:rPr>
      </w:pPr>
      <w:bookmarkStart w:id="25" w:name="a15_25"/>
      <w:bookmarkEnd w:id="25"/>
      <w:r w:rsidRPr="004015E0">
        <w:rPr>
          <w:rFonts w:eastAsia="Times New Roman"/>
          <w:b/>
          <w:caps/>
          <w:sz w:val="24"/>
          <w:szCs w:val="24"/>
        </w:rPr>
        <w:t xml:space="preserve">15:25 </w:t>
      </w:r>
      <w:r w:rsidRPr="004015E0">
        <w:rPr>
          <w:rFonts w:eastAsia="Times New Roman"/>
          <w:b/>
          <w:caps/>
          <w:sz w:val="24"/>
          <w:szCs w:val="24"/>
        </w:rPr>
        <w:tab/>
        <w:t>ELEMENTS OF LIABILITY — ACCOUNTANTS, ARCHITECTS, ETC.</w:t>
      </w:r>
    </w:p>
    <w:p w14:paraId="3F0E5044"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Use Instruction 9:1 or 9:22, whichever is appropriate in light of the evidence in the case.</w:t>
      </w:r>
    </w:p>
    <w:p w14:paraId="232A27E2" w14:textId="77777777" w:rsidR="004625BF" w:rsidRDefault="004625BF" w:rsidP="004625BF">
      <w:pPr>
        <w:jc w:val="center"/>
        <w:rPr>
          <w:rFonts w:eastAsia="Times New Roman"/>
          <w:sz w:val="24"/>
          <w:szCs w:val="24"/>
        </w:rPr>
      </w:pPr>
    </w:p>
    <w:p w14:paraId="2348C126"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3926A38D"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1. See Notes on Use for Instruction 15:18.</w:t>
      </w:r>
    </w:p>
    <w:p w14:paraId="1A5D1C69" w14:textId="5D01B70C"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When there is sufficient evidence of a claim for relief for malpractice based on negligence against a practitioner of a profession, </w:t>
      </w:r>
      <w:r w:rsidR="008F16E5">
        <w:rPr>
          <w:rFonts w:eastAsia="Times New Roman"/>
          <w:sz w:val="24"/>
          <w:szCs w:val="24"/>
        </w:rPr>
        <w:t>for example</w:t>
      </w:r>
      <w:r w:rsidRPr="00805031">
        <w:rPr>
          <w:rFonts w:eastAsia="Times New Roman"/>
          <w:sz w:val="24"/>
          <w:szCs w:val="24"/>
        </w:rPr>
        <w:t>, an architect</w:t>
      </w:r>
      <w:r w:rsidR="008F16E5">
        <w:rPr>
          <w:rFonts w:eastAsia="Times New Roman"/>
          <w:sz w:val="24"/>
          <w:szCs w:val="24"/>
        </w:rPr>
        <w:t xml:space="preserve"> or</w:t>
      </w:r>
      <w:r w:rsidRPr="00805031">
        <w:rPr>
          <w:rFonts w:eastAsia="Times New Roman"/>
          <w:sz w:val="24"/>
          <w:szCs w:val="24"/>
        </w:rPr>
        <w:t xml:space="preserve"> accountant, Instruction 9:1 or 9:22 and Instruction 15:26 should be given, together with any other instructions contained in Chapter 9 and in Chapter 15, as would be appropriate in light of the evidence in the case.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Gibbons v. Ludlow</w:t>
      </w:r>
      <w:r w:rsidRPr="00805031">
        <w:rPr>
          <w:rFonts w:eastAsia="Times New Roman"/>
          <w:sz w:val="24"/>
          <w:szCs w:val="24"/>
        </w:rPr>
        <w:t>, 2013 CO 49</w:t>
      </w:r>
      <w:r w:rsidR="0061116A">
        <w:rPr>
          <w:rFonts w:eastAsia="Times New Roman"/>
          <w:sz w:val="24"/>
          <w:szCs w:val="24"/>
        </w:rPr>
        <w:t xml:space="preserve">, </w:t>
      </w:r>
      <w:r w:rsidR="00DD621C">
        <w:rPr>
          <w:rFonts w:eastAsia="Times New Roman"/>
          <w:sz w:val="24"/>
          <w:szCs w:val="24"/>
        </w:rPr>
        <w:t xml:space="preserve">¶¶ 12-17, </w:t>
      </w:r>
      <w:r w:rsidR="0061116A">
        <w:rPr>
          <w:rFonts w:eastAsia="Times New Roman"/>
          <w:sz w:val="24"/>
          <w:szCs w:val="24"/>
        </w:rPr>
        <w:t>304 P.3d 239</w:t>
      </w:r>
      <w:r w:rsidRPr="00805031">
        <w:rPr>
          <w:rFonts w:eastAsia="Times New Roman"/>
          <w:sz w:val="24"/>
          <w:szCs w:val="24"/>
        </w:rPr>
        <w:t xml:space="preserve"> (noting similarity of elements of negligence and professional negligence); </w:t>
      </w:r>
      <w:r w:rsidRPr="00805031">
        <w:rPr>
          <w:rFonts w:eastAsia="Times New Roman"/>
          <w:b/>
          <w:sz w:val="24"/>
          <w:szCs w:val="24"/>
        </w:rPr>
        <w:t>Scognamillo v. Olsen</w:t>
      </w:r>
      <w:r w:rsidRPr="00805031">
        <w:rPr>
          <w:rFonts w:eastAsia="Times New Roman"/>
          <w:sz w:val="24"/>
          <w:szCs w:val="24"/>
        </w:rPr>
        <w:t>, 795 P.2d 1357 (</w:t>
      </w:r>
      <w:r w:rsidR="00735ECD">
        <w:rPr>
          <w:rFonts w:eastAsia="Times New Roman"/>
          <w:sz w:val="24"/>
          <w:szCs w:val="24"/>
        </w:rPr>
        <w:t>Colo. App.</w:t>
      </w:r>
      <w:r w:rsidR="008C0F03">
        <w:rPr>
          <w:rFonts w:eastAsia="Times New Roman"/>
          <w:sz w:val="24"/>
          <w:szCs w:val="24"/>
        </w:rPr>
        <w:t xml:space="preserve"> </w:t>
      </w:r>
      <w:r w:rsidRPr="00805031">
        <w:rPr>
          <w:rFonts w:eastAsia="Times New Roman"/>
          <w:sz w:val="24"/>
          <w:szCs w:val="24"/>
        </w:rPr>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0369210A" w14:textId="00723176"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Use of Instruction 9:1 or 9:22 is supported by </w:t>
      </w:r>
      <w:r w:rsidRPr="00805031">
        <w:rPr>
          <w:rFonts w:eastAsia="Times New Roman"/>
          <w:b/>
          <w:sz w:val="24"/>
          <w:szCs w:val="24"/>
        </w:rPr>
        <w:t>Kellogg v. Pizza Oven, Inc.</w:t>
      </w:r>
      <w:r w:rsidRPr="00805031">
        <w:rPr>
          <w:rFonts w:eastAsia="Times New Roman"/>
          <w:sz w:val="24"/>
          <w:szCs w:val="24"/>
        </w:rPr>
        <w:t xml:space="preserve">, 157 Colo. 295, 402 P.2d 633 (1965) (architect); </w:t>
      </w:r>
      <w:r w:rsidRPr="00805031">
        <w:rPr>
          <w:rFonts w:eastAsia="Times New Roman"/>
          <w:b/>
          <w:sz w:val="24"/>
          <w:szCs w:val="24"/>
        </w:rPr>
        <w:t>Gibbons</w:t>
      </w:r>
      <w:r w:rsidRPr="00805031">
        <w:rPr>
          <w:rFonts w:eastAsia="Times New Roman"/>
          <w:sz w:val="24"/>
          <w:szCs w:val="24"/>
        </w:rPr>
        <w:t>, 2013 CO 49</w:t>
      </w:r>
      <w:r w:rsidR="0061116A">
        <w:rPr>
          <w:rFonts w:eastAsia="Times New Roman"/>
          <w:sz w:val="24"/>
          <w:szCs w:val="24"/>
        </w:rPr>
        <w:t>, ¶</w:t>
      </w:r>
      <w:r w:rsidR="000A6F11">
        <w:rPr>
          <w:rFonts w:eastAsia="Times New Roman"/>
          <w:sz w:val="24"/>
          <w:szCs w:val="24"/>
        </w:rPr>
        <w:t>¶</w:t>
      </w:r>
      <w:r w:rsidR="0061116A">
        <w:rPr>
          <w:rFonts w:eastAsia="Times New Roman"/>
          <w:sz w:val="24"/>
          <w:szCs w:val="24"/>
        </w:rPr>
        <w:t xml:space="preserve"> </w:t>
      </w:r>
      <w:r w:rsidR="00DD621C">
        <w:rPr>
          <w:rFonts w:eastAsia="Times New Roman"/>
          <w:sz w:val="24"/>
          <w:szCs w:val="24"/>
        </w:rPr>
        <w:t>14-16</w:t>
      </w:r>
      <w:r w:rsidRPr="00805031">
        <w:rPr>
          <w:rFonts w:eastAsia="Times New Roman"/>
          <w:sz w:val="24"/>
          <w:szCs w:val="24"/>
        </w:rPr>
        <w:t xml:space="preserve"> (real estate brokers); </w:t>
      </w:r>
      <w:r w:rsidR="008F16E5">
        <w:rPr>
          <w:rFonts w:eastAsia="Times New Roman"/>
          <w:sz w:val="24"/>
          <w:szCs w:val="24"/>
        </w:rPr>
        <w:t xml:space="preserve">and </w:t>
      </w:r>
      <w:r w:rsidRPr="00805031">
        <w:rPr>
          <w:rFonts w:eastAsia="Times New Roman"/>
          <w:b/>
          <w:sz w:val="24"/>
          <w:szCs w:val="24"/>
        </w:rPr>
        <w:t>Rian v. Imperial Municipal Services Group, Inc.</w:t>
      </w:r>
      <w:r w:rsidRPr="00805031">
        <w:rPr>
          <w:rFonts w:eastAsia="Times New Roman"/>
          <w:sz w:val="24"/>
          <w:szCs w:val="24"/>
        </w:rPr>
        <w:t>, 768 P.2d 1260 (</w:t>
      </w:r>
      <w:r w:rsidR="00735ECD">
        <w:rPr>
          <w:rFonts w:eastAsia="Times New Roman"/>
          <w:sz w:val="24"/>
          <w:szCs w:val="24"/>
        </w:rPr>
        <w:t>Colo. App.</w:t>
      </w:r>
      <w:r w:rsidRPr="00805031">
        <w:rPr>
          <w:rFonts w:eastAsia="Times New Roman"/>
          <w:sz w:val="24"/>
          <w:szCs w:val="24"/>
        </w:rPr>
        <w:t xml:space="preserve"> 1988) (architect).</w:t>
      </w:r>
    </w:p>
    <w:p w14:paraId="73252B50" w14:textId="2C4C1AD0"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There is no tort of “educational malpractice.” </w:t>
      </w:r>
      <w:r w:rsidRPr="00805031">
        <w:rPr>
          <w:rFonts w:eastAsia="Times New Roman"/>
          <w:b/>
          <w:sz w:val="24"/>
          <w:szCs w:val="24"/>
        </w:rPr>
        <w:t>Tolman v. CenCor Career Colls., Inc.</w:t>
      </w:r>
      <w:r w:rsidRPr="00805031">
        <w:rPr>
          <w:rFonts w:eastAsia="Times New Roman"/>
          <w:sz w:val="24"/>
          <w:szCs w:val="24"/>
        </w:rPr>
        <w:t>, 851 P.2d 203 (</w:t>
      </w:r>
      <w:r w:rsidR="00735ECD">
        <w:rPr>
          <w:rFonts w:eastAsia="Times New Roman"/>
          <w:sz w:val="24"/>
          <w:szCs w:val="24"/>
        </w:rPr>
        <w:t>Colo. App.</w:t>
      </w:r>
      <w:r w:rsidRPr="00805031">
        <w:rPr>
          <w:rFonts w:eastAsia="Times New Roman"/>
          <w:sz w:val="24"/>
          <w:szCs w:val="24"/>
        </w:rPr>
        <w:t xml:space="preserve"> 1992), </w:t>
      </w:r>
      <w:r w:rsidRPr="00805031">
        <w:rPr>
          <w:rFonts w:eastAsia="Times New Roman"/>
          <w:i/>
          <w:sz w:val="24"/>
          <w:szCs w:val="24"/>
        </w:rPr>
        <w:t>aff’d on other grounds</w:t>
      </w:r>
      <w:r w:rsidRPr="00805031">
        <w:rPr>
          <w:rFonts w:eastAsia="Times New Roman"/>
          <w:sz w:val="24"/>
          <w:szCs w:val="24"/>
        </w:rPr>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Moses v. Diocese of Colo.</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 xml:space="preserve">863 P.2d 310 (Colo. 1993); </w:t>
      </w:r>
      <w:r w:rsidRPr="00805031">
        <w:rPr>
          <w:rFonts w:eastAsia="Times New Roman"/>
          <w:b/>
          <w:sz w:val="24"/>
          <w:szCs w:val="24"/>
        </w:rPr>
        <w:t>Destefano v. Grabrian</w:t>
      </w:r>
      <w:r w:rsidRPr="00805031">
        <w:rPr>
          <w:rFonts w:eastAsia="Times New Roman"/>
          <w:sz w:val="24"/>
          <w:szCs w:val="24"/>
        </w:rPr>
        <w:t xml:space="preserve">, 763 P.2d 275 (Colo. 1988). </w:t>
      </w:r>
    </w:p>
    <w:p w14:paraId="73FB879D" w14:textId="45C9037C"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3. While the Colorado Supreme Court in </w:t>
      </w:r>
      <w:r w:rsidRPr="00805031">
        <w:rPr>
          <w:rFonts w:eastAsia="Times New Roman"/>
          <w:b/>
          <w:sz w:val="24"/>
          <w:szCs w:val="24"/>
        </w:rPr>
        <w:t xml:space="preserve">Moses </w:t>
      </w:r>
      <w:r w:rsidRPr="00805031">
        <w:rPr>
          <w:rFonts w:eastAsia="Times New Roman"/>
          <w:sz w:val="24"/>
          <w:szCs w:val="24"/>
        </w:rPr>
        <w:t>and</w:t>
      </w:r>
      <w:r w:rsidRPr="00805031">
        <w:rPr>
          <w:rFonts w:eastAsia="Times New Roman"/>
          <w:b/>
          <w:sz w:val="24"/>
          <w:szCs w:val="24"/>
        </w:rPr>
        <w:t xml:space="preserve"> Destefano</w:t>
      </w:r>
      <w:r w:rsidRPr="00805031">
        <w:rPr>
          <w:rFonts w:eastAsia="Times New Roman"/>
          <w:sz w:val="24"/>
          <w:szCs w:val="24"/>
        </w:rPr>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rFonts w:eastAsia="Times New Roman"/>
          <w:i/>
          <w:sz w:val="24"/>
          <w:szCs w:val="24"/>
        </w:rPr>
        <w:t>See</w:t>
      </w:r>
      <w:r w:rsidRPr="00805031">
        <w:rPr>
          <w:rFonts w:eastAsia="Times New Roman"/>
          <w:sz w:val="24"/>
          <w:szCs w:val="24"/>
        </w:rPr>
        <w:t xml:space="preserve"> </w:t>
      </w:r>
      <w:r w:rsidRPr="00805031">
        <w:rPr>
          <w:rFonts w:eastAsia="Times New Roman"/>
          <w:b/>
          <w:sz w:val="24"/>
          <w:szCs w:val="24"/>
        </w:rPr>
        <w:t>Moguls of Aspen, Inc. v. Faegre &amp; Benson</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956 P.2d 618 (</w:t>
      </w:r>
      <w:r w:rsidR="00735ECD">
        <w:rPr>
          <w:rFonts w:eastAsia="Times New Roman"/>
          <w:sz w:val="24"/>
          <w:szCs w:val="24"/>
        </w:rPr>
        <w:t>Colo. App.</w:t>
      </w:r>
      <w:r w:rsidRPr="00805031">
        <w:rPr>
          <w:rFonts w:eastAsia="Times New Roman"/>
          <w:sz w:val="24"/>
          <w:szCs w:val="24"/>
        </w:rPr>
        <w:t xml:space="preserve"> 1997)</w:t>
      </w:r>
      <w:r w:rsidR="00D90C39">
        <w:rPr>
          <w:rFonts w:eastAsia="Times New Roman"/>
          <w:sz w:val="24"/>
          <w:szCs w:val="24"/>
        </w:rPr>
        <w:t>;</w:t>
      </w:r>
      <w:r w:rsidRPr="00805031">
        <w:rPr>
          <w:rFonts w:eastAsia="Times New Roman"/>
          <w:sz w:val="24"/>
          <w:szCs w:val="24"/>
        </w:rPr>
        <w:t xml:space="preserve"> </w:t>
      </w:r>
      <w:r w:rsidR="00D90C39">
        <w:rPr>
          <w:rFonts w:eastAsia="Times New Roman"/>
          <w:i/>
          <w:sz w:val="24"/>
          <w:szCs w:val="24"/>
        </w:rPr>
        <w:t>s</w:t>
      </w:r>
      <w:r w:rsidRPr="00805031">
        <w:rPr>
          <w:rFonts w:eastAsia="Times New Roman"/>
          <w:i/>
          <w:sz w:val="24"/>
          <w:szCs w:val="24"/>
        </w:rPr>
        <w:t>ee also</w:t>
      </w:r>
      <w:r w:rsidRPr="00805031">
        <w:rPr>
          <w:rFonts w:eastAsia="Times New Roman"/>
          <w:sz w:val="24"/>
          <w:szCs w:val="24"/>
        </w:rPr>
        <w:t xml:space="preserve"> </w:t>
      </w:r>
      <w:r w:rsidRPr="00805031">
        <w:rPr>
          <w:rFonts w:eastAsia="Times New Roman"/>
          <w:b/>
          <w:sz w:val="24"/>
          <w:szCs w:val="24"/>
        </w:rPr>
        <w:t>Awai v. Kotin</w:t>
      </w:r>
      <w:r w:rsidRPr="00805031">
        <w:rPr>
          <w:rFonts w:eastAsia="Times New Roman"/>
          <w:sz w:val="24"/>
          <w:szCs w:val="24"/>
        </w:rPr>
        <w:t>, 872 P.2d 1332 (</w:t>
      </w:r>
      <w:r w:rsidR="00735ECD">
        <w:rPr>
          <w:rFonts w:eastAsia="Times New Roman"/>
          <w:sz w:val="24"/>
          <w:szCs w:val="24"/>
        </w:rPr>
        <w:t>Colo. App.</w:t>
      </w:r>
      <w:r w:rsidRPr="00805031">
        <w:rPr>
          <w:rFonts w:eastAsia="Times New Roman"/>
          <w:sz w:val="24"/>
          <w:szCs w:val="24"/>
        </w:rPr>
        <w:t xml:space="preserve"> 1993) </w:t>
      </w:r>
      <w:r w:rsidR="00D90C39">
        <w:rPr>
          <w:rFonts w:eastAsia="Times New Roman"/>
          <w:sz w:val="24"/>
          <w:szCs w:val="24"/>
        </w:rPr>
        <w:t>(</w:t>
      </w:r>
      <w:r w:rsidRPr="00805031">
        <w:rPr>
          <w:rFonts w:eastAsia="Times New Roman"/>
          <w:sz w:val="24"/>
          <w:szCs w:val="24"/>
        </w:rPr>
        <w:t>quasi-judicial immunity did not protect a psychologist who, in addition to performing a court-ordered evaluation of a child and the parents, also undertook to treat the parents and was thereafter sued for negligent treatment by the child’s father</w:t>
      </w:r>
      <w:r w:rsidR="00D90C39">
        <w:rPr>
          <w:rFonts w:eastAsia="Times New Roman"/>
          <w:sz w:val="24"/>
          <w:szCs w:val="24"/>
        </w:rPr>
        <w:t>)</w:t>
      </w:r>
      <w:r w:rsidRPr="00805031">
        <w:rPr>
          <w:rFonts w:eastAsia="Times New Roman"/>
          <w:sz w:val="24"/>
          <w:szCs w:val="24"/>
        </w:rPr>
        <w:t xml:space="preserve">. However, where the claims for professional negligence and for breach of fiduciary duty are based on different factual allegations, instructions on both claims are proper. </w:t>
      </w:r>
      <w:r w:rsidRPr="00805031">
        <w:rPr>
          <w:rFonts w:eastAsia="Times New Roman"/>
          <w:i/>
          <w:sz w:val="24"/>
          <w:szCs w:val="24"/>
        </w:rPr>
        <w:t>See</w:t>
      </w:r>
      <w:r w:rsidRPr="00805031">
        <w:rPr>
          <w:rFonts w:eastAsia="Times New Roman"/>
          <w:sz w:val="24"/>
          <w:szCs w:val="24"/>
        </w:rPr>
        <w:t xml:space="preserve"> </w:t>
      </w:r>
      <w:r w:rsidRPr="00805031">
        <w:rPr>
          <w:rFonts w:eastAsia="Times New Roman"/>
          <w:b/>
          <w:sz w:val="24"/>
          <w:szCs w:val="24"/>
        </w:rPr>
        <w:t>Boyd v. Garvert</w:t>
      </w:r>
      <w:r w:rsidRPr="00805031">
        <w:rPr>
          <w:rFonts w:eastAsia="Times New Roman"/>
          <w:sz w:val="24"/>
          <w:szCs w:val="24"/>
        </w:rPr>
        <w:t>, 9 P.3d 1161 (</w:t>
      </w:r>
      <w:r w:rsidR="00735ECD">
        <w:rPr>
          <w:rFonts w:eastAsia="Times New Roman"/>
          <w:sz w:val="24"/>
          <w:szCs w:val="24"/>
        </w:rPr>
        <w:t>Colo. App.</w:t>
      </w:r>
      <w:r w:rsidR="009613F2">
        <w:rPr>
          <w:rFonts w:eastAsia="Times New Roman"/>
          <w:sz w:val="24"/>
          <w:szCs w:val="24"/>
        </w:rPr>
        <w:t xml:space="preserve"> </w:t>
      </w:r>
      <w:r w:rsidRPr="00805031">
        <w:rPr>
          <w:rFonts w:eastAsia="Times New Roman"/>
          <w:sz w:val="24"/>
          <w:szCs w:val="24"/>
        </w:rPr>
        <w:t>2000). In</w:t>
      </w:r>
      <w:r w:rsidRPr="00805031">
        <w:rPr>
          <w:rFonts w:eastAsia="Times New Roman"/>
          <w:i/>
          <w:sz w:val="24"/>
          <w:szCs w:val="24"/>
        </w:rPr>
        <w:t xml:space="preserve"> </w:t>
      </w:r>
      <w:r w:rsidRPr="00805031">
        <w:rPr>
          <w:rFonts w:eastAsia="Times New Roman"/>
          <w:b/>
          <w:sz w:val="24"/>
          <w:szCs w:val="24"/>
        </w:rPr>
        <w:t xml:space="preserve">Hartman v. </w:t>
      </w:r>
      <w:r w:rsidRPr="00805031">
        <w:rPr>
          <w:rFonts w:eastAsia="Times New Roman"/>
          <w:b/>
          <w:sz w:val="24"/>
          <w:szCs w:val="24"/>
        </w:rPr>
        <w:lastRenderedPageBreak/>
        <w:t>Community Responsibility Center, Inc.</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87 P.3d 202 (</w:t>
      </w:r>
      <w:r w:rsidR="00735ECD">
        <w:rPr>
          <w:rFonts w:eastAsia="Times New Roman"/>
          <w:sz w:val="24"/>
          <w:szCs w:val="24"/>
        </w:rPr>
        <w:t>Colo. App.</w:t>
      </w:r>
      <w:r w:rsidRPr="00805031">
        <w:rPr>
          <w:rFonts w:eastAsia="Times New Roman"/>
          <w:sz w:val="24"/>
          <w:szCs w:val="24"/>
        </w:rPr>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4. For the standard of professional care required of practitioners of professions other than one of the healing arts, see Source and Authority to Instruction 15:26.</w:t>
      </w:r>
    </w:p>
    <w:p w14:paraId="5FD1FCCD" w14:textId="77777777" w:rsidR="00805031" w:rsidRDefault="00805031">
      <w:pPr>
        <w:rPr>
          <w:rFonts w:eastAsia="Times New Roman"/>
          <w:sz w:val="24"/>
          <w:szCs w:val="24"/>
        </w:rPr>
      </w:pPr>
      <w:r>
        <w:rPr>
          <w:rFonts w:eastAsia="Times New Roman"/>
          <w:sz w:val="24"/>
          <w:szCs w:val="24"/>
        </w:rPr>
        <w:br w:type="page"/>
      </w:r>
    </w:p>
    <w:p w14:paraId="15DC3505" w14:textId="77777777" w:rsidR="00805031" w:rsidRPr="0089665A" w:rsidRDefault="00805031" w:rsidP="00805031">
      <w:pPr>
        <w:spacing w:after="240"/>
        <w:ind w:left="720" w:hanging="720"/>
        <w:rPr>
          <w:rFonts w:eastAsia="Times New Roman"/>
          <w:b/>
          <w:caps/>
          <w:sz w:val="24"/>
          <w:szCs w:val="24"/>
        </w:rPr>
      </w:pPr>
      <w:bookmarkStart w:id="26" w:name="a15_26"/>
      <w:bookmarkEnd w:id="26"/>
      <w:r w:rsidRPr="00805031">
        <w:rPr>
          <w:rFonts w:eastAsia="Times New Roman"/>
          <w:b/>
          <w:caps/>
          <w:sz w:val="24"/>
          <w:szCs w:val="24"/>
        </w:rPr>
        <w:lastRenderedPageBreak/>
        <w:t xml:space="preserve">15:26 </w:t>
      </w:r>
      <w:r w:rsidRPr="00805031">
        <w:rPr>
          <w:rFonts w:eastAsia="Times New Roman"/>
          <w:b/>
          <w:caps/>
          <w:sz w:val="24"/>
          <w:szCs w:val="24"/>
        </w:rPr>
        <w:tab/>
        <w:t>NEGLIGENCE — OTHER PROFESSIONALS — DEFINED</w:t>
      </w:r>
    </w:p>
    <w:p w14:paraId="3BEAAD8D"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 xml:space="preserve">(A) (An) </w:t>
      </w:r>
      <w:r w:rsidRPr="00805031">
        <w:rPr>
          <w:rFonts w:eastAsia="Times New Roman"/>
          <w:i/>
          <w:sz w:val="24"/>
          <w:szCs w:val="24"/>
        </w:rPr>
        <w:t>(insert appropriate description, e.g., “architect,” “accountant,” etc.)</w:t>
      </w:r>
      <w:r w:rsidRPr="00805031">
        <w:rPr>
          <w:rFonts w:eastAsia="Times New Roman"/>
          <w:b/>
          <w:sz w:val="24"/>
          <w:szCs w:val="24"/>
        </w:rPr>
        <w:t xml:space="preserve"> is negligent when (he) (she) (does an act that reasonably careful </w:t>
      </w:r>
      <w:r w:rsidRPr="00805031">
        <w:rPr>
          <w:rFonts w:eastAsia="Times New Roman"/>
          <w:i/>
          <w:sz w:val="24"/>
          <w:szCs w:val="24"/>
        </w:rPr>
        <w:t>[insert pluralized version of appropriate description, e.g., “accountants”]</w:t>
      </w:r>
      <w:r w:rsidRPr="00805031">
        <w:rPr>
          <w:rFonts w:eastAsia="Times New Roman"/>
          <w:b/>
          <w:sz w:val="24"/>
          <w:szCs w:val="24"/>
        </w:rPr>
        <w:t xml:space="preserve"> would not do) (or) (fails to do an act that reasonably careful </w:t>
      </w:r>
      <w:r w:rsidRPr="00805031">
        <w:rPr>
          <w:rFonts w:eastAsia="Times New Roman"/>
          <w:i/>
          <w:sz w:val="24"/>
          <w:szCs w:val="24"/>
        </w:rPr>
        <w:t xml:space="preserve">[insert pluralized version of appropriate description] </w:t>
      </w:r>
      <w:r w:rsidRPr="00805031">
        <w:rPr>
          <w:rFonts w:eastAsia="Times New Roman"/>
          <w:b/>
          <w:sz w:val="24"/>
          <w:szCs w:val="24"/>
        </w:rPr>
        <w:t>would do).</w:t>
      </w:r>
    </w:p>
    <w:p w14:paraId="3510BE8F"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 xml:space="preserve">To determine whether (a) (an) </w:t>
      </w:r>
      <w:r w:rsidRPr="00805031">
        <w:rPr>
          <w:rFonts w:eastAsia="Times New Roman"/>
          <w:i/>
          <w:sz w:val="24"/>
          <w:szCs w:val="24"/>
        </w:rPr>
        <w:t>(insert appropriate description, e.g., “architect,” “accountant,” etc.)</w:t>
      </w:r>
      <w:r w:rsidRPr="00805031">
        <w:rPr>
          <w:rFonts w:eastAsia="Times New Roman"/>
          <w:b/>
          <w:sz w:val="24"/>
          <w:szCs w:val="24"/>
        </w:rPr>
        <w:t xml:space="preserve">’s conduct is negligent, you must compare that conduct with what (a) (an) </w:t>
      </w:r>
      <w:r w:rsidRPr="00805031">
        <w:rPr>
          <w:rFonts w:eastAsia="Times New Roman"/>
          <w:i/>
          <w:sz w:val="24"/>
          <w:szCs w:val="24"/>
        </w:rPr>
        <w:t>(insert appropriate description, e.g., “architect,” “accountant,” etc.)</w:t>
      </w:r>
      <w:r w:rsidRPr="00805031">
        <w:rPr>
          <w:rFonts w:eastAsia="Times New Roman"/>
          <w:b/>
          <w:sz w:val="24"/>
          <w:szCs w:val="24"/>
        </w:rPr>
        <w:t xml:space="preserve"> having and using that knowledge and skill of </w:t>
      </w:r>
      <w:r w:rsidRPr="00805031">
        <w:rPr>
          <w:rFonts w:eastAsia="Times New Roman"/>
          <w:i/>
          <w:sz w:val="24"/>
          <w:szCs w:val="24"/>
        </w:rPr>
        <w:t xml:space="preserve">(insert pluralized version of appropriate description, e.g., “architects”) </w:t>
      </w:r>
      <w:r w:rsidRPr="00805031">
        <w:rPr>
          <w:rFonts w:eastAsia="Times New Roman"/>
          <w:b/>
          <w:sz w:val="24"/>
          <w:szCs w:val="24"/>
        </w:rPr>
        <w:t xml:space="preserve">practicing </w:t>
      </w:r>
      <w:r w:rsidRPr="00805031">
        <w:rPr>
          <w:rFonts w:eastAsia="Times New Roman"/>
          <w:i/>
          <w:sz w:val="24"/>
          <w:szCs w:val="24"/>
        </w:rPr>
        <w:t>(insert appropriate description, e.g., “architecture,” “accountancy,” etc.)</w:t>
      </w:r>
      <w:r w:rsidRPr="00805031">
        <w:rPr>
          <w:rFonts w:eastAsia="Times New Roman"/>
          <w:b/>
          <w:sz w:val="24"/>
          <w:szCs w:val="24"/>
        </w:rPr>
        <w:t>, at the same time, would or would not have done under the same or similar circumstances.</w:t>
      </w:r>
    </w:p>
    <w:p w14:paraId="5E6B4099" w14:textId="77777777" w:rsidR="00805031" w:rsidRDefault="00805031" w:rsidP="00805031">
      <w:pPr>
        <w:jc w:val="center"/>
        <w:rPr>
          <w:rFonts w:eastAsia="Times New Roman"/>
          <w:sz w:val="24"/>
          <w:szCs w:val="24"/>
        </w:rPr>
      </w:pPr>
    </w:p>
    <w:p w14:paraId="539A26D1" w14:textId="77777777" w:rsidR="00805031" w:rsidRPr="0054263B" w:rsidRDefault="00805031" w:rsidP="00805031">
      <w:pPr>
        <w:keepNext/>
        <w:spacing w:after="240"/>
        <w:jc w:val="center"/>
        <w:rPr>
          <w:rFonts w:eastAsia="Times New Roman"/>
          <w:b/>
          <w:sz w:val="24"/>
          <w:szCs w:val="24"/>
        </w:rPr>
      </w:pPr>
      <w:r w:rsidRPr="0054263B">
        <w:rPr>
          <w:rFonts w:eastAsia="Times New Roman"/>
          <w:b/>
          <w:sz w:val="24"/>
          <w:szCs w:val="24"/>
        </w:rPr>
        <w:t>Notes on Use</w:t>
      </w:r>
    </w:p>
    <w:p w14:paraId="5BCFF5B8"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This instruction, rather than Instruction 9:6, should be used in conjunction with Instruction 9:1 or </w:t>
      </w:r>
      <w:smartTag w:uri="urn:schemas-microsoft-com:office:smarttags" w:element="time">
        <w:smartTagPr>
          <w:attr w:name="Hour" w:val="9"/>
          <w:attr w:name="Minute" w:val="22"/>
        </w:smartTagPr>
        <w:r w:rsidRPr="00805031">
          <w:rPr>
            <w:rFonts w:eastAsia="Times New Roman"/>
            <w:sz w:val="24"/>
            <w:szCs w:val="24"/>
          </w:rPr>
          <w:t>9:22</w:t>
        </w:r>
      </w:smartTag>
      <w:r w:rsidRPr="00805031">
        <w:rPr>
          <w:rFonts w:eastAsia="Times New Roman"/>
          <w:sz w:val="24"/>
          <w:szCs w:val="24"/>
        </w:rPr>
        <w:t>,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2. Use whichever parenthesized words are appropriate.</w:t>
      </w:r>
    </w:p>
    <w:p w14:paraId="61E705AB" w14:textId="77777777" w:rsidR="00805031" w:rsidRPr="0054263B" w:rsidRDefault="00805031" w:rsidP="00805031">
      <w:pPr>
        <w:keepNext/>
        <w:spacing w:after="240"/>
        <w:jc w:val="center"/>
        <w:rPr>
          <w:rFonts w:eastAsia="Times New Roman"/>
          <w:b/>
          <w:sz w:val="24"/>
          <w:szCs w:val="24"/>
        </w:rPr>
      </w:pPr>
      <w:r>
        <w:rPr>
          <w:rFonts w:eastAsia="Times New Roman"/>
          <w:b/>
          <w:sz w:val="24"/>
          <w:szCs w:val="24"/>
        </w:rPr>
        <w:t>Source and Authority</w:t>
      </w:r>
    </w:p>
    <w:p w14:paraId="76D1517A"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This instruction is supported by </w:t>
      </w:r>
      <w:r w:rsidRPr="00805031">
        <w:rPr>
          <w:rFonts w:eastAsia="Times New Roman"/>
          <w:b/>
          <w:sz w:val="24"/>
          <w:szCs w:val="24"/>
        </w:rPr>
        <w:t>Wheeler &amp; Lewis v. Slifer</w:t>
      </w:r>
      <w:r w:rsidRPr="00805031">
        <w:rPr>
          <w:rFonts w:eastAsia="Times New Roman"/>
          <w:sz w:val="24"/>
          <w:szCs w:val="24"/>
        </w:rPr>
        <w:t xml:space="preserve">, 195 Colo. 291, 577 P.2d 1092 (1978) (architect); </w:t>
      </w:r>
      <w:r w:rsidRPr="00805031">
        <w:rPr>
          <w:rFonts w:eastAsia="Times New Roman"/>
          <w:b/>
          <w:sz w:val="24"/>
          <w:szCs w:val="24"/>
        </w:rPr>
        <w:t>Kellogg v. Pizza Oven, Inc.</w:t>
      </w:r>
      <w:r w:rsidRPr="00805031">
        <w:rPr>
          <w:rFonts w:eastAsia="Times New Roman"/>
          <w:sz w:val="24"/>
          <w:szCs w:val="24"/>
        </w:rPr>
        <w:t xml:space="preserve">, 157 Colo. 295, 402 P.2d 633 (1965) (architect); </w:t>
      </w:r>
      <w:r w:rsidRPr="00805031">
        <w:rPr>
          <w:rFonts w:eastAsia="Times New Roman"/>
          <w:b/>
          <w:sz w:val="24"/>
          <w:szCs w:val="24"/>
        </w:rPr>
        <w:t>Rian v. Imperial Municipal Services Group, Inc.</w:t>
      </w:r>
      <w:r w:rsidRPr="00805031">
        <w:rPr>
          <w:rFonts w:eastAsia="Times New Roman"/>
          <w:sz w:val="24"/>
          <w:szCs w:val="24"/>
        </w:rPr>
        <w:t>, 768 P.2d 1260 (</w:t>
      </w:r>
      <w:r w:rsidR="00735ECD">
        <w:rPr>
          <w:rFonts w:eastAsia="Times New Roman"/>
          <w:sz w:val="24"/>
          <w:szCs w:val="24"/>
        </w:rPr>
        <w:t>Colo. App.</w:t>
      </w:r>
      <w:r w:rsidRPr="00805031">
        <w:rPr>
          <w:rFonts w:eastAsia="Times New Roman"/>
          <w:sz w:val="24"/>
          <w:szCs w:val="24"/>
        </w:rPr>
        <w:t xml:space="preserve"> 1988) (architect). For a general discussion of the standard of care to be applied in negligence cases against members of a profession, see </w:t>
      </w:r>
      <w:r w:rsidRPr="00805031">
        <w:rPr>
          <w:rFonts w:eastAsia="Times New Roman"/>
          <w:smallCaps/>
          <w:sz w:val="24"/>
          <w:szCs w:val="24"/>
        </w:rPr>
        <w:t>Restatement (Second) of Torts</w:t>
      </w:r>
      <w:r w:rsidRPr="00805031">
        <w:rPr>
          <w:rFonts w:eastAsia="Times New Roman"/>
          <w:sz w:val="24"/>
          <w:szCs w:val="24"/>
        </w:rPr>
        <w:t xml:space="preserve"> § 299A (1965).</w:t>
      </w:r>
    </w:p>
    <w:p w14:paraId="572FA5C9" w14:textId="5F4965FA"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The provisions of </w:t>
      </w:r>
      <w:r w:rsidR="000B30F7">
        <w:rPr>
          <w:rFonts w:eastAsia="Times New Roman"/>
          <w:sz w:val="24"/>
          <w:szCs w:val="24"/>
        </w:rPr>
        <w:t>sections</w:t>
      </w:r>
      <w:r w:rsidRPr="00805031">
        <w:rPr>
          <w:rFonts w:eastAsia="Times New Roman"/>
          <w:sz w:val="24"/>
          <w:szCs w:val="24"/>
        </w:rPr>
        <w:t xml:space="preserve"> 13-20-60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rFonts w:eastAsia="Times New Roman"/>
          <w:i/>
          <w:sz w:val="24"/>
          <w:szCs w:val="24"/>
        </w:rPr>
        <w:t xml:space="preserve">See </w:t>
      </w:r>
      <w:r w:rsidRPr="00805031">
        <w:rPr>
          <w:rFonts w:eastAsia="Times New Roman"/>
          <w:b/>
          <w:sz w:val="24"/>
          <w:szCs w:val="24"/>
        </w:rPr>
        <w:t>Baumgarten v. Coppage</w:t>
      </w:r>
      <w:r w:rsidRPr="00805031">
        <w:rPr>
          <w:rFonts w:eastAsia="Times New Roman"/>
          <w:sz w:val="24"/>
          <w:szCs w:val="24"/>
        </w:rPr>
        <w:t>, 15 P.3d 304 (</w:t>
      </w:r>
      <w:r w:rsidR="00735ECD">
        <w:rPr>
          <w:rFonts w:eastAsia="Times New Roman"/>
          <w:sz w:val="24"/>
          <w:szCs w:val="24"/>
        </w:rPr>
        <w:t>Colo. App.</w:t>
      </w:r>
      <w:r w:rsidRPr="00805031">
        <w:rPr>
          <w:rFonts w:eastAsia="Times New Roman"/>
          <w:sz w:val="24"/>
          <w:szCs w:val="24"/>
        </w:rPr>
        <w:t xml:space="preserve"> 2000). Therefore, some breach of fiduciary duty and contract claims against such professionals may require the filing of a certificate of review. </w:t>
      </w:r>
      <w:r w:rsidRPr="00805031">
        <w:rPr>
          <w:rFonts w:eastAsia="Times New Roman"/>
          <w:b/>
          <w:sz w:val="24"/>
          <w:szCs w:val="24"/>
        </w:rPr>
        <w:t>Martinez v. Badis</w:t>
      </w:r>
      <w:r w:rsidRPr="00805031">
        <w:rPr>
          <w:rFonts w:eastAsia="Times New Roman"/>
          <w:sz w:val="24"/>
          <w:szCs w:val="24"/>
        </w:rPr>
        <w:t xml:space="preserve">, 842 P.2d 245 (Colo. 1992); </w:t>
      </w:r>
      <w:r w:rsidRPr="00805031">
        <w:rPr>
          <w:rFonts w:eastAsia="Times New Roman"/>
          <w:b/>
          <w:sz w:val="24"/>
          <w:szCs w:val="24"/>
        </w:rPr>
        <w:t>McLister v. Epstein &amp; Lawrence, P.C.</w:t>
      </w:r>
      <w:r w:rsidRPr="00805031">
        <w:rPr>
          <w:rFonts w:eastAsia="Times New Roman"/>
          <w:sz w:val="24"/>
          <w:szCs w:val="24"/>
        </w:rPr>
        <w:t>, 934 P.2d 844 (</w:t>
      </w:r>
      <w:r w:rsidR="00735ECD">
        <w:rPr>
          <w:rFonts w:eastAsia="Times New Roman"/>
          <w:sz w:val="24"/>
          <w:szCs w:val="24"/>
        </w:rPr>
        <w:t>Colo. App.</w:t>
      </w:r>
      <w:r w:rsidRPr="00805031">
        <w:rPr>
          <w:rFonts w:eastAsia="Times New Roman"/>
          <w:sz w:val="24"/>
          <w:szCs w:val="24"/>
        </w:rPr>
        <w:t xml:space="preserve"> 1996); </w:t>
      </w:r>
      <w:r w:rsidRPr="00805031">
        <w:rPr>
          <w:rFonts w:eastAsia="Times New Roman"/>
          <w:b/>
          <w:sz w:val="24"/>
          <w:szCs w:val="24"/>
        </w:rPr>
        <w:t>Crystal Homes, Inc. v. Radetsky</w:t>
      </w:r>
      <w:r w:rsidRPr="00805031">
        <w:rPr>
          <w:rFonts w:eastAsia="Times New Roman"/>
          <w:sz w:val="24"/>
          <w:szCs w:val="24"/>
        </w:rPr>
        <w:t>, 895 P.2d 1179 (</w:t>
      </w:r>
      <w:r w:rsidR="00735ECD">
        <w:rPr>
          <w:rFonts w:eastAsia="Times New Roman"/>
          <w:sz w:val="24"/>
          <w:szCs w:val="24"/>
        </w:rPr>
        <w:t>Colo. App.</w:t>
      </w:r>
      <w:r w:rsidRPr="00805031">
        <w:rPr>
          <w:rFonts w:eastAsia="Times New Roman"/>
          <w:sz w:val="24"/>
          <w:szCs w:val="24"/>
        </w:rPr>
        <w:t xml:space="preserve"> 1995).</w:t>
      </w:r>
    </w:p>
    <w:p w14:paraId="59F80295"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rPr>
          <w:rFonts w:eastAsia="Times New Roman"/>
          <w:sz w:val="24"/>
          <w:szCs w:val="24"/>
        </w:rPr>
        <w:lastRenderedPageBreak/>
        <w:t xml:space="preserve">care is some evidence that the professional was not negligent, but is not conclusive proof of his or her exercise of due care. </w:t>
      </w:r>
      <w:r w:rsidRPr="00805031">
        <w:rPr>
          <w:rFonts w:eastAsia="Times New Roman"/>
          <w:b/>
          <w:sz w:val="24"/>
          <w:szCs w:val="24"/>
        </w:rPr>
        <w:t>United Blood Servs., Inc. v. Quintana,</w:t>
      </w:r>
      <w:r w:rsidRPr="00805031">
        <w:rPr>
          <w:rFonts w:eastAsia="Times New Roman"/>
          <w:sz w:val="24"/>
          <w:szCs w:val="24"/>
        </w:rPr>
        <w:t xml:space="preserve"> 827 P.2d 509 (</w:t>
      </w:r>
      <w:smartTag w:uri="urn:schemas-microsoft-com:office:smarttags" w:element="State">
        <w:smartTag w:uri="urn:schemas-microsoft-com:office:smarttags" w:element="place">
          <w:r w:rsidRPr="00805031">
            <w:rPr>
              <w:rFonts w:eastAsia="Times New Roman"/>
              <w:sz w:val="24"/>
              <w:szCs w:val="24"/>
            </w:rPr>
            <w:t>Colo.</w:t>
          </w:r>
        </w:smartTag>
      </w:smartTag>
      <w:r w:rsidRPr="00805031">
        <w:rPr>
          <w:rFonts w:eastAsia="Times New Roman"/>
          <w:sz w:val="24"/>
          <w:szCs w:val="24"/>
        </w:rPr>
        <w:t xml:space="preserve"> 1992).</w:t>
      </w:r>
    </w:p>
    <w:p w14:paraId="1A8803EB"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4. In</w:t>
      </w:r>
      <w:r w:rsidRPr="00805031">
        <w:rPr>
          <w:rFonts w:eastAsia="Times New Roman"/>
          <w:i/>
          <w:sz w:val="24"/>
          <w:szCs w:val="24"/>
        </w:rPr>
        <w:t xml:space="preserve"> </w:t>
      </w:r>
      <w:r w:rsidRPr="00805031">
        <w:rPr>
          <w:rFonts w:eastAsia="Times New Roman"/>
          <w:b/>
          <w:sz w:val="24"/>
          <w:szCs w:val="24"/>
        </w:rPr>
        <w:t>Corcoran v. Sanner</w:t>
      </w:r>
      <w:r w:rsidRPr="00805031">
        <w:rPr>
          <w:rFonts w:eastAsia="Times New Roman"/>
          <w:sz w:val="24"/>
          <w:szCs w:val="24"/>
        </w:rPr>
        <w:t>, 854 P.2d 1376, 1379 (</w:t>
      </w:r>
      <w:r w:rsidR="00735ECD">
        <w:rPr>
          <w:rFonts w:eastAsia="Times New Roman"/>
          <w:sz w:val="24"/>
          <w:szCs w:val="24"/>
        </w:rPr>
        <w:t>Colo. App.</w:t>
      </w:r>
      <w:r w:rsidRPr="00805031">
        <w:rPr>
          <w:rFonts w:eastAsia="Times New Roman"/>
          <w:sz w:val="24"/>
          <w:szCs w:val="24"/>
        </w:rPr>
        <w:t xml:space="preserve"> 1993), the court rejected the “locality rule” in a malpractice suit against an architect stating that: “[a]lthough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5. In some instances, the standard of care may be established by regulatory standards.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Hice v. Lott</w:t>
      </w:r>
      <w:r w:rsidRPr="00805031">
        <w:rPr>
          <w:rFonts w:eastAsia="Times New Roman"/>
          <w:sz w:val="24"/>
          <w:szCs w:val="24"/>
        </w:rPr>
        <w:t>, 223 P.3d 139 (</w:t>
      </w:r>
      <w:r w:rsidR="00735ECD">
        <w:rPr>
          <w:rFonts w:eastAsia="Times New Roman"/>
          <w:sz w:val="24"/>
          <w:szCs w:val="24"/>
        </w:rPr>
        <w:t>Colo. App.</w:t>
      </w:r>
      <w:r w:rsidRPr="00805031">
        <w:rPr>
          <w:rFonts w:eastAsia="Times New Roman"/>
          <w:sz w:val="24"/>
          <w:szCs w:val="24"/>
        </w:rPr>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pPr>
        <w:rPr>
          <w:rFonts w:eastAsia="Times New Roman"/>
          <w:sz w:val="24"/>
          <w:szCs w:val="24"/>
        </w:rPr>
      </w:pPr>
      <w:r>
        <w:rPr>
          <w:rFonts w:eastAsia="Times New Roman"/>
          <w:sz w:val="24"/>
          <w:szCs w:val="24"/>
        </w:rPr>
        <w:br w:type="page"/>
      </w:r>
    </w:p>
    <w:p w14:paraId="27A75F3A" w14:textId="77777777" w:rsidR="0087243D" w:rsidRPr="0089665A" w:rsidRDefault="0087243D" w:rsidP="0087243D">
      <w:pPr>
        <w:spacing w:after="240"/>
        <w:ind w:left="720" w:hanging="720"/>
        <w:rPr>
          <w:rFonts w:eastAsia="Times New Roman"/>
          <w:b/>
          <w:caps/>
          <w:sz w:val="24"/>
          <w:szCs w:val="24"/>
        </w:rPr>
      </w:pPr>
      <w:bookmarkStart w:id="27" w:name="a15_27"/>
      <w:bookmarkEnd w:id="27"/>
      <w:r w:rsidRPr="0087243D">
        <w:rPr>
          <w:rFonts w:eastAsia="Times New Roman"/>
          <w:b/>
          <w:caps/>
          <w:sz w:val="24"/>
          <w:szCs w:val="24"/>
        </w:rPr>
        <w:lastRenderedPageBreak/>
        <w:t>15:27</w:t>
      </w:r>
      <w:r w:rsidRPr="0087243D">
        <w:rPr>
          <w:rFonts w:eastAsia="Times New Roman"/>
          <w:b/>
          <w:caps/>
          <w:sz w:val="24"/>
          <w:szCs w:val="24"/>
        </w:rPr>
        <w:tab/>
      </w:r>
      <w:r w:rsidRPr="0087243D">
        <w:rPr>
          <w:rFonts w:eastAsia="Times New Roman"/>
          <w:b/>
          <w:bCs/>
          <w:caps/>
          <w:sz w:val="24"/>
          <w:szCs w:val="24"/>
        </w:rPr>
        <w:t>CAUSATION — REAL ESTATE BROKERS — TRANSACTIONAL MALPRACTICE — DEFINED</w:t>
      </w:r>
    </w:p>
    <w:p w14:paraId="5AFD048B" w14:textId="77777777" w:rsidR="0087243D" w:rsidRPr="0087243D" w:rsidRDefault="0087243D" w:rsidP="0087243D">
      <w:pPr>
        <w:spacing w:after="240"/>
        <w:ind w:firstLine="720"/>
        <w:rPr>
          <w:rFonts w:eastAsia="Times New Roman"/>
          <w:b/>
          <w:bCs/>
          <w:sz w:val="24"/>
          <w:szCs w:val="24"/>
        </w:rPr>
      </w:pPr>
      <w:r w:rsidRPr="0087243D">
        <w:rPr>
          <w:rFonts w:eastAsia="Times New Roman"/>
          <w:b/>
          <w:bCs/>
          <w:sz w:val="24"/>
          <w:szCs w:val="24"/>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rPr>
          <w:rFonts w:eastAsia="Times New Roman"/>
          <w:sz w:val="24"/>
          <w:szCs w:val="24"/>
        </w:rPr>
      </w:pPr>
    </w:p>
    <w:p w14:paraId="2F3EC97C" w14:textId="77777777" w:rsidR="0087243D" w:rsidRPr="0054263B" w:rsidRDefault="0087243D" w:rsidP="0087243D">
      <w:pPr>
        <w:keepNext/>
        <w:spacing w:after="240"/>
        <w:jc w:val="center"/>
        <w:rPr>
          <w:rFonts w:eastAsia="Times New Roman"/>
          <w:b/>
          <w:sz w:val="24"/>
          <w:szCs w:val="24"/>
        </w:rPr>
      </w:pPr>
      <w:r w:rsidRPr="0054263B">
        <w:rPr>
          <w:rFonts w:eastAsia="Times New Roman"/>
          <w:b/>
          <w:sz w:val="24"/>
          <w:szCs w:val="24"/>
        </w:rPr>
        <w:t>Notes on Use</w:t>
      </w:r>
    </w:p>
    <w:p w14:paraId="3BB0784F" w14:textId="77777777" w:rsidR="00F15D75" w:rsidRDefault="0087243D" w:rsidP="0087243D">
      <w:pPr>
        <w:spacing w:after="240"/>
        <w:ind w:firstLine="720"/>
        <w:rPr>
          <w:rFonts w:eastAsia="Times New Roman"/>
          <w:sz w:val="24"/>
          <w:szCs w:val="24"/>
        </w:rPr>
      </w:pPr>
      <w:r w:rsidRPr="0087243D">
        <w:rPr>
          <w:rFonts w:eastAsia="Times New Roman"/>
          <w:sz w:val="24"/>
          <w:szCs w:val="24"/>
        </w:rPr>
        <w:t>1. This instruction should be used in conjunction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rPr>
          <w:rFonts w:eastAsia="Times New Roman"/>
          <w:sz w:val="24"/>
          <w:szCs w:val="24"/>
        </w:rPr>
      </w:pPr>
      <w:r w:rsidRPr="0087243D">
        <w:rPr>
          <w:rFonts w:eastAsia="Times New Roman"/>
          <w:sz w:val="24"/>
          <w:szCs w:val="24"/>
        </w:rPr>
        <w:t>2. Use whichever parenthesized phrases are appropriate.</w:t>
      </w:r>
    </w:p>
    <w:p w14:paraId="33484668" w14:textId="61145D80" w:rsidR="0087243D" w:rsidRPr="0087243D" w:rsidRDefault="0087243D" w:rsidP="0087243D">
      <w:pPr>
        <w:spacing w:after="240"/>
        <w:ind w:firstLine="720"/>
        <w:rPr>
          <w:rFonts w:eastAsia="Times New Roman"/>
          <w:sz w:val="24"/>
          <w:szCs w:val="24"/>
        </w:rPr>
      </w:pPr>
      <w:r w:rsidRPr="0087243D">
        <w:rPr>
          <w:rFonts w:eastAsia="Times New Roman"/>
          <w:sz w:val="24"/>
          <w:szCs w:val="24"/>
        </w:rPr>
        <w:t xml:space="preserve">3. This instruction should be given in cases involving circumstances similar to </w:t>
      </w:r>
      <w:r w:rsidRPr="0087243D">
        <w:rPr>
          <w:rFonts w:eastAsia="Times New Roman"/>
          <w:b/>
          <w:sz w:val="24"/>
          <w:szCs w:val="24"/>
        </w:rPr>
        <w:t>Gibbons v. Ludlow</w:t>
      </w:r>
      <w:r w:rsidR="00DD621C" w:rsidRPr="00DD621C">
        <w:rPr>
          <w:rFonts w:eastAsia="Times New Roman"/>
          <w:sz w:val="24"/>
          <w:szCs w:val="24"/>
        </w:rPr>
        <w:t xml:space="preserve">, 2013 CO 49, </w:t>
      </w:r>
      <w:r w:rsidR="00DD621C">
        <w:rPr>
          <w:rFonts w:eastAsia="Times New Roman"/>
          <w:sz w:val="24"/>
          <w:szCs w:val="24"/>
        </w:rPr>
        <w:t xml:space="preserve">¶ 16, </w:t>
      </w:r>
      <w:r w:rsidR="00DD621C" w:rsidRPr="00DD621C">
        <w:rPr>
          <w:rFonts w:eastAsia="Times New Roman"/>
          <w:sz w:val="24"/>
          <w:szCs w:val="24"/>
        </w:rPr>
        <w:t>304 P.3d 239</w:t>
      </w:r>
      <w:r w:rsidRPr="0087243D">
        <w:rPr>
          <w:rFonts w:eastAsia="Times New Roman"/>
          <w:sz w:val="24"/>
          <w:szCs w:val="24"/>
        </w:rPr>
        <w:t xml:space="preserve">. In cases different from </w:t>
      </w:r>
      <w:r w:rsidRPr="0087243D">
        <w:rPr>
          <w:rFonts w:eastAsia="Times New Roman"/>
          <w:b/>
          <w:sz w:val="24"/>
          <w:szCs w:val="24"/>
        </w:rPr>
        <w:t>Gibbons</w:t>
      </w:r>
      <w:r w:rsidRPr="0087243D">
        <w:rPr>
          <w:rFonts w:eastAsia="Times New Roman"/>
          <w:sz w:val="24"/>
          <w:szCs w:val="24"/>
        </w:rPr>
        <w:t>, the last two parenthesized phrases should be modified to fit the facts of the case.</w:t>
      </w:r>
    </w:p>
    <w:p w14:paraId="76C1E0B0" w14:textId="77777777" w:rsidR="0087243D" w:rsidRPr="0054263B" w:rsidRDefault="0087243D" w:rsidP="0087243D">
      <w:pPr>
        <w:keepNext/>
        <w:spacing w:after="240"/>
        <w:jc w:val="center"/>
        <w:rPr>
          <w:rFonts w:eastAsia="Times New Roman"/>
          <w:b/>
          <w:sz w:val="24"/>
          <w:szCs w:val="24"/>
        </w:rPr>
      </w:pPr>
      <w:r>
        <w:rPr>
          <w:rFonts w:eastAsia="Times New Roman"/>
          <w:b/>
          <w:sz w:val="24"/>
          <w:szCs w:val="24"/>
        </w:rPr>
        <w:t>Source and Authority</w:t>
      </w:r>
    </w:p>
    <w:p w14:paraId="06D5C923" w14:textId="027B507B" w:rsidR="0087243D" w:rsidRPr="0087243D" w:rsidRDefault="0087243D" w:rsidP="0087243D">
      <w:pPr>
        <w:spacing w:after="240"/>
        <w:ind w:firstLine="720"/>
        <w:rPr>
          <w:rFonts w:eastAsia="Times New Roman"/>
          <w:sz w:val="24"/>
          <w:szCs w:val="24"/>
        </w:rPr>
      </w:pPr>
      <w:r w:rsidRPr="0087243D">
        <w:rPr>
          <w:rFonts w:eastAsia="Times New Roman"/>
          <w:sz w:val="24"/>
          <w:szCs w:val="24"/>
        </w:rPr>
        <w:t xml:space="preserve">This instruction is supported by </w:t>
      </w:r>
      <w:r w:rsidRPr="0087243D">
        <w:rPr>
          <w:rFonts w:eastAsia="Times New Roman"/>
          <w:b/>
          <w:bCs/>
          <w:sz w:val="24"/>
          <w:szCs w:val="24"/>
        </w:rPr>
        <w:t>Gibbons</w:t>
      </w:r>
      <w:r w:rsidRPr="0087243D">
        <w:rPr>
          <w:rFonts w:eastAsia="Times New Roman"/>
          <w:sz w:val="24"/>
          <w:szCs w:val="24"/>
        </w:rPr>
        <w:t>, 2013 CO 49</w:t>
      </w:r>
      <w:r w:rsidR="0061116A">
        <w:rPr>
          <w:rFonts w:eastAsia="Times New Roman"/>
          <w:sz w:val="24"/>
          <w:szCs w:val="24"/>
        </w:rPr>
        <w:t xml:space="preserve">, </w:t>
      </w:r>
      <w:r w:rsidR="00DD621C">
        <w:rPr>
          <w:rFonts w:eastAsia="Times New Roman"/>
          <w:sz w:val="24"/>
          <w:szCs w:val="24"/>
        </w:rPr>
        <w:t>¶ 16</w:t>
      </w:r>
      <w:r w:rsidRPr="0087243D">
        <w:rPr>
          <w:rFonts w:eastAsia="Times New Roman"/>
          <w:sz w:val="24"/>
          <w:szCs w:val="24"/>
        </w:rPr>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rFonts w:eastAsia="Times New Roman"/>
          <w:bCs/>
          <w:i/>
          <w:sz w:val="24"/>
          <w:szCs w:val="24"/>
        </w:rPr>
        <w:t>Id.</w:t>
      </w:r>
      <w:r w:rsidRPr="0087243D">
        <w:rPr>
          <w:rFonts w:eastAsia="Times New Roman"/>
          <w:sz w:val="24"/>
          <w:szCs w:val="24"/>
        </w:rPr>
        <w:t xml:space="preserve">; </w:t>
      </w:r>
      <w:r w:rsidRPr="0087243D">
        <w:rPr>
          <w:rFonts w:eastAsia="Times New Roman"/>
          <w:b/>
          <w:sz w:val="24"/>
          <w:szCs w:val="24"/>
        </w:rPr>
        <w:t>Boulders at Escalante LLC v. Otten Johnson Robinson Neff &amp; Ragonetti PC</w:t>
      </w:r>
      <w:r w:rsidRPr="0087243D">
        <w:rPr>
          <w:rFonts w:eastAsia="Times New Roman"/>
          <w:sz w:val="24"/>
          <w:szCs w:val="24"/>
        </w:rPr>
        <w:t>, 2015 COA 85, ¶ 46</w:t>
      </w:r>
      <w:r w:rsidR="0061116A">
        <w:rPr>
          <w:rFonts w:eastAsia="Times New Roman"/>
          <w:sz w:val="24"/>
          <w:szCs w:val="24"/>
        </w:rPr>
        <w:t>, 412 P.3d 751</w:t>
      </w:r>
      <w:r w:rsidRPr="0087243D">
        <w:rPr>
          <w:rFonts w:eastAsia="Times New Roman"/>
          <w:sz w:val="24"/>
          <w:szCs w:val="24"/>
        </w:rPr>
        <w:t>.</w:t>
      </w:r>
    </w:p>
    <w:p w14:paraId="5291E74E" w14:textId="77777777" w:rsidR="00707B95" w:rsidRDefault="00707B95">
      <w:pPr>
        <w:rPr>
          <w:rFonts w:eastAsia="Times New Roman"/>
          <w:sz w:val="24"/>
          <w:szCs w:val="24"/>
        </w:rPr>
      </w:pPr>
      <w:r>
        <w:rPr>
          <w:rFonts w:eastAsia="Times New Roman"/>
          <w:sz w:val="24"/>
          <w:szCs w:val="24"/>
        </w:rPr>
        <w:br w:type="page"/>
      </w:r>
    </w:p>
    <w:p w14:paraId="42637FE4" w14:textId="77777777" w:rsidR="00707B95" w:rsidRPr="0089665A" w:rsidRDefault="00707B95" w:rsidP="00707B95">
      <w:pPr>
        <w:spacing w:after="240"/>
        <w:ind w:left="720" w:hanging="720"/>
        <w:rPr>
          <w:rFonts w:eastAsia="Times New Roman"/>
          <w:b/>
          <w:caps/>
          <w:sz w:val="24"/>
          <w:szCs w:val="24"/>
        </w:rPr>
      </w:pPr>
      <w:bookmarkStart w:id="28" w:name="a15_28"/>
      <w:bookmarkEnd w:id="28"/>
      <w:r w:rsidRPr="00707B95">
        <w:rPr>
          <w:rFonts w:eastAsia="Times New Roman"/>
          <w:b/>
          <w:caps/>
          <w:sz w:val="24"/>
          <w:szCs w:val="24"/>
        </w:rPr>
        <w:lastRenderedPageBreak/>
        <w:t xml:space="preserve">15:28 </w:t>
      </w:r>
      <w:r w:rsidRPr="00707B95">
        <w:rPr>
          <w:rFonts w:eastAsia="Times New Roman"/>
          <w:b/>
          <w:caps/>
          <w:sz w:val="24"/>
          <w:szCs w:val="24"/>
        </w:rPr>
        <w:tab/>
        <w:t>NO IMPLIED WARRANTY OF SUCCESSFUL OUTCOME — OTHER PROFESSIONALS</w:t>
      </w:r>
    </w:p>
    <w:p w14:paraId="7E2E1E86" w14:textId="77777777" w:rsidR="00707B95" w:rsidRPr="00707B95" w:rsidRDefault="00707B95" w:rsidP="00707B95">
      <w:pPr>
        <w:spacing w:after="240"/>
        <w:ind w:firstLine="720"/>
        <w:rPr>
          <w:rFonts w:eastAsia="Times New Roman"/>
          <w:b/>
          <w:bCs/>
          <w:sz w:val="24"/>
          <w:szCs w:val="24"/>
        </w:rPr>
      </w:pPr>
      <w:r w:rsidRPr="00707B95">
        <w:rPr>
          <w:rFonts w:eastAsia="Times New Roman"/>
          <w:b/>
          <w:bCs/>
          <w:sz w:val="24"/>
          <w:szCs w:val="24"/>
        </w:rPr>
        <w:t xml:space="preserve">(Unless [a] [an] </w:t>
      </w:r>
      <w:r w:rsidRPr="00707B95">
        <w:rPr>
          <w:rFonts w:eastAsia="Times New Roman"/>
          <w:bCs/>
          <w:i/>
          <w:sz w:val="24"/>
          <w:szCs w:val="24"/>
        </w:rPr>
        <w:t>[insert appropriate description, e.g., “architect,” “accountant,” etc.]</w:t>
      </w:r>
      <w:r w:rsidRPr="00707B95">
        <w:rPr>
          <w:rFonts w:eastAsia="Times New Roman"/>
          <w:b/>
          <w:bCs/>
          <w:sz w:val="24"/>
          <w:szCs w:val="24"/>
        </w:rPr>
        <w:t xml:space="preserve"> states or agrees otherwise, [a] [an]) (A) (An) </w:t>
      </w:r>
      <w:r w:rsidRPr="00707B95">
        <w:rPr>
          <w:rFonts w:eastAsia="Times New Roman"/>
          <w:bCs/>
          <w:i/>
          <w:sz w:val="24"/>
          <w:szCs w:val="24"/>
        </w:rPr>
        <w:t>(insert appropriate description)</w:t>
      </w:r>
      <w:r w:rsidRPr="00707B95">
        <w:rPr>
          <w:rFonts w:eastAsia="Times New Roman"/>
          <w:b/>
          <w:bCs/>
          <w:sz w:val="24"/>
          <w:szCs w:val="24"/>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rFonts w:eastAsia="Times New Roman"/>
          <w:b/>
          <w:bCs/>
          <w:sz w:val="24"/>
          <w:szCs w:val="24"/>
        </w:rPr>
      </w:pPr>
      <w:r w:rsidRPr="00707B95">
        <w:rPr>
          <w:rFonts w:eastAsia="Times New Roman"/>
          <w:b/>
          <w:bCs/>
          <w:sz w:val="24"/>
          <w:szCs w:val="24"/>
        </w:rPr>
        <w:t xml:space="preserve">(An unsuccessful outcome does not, by itself, mean that [a] [an] </w:t>
      </w:r>
      <w:r w:rsidRPr="00707B95">
        <w:rPr>
          <w:rFonts w:eastAsia="Times New Roman"/>
          <w:bCs/>
          <w:i/>
          <w:sz w:val="24"/>
          <w:szCs w:val="24"/>
        </w:rPr>
        <w:t xml:space="preserve">[insert appropriate description, e.g., “architect,” etc.] </w:t>
      </w:r>
      <w:r w:rsidRPr="00707B95">
        <w:rPr>
          <w:rFonts w:eastAsia="Times New Roman"/>
          <w:b/>
          <w:bCs/>
          <w:sz w:val="24"/>
          <w:szCs w:val="24"/>
        </w:rPr>
        <w:t xml:space="preserve">was negligent.) (An exercise of judgment that results in an unsuccessful outcome does not, by itself, mean that [a] [an] </w:t>
      </w:r>
      <w:r w:rsidRPr="00707B95">
        <w:rPr>
          <w:rFonts w:eastAsia="Times New Roman"/>
          <w:bCs/>
          <w:i/>
          <w:sz w:val="24"/>
          <w:szCs w:val="24"/>
        </w:rPr>
        <w:t>[insert appropriate description, e.g., “architect,” etc.]</w:t>
      </w:r>
      <w:r w:rsidRPr="00707B95">
        <w:rPr>
          <w:rFonts w:eastAsia="Times New Roman"/>
          <w:b/>
          <w:bCs/>
          <w:sz w:val="24"/>
          <w:szCs w:val="24"/>
        </w:rPr>
        <w:t xml:space="preserve"> was negligent.)</w:t>
      </w:r>
    </w:p>
    <w:p w14:paraId="5D617A79" w14:textId="77777777" w:rsidR="00707B95" w:rsidRDefault="00707B95" w:rsidP="00707B95">
      <w:pPr>
        <w:jc w:val="center"/>
        <w:rPr>
          <w:rFonts w:eastAsia="Times New Roman"/>
          <w:sz w:val="24"/>
          <w:szCs w:val="24"/>
        </w:rPr>
      </w:pPr>
    </w:p>
    <w:p w14:paraId="7FA46133" w14:textId="77777777" w:rsidR="00707B95" w:rsidRPr="0054263B" w:rsidRDefault="00707B95" w:rsidP="00707B95">
      <w:pPr>
        <w:keepNext/>
        <w:spacing w:after="240"/>
        <w:jc w:val="center"/>
        <w:rPr>
          <w:rFonts w:eastAsia="Times New Roman"/>
          <w:b/>
          <w:sz w:val="24"/>
          <w:szCs w:val="24"/>
        </w:rPr>
      </w:pPr>
      <w:r w:rsidRPr="0054263B">
        <w:rPr>
          <w:rFonts w:eastAsia="Times New Roman"/>
          <w:b/>
          <w:sz w:val="24"/>
          <w:szCs w:val="24"/>
        </w:rPr>
        <w:t>Notes on Use</w:t>
      </w:r>
    </w:p>
    <w:p w14:paraId="6031DB49"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 xml:space="preserve">1. Use whichever parenthesized words are appropriate. </w:t>
      </w:r>
    </w:p>
    <w:p w14:paraId="73B65FCD"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rFonts w:eastAsia="Times New Roman"/>
          <w:b/>
          <w:sz w:val="24"/>
          <w:szCs w:val="24"/>
        </w:rPr>
      </w:pPr>
      <w:r>
        <w:rPr>
          <w:rFonts w:eastAsia="Times New Roman"/>
          <w:b/>
          <w:sz w:val="24"/>
          <w:szCs w:val="24"/>
        </w:rPr>
        <w:t>Source and Authority</w:t>
      </w:r>
    </w:p>
    <w:p w14:paraId="534534B4"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pPr>
        <w:rPr>
          <w:rFonts w:eastAsia="Times New Roman"/>
          <w:sz w:val="24"/>
          <w:szCs w:val="24"/>
        </w:rPr>
      </w:pPr>
      <w:r>
        <w:rPr>
          <w:rFonts w:eastAsia="Times New Roman"/>
          <w:sz w:val="24"/>
          <w:szCs w:val="24"/>
        </w:rPr>
        <w:br w:type="page"/>
      </w:r>
    </w:p>
    <w:p w14:paraId="29AFA08B" w14:textId="77777777" w:rsidR="00BC2A34" w:rsidRPr="0089665A" w:rsidRDefault="00BC2A34" w:rsidP="00BC2A34">
      <w:pPr>
        <w:spacing w:after="240"/>
        <w:ind w:left="720" w:hanging="720"/>
        <w:rPr>
          <w:rFonts w:eastAsia="Times New Roman"/>
          <w:b/>
          <w:caps/>
          <w:sz w:val="24"/>
          <w:szCs w:val="24"/>
        </w:rPr>
      </w:pPr>
      <w:bookmarkStart w:id="29" w:name="a15_29"/>
      <w:bookmarkEnd w:id="29"/>
      <w:r w:rsidRPr="00BC2A34">
        <w:rPr>
          <w:rFonts w:eastAsia="Times New Roman"/>
          <w:b/>
          <w:caps/>
          <w:sz w:val="24"/>
          <w:szCs w:val="24"/>
        </w:rPr>
        <w:lastRenderedPageBreak/>
        <w:t xml:space="preserve">15:29 </w:t>
      </w:r>
      <w:r w:rsidRPr="00BC2A34">
        <w:rPr>
          <w:rFonts w:eastAsia="Times New Roman"/>
          <w:b/>
          <w:caps/>
          <w:sz w:val="24"/>
          <w:szCs w:val="24"/>
        </w:rPr>
        <w:tab/>
        <w:t>REFERRAL OF CLIENT TO ANOTHER PROFESSIONAL PERSON</w:t>
      </w:r>
    </w:p>
    <w:p w14:paraId="51AEB921" w14:textId="77777777" w:rsidR="00BC2A34" w:rsidRPr="00BC2A34" w:rsidRDefault="00BC2A34" w:rsidP="00BC2A34">
      <w:pPr>
        <w:spacing w:after="240"/>
        <w:ind w:firstLine="720"/>
        <w:rPr>
          <w:rFonts w:eastAsia="Times New Roman"/>
          <w:b/>
          <w:bCs/>
          <w:sz w:val="24"/>
          <w:szCs w:val="24"/>
        </w:rPr>
      </w:pPr>
      <w:r w:rsidRPr="00BC2A34">
        <w:rPr>
          <w:rFonts w:eastAsia="Times New Roman"/>
          <w:b/>
          <w:bCs/>
          <w:sz w:val="24"/>
          <w:szCs w:val="24"/>
        </w:rPr>
        <w:t xml:space="preserve">(A) (An) </w:t>
      </w:r>
      <w:r w:rsidRPr="00BC2A34">
        <w:rPr>
          <w:rFonts w:eastAsia="Times New Roman"/>
          <w:bCs/>
          <w:i/>
          <w:sz w:val="24"/>
          <w:szCs w:val="24"/>
        </w:rPr>
        <w:t>(insert appropriate description, e.g., “architect,” “accountant,” etc.)</w:t>
      </w:r>
      <w:r w:rsidRPr="00BC2A34">
        <w:rPr>
          <w:rFonts w:eastAsia="Times New Roman"/>
          <w:b/>
          <w:bCs/>
          <w:sz w:val="24"/>
          <w:szCs w:val="24"/>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rFonts w:eastAsia="Times New Roman"/>
          <w:bCs/>
          <w:i/>
          <w:sz w:val="24"/>
          <w:szCs w:val="24"/>
        </w:rPr>
        <w:t>(insert appropriate description, e.g., “architect,” etc.)</w:t>
      </w:r>
      <w:r w:rsidRPr="00BC2A34">
        <w:rPr>
          <w:rFonts w:eastAsia="Times New Roman"/>
          <w:b/>
          <w:bCs/>
          <w:sz w:val="24"/>
          <w:szCs w:val="24"/>
        </w:rPr>
        <w:t xml:space="preserve"> has failed to exercise reasonable care in selecting the other professional person.</w:t>
      </w:r>
    </w:p>
    <w:p w14:paraId="37010F84" w14:textId="77777777" w:rsidR="00BC2A34" w:rsidRDefault="00BC2A34" w:rsidP="00BC2A34">
      <w:pPr>
        <w:jc w:val="center"/>
        <w:rPr>
          <w:rFonts w:eastAsia="Times New Roman"/>
          <w:sz w:val="24"/>
          <w:szCs w:val="24"/>
        </w:rPr>
      </w:pPr>
    </w:p>
    <w:p w14:paraId="3EBCFD57" w14:textId="77777777" w:rsidR="00BC2A34" w:rsidRPr="0054263B" w:rsidRDefault="00BC2A34" w:rsidP="00BC2A34">
      <w:pPr>
        <w:keepNext/>
        <w:spacing w:after="240"/>
        <w:jc w:val="center"/>
        <w:rPr>
          <w:rFonts w:eastAsia="Times New Roman"/>
          <w:b/>
          <w:sz w:val="24"/>
          <w:szCs w:val="24"/>
        </w:rPr>
      </w:pPr>
      <w:r w:rsidRPr="0054263B">
        <w:rPr>
          <w:rFonts w:eastAsia="Times New Roman"/>
          <w:b/>
          <w:sz w:val="24"/>
          <w:szCs w:val="24"/>
        </w:rPr>
        <w:t>Notes on Use</w:t>
      </w:r>
    </w:p>
    <w:p w14:paraId="734FC9E5" w14:textId="77777777" w:rsidR="00BC2A34" w:rsidRPr="00BC2A34" w:rsidRDefault="00BC2A34" w:rsidP="00BC2A34">
      <w:pPr>
        <w:spacing w:after="240"/>
        <w:ind w:firstLine="720"/>
        <w:rPr>
          <w:rFonts w:eastAsia="Times New Roman"/>
          <w:sz w:val="24"/>
          <w:szCs w:val="24"/>
        </w:rPr>
      </w:pPr>
      <w:r w:rsidRPr="00BC2A34">
        <w:rPr>
          <w:rFonts w:eastAsia="Times New Roman"/>
          <w:sz w:val="24"/>
          <w:szCs w:val="24"/>
        </w:rPr>
        <w:t>1. Use whichever parenthesized words are appropriate.</w:t>
      </w:r>
    </w:p>
    <w:p w14:paraId="5701477B" w14:textId="0C2CE2FC" w:rsidR="00BC2A34" w:rsidRPr="00BC2A34" w:rsidRDefault="00BC2A34" w:rsidP="00BC2A34">
      <w:pPr>
        <w:spacing w:after="240"/>
        <w:ind w:firstLine="720"/>
        <w:rPr>
          <w:rFonts w:eastAsia="Times New Roman"/>
          <w:sz w:val="24"/>
          <w:szCs w:val="24"/>
        </w:rPr>
      </w:pPr>
      <w:r w:rsidRPr="00BC2A34">
        <w:rPr>
          <w:rFonts w:eastAsia="Times New Roman"/>
          <w:sz w:val="24"/>
          <w:szCs w:val="24"/>
        </w:rPr>
        <w:t xml:space="preserve">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w:t>
      </w:r>
      <w:r w:rsidR="006211A0">
        <w:rPr>
          <w:rFonts w:eastAsia="Times New Roman"/>
          <w:sz w:val="24"/>
          <w:szCs w:val="24"/>
        </w:rPr>
        <w:t xml:space="preserve">the </w:t>
      </w:r>
      <w:r w:rsidRPr="00BC2A34">
        <w:rPr>
          <w:rFonts w:eastAsia="Times New Roman"/>
          <w:sz w:val="24"/>
          <w:szCs w:val="24"/>
        </w:rPr>
        <w:t>instructions in Chapter 8.</w:t>
      </w:r>
    </w:p>
    <w:p w14:paraId="67202C19" w14:textId="77777777" w:rsidR="00BC2A34" w:rsidRPr="00BC2A34" w:rsidRDefault="00BC2A34" w:rsidP="00BC2A34">
      <w:pPr>
        <w:spacing w:after="240"/>
        <w:ind w:firstLine="720"/>
        <w:rPr>
          <w:rFonts w:eastAsia="Times New Roman"/>
          <w:sz w:val="24"/>
          <w:szCs w:val="24"/>
        </w:rPr>
      </w:pPr>
      <w:r w:rsidRPr="00BC2A34">
        <w:rPr>
          <w:rFonts w:eastAsia="Times New Roman"/>
          <w:sz w:val="24"/>
          <w:szCs w:val="24"/>
        </w:rPr>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rFonts w:eastAsia="Times New Roman"/>
          <w:b/>
          <w:sz w:val="24"/>
          <w:szCs w:val="24"/>
        </w:rPr>
      </w:pPr>
      <w:r>
        <w:rPr>
          <w:rFonts w:eastAsia="Times New Roman"/>
          <w:b/>
          <w:sz w:val="24"/>
          <w:szCs w:val="24"/>
        </w:rPr>
        <w:t>Source and Authority</w:t>
      </w:r>
    </w:p>
    <w:p w14:paraId="759F7B38" w14:textId="32347782" w:rsidR="00BC2A34" w:rsidRPr="00BC2A34" w:rsidRDefault="00BC2A34" w:rsidP="00BC2A34">
      <w:pPr>
        <w:spacing w:after="240"/>
        <w:ind w:firstLine="720"/>
        <w:rPr>
          <w:rFonts w:eastAsia="Times New Roman"/>
          <w:sz w:val="24"/>
          <w:szCs w:val="24"/>
        </w:rPr>
      </w:pPr>
      <w:r w:rsidRPr="00BC2A34">
        <w:rPr>
          <w:rFonts w:eastAsia="Times New Roman"/>
          <w:sz w:val="24"/>
          <w:szCs w:val="24"/>
        </w:rPr>
        <w:t xml:space="preserve">There appear to be no Colorado cases specifically establishing the rule stated in this instruction. There are, however, cases from other jurisdictions. </w:t>
      </w:r>
      <w:r w:rsidRPr="00BC2A34">
        <w:rPr>
          <w:rFonts w:eastAsia="Times New Roman"/>
          <w:i/>
          <w:sz w:val="24"/>
          <w:szCs w:val="24"/>
        </w:rPr>
        <w:t>See</w:t>
      </w:r>
      <w:r w:rsidRPr="00A81FD7">
        <w:rPr>
          <w:rFonts w:eastAsia="Times New Roman"/>
          <w:i/>
          <w:sz w:val="24"/>
          <w:szCs w:val="24"/>
        </w:rPr>
        <w:t xml:space="preserve">, </w:t>
      </w:r>
      <w:r w:rsidRPr="00BC2A34">
        <w:rPr>
          <w:rFonts w:eastAsia="Times New Roman"/>
          <w:i/>
          <w:sz w:val="24"/>
          <w:szCs w:val="24"/>
        </w:rPr>
        <w:t>e.g</w:t>
      </w:r>
      <w:r w:rsidRPr="00BC2A34">
        <w:rPr>
          <w:rFonts w:eastAsia="Times New Roman"/>
          <w:sz w:val="24"/>
          <w:szCs w:val="24"/>
        </w:rPr>
        <w:t xml:space="preserve">., </w:t>
      </w:r>
      <w:r w:rsidR="000F712A">
        <w:rPr>
          <w:rFonts w:eastAsia="Times New Roman"/>
          <w:sz w:val="24"/>
          <w:szCs w:val="24"/>
        </w:rPr>
        <w:t xml:space="preserve">W.R. Habeeb, Annotation, </w:t>
      </w:r>
      <w:r w:rsidRPr="00CD5DEB">
        <w:rPr>
          <w:rFonts w:eastAsia="Times New Roman"/>
          <w:i/>
          <w:sz w:val="24"/>
          <w:szCs w:val="24"/>
        </w:rPr>
        <w:t xml:space="preserve">Liability of </w:t>
      </w:r>
      <w:r w:rsidR="000F712A" w:rsidRPr="00CD5DEB">
        <w:rPr>
          <w:rFonts w:eastAsia="Times New Roman"/>
          <w:i/>
          <w:sz w:val="24"/>
          <w:szCs w:val="24"/>
        </w:rPr>
        <w:t>O</w:t>
      </w:r>
      <w:r w:rsidRPr="00CD5DEB">
        <w:rPr>
          <w:rFonts w:eastAsia="Times New Roman"/>
          <w:i/>
          <w:sz w:val="24"/>
          <w:szCs w:val="24"/>
        </w:rPr>
        <w:t xml:space="preserve">ne </w:t>
      </w:r>
      <w:r w:rsidR="000F712A" w:rsidRPr="00CD5DEB">
        <w:rPr>
          <w:rFonts w:eastAsia="Times New Roman"/>
          <w:i/>
          <w:sz w:val="24"/>
          <w:szCs w:val="24"/>
        </w:rPr>
        <w:t>P</w:t>
      </w:r>
      <w:r w:rsidRPr="00CD5DEB">
        <w:rPr>
          <w:rFonts w:eastAsia="Times New Roman"/>
          <w:i/>
          <w:sz w:val="24"/>
          <w:szCs w:val="24"/>
        </w:rPr>
        <w:t xml:space="preserve">hysician or </w:t>
      </w:r>
      <w:r w:rsidR="000F712A" w:rsidRPr="00CD5DEB">
        <w:rPr>
          <w:rFonts w:eastAsia="Times New Roman"/>
          <w:i/>
          <w:sz w:val="24"/>
          <w:szCs w:val="24"/>
        </w:rPr>
        <w:t>S</w:t>
      </w:r>
      <w:r w:rsidRPr="00CD5DEB">
        <w:rPr>
          <w:rFonts w:eastAsia="Times New Roman"/>
          <w:i/>
          <w:sz w:val="24"/>
          <w:szCs w:val="24"/>
        </w:rPr>
        <w:t xml:space="preserve">urgeon for </w:t>
      </w:r>
      <w:r w:rsidR="000F712A" w:rsidRPr="00CD5DEB">
        <w:rPr>
          <w:rFonts w:eastAsia="Times New Roman"/>
          <w:i/>
          <w:sz w:val="24"/>
          <w:szCs w:val="24"/>
        </w:rPr>
        <w:t>M</w:t>
      </w:r>
      <w:r w:rsidRPr="00CD5DEB">
        <w:rPr>
          <w:rFonts w:eastAsia="Times New Roman"/>
          <w:i/>
          <w:sz w:val="24"/>
          <w:szCs w:val="24"/>
        </w:rPr>
        <w:t xml:space="preserve">alpractice of </w:t>
      </w:r>
      <w:r w:rsidR="000F712A" w:rsidRPr="00CD5DEB">
        <w:rPr>
          <w:rFonts w:eastAsia="Times New Roman"/>
          <w:i/>
          <w:sz w:val="24"/>
          <w:szCs w:val="24"/>
        </w:rPr>
        <w:t>A</w:t>
      </w:r>
      <w:r w:rsidRPr="00CD5DEB">
        <w:rPr>
          <w:rFonts w:eastAsia="Times New Roman"/>
          <w:i/>
          <w:sz w:val="24"/>
          <w:szCs w:val="24"/>
        </w:rPr>
        <w:t>nother</w:t>
      </w:r>
      <w:r w:rsidRPr="00BC2A34">
        <w:rPr>
          <w:rFonts w:eastAsia="Times New Roman"/>
          <w:sz w:val="24"/>
          <w:szCs w:val="24"/>
        </w:rPr>
        <w:t>, 85 A</w:t>
      </w:r>
      <w:r w:rsidR="000F712A">
        <w:rPr>
          <w:rFonts w:eastAsia="Times New Roman"/>
          <w:sz w:val="24"/>
          <w:szCs w:val="24"/>
        </w:rPr>
        <w:t>.</w:t>
      </w:r>
      <w:r w:rsidRPr="00BC2A34">
        <w:rPr>
          <w:rFonts w:eastAsia="Times New Roman"/>
          <w:sz w:val="24"/>
          <w:szCs w:val="24"/>
        </w:rPr>
        <w:t>L</w:t>
      </w:r>
      <w:r w:rsidR="000F712A">
        <w:rPr>
          <w:rFonts w:eastAsia="Times New Roman"/>
          <w:sz w:val="24"/>
          <w:szCs w:val="24"/>
        </w:rPr>
        <w:t>.</w:t>
      </w:r>
      <w:r w:rsidRPr="00BC2A34">
        <w:rPr>
          <w:rFonts w:eastAsia="Times New Roman"/>
          <w:sz w:val="24"/>
          <w:szCs w:val="24"/>
        </w:rPr>
        <w:t>R</w:t>
      </w:r>
      <w:r w:rsidR="000F712A">
        <w:rPr>
          <w:rFonts w:eastAsia="Times New Roman"/>
          <w:sz w:val="24"/>
          <w:szCs w:val="24"/>
        </w:rPr>
        <w:t>.</w:t>
      </w:r>
      <w:r w:rsidRPr="00BC2A34">
        <w:rPr>
          <w:rFonts w:eastAsia="Times New Roman"/>
          <w:sz w:val="24"/>
          <w:szCs w:val="24"/>
        </w:rPr>
        <w:t>2d 889</w:t>
      </w:r>
      <w:r w:rsidR="000F712A">
        <w:rPr>
          <w:rFonts w:eastAsia="Times New Roman"/>
          <w:sz w:val="24"/>
          <w:szCs w:val="24"/>
        </w:rPr>
        <w:t xml:space="preserve"> (1962)</w:t>
      </w:r>
      <w:r w:rsidRPr="00BC2A34">
        <w:rPr>
          <w:rFonts w:eastAsia="Times New Roman"/>
          <w:sz w:val="24"/>
          <w:szCs w:val="24"/>
        </w:rPr>
        <w:t>.</w:t>
      </w:r>
    </w:p>
    <w:p w14:paraId="02470FBB" w14:textId="77777777" w:rsidR="00BD06DE" w:rsidRDefault="00BD06DE">
      <w:pPr>
        <w:rPr>
          <w:rFonts w:eastAsia="Times New Roman"/>
          <w:sz w:val="24"/>
          <w:szCs w:val="24"/>
        </w:rPr>
      </w:pPr>
      <w:r>
        <w:rPr>
          <w:rFonts w:eastAsia="Times New Roman"/>
          <w:sz w:val="24"/>
          <w:szCs w:val="24"/>
        </w:rPr>
        <w:br w:type="page"/>
      </w:r>
    </w:p>
    <w:p w14:paraId="7B331A20" w14:textId="77777777" w:rsidR="00BD06DE" w:rsidRPr="0089665A" w:rsidRDefault="00BD06DE" w:rsidP="00BD06DE">
      <w:pPr>
        <w:spacing w:after="240"/>
        <w:ind w:left="720" w:hanging="720"/>
        <w:rPr>
          <w:rFonts w:eastAsia="Times New Roman"/>
          <w:b/>
          <w:caps/>
          <w:sz w:val="24"/>
          <w:szCs w:val="24"/>
        </w:rPr>
      </w:pPr>
      <w:bookmarkStart w:id="30" w:name="a15_30"/>
      <w:bookmarkEnd w:id="30"/>
      <w:r w:rsidRPr="00BD06DE">
        <w:rPr>
          <w:rFonts w:eastAsia="Times New Roman"/>
          <w:b/>
          <w:caps/>
          <w:sz w:val="24"/>
          <w:szCs w:val="24"/>
        </w:rPr>
        <w:lastRenderedPageBreak/>
        <w:t xml:space="preserve">15:30 </w:t>
      </w:r>
      <w:r w:rsidRPr="00BD06DE">
        <w:rPr>
          <w:rFonts w:eastAsia="Times New Roman"/>
          <w:b/>
          <w:caps/>
          <w:sz w:val="24"/>
          <w:szCs w:val="24"/>
        </w:rPr>
        <w:tab/>
        <w:t>CONTRIBUTORY NEGLIGENCE OF CLIENT — DEFINED</w:t>
      </w:r>
    </w:p>
    <w:p w14:paraId="727E295F" w14:textId="77777777" w:rsidR="00BD06DE" w:rsidRPr="00BD06DE" w:rsidRDefault="00BD06DE" w:rsidP="00BD06DE">
      <w:pPr>
        <w:spacing w:after="240"/>
        <w:ind w:firstLine="720"/>
        <w:rPr>
          <w:rFonts w:eastAsia="Times New Roman"/>
          <w:b/>
          <w:bCs/>
          <w:sz w:val="24"/>
          <w:szCs w:val="24"/>
        </w:rPr>
      </w:pPr>
      <w:r w:rsidRPr="00BD06DE">
        <w:rPr>
          <w:rFonts w:eastAsia="Times New Roman"/>
          <w:b/>
          <w:bCs/>
          <w:sz w:val="24"/>
          <w:szCs w:val="24"/>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6D061A12" w14:textId="77777777" w:rsidR="00BD06DE" w:rsidRDefault="00BD06DE" w:rsidP="00BD06DE">
      <w:pPr>
        <w:jc w:val="center"/>
        <w:rPr>
          <w:rFonts w:eastAsia="Times New Roman"/>
          <w:sz w:val="24"/>
          <w:szCs w:val="24"/>
        </w:rPr>
      </w:pPr>
    </w:p>
    <w:p w14:paraId="1E23086C" w14:textId="77777777" w:rsidR="00BD06DE" w:rsidRPr="0054263B" w:rsidRDefault="00BD06DE" w:rsidP="00BD06DE">
      <w:pPr>
        <w:keepNext/>
        <w:spacing w:after="240"/>
        <w:jc w:val="center"/>
        <w:rPr>
          <w:rFonts w:eastAsia="Times New Roman"/>
          <w:b/>
          <w:sz w:val="24"/>
          <w:szCs w:val="24"/>
        </w:rPr>
      </w:pPr>
      <w:r w:rsidRPr="0054263B">
        <w:rPr>
          <w:rFonts w:eastAsia="Times New Roman"/>
          <w:b/>
          <w:sz w:val="24"/>
          <w:szCs w:val="24"/>
        </w:rPr>
        <w:t>Notes on Use</w:t>
      </w:r>
    </w:p>
    <w:p w14:paraId="4106CFA8" w14:textId="77777777" w:rsidR="00BD06DE" w:rsidRPr="00BD06DE" w:rsidRDefault="00BD06DE" w:rsidP="00BD06DE">
      <w:pPr>
        <w:spacing w:after="240"/>
        <w:ind w:firstLine="720"/>
        <w:rPr>
          <w:rFonts w:eastAsia="Times New Roman"/>
          <w:sz w:val="24"/>
          <w:szCs w:val="24"/>
        </w:rPr>
      </w:pPr>
      <w:r w:rsidRPr="00BD06DE">
        <w:rPr>
          <w:rFonts w:eastAsia="Times New Roman"/>
          <w:sz w:val="24"/>
          <w:szCs w:val="24"/>
        </w:rPr>
        <w:t>1. Use whichever parenthetical words are appropriate.</w:t>
      </w:r>
    </w:p>
    <w:p w14:paraId="3D593141" w14:textId="77777777" w:rsidR="00BD06DE" w:rsidRPr="00BD06DE" w:rsidRDefault="00BD06DE" w:rsidP="00BD06DE">
      <w:pPr>
        <w:spacing w:after="240"/>
        <w:ind w:firstLine="720"/>
        <w:rPr>
          <w:rFonts w:eastAsia="Times New Roman"/>
          <w:sz w:val="24"/>
          <w:szCs w:val="24"/>
        </w:rPr>
      </w:pPr>
      <w:r w:rsidRPr="00BD06DE">
        <w:rPr>
          <w:rFonts w:eastAsia="Times New Roman"/>
          <w:sz w:val="24"/>
          <w:szCs w:val="24"/>
        </w:rPr>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21C3608F" w14:textId="33086762" w:rsidR="00BD06DE" w:rsidRPr="00BD06DE" w:rsidRDefault="00BD06DE" w:rsidP="00BD06DE">
      <w:pPr>
        <w:spacing w:after="240"/>
        <w:ind w:firstLine="720"/>
        <w:rPr>
          <w:rFonts w:eastAsia="Times New Roman"/>
          <w:sz w:val="24"/>
          <w:szCs w:val="24"/>
        </w:rPr>
      </w:pPr>
      <w:r w:rsidRPr="00BD06DE">
        <w:rPr>
          <w:rFonts w:eastAsia="Times New Roman"/>
          <w:sz w:val="24"/>
          <w:szCs w:val="24"/>
        </w:rPr>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rPr>
          <w:rFonts w:eastAsia="Times New Roman"/>
          <w:sz w:val="24"/>
          <w:szCs w:val="24"/>
        </w:rPr>
        <w:t>,</w:t>
      </w:r>
      <w:r w:rsidRPr="00BD06DE">
        <w:rPr>
          <w:rFonts w:eastAsia="Times New Roman"/>
          <w:sz w:val="24"/>
          <w:szCs w:val="24"/>
        </w:rPr>
        <w:t xml:space="preserve"> </w:t>
      </w:r>
      <w:r w:rsidRPr="00CD5DEB">
        <w:rPr>
          <w:rFonts w:eastAsia="Times New Roman"/>
          <w:i/>
          <w:sz w:val="24"/>
          <w:szCs w:val="24"/>
        </w:rPr>
        <w:t>see</w:t>
      </w:r>
      <w:r w:rsidRPr="00BD06DE">
        <w:rPr>
          <w:rFonts w:eastAsia="Times New Roman"/>
          <w:sz w:val="24"/>
          <w:szCs w:val="24"/>
        </w:rPr>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 occurring negligent act of another. </w:t>
      </w:r>
      <w:r w:rsidRPr="00CD5DEB">
        <w:rPr>
          <w:rFonts w:eastAsia="Times New Roman"/>
          <w:i/>
          <w:sz w:val="24"/>
          <w:szCs w:val="24"/>
        </w:rPr>
        <w:t>See</w:t>
      </w:r>
      <w:r w:rsidRPr="00BD06DE">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rFonts w:eastAsia="Times New Roman"/>
          <w:i/>
          <w:sz w:val="24"/>
          <w:szCs w:val="24"/>
        </w:rPr>
        <w:t>See</w:t>
      </w:r>
      <w:r w:rsidRPr="00BD06DE">
        <w:rPr>
          <w:rFonts w:eastAsia="Times New Roman"/>
          <w:sz w:val="24"/>
          <w:szCs w:val="24"/>
        </w:rPr>
        <w:t xml:space="preserve"> Instruction 9:6.</w:t>
      </w:r>
    </w:p>
    <w:p w14:paraId="5F5C0E89" w14:textId="77777777" w:rsidR="00BD06DE" w:rsidRPr="0054263B" w:rsidRDefault="00BD06DE" w:rsidP="00BD06DE">
      <w:pPr>
        <w:keepNext/>
        <w:spacing w:after="240"/>
        <w:jc w:val="center"/>
        <w:rPr>
          <w:rFonts w:eastAsia="Times New Roman"/>
          <w:b/>
          <w:sz w:val="24"/>
          <w:szCs w:val="24"/>
        </w:rPr>
      </w:pPr>
      <w:r>
        <w:rPr>
          <w:rFonts w:eastAsia="Times New Roman"/>
          <w:b/>
          <w:sz w:val="24"/>
          <w:szCs w:val="24"/>
        </w:rPr>
        <w:t>Source and Authority</w:t>
      </w:r>
    </w:p>
    <w:p w14:paraId="69A68DA3" w14:textId="3FE43880" w:rsidR="00BB7045" w:rsidRPr="00C63C71" w:rsidRDefault="00F6773F" w:rsidP="00FB5784">
      <w:pPr>
        <w:spacing w:after="240"/>
        <w:ind w:firstLine="720"/>
        <w:rPr>
          <w:rFonts w:eastAsia="Times New Roman"/>
          <w:sz w:val="24"/>
          <w:szCs w:val="24"/>
        </w:rPr>
      </w:pPr>
      <w:r>
        <w:rPr>
          <w:rFonts w:eastAsia="Times New Roman"/>
          <w:sz w:val="24"/>
          <w:szCs w:val="24"/>
        </w:rPr>
        <w:t xml:space="preserve">This instruction is supported by </w:t>
      </w:r>
      <w:r w:rsidR="000F712A" w:rsidRPr="00BD06DE">
        <w:rPr>
          <w:rFonts w:eastAsia="Times New Roman"/>
          <w:b/>
          <w:sz w:val="24"/>
          <w:szCs w:val="24"/>
        </w:rPr>
        <w:t>McGraw v. Kerr</w:t>
      </w:r>
      <w:r w:rsidR="000F712A" w:rsidRPr="00BD06DE">
        <w:rPr>
          <w:rFonts w:eastAsia="Times New Roman"/>
          <w:sz w:val="24"/>
          <w:szCs w:val="24"/>
        </w:rPr>
        <w:t xml:space="preserve">, 23 </w:t>
      </w:r>
      <w:r w:rsidR="000F712A">
        <w:rPr>
          <w:rFonts w:eastAsia="Times New Roman"/>
          <w:sz w:val="24"/>
          <w:szCs w:val="24"/>
        </w:rPr>
        <w:t>Colo. App.</w:t>
      </w:r>
      <w:r w:rsidR="000F712A" w:rsidRPr="00BD06DE">
        <w:rPr>
          <w:rFonts w:eastAsia="Times New Roman"/>
          <w:sz w:val="24"/>
          <w:szCs w:val="24"/>
        </w:rPr>
        <w:t xml:space="preserve"> 163, 128 P. 870 (1912)</w:t>
      </w:r>
      <w:r w:rsidR="000F712A">
        <w:rPr>
          <w:rFonts w:eastAsia="Times New Roman"/>
          <w:sz w:val="24"/>
          <w:szCs w:val="24"/>
        </w:rPr>
        <w:t xml:space="preserve"> (</w:t>
      </w:r>
      <w:r w:rsidR="000F712A" w:rsidRPr="00BD06DE">
        <w:rPr>
          <w:rFonts w:eastAsia="Times New Roman"/>
          <w:sz w:val="24"/>
          <w:szCs w:val="24"/>
        </w:rPr>
        <w:t>discussi</w:t>
      </w:r>
      <w:r w:rsidR="000F712A">
        <w:rPr>
          <w:rFonts w:eastAsia="Times New Roman"/>
          <w:sz w:val="24"/>
          <w:szCs w:val="24"/>
        </w:rPr>
        <w:t>ng</w:t>
      </w:r>
      <w:r w:rsidR="000F712A" w:rsidRPr="00BD06DE">
        <w:rPr>
          <w:rFonts w:eastAsia="Times New Roman"/>
          <w:sz w:val="24"/>
          <w:szCs w:val="24"/>
        </w:rPr>
        <w:t xml:space="preserve"> the failure of a patient to follow a physician’s advice as constituting contributory negligence</w:t>
      </w:r>
      <w:r w:rsidR="000F712A">
        <w:rPr>
          <w:rFonts w:eastAsia="Times New Roman"/>
          <w:sz w:val="24"/>
          <w:szCs w:val="24"/>
        </w:rPr>
        <w:t>).</w:t>
      </w:r>
      <w:r w:rsidR="000F712A" w:rsidRPr="00F6773F">
        <w:rPr>
          <w:rFonts w:eastAsia="Times New Roman"/>
          <w:i/>
          <w:sz w:val="24"/>
          <w:szCs w:val="24"/>
        </w:rPr>
        <w:t xml:space="preserve"> </w:t>
      </w:r>
      <w:r w:rsidR="00BD06DE" w:rsidRPr="00BD06DE">
        <w:rPr>
          <w:rFonts w:eastAsia="Times New Roman"/>
          <w:i/>
          <w:sz w:val="24"/>
          <w:szCs w:val="24"/>
        </w:rPr>
        <w:t>See also</w:t>
      </w:r>
      <w:r w:rsidR="00BD06DE" w:rsidRPr="00BD06DE">
        <w:rPr>
          <w:rFonts w:eastAsia="Times New Roman"/>
          <w:sz w:val="24"/>
          <w:szCs w:val="24"/>
        </w:rPr>
        <w:t xml:space="preserve"> </w:t>
      </w:r>
      <w:r w:rsidR="00BD06DE" w:rsidRPr="00BD06DE">
        <w:rPr>
          <w:rFonts w:eastAsia="Times New Roman"/>
          <w:b/>
          <w:sz w:val="24"/>
          <w:szCs w:val="24"/>
        </w:rPr>
        <w:t>Hanley v. Spencer</w:t>
      </w:r>
      <w:r w:rsidR="00BD06DE" w:rsidRPr="00BD06DE">
        <w:rPr>
          <w:rFonts w:eastAsia="Times New Roman"/>
          <w:sz w:val="24"/>
          <w:szCs w:val="24"/>
        </w:rPr>
        <w:t xml:space="preserve">, 108 Colo. 184, 115 P.2d 399 (1941); </w:t>
      </w:r>
      <w:r w:rsidR="00BD06DE" w:rsidRPr="00BD06DE">
        <w:rPr>
          <w:rFonts w:eastAsia="Times New Roman"/>
          <w:b/>
          <w:sz w:val="24"/>
          <w:szCs w:val="24"/>
        </w:rPr>
        <w:t>Pearson v. Norman</w:t>
      </w:r>
      <w:r w:rsidR="00BD06DE" w:rsidRPr="00BD06DE">
        <w:rPr>
          <w:rFonts w:eastAsia="Times New Roman"/>
          <w:sz w:val="24"/>
          <w:szCs w:val="24"/>
        </w:rPr>
        <w:t>, 106 Colo. 396, 106 P.2d 361 (1940)</w:t>
      </w:r>
      <w:r w:rsidR="000F712A">
        <w:rPr>
          <w:rFonts w:eastAsia="Times New Roman"/>
          <w:sz w:val="24"/>
          <w:szCs w:val="24"/>
        </w:rPr>
        <w:t xml:space="preserve">; </w:t>
      </w:r>
      <w:r w:rsidR="000F712A" w:rsidRPr="00BD06DE">
        <w:rPr>
          <w:rFonts w:eastAsia="Times New Roman"/>
          <w:sz w:val="24"/>
          <w:szCs w:val="24"/>
        </w:rPr>
        <w:t>Source and Authority to Instruction 9:</w:t>
      </w:r>
      <w:r w:rsidR="000F712A">
        <w:rPr>
          <w:rFonts w:eastAsia="Times New Roman"/>
          <w:sz w:val="24"/>
          <w:szCs w:val="24"/>
        </w:rPr>
        <w:t>6</w:t>
      </w:r>
      <w:r w:rsidR="00BD06DE" w:rsidRPr="00BD06DE">
        <w:rPr>
          <w:rFonts w:eastAsia="Times New Roman"/>
          <w:sz w:val="24"/>
          <w:szCs w:val="24"/>
        </w:rPr>
        <w:t>.</w:t>
      </w:r>
    </w:p>
    <w:sectPr w:rsidR="00BB7045" w:rsidRPr="00C63C71"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8F7F3" w14:textId="77777777" w:rsidR="00C24B64" w:rsidRDefault="00C24B64" w:rsidP="0054263B">
      <w:r>
        <w:separator/>
      </w:r>
    </w:p>
    <w:p w14:paraId="4C8D06A5" w14:textId="77777777" w:rsidR="00C24B64" w:rsidRDefault="00C24B64"/>
  </w:endnote>
  <w:endnote w:type="continuationSeparator" w:id="0">
    <w:p w14:paraId="40EA0360" w14:textId="77777777" w:rsidR="00C24B64" w:rsidRDefault="00C24B64" w:rsidP="0054263B">
      <w:r>
        <w:continuationSeparator/>
      </w:r>
    </w:p>
    <w:p w14:paraId="6C905882" w14:textId="77777777" w:rsidR="00C24B64" w:rsidRDefault="00C24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A7EACBB" w14:textId="77777777" w:rsidR="006211A0" w:rsidRDefault="006211A0">
        <w:pPr>
          <w:pStyle w:val="Footer"/>
          <w:jc w:val="center"/>
        </w:pPr>
        <w:r>
          <w:fldChar w:fldCharType="begin"/>
        </w:r>
        <w:r>
          <w:instrText xml:space="preserve"> PAGE   \* MERGEFORMAT </w:instrText>
        </w:r>
        <w:r>
          <w:fldChar w:fldCharType="separate"/>
        </w:r>
        <w:r w:rsidR="00657F15">
          <w:rPr>
            <w:noProof/>
          </w:rPr>
          <w:t>64</w:t>
        </w:r>
        <w:r>
          <w:rPr>
            <w:noProof/>
          </w:rPr>
          <w:fldChar w:fldCharType="end"/>
        </w:r>
      </w:p>
    </w:sdtContent>
  </w:sdt>
  <w:p w14:paraId="38B53F60" w14:textId="77777777" w:rsidR="006211A0" w:rsidRDefault="006211A0">
    <w:pPr>
      <w:pStyle w:val="Footer"/>
    </w:pPr>
  </w:p>
  <w:p w14:paraId="1C4D1D9E" w14:textId="77777777" w:rsidR="006211A0" w:rsidRDefault="006211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45CC0" w14:textId="77777777" w:rsidR="00C24B64" w:rsidRDefault="00C24B64" w:rsidP="0054263B">
      <w:r>
        <w:separator/>
      </w:r>
    </w:p>
    <w:p w14:paraId="62B73AB8" w14:textId="77777777" w:rsidR="00C24B64" w:rsidRDefault="00C24B64"/>
  </w:footnote>
  <w:footnote w:type="continuationSeparator" w:id="0">
    <w:p w14:paraId="06C64EAA" w14:textId="77777777" w:rsidR="00C24B64" w:rsidRDefault="00C24B64" w:rsidP="0054263B">
      <w:r>
        <w:continuationSeparator/>
      </w:r>
    </w:p>
    <w:p w14:paraId="00C47D18" w14:textId="77777777" w:rsidR="00C24B64" w:rsidRDefault="00C24B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0CAB"/>
    <w:rsid w:val="0000384F"/>
    <w:rsid w:val="00003AD4"/>
    <w:rsid w:val="00004B85"/>
    <w:rsid w:val="000149F5"/>
    <w:rsid w:val="00027D24"/>
    <w:rsid w:val="00037111"/>
    <w:rsid w:val="00045344"/>
    <w:rsid w:val="00060196"/>
    <w:rsid w:val="0006367C"/>
    <w:rsid w:val="00066D6E"/>
    <w:rsid w:val="00072C26"/>
    <w:rsid w:val="0007335A"/>
    <w:rsid w:val="000824C8"/>
    <w:rsid w:val="00085495"/>
    <w:rsid w:val="000921F1"/>
    <w:rsid w:val="00095E77"/>
    <w:rsid w:val="000962C8"/>
    <w:rsid w:val="000A21F2"/>
    <w:rsid w:val="000A6F11"/>
    <w:rsid w:val="000B1B7A"/>
    <w:rsid w:val="000B30F7"/>
    <w:rsid w:val="000C204E"/>
    <w:rsid w:val="000C4BDE"/>
    <w:rsid w:val="000C503A"/>
    <w:rsid w:val="000C5FA4"/>
    <w:rsid w:val="000C6F97"/>
    <w:rsid w:val="000D10BF"/>
    <w:rsid w:val="000D4856"/>
    <w:rsid w:val="000F0B07"/>
    <w:rsid w:val="000F0BDF"/>
    <w:rsid w:val="000F205C"/>
    <w:rsid w:val="000F712A"/>
    <w:rsid w:val="001117D9"/>
    <w:rsid w:val="00112C8E"/>
    <w:rsid w:val="00112FF9"/>
    <w:rsid w:val="00120859"/>
    <w:rsid w:val="00125209"/>
    <w:rsid w:val="00126B7A"/>
    <w:rsid w:val="00144917"/>
    <w:rsid w:val="00144C78"/>
    <w:rsid w:val="0015211F"/>
    <w:rsid w:val="00152C59"/>
    <w:rsid w:val="001608FF"/>
    <w:rsid w:val="001642C7"/>
    <w:rsid w:val="001671A9"/>
    <w:rsid w:val="00172674"/>
    <w:rsid w:val="00172935"/>
    <w:rsid w:val="0018388B"/>
    <w:rsid w:val="001903CB"/>
    <w:rsid w:val="001913B1"/>
    <w:rsid w:val="00191498"/>
    <w:rsid w:val="00191C86"/>
    <w:rsid w:val="001A2648"/>
    <w:rsid w:val="001C560F"/>
    <w:rsid w:val="001D3A78"/>
    <w:rsid w:val="001E0F3B"/>
    <w:rsid w:val="001F4376"/>
    <w:rsid w:val="00200BA5"/>
    <w:rsid w:val="00202B81"/>
    <w:rsid w:val="002065D8"/>
    <w:rsid w:val="0021368F"/>
    <w:rsid w:val="0021730E"/>
    <w:rsid w:val="0022134E"/>
    <w:rsid w:val="00223286"/>
    <w:rsid w:val="00226215"/>
    <w:rsid w:val="00227D3A"/>
    <w:rsid w:val="00230F6F"/>
    <w:rsid w:val="0024062B"/>
    <w:rsid w:val="0024597C"/>
    <w:rsid w:val="0024661A"/>
    <w:rsid w:val="00246DB3"/>
    <w:rsid w:val="00251C50"/>
    <w:rsid w:val="002547C3"/>
    <w:rsid w:val="002654B4"/>
    <w:rsid w:val="00267805"/>
    <w:rsid w:val="00273777"/>
    <w:rsid w:val="00284FDB"/>
    <w:rsid w:val="0029273E"/>
    <w:rsid w:val="00293F7E"/>
    <w:rsid w:val="002964B9"/>
    <w:rsid w:val="002A23B0"/>
    <w:rsid w:val="002A3E85"/>
    <w:rsid w:val="002A6EC7"/>
    <w:rsid w:val="002C080E"/>
    <w:rsid w:val="002D163D"/>
    <w:rsid w:val="002D429F"/>
    <w:rsid w:val="002E0970"/>
    <w:rsid w:val="002F080A"/>
    <w:rsid w:val="002F17D2"/>
    <w:rsid w:val="002F48D6"/>
    <w:rsid w:val="00304398"/>
    <w:rsid w:val="00316D33"/>
    <w:rsid w:val="00320613"/>
    <w:rsid w:val="003247EA"/>
    <w:rsid w:val="00324D4D"/>
    <w:rsid w:val="00332EF2"/>
    <w:rsid w:val="00333886"/>
    <w:rsid w:val="00335934"/>
    <w:rsid w:val="00336CE4"/>
    <w:rsid w:val="00340379"/>
    <w:rsid w:val="00345533"/>
    <w:rsid w:val="00352111"/>
    <w:rsid w:val="00352433"/>
    <w:rsid w:val="00352696"/>
    <w:rsid w:val="00353044"/>
    <w:rsid w:val="003613FE"/>
    <w:rsid w:val="003634D2"/>
    <w:rsid w:val="00372ECB"/>
    <w:rsid w:val="00382177"/>
    <w:rsid w:val="003837B6"/>
    <w:rsid w:val="003937B8"/>
    <w:rsid w:val="003A2F1C"/>
    <w:rsid w:val="003A2F4E"/>
    <w:rsid w:val="003B75E2"/>
    <w:rsid w:val="003D027F"/>
    <w:rsid w:val="003D370E"/>
    <w:rsid w:val="003D7A1B"/>
    <w:rsid w:val="003E472A"/>
    <w:rsid w:val="003E5B38"/>
    <w:rsid w:val="003F108C"/>
    <w:rsid w:val="003F6E89"/>
    <w:rsid w:val="004015E0"/>
    <w:rsid w:val="00434371"/>
    <w:rsid w:val="00434AA1"/>
    <w:rsid w:val="004425AA"/>
    <w:rsid w:val="00444452"/>
    <w:rsid w:val="00444E3B"/>
    <w:rsid w:val="0045019F"/>
    <w:rsid w:val="00451167"/>
    <w:rsid w:val="00456038"/>
    <w:rsid w:val="00456F47"/>
    <w:rsid w:val="004625BF"/>
    <w:rsid w:val="00467B80"/>
    <w:rsid w:val="0047120C"/>
    <w:rsid w:val="00471618"/>
    <w:rsid w:val="00474B1B"/>
    <w:rsid w:val="00477092"/>
    <w:rsid w:val="00481254"/>
    <w:rsid w:val="0048541F"/>
    <w:rsid w:val="0049313F"/>
    <w:rsid w:val="004A1210"/>
    <w:rsid w:val="004A32E6"/>
    <w:rsid w:val="004A5397"/>
    <w:rsid w:val="004B753E"/>
    <w:rsid w:val="004C62F9"/>
    <w:rsid w:val="004C723A"/>
    <w:rsid w:val="004E7EF1"/>
    <w:rsid w:val="004F3B7B"/>
    <w:rsid w:val="005065E6"/>
    <w:rsid w:val="0051385E"/>
    <w:rsid w:val="00514F1D"/>
    <w:rsid w:val="00516447"/>
    <w:rsid w:val="0052537F"/>
    <w:rsid w:val="00527A18"/>
    <w:rsid w:val="00531F87"/>
    <w:rsid w:val="0053544D"/>
    <w:rsid w:val="0054263B"/>
    <w:rsid w:val="00547D97"/>
    <w:rsid w:val="0055047D"/>
    <w:rsid w:val="00550AFD"/>
    <w:rsid w:val="00553406"/>
    <w:rsid w:val="00555A3B"/>
    <w:rsid w:val="00557FCC"/>
    <w:rsid w:val="00562C29"/>
    <w:rsid w:val="005648EF"/>
    <w:rsid w:val="0057305E"/>
    <w:rsid w:val="0057771F"/>
    <w:rsid w:val="005A22A6"/>
    <w:rsid w:val="005A5660"/>
    <w:rsid w:val="005B3A78"/>
    <w:rsid w:val="005C56C9"/>
    <w:rsid w:val="005C5CCB"/>
    <w:rsid w:val="005D1AD3"/>
    <w:rsid w:val="005D235E"/>
    <w:rsid w:val="005D3156"/>
    <w:rsid w:val="005D611B"/>
    <w:rsid w:val="005E712D"/>
    <w:rsid w:val="005F1017"/>
    <w:rsid w:val="005F19FD"/>
    <w:rsid w:val="005F5A94"/>
    <w:rsid w:val="0061116A"/>
    <w:rsid w:val="006211A0"/>
    <w:rsid w:val="006272FE"/>
    <w:rsid w:val="0064045C"/>
    <w:rsid w:val="00647CC5"/>
    <w:rsid w:val="00651A64"/>
    <w:rsid w:val="0065388F"/>
    <w:rsid w:val="00656069"/>
    <w:rsid w:val="00657F15"/>
    <w:rsid w:val="00661D05"/>
    <w:rsid w:val="00674309"/>
    <w:rsid w:val="00675252"/>
    <w:rsid w:val="00682B93"/>
    <w:rsid w:val="0068336D"/>
    <w:rsid w:val="00683FA1"/>
    <w:rsid w:val="00685E76"/>
    <w:rsid w:val="00687304"/>
    <w:rsid w:val="006A6C12"/>
    <w:rsid w:val="006A74B6"/>
    <w:rsid w:val="006B2457"/>
    <w:rsid w:val="006B26D7"/>
    <w:rsid w:val="006C2AA4"/>
    <w:rsid w:val="006E0D06"/>
    <w:rsid w:val="006E3575"/>
    <w:rsid w:val="006E62F0"/>
    <w:rsid w:val="006E7214"/>
    <w:rsid w:val="006F6283"/>
    <w:rsid w:val="006F7581"/>
    <w:rsid w:val="006F7DC0"/>
    <w:rsid w:val="00702B5A"/>
    <w:rsid w:val="00706177"/>
    <w:rsid w:val="0070752A"/>
    <w:rsid w:val="00707B95"/>
    <w:rsid w:val="007119D8"/>
    <w:rsid w:val="0071225B"/>
    <w:rsid w:val="00712EA2"/>
    <w:rsid w:val="00713866"/>
    <w:rsid w:val="007216DA"/>
    <w:rsid w:val="00724230"/>
    <w:rsid w:val="00731AFC"/>
    <w:rsid w:val="007340B5"/>
    <w:rsid w:val="00735ECD"/>
    <w:rsid w:val="00742BEC"/>
    <w:rsid w:val="0075053F"/>
    <w:rsid w:val="007532AB"/>
    <w:rsid w:val="007534B5"/>
    <w:rsid w:val="00766F81"/>
    <w:rsid w:val="00766F89"/>
    <w:rsid w:val="00770FFC"/>
    <w:rsid w:val="00792028"/>
    <w:rsid w:val="00797002"/>
    <w:rsid w:val="007A3A0E"/>
    <w:rsid w:val="007A4945"/>
    <w:rsid w:val="007A612E"/>
    <w:rsid w:val="007A6C75"/>
    <w:rsid w:val="007B1633"/>
    <w:rsid w:val="007B6141"/>
    <w:rsid w:val="007D168F"/>
    <w:rsid w:val="007D198E"/>
    <w:rsid w:val="007D2BCE"/>
    <w:rsid w:val="007D39CC"/>
    <w:rsid w:val="007E1675"/>
    <w:rsid w:val="007F7129"/>
    <w:rsid w:val="00801691"/>
    <w:rsid w:val="00802212"/>
    <w:rsid w:val="0080503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43D"/>
    <w:rsid w:val="00875064"/>
    <w:rsid w:val="008812A8"/>
    <w:rsid w:val="00881431"/>
    <w:rsid w:val="00883531"/>
    <w:rsid w:val="00885F3C"/>
    <w:rsid w:val="00895065"/>
    <w:rsid w:val="0089665A"/>
    <w:rsid w:val="00897702"/>
    <w:rsid w:val="008A475A"/>
    <w:rsid w:val="008A6339"/>
    <w:rsid w:val="008A637B"/>
    <w:rsid w:val="008A7E19"/>
    <w:rsid w:val="008B1617"/>
    <w:rsid w:val="008C0F03"/>
    <w:rsid w:val="008C1739"/>
    <w:rsid w:val="008D08D1"/>
    <w:rsid w:val="008D2D56"/>
    <w:rsid w:val="008D4A28"/>
    <w:rsid w:val="008D609F"/>
    <w:rsid w:val="008E0583"/>
    <w:rsid w:val="008E41F1"/>
    <w:rsid w:val="008E51AF"/>
    <w:rsid w:val="008F16E5"/>
    <w:rsid w:val="008F4C42"/>
    <w:rsid w:val="008F746C"/>
    <w:rsid w:val="009007E8"/>
    <w:rsid w:val="009022AA"/>
    <w:rsid w:val="0090292A"/>
    <w:rsid w:val="00902A25"/>
    <w:rsid w:val="00911429"/>
    <w:rsid w:val="00914128"/>
    <w:rsid w:val="009220D2"/>
    <w:rsid w:val="009277ED"/>
    <w:rsid w:val="00932723"/>
    <w:rsid w:val="00935DA8"/>
    <w:rsid w:val="00936D0A"/>
    <w:rsid w:val="00945436"/>
    <w:rsid w:val="00950692"/>
    <w:rsid w:val="00952BBB"/>
    <w:rsid w:val="00955BF9"/>
    <w:rsid w:val="0095709A"/>
    <w:rsid w:val="009613F2"/>
    <w:rsid w:val="009620DC"/>
    <w:rsid w:val="009725D8"/>
    <w:rsid w:val="00973884"/>
    <w:rsid w:val="00975FB9"/>
    <w:rsid w:val="009902F2"/>
    <w:rsid w:val="0099151D"/>
    <w:rsid w:val="009931B9"/>
    <w:rsid w:val="009B6746"/>
    <w:rsid w:val="009C0C3F"/>
    <w:rsid w:val="009E20C7"/>
    <w:rsid w:val="009E3DA4"/>
    <w:rsid w:val="009F581C"/>
    <w:rsid w:val="00A005E6"/>
    <w:rsid w:val="00A10F3D"/>
    <w:rsid w:val="00A110C7"/>
    <w:rsid w:val="00A23713"/>
    <w:rsid w:val="00A27C3B"/>
    <w:rsid w:val="00A36457"/>
    <w:rsid w:val="00A376A8"/>
    <w:rsid w:val="00A47106"/>
    <w:rsid w:val="00A50F20"/>
    <w:rsid w:val="00A61411"/>
    <w:rsid w:val="00A6314E"/>
    <w:rsid w:val="00A632A0"/>
    <w:rsid w:val="00A73AE6"/>
    <w:rsid w:val="00A76341"/>
    <w:rsid w:val="00A80C10"/>
    <w:rsid w:val="00A81FD7"/>
    <w:rsid w:val="00A82D0A"/>
    <w:rsid w:val="00A85AAA"/>
    <w:rsid w:val="00A90256"/>
    <w:rsid w:val="00A92C18"/>
    <w:rsid w:val="00AB2019"/>
    <w:rsid w:val="00AB303D"/>
    <w:rsid w:val="00AB71A7"/>
    <w:rsid w:val="00AC4AE5"/>
    <w:rsid w:val="00AC78F7"/>
    <w:rsid w:val="00AD1EC8"/>
    <w:rsid w:val="00AD4B56"/>
    <w:rsid w:val="00AD7CE6"/>
    <w:rsid w:val="00AF5C99"/>
    <w:rsid w:val="00AF6802"/>
    <w:rsid w:val="00AF7D47"/>
    <w:rsid w:val="00B01CE0"/>
    <w:rsid w:val="00B0264D"/>
    <w:rsid w:val="00B05542"/>
    <w:rsid w:val="00B05BEF"/>
    <w:rsid w:val="00B0638C"/>
    <w:rsid w:val="00B254B0"/>
    <w:rsid w:val="00B338E2"/>
    <w:rsid w:val="00B35185"/>
    <w:rsid w:val="00B37722"/>
    <w:rsid w:val="00B567C1"/>
    <w:rsid w:val="00B579DF"/>
    <w:rsid w:val="00B6275E"/>
    <w:rsid w:val="00B6522D"/>
    <w:rsid w:val="00B70D68"/>
    <w:rsid w:val="00B719C2"/>
    <w:rsid w:val="00B72D6B"/>
    <w:rsid w:val="00B754BE"/>
    <w:rsid w:val="00B80FD1"/>
    <w:rsid w:val="00B937E4"/>
    <w:rsid w:val="00B97801"/>
    <w:rsid w:val="00BA2389"/>
    <w:rsid w:val="00BA27A8"/>
    <w:rsid w:val="00BA510E"/>
    <w:rsid w:val="00BB319C"/>
    <w:rsid w:val="00BB344E"/>
    <w:rsid w:val="00BB591F"/>
    <w:rsid w:val="00BB7045"/>
    <w:rsid w:val="00BC2A34"/>
    <w:rsid w:val="00BC49BF"/>
    <w:rsid w:val="00BC65EF"/>
    <w:rsid w:val="00BD06DE"/>
    <w:rsid w:val="00BD0C53"/>
    <w:rsid w:val="00BE2B09"/>
    <w:rsid w:val="00BE654D"/>
    <w:rsid w:val="00BE6634"/>
    <w:rsid w:val="00BF1B08"/>
    <w:rsid w:val="00BF5DF3"/>
    <w:rsid w:val="00C018F7"/>
    <w:rsid w:val="00C162D6"/>
    <w:rsid w:val="00C21D93"/>
    <w:rsid w:val="00C225C9"/>
    <w:rsid w:val="00C24B64"/>
    <w:rsid w:val="00C26634"/>
    <w:rsid w:val="00C26751"/>
    <w:rsid w:val="00C306FF"/>
    <w:rsid w:val="00C40968"/>
    <w:rsid w:val="00C41BF6"/>
    <w:rsid w:val="00C473A2"/>
    <w:rsid w:val="00C60E95"/>
    <w:rsid w:val="00C63C71"/>
    <w:rsid w:val="00C63E45"/>
    <w:rsid w:val="00C66511"/>
    <w:rsid w:val="00C724B6"/>
    <w:rsid w:val="00C8497A"/>
    <w:rsid w:val="00C84E71"/>
    <w:rsid w:val="00C87463"/>
    <w:rsid w:val="00C8797B"/>
    <w:rsid w:val="00C903BA"/>
    <w:rsid w:val="00C93B0B"/>
    <w:rsid w:val="00C94C5E"/>
    <w:rsid w:val="00C977C0"/>
    <w:rsid w:val="00CA28A3"/>
    <w:rsid w:val="00CA41CC"/>
    <w:rsid w:val="00CA7EF2"/>
    <w:rsid w:val="00CB008B"/>
    <w:rsid w:val="00CB7FAF"/>
    <w:rsid w:val="00CC0502"/>
    <w:rsid w:val="00CC1AC8"/>
    <w:rsid w:val="00CC6A95"/>
    <w:rsid w:val="00CC7E17"/>
    <w:rsid w:val="00CD4A7D"/>
    <w:rsid w:val="00CD5DEB"/>
    <w:rsid w:val="00CE2540"/>
    <w:rsid w:val="00CE593D"/>
    <w:rsid w:val="00CF07F1"/>
    <w:rsid w:val="00CF1ED6"/>
    <w:rsid w:val="00D00330"/>
    <w:rsid w:val="00D0050C"/>
    <w:rsid w:val="00D014AE"/>
    <w:rsid w:val="00D05926"/>
    <w:rsid w:val="00D06D8D"/>
    <w:rsid w:val="00D11F9E"/>
    <w:rsid w:val="00D12555"/>
    <w:rsid w:val="00D16901"/>
    <w:rsid w:val="00D23BD0"/>
    <w:rsid w:val="00D333AA"/>
    <w:rsid w:val="00D347CA"/>
    <w:rsid w:val="00D506A5"/>
    <w:rsid w:val="00D51E80"/>
    <w:rsid w:val="00D53848"/>
    <w:rsid w:val="00D53AC5"/>
    <w:rsid w:val="00D5484F"/>
    <w:rsid w:val="00D8125F"/>
    <w:rsid w:val="00D90C39"/>
    <w:rsid w:val="00D90E67"/>
    <w:rsid w:val="00DA1796"/>
    <w:rsid w:val="00DA2814"/>
    <w:rsid w:val="00DB2C90"/>
    <w:rsid w:val="00DB7CDC"/>
    <w:rsid w:val="00DC63A9"/>
    <w:rsid w:val="00DC66A6"/>
    <w:rsid w:val="00DC7533"/>
    <w:rsid w:val="00DD621C"/>
    <w:rsid w:val="00DE2930"/>
    <w:rsid w:val="00DF0B21"/>
    <w:rsid w:val="00DF2CB7"/>
    <w:rsid w:val="00DF3BF1"/>
    <w:rsid w:val="00E007F8"/>
    <w:rsid w:val="00E058BA"/>
    <w:rsid w:val="00E111AA"/>
    <w:rsid w:val="00E172C8"/>
    <w:rsid w:val="00E21120"/>
    <w:rsid w:val="00E24E10"/>
    <w:rsid w:val="00E36A76"/>
    <w:rsid w:val="00E40188"/>
    <w:rsid w:val="00E50187"/>
    <w:rsid w:val="00E55147"/>
    <w:rsid w:val="00E551EB"/>
    <w:rsid w:val="00E61C50"/>
    <w:rsid w:val="00E67638"/>
    <w:rsid w:val="00E70C9B"/>
    <w:rsid w:val="00E72FF1"/>
    <w:rsid w:val="00E7526A"/>
    <w:rsid w:val="00E80D6C"/>
    <w:rsid w:val="00E86FC1"/>
    <w:rsid w:val="00E87C31"/>
    <w:rsid w:val="00E87FFB"/>
    <w:rsid w:val="00E93068"/>
    <w:rsid w:val="00E970B9"/>
    <w:rsid w:val="00EA2BCD"/>
    <w:rsid w:val="00EA4092"/>
    <w:rsid w:val="00EB113C"/>
    <w:rsid w:val="00EB4E3D"/>
    <w:rsid w:val="00EB5133"/>
    <w:rsid w:val="00EC17E3"/>
    <w:rsid w:val="00EC2209"/>
    <w:rsid w:val="00EC3919"/>
    <w:rsid w:val="00EC7C98"/>
    <w:rsid w:val="00ED5E52"/>
    <w:rsid w:val="00ED7176"/>
    <w:rsid w:val="00ED75EA"/>
    <w:rsid w:val="00EF4043"/>
    <w:rsid w:val="00F022D4"/>
    <w:rsid w:val="00F062A4"/>
    <w:rsid w:val="00F135E1"/>
    <w:rsid w:val="00F15D75"/>
    <w:rsid w:val="00F32AA4"/>
    <w:rsid w:val="00F50A16"/>
    <w:rsid w:val="00F573CF"/>
    <w:rsid w:val="00F57A2B"/>
    <w:rsid w:val="00F61167"/>
    <w:rsid w:val="00F658E5"/>
    <w:rsid w:val="00F6773F"/>
    <w:rsid w:val="00F67753"/>
    <w:rsid w:val="00F764F4"/>
    <w:rsid w:val="00F813F5"/>
    <w:rsid w:val="00F86F49"/>
    <w:rsid w:val="00F9059B"/>
    <w:rsid w:val="00F93D3C"/>
    <w:rsid w:val="00FA333E"/>
    <w:rsid w:val="00FA7B76"/>
    <w:rsid w:val="00FB5784"/>
    <w:rsid w:val="00FB7CD7"/>
    <w:rsid w:val="00FC73DF"/>
    <w:rsid w:val="00FD2DF4"/>
    <w:rsid w:val="00FD36D4"/>
    <w:rsid w:val="00FD7D4E"/>
    <w:rsid w:val="00FE00D7"/>
    <w:rsid w:val="00FE156B"/>
    <w:rsid w:val="00FE3B3A"/>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14:docId w14:val="03D6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21601</Words>
  <Characters>123126</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2020-12-05T16:04:00Z</dcterms:created>
  <dcterms:modified xsi:type="dcterms:W3CDTF">2020-12-05T16:04:00Z</dcterms:modified>
</cp:coreProperties>
</file>