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4C8A9" w14:textId="297966BE" w:rsidR="00CA41CC" w:rsidRPr="00914128" w:rsidRDefault="0068336D" w:rsidP="00914128">
      <w:pPr>
        <w:pStyle w:val="Heading1"/>
      </w:pPr>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FF4785"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FF4785"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FF4785"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FF4785"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FF4785"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FF4785"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Between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FF4785"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FF4785"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FF4785"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FF4785" w:rsidP="00E007F8">
      <w:pPr>
        <w:pStyle w:val="ToC"/>
      </w:pPr>
      <w:hyperlink w:anchor="a12_09" w:history="1">
        <w:r w:rsidR="00E55147" w:rsidRPr="00BE6634">
          <w:rPr>
            <w:rStyle w:val="Hyperlink"/>
          </w:rPr>
          <w:t>12:9</w:t>
        </w:r>
      </w:hyperlink>
      <w:r w:rsidR="00E55147" w:rsidRPr="00BE6634">
        <w:t xml:space="preserve"> </w:t>
      </w:r>
      <w:r w:rsidR="00E55147" w:rsidRPr="00BE6634">
        <w:tab/>
        <w:t xml:space="preserve">Lessor’s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FF4785"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FF4785"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By Lessor’s Promise </w:t>
      </w:r>
      <w:r w:rsidR="00E50187">
        <w:t>to</w:t>
      </w:r>
      <w:r w:rsidR="00E55147" w:rsidRPr="00BE6634">
        <w:t xml:space="preserve"> Repair Premises</w:t>
      </w:r>
    </w:p>
    <w:p w14:paraId="1C5E45CB" w14:textId="77777777" w:rsidR="00BE6634" w:rsidRDefault="00FF4785"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FF4785"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Where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FF4785"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FF4785"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FF4785"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By User </w:t>
      </w:r>
      <w:r w:rsidR="00E50187">
        <w:t>of</w:t>
      </w:r>
      <w:r w:rsidR="00E55147" w:rsidRPr="00BE6634">
        <w:t xml:space="preserve"> Public Way</w:t>
      </w:r>
    </w:p>
    <w:p w14:paraId="429D9118" w14:textId="77777777" w:rsidR="00BE6634" w:rsidRDefault="00FF4785"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FF4785"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place">
        <w:smartTag w:uri="urn:schemas-microsoft-com:office:smarttags" w:element="Stat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
    <w:p w14:paraId="1F824217"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13-21-115(3). Under the statute, whether an injured party is a trespasser, licensee, or invitee must be determined by the trial court. The fact finder determines the ultimate issues of liability and damages. § 13-21-115(4).</w:t>
      </w:r>
    </w:p>
    <w:p w14:paraId="632E2CB8"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13-21-115(2),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10.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2A0C9368" w14:textId="77777777" w:rsidR="00E007F8" w:rsidRDefault="00E007F8" w:rsidP="00E007F8">
      <w:pPr>
        <w:spacing w:after="240"/>
        <w:ind w:firstLine="720"/>
        <w:rPr>
          <w:rFonts w:eastAsia="Times New Roman"/>
          <w:sz w:val="24"/>
          <w:szCs w:val="24"/>
        </w:rPr>
      </w:pPr>
      <w:r w:rsidRPr="00E007F8">
        <w:rPr>
          <w:rFonts w:eastAsia="Times New Roman"/>
          <w:sz w:val="24"/>
          <w:szCs w:val="24"/>
        </w:rPr>
        <w:t xml:space="preserve">11.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1" w:name="a12_01"/>
      <w:bookmarkEnd w:id="1"/>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on (his) (her)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condominium could </w:t>
      </w:r>
      <w:r w:rsidRPr="00AD4B56">
        <w:rPr>
          <w:rFonts w:eastAsia="Times New Roman"/>
          <w:sz w:val="24"/>
          <w:szCs w:val="24"/>
        </w:rPr>
        <w:lastRenderedPageBreak/>
        <w:t xml:space="preserve">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13-21-115(4), it is for the court and not for the jury to determine whether the person injured on the premises was a trespasser, a licensee, or an invitee, as defined in section 13-21-115(5) (quoted below in Source and Authority), it is not necessary to use the word “trespasser” in this instruction nor to provide the jury with its statutory definition.</w:t>
      </w:r>
    </w:p>
    <w:p w14:paraId="074BB90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11. The premises liability statute only applies if the injury occurs on the real property of another. § 13-21-115(2);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xml:space="preserve">, 2012 COA 208, ¶ 25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13-21-115(3)(a),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13-21-115(4), provides:</w:t>
      </w:r>
    </w:p>
    <w:p w14:paraId="087689E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46955901"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13-21-115(5), provides:</w:t>
      </w:r>
    </w:p>
    <w:p w14:paraId="6A845F6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As used in this section:</w:t>
      </w:r>
    </w:p>
    <w:p w14:paraId="734C6BF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 </w:t>
      </w:r>
    </w:p>
    <w:p w14:paraId="55D717D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37BA214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(c) “Trespasser” means a person who enters or remains on the land of another without the landowner’s consent. </w:t>
      </w:r>
    </w:p>
    <w:p w14:paraId="7A9B1434" w14:textId="655E43C9" w:rsidR="00AD4B56" w:rsidRPr="009F585B" w:rsidRDefault="00AD4B56" w:rsidP="00AC79D7">
      <w:pPr>
        <w:ind w:firstLine="720"/>
        <w:rPr>
          <w:sz w:val="24"/>
          <w:szCs w:val="24"/>
        </w:rPr>
      </w:pPr>
      <w:bookmarkStart w:id="2" w:name="_GoBack"/>
      <w:bookmarkEnd w:id="2"/>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r w:rsidR="009F585B" w:rsidRPr="009F585B">
        <w:rPr>
          <w:b/>
          <w:bCs/>
          <w:sz w:val="24"/>
          <w:szCs w:val="24"/>
        </w:rPr>
        <w:t>Warembourg v. Excel 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2017 COA 36, ¶ 15 (holding motor vehicle passenger was a trespasser on private property and had to allege willful and deliberate conduct).</w:t>
      </w: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3" w:name="a12_02"/>
      <w:bookmarkEnd w:id="3"/>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on (his) (her)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(a) (failed to use reasonable care with respect to a danger on the property which (1) [he] [she] created and (2) [he] [she]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77777777"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[he] [she] did not create, (2) but which [he] [she]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w:t>
      </w:r>
      <w:r w:rsidRPr="000C204E">
        <w:rPr>
          <w:rFonts w:eastAsia="Times New Roman"/>
          <w:sz w:val="24"/>
          <w:szCs w:val="24"/>
        </w:rPr>
        <w:lastRenderedPageBreak/>
        <w:t xml:space="preserve">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 xml:space="preserve">Volunteers of Am. Colo. Branch </w:t>
      </w:r>
      <w:r w:rsidRPr="000C204E">
        <w:rPr>
          <w:rFonts w:eastAsia="Times New Roman"/>
          <w:b/>
          <w:sz w:val="24"/>
          <w:szCs w:val="24"/>
        </w:rPr>
        <w:lastRenderedPageBreak/>
        <w:t>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13-21-115(4), it is for the court and not the jury to determine whether the person injured on the premises was a trespasser, licensee, or invitee, as defined in section 13-21-115(5) (quoted in Source and Authority), it is not necessary to use the word “licensee” in this instruction nor provide the jury with its statutory definition.</w:t>
      </w:r>
    </w:p>
    <w:p w14:paraId="025D5EE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9. The premises liability statute applies only if the injury occurs on the real property of another. § 13-21-115(2);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xml:space="preserve">, 2012 COA 208, ¶ 25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13-21-115(3)(b), which provides:</w:t>
      </w:r>
    </w:p>
    <w:p w14:paraId="3B3E676E"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licensee may recover only for damages caused:</w:t>
      </w:r>
    </w:p>
    <w:p w14:paraId="6412C25F"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 By the landowner’s unreasonable failure to exercise reasonable care with respect to dangers created by the landowner of which the landowner actually knew; or</w:t>
      </w:r>
    </w:p>
    <w:p w14:paraId="3EB7A76E"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(II) By the landowner’s unreasonable failure to warn of dangers not created by the landowner which are not ordinarily present on property of the type involved and of which the landowner actually knew.</w:t>
      </w:r>
    </w:p>
    <w:p w14:paraId="269EF689"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13-21-115(4), provides:</w:t>
      </w:r>
    </w:p>
    <w:p w14:paraId="3B64BBDD"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2287DBD0"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13-21-115(5) provides:</w:t>
      </w:r>
    </w:p>
    <w:p w14:paraId="51087BD3"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As used in this section:</w:t>
      </w:r>
    </w:p>
    <w:p w14:paraId="4D832F82"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3CC2709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A66D71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w:t>
      </w:r>
      <w:r w:rsidRPr="00DC7533">
        <w:rPr>
          <w:rFonts w:eastAsia="Times New Roman"/>
          <w:sz w:val="24"/>
          <w:szCs w:val="24"/>
        </w:rPr>
        <w:lastRenderedPageBreak/>
        <w:t xml:space="preserve">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4" w:name="a12_03"/>
      <w:bookmarkEnd w:id="4"/>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on (his) (her)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persons on the premises to which section 13-21-115(3)(c),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 xml:space="preserve">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13-21-115(3)(c)(II) (quoted in full in Source and Authority).</w:t>
      </w:r>
    </w:p>
    <w:p w14:paraId="25505EFA"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13-21-115(4) it is for the court and not the jury to determine whether the person injured on the premises was a trespasser, licensee, or invitee, as defined in section 13-21-115(5) (quoted below in Source and Authority), it is not necessary to use the word “invitee” in this instruction nor provide the jury with its statutory definition.</w:t>
      </w:r>
    </w:p>
    <w:p w14:paraId="1758522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10. The premises liability statute only applies if the injury occurs on the real property of another. § 13-21-115(2);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xml:space="preserve">, 2012 COA 208, ¶ 25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13-21-115(3)(c), which provides:</w:t>
      </w:r>
    </w:p>
    <w:p w14:paraId="2B7E1AB8"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 Except as otherwise provided in subparagraph (II) of this paragraph (c), an invitee may recover for damages caused by the landowner’s unreasonable failure to exercise reasonable care to protect against dangers of which he actually knew or should have known.</w:t>
      </w:r>
    </w:p>
    <w:p w14:paraId="1FD3D52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(II) If the landowner’s real property is classified for property tax purposes as agricultural land or vacant land, an invitee may recover for damages caused by the landowner’s unreasonable failure to exercise reasonable care to protect against dangers of which he actually knew.</w:t>
      </w:r>
    </w:p>
    <w:p w14:paraId="1CA5AD2D"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13-21-115(4), provides:</w:t>
      </w:r>
    </w:p>
    <w:p w14:paraId="1AF14B5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35E3017C"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13-21-115(5), provides:</w:t>
      </w:r>
    </w:p>
    <w:p w14:paraId="60BCC3D4"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lastRenderedPageBreak/>
        <w:t>As used in this section:</w:t>
      </w:r>
    </w:p>
    <w:p w14:paraId="44B1930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6B6151E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F90AC4B"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13E23AF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CD1E5A" w:rsidRPr="009F585B">
        <w:rPr>
          <w:b/>
          <w:bCs/>
          <w:sz w:val="24"/>
          <w:szCs w:val="24"/>
        </w:rPr>
        <w:t>Warembourg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w:t>
      </w:r>
      <w:r w:rsidRPr="00DC7533">
        <w:rPr>
          <w:rFonts w:eastAsia="Times New Roman"/>
          <w:sz w:val="24"/>
          <w:szCs w:val="24"/>
        </w:rPr>
        <w:lastRenderedPageBreak/>
        <w:t xml:space="preserve">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5" w:name="a12_04"/>
      <w:bookmarkEnd w:id="5"/>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on (his) (her)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3. The plaintiff was on the premises at the time (he) (she)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6. The plaintiff was too young to appreciate or realize the risk of injury to (himself) (herself)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13-21-115(2),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is supported by section 13-21-115(2),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2013 CO 72, ¶ 24.</w:t>
      </w:r>
    </w:p>
    <w:p w14:paraId="7780210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xml:space="preserve">, 2013 CO 72, ¶ 24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(doctrine </w:t>
      </w:r>
      <w:r w:rsidRPr="00D347CA">
        <w:rPr>
          <w:rFonts w:eastAsia="Times New Roman"/>
          <w:sz w:val="24"/>
          <w:szCs w:val="24"/>
        </w:rPr>
        <w:lastRenderedPageBreak/>
        <w:t xml:space="preserve">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6" w:name="a12_05"/>
      <w:bookmarkEnd w:id="6"/>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(he) (she) was capable of appreciating or realizing any risks of harm to (himself) (herself)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in conjunction with Instruction 12:4. It should also be used only when there is sufficient evidence that the plaintiff was “at least fourteen years of age but . . . less than eighteen years of age . . . .” § 13-21-115(2), C.R.S. In addition, as explained in the Notes on Use to Instruction 3:5, this instruction has been prepared on the assumption that the statutory presumption created by section 13-21-115(2)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This instruction is supported by section 13-21-115(2),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7" w:name="a12_06"/>
      <w:bookmarkEnd w:id="7"/>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on (his) (her)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[b. This condition was one the defendant knew of, or reasonably should have known of, in sufficient time to have (removed it) (corrected it) (or) (adequately warned persons that the condition was there) so that injury could have been prevented, and [he] [she] failed to do so];)</w:t>
      </w:r>
    </w:p>
    <w:p w14:paraId="55294FF0"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4. The defendant was negligent because (he) (she) failed to use reasonable care (in the management or maintenance of [his] [her] premises) (with respect to the operation of [his] [her] business on the premises) (with respect to the conduct of [his] [her]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t>
      </w:r>
      <w:r w:rsidRPr="00D5484F">
        <w:rPr>
          <w:rFonts w:eastAsia="Times New Roman"/>
          <w:sz w:val="24"/>
          <w:szCs w:val="24"/>
        </w:rPr>
        <w:lastRenderedPageBreak/>
        <w:t>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br w:type="page"/>
      </w:r>
    </w:p>
    <w:p w14:paraId="2916765A" w14:textId="77777777" w:rsidR="00D5484F" w:rsidRPr="009E3DA4" w:rsidRDefault="00A110C7" w:rsidP="00D5484F">
      <w:pPr>
        <w:spacing w:after="240"/>
        <w:ind w:left="720" w:hanging="720"/>
        <w:rPr>
          <w:rFonts w:eastAsia="Times New Roman"/>
          <w:b/>
          <w:sz w:val="24"/>
          <w:szCs w:val="24"/>
        </w:rPr>
      </w:pPr>
      <w:bookmarkStart w:id="8" w:name="a12_07"/>
      <w:bookmarkEnd w:id="8"/>
      <w:r w:rsidRPr="00A110C7">
        <w:rPr>
          <w:rFonts w:eastAsia="Times New Roman"/>
          <w:b/>
          <w:sz w:val="24"/>
          <w:szCs w:val="24"/>
        </w:rPr>
        <w:lastRenderedPageBreak/>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9" w:name="a12_08"/>
      <w:bookmarkEnd w:id="9"/>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10" w:name="a12_09"/>
      <w:bookmarkEnd w:id="10"/>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1" w:name="a12_10"/>
      <w:bookmarkEnd w:id="11"/>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2" w:name="a12_11"/>
      <w:bookmarkEnd w:id="12"/>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3" w:name="a12_12"/>
      <w:bookmarkEnd w:id="13"/>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4" w:name="a12_13"/>
      <w:bookmarkEnd w:id="14"/>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5" w:name="a12_14"/>
      <w:bookmarkEnd w:id="15"/>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6" w:name="a12_15"/>
      <w:bookmarkEnd w:id="16"/>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3FE9B198"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r w:rsidR="00A13C87">
        <w:rPr>
          <w:rFonts w:eastAsia="Times New Roman"/>
          <w:sz w:val="24"/>
          <w:szCs w:val="24"/>
        </w:rPr>
        <w:t>, 469 P.3d 491, 497</w:t>
      </w:r>
      <w:r w:rsidRPr="0050790D">
        <w:rPr>
          <w:rFonts w:eastAsia="Times New Roman"/>
          <w:sz w:val="24"/>
          <w:szCs w:val="24"/>
        </w:rPr>
        <w:t>.</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w:t>
      </w:r>
      <w:r w:rsidR="0049313F" w:rsidRPr="0049313F">
        <w:rPr>
          <w:rFonts w:eastAsia="Times New Roman"/>
          <w:sz w:val="24"/>
          <w:szCs w:val="24"/>
        </w:rPr>
        <w:lastRenderedPageBreak/>
        <w:t xml:space="preserve">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5CFD1031" w:rsidR="0050790D"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9313F">
        <w:rPr>
          <w:rFonts w:eastAsia="Times New Roman"/>
          <w:b/>
          <w:sz w:val="24"/>
          <w:szCs w:val="24"/>
        </w:rPr>
        <w:t>Lawrence v. Buena Vista Sanitation Dist.</w:t>
      </w:r>
      <w:r w:rsidRPr="0049313F">
        <w:rPr>
          <w:rFonts w:eastAsia="Times New Roman"/>
          <w:sz w:val="24"/>
          <w:szCs w:val="24"/>
        </w:rPr>
        <w:t>, 989 P.2d 254 (Colo.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422BEB9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xml:space="preserve">, 2018 COA 97, ¶ 50. </w:t>
      </w:r>
    </w:p>
    <w:p w14:paraId="542BBC06" w14:textId="77777777" w:rsidR="004E1634" w:rsidRDefault="004E1634" w:rsidP="0050790D">
      <w:pPr>
        <w:rPr>
          <w:rFonts w:eastAsia="Times New Roman"/>
          <w:sz w:val="24"/>
          <w:szCs w:val="24"/>
        </w:rPr>
      </w:pPr>
    </w:p>
    <w:p w14:paraId="2CD91649" w14:textId="0E77C6E9" w:rsidR="004E1634" w:rsidRPr="00222AF5" w:rsidRDefault="004E1634" w:rsidP="00222AF5">
      <w:pPr>
        <w:spacing w:after="240"/>
        <w:ind w:firstLine="720"/>
        <w:rPr>
          <w:rFonts w:eastAsia="Times New Roman"/>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City &amp; Cty.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6D3EC015"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1B5BC577" w:rsidR="0049313F" w:rsidRPr="0049313F"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Pr="0049313F">
        <w:rPr>
          <w:rFonts w:eastAsia="Times New Roman"/>
          <w:b/>
          <w:sz w:val="24"/>
          <w:szCs w:val="24"/>
        </w:rPr>
        <w:t>McKinley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 xml:space="preserve">Longbottom v. State Board of Community Colleges &amp; </w:t>
      </w:r>
      <w:r w:rsidRPr="0049313F">
        <w:rPr>
          <w:rFonts w:eastAsia="Times New Roman"/>
          <w:b/>
          <w:sz w:val="24"/>
          <w:szCs w:val="24"/>
        </w:rPr>
        <w:lastRenderedPageBreak/>
        <w:t>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2416864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6CC08CF2" w:rsidR="0049313F" w:rsidRPr="0049313F" w:rsidRDefault="0050790D"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recent Colorado Court of Appeals cases holding that sovereign immunity was not waived, see </w:t>
      </w:r>
      <w:r w:rsidRPr="0050790D">
        <w:rPr>
          <w:rFonts w:eastAsia="Times New Roman"/>
          <w:b/>
          <w:sz w:val="24"/>
          <w:szCs w:val="24"/>
        </w:rPr>
        <w:t>Martinez</w:t>
      </w:r>
      <w:r w:rsidRPr="0050790D">
        <w:rPr>
          <w:rFonts w:eastAsia="Times New Roman"/>
          <w:sz w:val="24"/>
          <w:szCs w:val="24"/>
        </w:rPr>
        <w:t>, 2019 COA 91, ¶ 34</w:t>
      </w:r>
      <w:r w:rsidR="00A13C87">
        <w:rPr>
          <w:rFonts w:eastAsia="Times New Roman"/>
          <w:sz w:val="24"/>
          <w:szCs w:val="24"/>
        </w:rPr>
        <w:t>, 469 P.3d at 497</w:t>
      </w:r>
      <w:r w:rsidRPr="0050790D">
        <w:rPr>
          <w:rFonts w:eastAsia="Times New Roman"/>
          <w:sz w:val="24"/>
          <w:szCs w:val="24"/>
        </w:rPr>
        <w:t xml:space="preserve">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w:t>
      </w:r>
      <w:r w:rsidR="0049313F" w:rsidRPr="0049313F">
        <w:rPr>
          <w:rFonts w:eastAsia="Times New Roman"/>
          <w:sz w:val="24"/>
          <w:szCs w:val="24"/>
        </w:rPr>
        <w:lastRenderedPageBreak/>
        <w:t xml:space="preserve">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7" w:name="a12_16"/>
      <w:bookmarkEnd w:id="17"/>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8" w:name="a12_17"/>
      <w:bookmarkEnd w:id="18"/>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77777777"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A person who takes a route when that person knows or ought reasonably to know of a safer route is negligent if a reasonably careful person would have taken the safer way under the same or similar circumstances to protect (himself)(herself)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place">
        <w:smartTag w:uri="urn:schemas-microsoft-com:office:smarttags" w:element="Stat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9" w:name="a12_18"/>
      <w:bookmarkEnd w:id="19"/>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5571E" w14:textId="77777777" w:rsidR="00FF4785" w:rsidRDefault="00FF4785" w:rsidP="0054263B">
      <w:r>
        <w:separator/>
      </w:r>
    </w:p>
    <w:p w14:paraId="38ABD804" w14:textId="77777777" w:rsidR="00FF4785" w:rsidRDefault="00FF4785"/>
  </w:endnote>
  <w:endnote w:type="continuationSeparator" w:id="0">
    <w:p w14:paraId="710769B8" w14:textId="77777777" w:rsidR="00FF4785" w:rsidRDefault="00FF4785" w:rsidP="0054263B">
      <w:r>
        <w:continuationSeparator/>
      </w:r>
    </w:p>
    <w:p w14:paraId="446FBB45" w14:textId="77777777" w:rsidR="00FF4785" w:rsidRDefault="00FF4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AC79D7">
          <w:rPr>
            <w:noProof/>
          </w:rPr>
          <w:t>8</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6DC34" w14:textId="77777777" w:rsidR="00FF4785" w:rsidRDefault="00FF4785" w:rsidP="0054263B">
      <w:r>
        <w:separator/>
      </w:r>
    </w:p>
    <w:p w14:paraId="4F8A9A3F" w14:textId="77777777" w:rsidR="00FF4785" w:rsidRDefault="00FF4785"/>
  </w:footnote>
  <w:footnote w:type="continuationSeparator" w:id="0">
    <w:p w14:paraId="6DEDC6CF" w14:textId="77777777" w:rsidR="00FF4785" w:rsidRDefault="00FF4785" w:rsidP="0054263B">
      <w:r>
        <w:continuationSeparator/>
      </w:r>
    </w:p>
    <w:p w14:paraId="55F0F101" w14:textId="77777777" w:rsidR="00FF4785" w:rsidRDefault="00FF47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6599"/>
    <w:rsid w:val="00037111"/>
    <w:rsid w:val="0006367C"/>
    <w:rsid w:val="000824C8"/>
    <w:rsid w:val="00085495"/>
    <w:rsid w:val="000921F1"/>
    <w:rsid w:val="000962C8"/>
    <w:rsid w:val="000A0872"/>
    <w:rsid w:val="000B1B7A"/>
    <w:rsid w:val="000C204E"/>
    <w:rsid w:val="000C503A"/>
    <w:rsid w:val="000C6F97"/>
    <w:rsid w:val="000D4956"/>
    <w:rsid w:val="001117D9"/>
    <w:rsid w:val="00112C8E"/>
    <w:rsid w:val="00112FF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1F045F"/>
    <w:rsid w:val="00200BA5"/>
    <w:rsid w:val="00202B81"/>
    <w:rsid w:val="002065D8"/>
    <w:rsid w:val="002132CB"/>
    <w:rsid w:val="0021368F"/>
    <w:rsid w:val="0021730E"/>
    <w:rsid w:val="0022134E"/>
    <w:rsid w:val="002218BD"/>
    <w:rsid w:val="00222AF5"/>
    <w:rsid w:val="00223286"/>
    <w:rsid w:val="00227D3A"/>
    <w:rsid w:val="0024062B"/>
    <w:rsid w:val="0024597C"/>
    <w:rsid w:val="002547C3"/>
    <w:rsid w:val="002654B4"/>
    <w:rsid w:val="00273777"/>
    <w:rsid w:val="00285AE7"/>
    <w:rsid w:val="002937A4"/>
    <w:rsid w:val="00293F7E"/>
    <w:rsid w:val="002A23B0"/>
    <w:rsid w:val="002D163D"/>
    <w:rsid w:val="002E0970"/>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34371"/>
    <w:rsid w:val="00435D3E"/>
    <w:rsid w:val="004425AA"/>
    <w:rsid w:val="00456038"/>
    <w:rsid w:val="00465FA4"/>
    <w:rsid w:val="00467B80"/>
    <w:rsid w:val="0047120C"/>
    <w:rsid w:val="00471618"/>
    <w:rsid w:val="00474B1B"/>
    <w:rsid w:val="0049313F"/>
    <w:rsid w:val="004A15C1"/>
    <w:rsid w:val="004B753E"/>
    <w:rsid w:val="004C62F9"/>
    <w:rsid w:val="004C723A"/>
    <w:rsid w:val="004E1634"/>
    <w:rsid w:val="004E7EF1"/>
    <w:rsid w:val="004F3B7D"/>
    <w:rsid w:val="005065E6"/>
    <w:rsid w:val="0050790D"/>
    <w:rsid w:val="00516447"/>
    <w:rsid w:val="00517CE6"/>
    <w:rsid w:val="0052537F"/>
    <w:rsid w:val="005272F2"/>
    <w:rsid w:val="00531F87"/>
    <w:rsid w:val="0054263B"/>
    <w:rsid w:val="00547D97"/>
    <w:rsid w:val="00550AFD"/>
    <w:rsid w:val="00557FCC"/>
    <w:rsid w:val="005648EF"/>
    <w:rsid w:val="00573D55"/>
    <w:rsid w:val="0057771F"/>
    <w:rsid w:val="005B3A78"/>
    <w:rsid w:val="005C56C9"/>
    <w:rsid w:val="005D1AD3"/>
    <w:rsid w:val="005D3156"/>
    <w:rsid w:val="005E077D"/>
    <w:rsid w:val="005E712D"/>
    <w:rsid w:val="005F1017"/>
    <w:rsid w:val="005F19FD"/>
    <w:rsid w:val="005F5A94"/>
    <w:rsid w:val="0060023A"/>
    <w:rsid w:val="006272FE"/>
    <w:rsid w:val="00647CC5"/>
    <w:rsid w:val="00651A64"/>
    <w:rsid w:val="00661D05"/>
    <w:rsid w:val="00672BAB"/>
    <w:rsid w:val="00675252"/>
    <w:rsid w:val="00675907"/>
    <w:rsid w:val="00682B93"/>
    <w:rsid w:val="0068336D"/>
    <w:rsid w:val="00683FA1"/>
    <w:rsid w:val="00687304"/>
    <w:rsid w:val="006A74B6"/>
    <w:rsid w:val="006B2457"/>
    <w:rsid w:val="006B26D7"/>
    <w:rsid w:val="006B5583"/>
    <w:rsid w:val="006E06ED"/>
    <w:rsid w:val="006E0D06"/>
    <w:rsid w:val="006E3575"/>
    <w:rsid w:val="006E62F0"/>
    <w:rsid w:val="006F7DC0"/>
    <w:rsid w:val="00702B5A"/>
    <w:rsid w:val="00705096"/>
    <w:rsid w:val="0070752A"/>
    <w:rsid w:val="007119D8"/>
    <w:rsid w:val="0071225B"/>
    <w:rsid w:val="00713866"/>
    <w:rsid w:val="007216DA"/>
    <w:rsid w:val="0073677A"/>
    <w:rsid w:val="007523D9"/>
    <w:rsid w:val="007532AB"/>
    <w:rsid w:val="00767495"/>
    <w:rsid w:val="0077151B"/>
    <w:rsid w:val="00774E59"/>
    <w:rsid w:val="00792028"/>
    <w:rsid w:val="007974E2"/>
    <w:rsid w:val="007A3A0E"/>
    <w:rsid w:val="007A5B99"/>
    <w:rsid w:val="007A612E"/>
    <w:rsid w:val="007B1633"/>
    <w:rsid w:val="007B330F"/>
    <w:rsid w:val="007B5B1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8F7DB6"/>
    <w:rsid w:val="009003A9"/>
    <w:rsid w:val="0090292A"/>
    <w:rsid w:val="00902A25"/>
    <w:rsid w:val="00914128"/>
    <w:rsid w:val="00925AE1"/>
    <w:rsid w:val="0092733B"/>
    <w:rsid w:val="00932723"/>
    <w:rsid w:val="00935DA8"/>
    <w:rsid w:val="00936D0A"/>
    <w:rsid w:val="009507A9"/>
    <w:rsid w:val="00952BBB"/>
    <w:rsid w:val="0095709A"/>
    <w:rsid w:val="00966B53"/>
    <w:rsid w:val="009725D8"/>
    <w:rsid w:val="00973884"/>
    <w:rsid w:val="009902F2"/>
    <w:rsid w:val="009931B9"/>
    <w:rsid w:val="009B18F0"/>
    <w:rsid w:val="009B6746"/>
    <w:rsid w:val="009E20C7"/>
    <w:rsid w:val="009E3DA4"/>
    <w:rsid w:val="009F585B"/>
    <w:rsid w:val="00A01DB9"/>
    <w:rsid w:val="00A110C7"/>
    <w:rsid w:val="00A13C87"/>
    <w:rsid w:val="00A36457"/>
    <w:rsid w:val="00A632A0"/>
    <w:rsid w:val="00A73AE6"/>
    <w:rsid w:val="00A80C10"/>
    <w:rsid w:val="00A82D0A"/>
    <w:rsid w:val="00A85AAA"/>
    <w:rsid w:val="00A92C18"/>
    <w:rsid w:val="00AB2019"/>
    <w:rsid w:val="00AB71A7"/>
    <w:rsid w:val="00AC1A52"/>
    <w:rsid w:val="00AC700D"/>
    <w:rsid w:val="00AC78F7"/>
    <w:rsid w:val="00AC79D7"/>
    <w:rsid w:val="00AD4B56"/>
    <w:rsid w:val="00AD6178"/>
    <w:rsid w:val="00AE667D"/>
    <w:rsid w:val="00AF7D47"/>
    <w:rsid w:val="00B0264D"/>
    <w:rsid w:val="00B06939"/>
    <w:rsid w:val="00B12BDB"/>
    <w:rsid w:val="00B3689C"/>
    <w:rsid w:val="00B37722"/>
    <w:rsid w:val="00B45E07"/>
    <w:rsid w:val="00B567C1"/>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4988"/>
    <w:rsid w:val="00BE2B09"/>
    <w:rsid w:val="00BE3D70"/>
    <w:rsid w:val="00BE654D"/>
    <w:rsid w:val="00BE6634"/>
    <w:rsid w:val="00BF3BA2"/>
    <w:rsid w:val="00BF5E5F"/>
    <w:rsid w:val="00C26751"/>
    <w:rsid w:val="00C40968"/>
    <w:rsid w:val="00C473A2"/>
    <w:rsid w:val="00C60E95"/>
    <w:rsid w:val="00C65686"/>
    <w:rsid w:val="00C65E31"/>
    <w:rsid w:val="00C724B6"/>
    <w:rsid w:val="00C77D2E"/>
    <w:rsid w:val="00C803F3"/>
    <w:rsid w:val="00C84E71"/>
    <w:rsid w:val="00C852B2"/>
    <w:rsid w:val="00C87463"/>
    <w:rsid w:val="00C8797B"/>
    <w:rsid w:val="00C93B0B"/>
    <w:rsid w:val="00C94C5E"/>
    <w:rsid w:val="00CA41CC"/>
    <w:rsid w:val="00CA4C39"/>
    <w:rsid w:val="00CA7EF2"/>
    <w:rsid w:val="00CB008B"/>
    <w:rsid w:val="00CC0502"/>
    <w:rsid w:val="00CC1AC8"/>
    <w:rsid w:val="00CC6A95"/>
    <w:rsid w:val="00CC7E17"/>
    <w:rsid w:val="00CD1E5A"/>
    <w:rsid w:val="00CD4A7D"/>
    <w:rsid w:val="00CD4D25"/>
    <w:rsid w:val="00CE1336"/>
    <w:rsid w:val="00CE593D"/>
    <w:rsid w:val="00CF3788"/>
    <w:rsid w:val="00D014AE"/>
    <w:rsid w:val="00D04055"/>
    <w:rsid w:val="00D048E6"/>
    <w:rsid w:val="00D05926"/>
    <w:rsid w:val="00D06D8D"/>
    <w:rsid w:val="00D07170"/>
    <w:rsid w:val="00D23BD0"/>
    <w:rsid w:val="00D333AA"/>
    <w:rsid w:val="00D347CA"/>
    <w:rsid w:val="00D503E5"/>
    <w:rsid w:val="00D51E80"/>
    <w:rsid w:val="00D53848"/>
    <w:rsid w:val="00D53AC5"/>
    <w:rsid w:val="00D5484F"/>
    <w:rsid w:val="00D8125F"/>
    <w:rsid w:val="00DA1796"/>
    <w:rsid w:val="00DA2814"/>
    <w:rsid w:val="00DB2C90"/>
    <w:rsid w:val="00DC63A9"/>
    <w:rsid w:val="00DC66A6"/>
    <w:rsid w:val="00DC7533"/>
    <w:rsid w:val="00DD5708"/>
    <w:rsid w:val="00DD64C5"/>
    <w:rsid w:val="00DE2930"/>
    <w:rsid w:val="00DF2CB7"/>
    <w:rsid w:val="00DF3BF1"/>
    <w:rsid w:val="00E007F8"/>
    <w:rsid w:val="00E00FBD"/>
    <w:rsid w:val="00E058BA"/>
    <w:rsid w:val="00E111AA"/>
    <w:rsid w:val="00E172C8"/>
    <w:rsid w:val="00E210A4"/>
    <w:rsid w:val="00E24E10"/>
    <w:rsid w:val="00E50187"/>
    <w:rsid w:val="00E55147"/>
    <w:rsid w:val="00E551EB"/>
    <w:rsid w:val="00E559D8"/>
    <w:rsid w:val="00E61A72"/>
    <w:rsid w:val="00E6385B"/>
    <w:rsid w:val="00E67638"/>
    <w:rsid w:val="00E70C9B"/>
    <w:rsid w:val="00E7526A"/>
    <w:rsid w:val="00E87C31"/>
    <w:rsid w:val="00E87FFB"/>
    <w:rsid w:val="00E970B9"/>
    <w:rsid w:val="00EB0291"/>
    <w:rsid w:val="00EB113C"/>
    <w:rsid w:val="00EC17E3"/>
    <w:rsid w:val="00EC3919"/>
    <w:rsid w:val="00EC7C98"/>
    <w:rsid w:val="00ED5E52"/>
    <w:rsid w:val="00ED7176"/>
    <w:rsid w:val="00ED75EA"/>
    <w:rsid w:val="00EF4043"/>
    <w:rsid w:val="00F00B80"/>
    <w:rsid w:val="00F022D4"/>
    <w:rsid w:val="00F062A4"/>
    <w:rsid w:val="00F13AFB"/>
    <w:rsid w:val="00F27B14"/>
    <w:rsid w:val="00F32AA4"/>
    <w:rsid w:val="00F573CF"/>
    <w:rsid w:val="00F57A2B"/>
    <w:rsid w:val="00F643FB"/>
    <w:rsid w:val="00F658E5"/>
    <w:rsid w:val="00F70F81"/>
    <w:rsid w:val="00F764F4"/>
    <w:rsid w:val="00F76D32"/>
    <w:rsid w:val="00F84802"/>
    <w:rsid w:val="00F86F49"/>
    <w:rsid w:val="00FA333E"/>
    <w:rsid w:val="00FA7B76"/>
    <w:rsid w:val="00FB0E65"/>
    <w:rsid w:val="00FD2DF4"/>
    <w:rsid w:val="00FE00D7"/>
    <w:rsid w:val="00FE156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D1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16266</Words>
  <Characters>92722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2020-12-05T16:02:00Z</dcterms:created>
  <dcterms:modified xsi:type="dcterms:W3CDTF">2020-12-26T22:35:00Z</dcterms:modified>
</cp:coreProperties>
</file>