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3F736D" w:rsidP="00914128">
      <w:pPr>
        <w:pStyle w:val="Heading1"/>
      </w:pPr>
      <w:bookmarkStart w:id="0" w:name="_GoBack"/>
      <w:bookmarkEnd w:id="0"/>
      <w:r>
        <w:t>CHAPTER 2</w:t>
      </w:r>
    </w:p>
    <w:p w:rsidR="00EC7C98" w:rsidRPr="00914128" w:rsidRDefault="0023522F" w:rsidP="00914128">
      <w:pPr>
        <w:pStyle w:val="Heading1"/>
      </w:pPr>
      <w:r>
        <w:t>statement of the case to be determined</w:t>
      </w:r>
    </w:p>
    <w:p w:rsidR="00EC7C98" w:rsidRDefault="0025490D" w:rsidP="00914128">
      <w:pPr>
        <w:pStyle w:val="ToC"/>
      </w:pPr>
      <w:hyperlink w:anchor="a2_1" w:history="1">
        <w:r w:rsidR="003E4DA9" w:rsidRPr="008A6164">
          <w:rPr>
            <w:rStyle w:val="Hyperlink"/>
          </w:rPr>
          <w:t>2:1</w:t>
        </w:r>
      </w:hyperlink>
      <w:r w:rsidR="003E4DA9" w:rsidRPr="00EC7C98">
        <w:tab/>
      </w:r>
      <w:r w:rsidR="003E4DA9" w:rsidRPr="008A6164">
        <w:t xml:space="preserve">Liability </w:t>
      </w:r>
      <w:r w:rsidR="003E4DA9">
        <w:t>i</w:t>
      </w:r>
      <w:r w:rsidR="003E4DA9" w:rsidRPr="008A6164">
        <w:t>n Issue — No Counterclaim</w:t>
      </w:r>
    </w:p>
    <w:p w:rsidR="008A6164" w:rsidRPr="00EC7C98" w:rsidRDefault="0025490D" w:rsidP="008A6164">
      <w:pPr>
        <w:pStyle w:val="ToC"/>
      </w:pPr>
      <w:hyperlink w:anchor="a2_2" w:history="1">
        <w:r w:rsidR="003E4DA9" w:rsidRPr="008A6164">
          <w:rPr>
            <w:rStyle w:val="Hyperlink"/>
          </w:rPr>
          <w:t>2:2</w:t>
        </w:r>
      </w:hyperlink>
      <w:r w:rsidR="003E4DA9">
        <w:tab/>
      </w:r>
      <w:r w:rsidR="003E4DA9" w:rsidRPr="008A6164">
        <w:t xml:space="preserve">Liability </w:t>
      </w:r>
      <w:r w:rsidR="003E4DA9">
        <w:t>i</w:t>
      </w:r>
      <w:r w:rsidR="003E4DA9" w:rsidRPr="008A6164">
        <w:t>n Issue — Counterclaim</w:t>
      </w:r>
    </w:p>
    <w:p w:rsidR="008A6164" w:rsidRPr="00EC7C98" w:rsidRDefault="0025490D" w:rsidP="008A6164">
      <w:pPr>
        <w:pStyle w:val="ToC"/>
      </w:pPr>
      <w:hyperlink w:anchor="a2_3" w:history="1">
        <w:r w:rsidR="003E4DA9" w:rsidRPr="008A6164">
          <w:rPr>
            <w:rStyle w:val="Hyperlink"/>
          </w:rPr>
          <w:t>2:3</w:t>
        </w:r>
      </w:hyperlink>
      <w:r w:rsidR="003E4DA9">
        <w:tab/>
        <w:t>Liability i</w:t>
      </w:r>
      <w:r w:rsidR="003E4DA9" w:rsidRPr="008A6164">
        <w:t>n Issue — Third-Party Complaint</w:t>
      </w:r>
    </w:p>
    <w:p w:rsidR="008A6164" w:rsidRPr="00EC7C98" w:rsidRDefault="0025490D" w:rsidP="008A6164">
      <w:pPr>
        <w:pStyle w:val="ToC"/>
      </w:pPr>
      <w:hyperlink w:anchor="a2_4" w:history="1">
        <w:r w:rsidR="003E4DA9" w:rsidRPr="008A6164">
          <w:rPr>
            <w:rStyle w:val="Hyperlink"/>
          </w:rPr>
          <w:t>2:4</w:t>
        </w:r>
      </w:hyperlink>
      <w:r w:rsidR="003E4DA9">
        <w:tab/>
      </w:r>
      <w:r w:rsidR="003E4DA9" w:rsidRPr="008A6164">
        <w:t>Admitted Liability</w:t>
      </w:r>
    </w:p>
    <w:p w:rsidR="008A6164" w:rsidRPr="00EC7C98" w:rsidRDefault="0025490D" w:rsidP="008A6164">
      <w:pPr>
        <w:pStyle w:val="ToC"/>
      </w:pPr>
      <w:hyperlink w:anchor="a2_5" w:history="1">
        <w:r w:rsidR="003E4DA9" w:rsidRPr="008A6164">
          <w:rPr>
            <w:rStyle w:val="Hyperlink"/>
          </w:rPr>
          <w:t>2:5</w:t>
        </w:r>
      </w:hyperlink>
      <w:r w:rsidR="003E4DA9">
        <w:tab/>
      </w:r>
      <w:r w:rsidR="003E4DA9" w:rsidRPr="008A6164">
        <w:t xml:space="preserve">Directed Verdict </w:t>
      </w:r>
      <w:r w:rsidR="003E4DA9">
        <w:t>a</w:t>
      </w:r>
      <w:r w:rsidR="003E4DA9" w:rsidRPr="008A6164">
        <w:t xml:space="preserve">s </w:t>
      </w:r>
      <w:r w:rsidR="003E4DA9">
        <w:t>t</w:t>
      </w:r>
      <w:r w:rsidR="003E4DA9" w:rsidRPr="008A6164">
        <w:t xml:space="preserve">o Liability — Damages Only </w:t>
      </w:r>
      <w:r w:rsidR="003E4DA9">
        <w:t>i</w:t>
      </w:r>
      <w:r w:rsidR="003E4DA9" w:rsidRPr="008A6164">
        <w:t>n Issue — General</w:t>
      </w:r>
    </w:p>
    <w:p w:rsidR="008A6164" w:rsidRPr="00EC7C98" w:rsidRDefault="0025490D" w:rsidP="00914128">
      <w:pPr>
        <w:pStyle w:val="ToC"/>
      </w:pPr>
      <w:hyperlink w:anchor="a2_6" w:history="1">
        <w:r w:rsidR="003E4DA9" w:rsidRPr="008A6164">
          <w:rPr>
            <w:rStyle w:val="Hyperlink"/>
          </w:rPr>
          <w:t>2:6</w:t>
        </w:r>
      </w:hyperlink>
      <w:r w:rsidR="003E4DA9">
        <w:tab/>
      </w:r>
      <w:r w:rsidR="003E4DA9" w:rsidRPr="008A6164">
        <w:t xml:space="preserve">Directed Verdict </w:t>
      </w:r>
      <w:r w:rsidR="003E4DA9">
        <w:t>a</w:t>
      </w:r>
      <w:r w:rsidR="003E4DA9" w:rsidRPr="008A6164">
        <w:t xml:space="preserve">s </w:t>
      </w:r>
      <w:r w:rsidR="003E4DA9">
        <w:t>to Liability — Damages Only i</w:t>
      </w:r>
      <w:r w:rsidR="003E4DA9" w:rsidRPr="008A6164">
        <w:t>n Issue — Negligence</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23522F" w:rsidP="00483244">
      <w:pPr>
        <w:spacing w:after="240"/>
        <w:ind w:left="720" w:hanging="720"/>
        <w:rPr>
          <w:rFonts w:eastAsia="Times New Roman"/>
          <w:b/>
          <w:sz w:val="24"/>
          <w:szCs w:val="24"/>
        </w:rPr>
      </w:pPr>
      <w:bookmarkStart w:id="1" w:name="a2_1"/>
      <w:bookmarkEnd w:id="1"/>
      <w:r w:rsidRPr="0023522F">
        <w:rPr>
          <w:rFonts w:eastAsia="Times New Roman"/>
          <w:b/>
          <w:sz w:val="24"/>
          <w:szCs w:val="24"/>
        </w:rPr>
        <w:lastRenderedPageBreak/>
        <w:t xml:space="preserve">2:1 </w:t>
      </w:r>
      <w:r w:rsidRPr="0023522F">
        <w:rPr>
          <w:rFonts w:eastAsia="Times New Roman"/>
          <w:b/>
          <w:sz w:val="24"/>
          <w:szCs w:val="24"/>
        </w:rPr>
        <w:tab/>
        <w:t>LIABILITY IN ISSUE — NO COUNTERCLAIM</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parties to this case are: </w:t>
      </w:r>
      <w:r w:rsidRPr="0023522F">
        <w:rPr>
          <w:rFonts w:eastAsia="Times New Roman"/>
          <w:i/>
          <w:sz w:val="24"/>
          <w:szCs w:val="24"/>
        </w:rPr>
        <w:t>(name)</w:t>
      </w:r>
      <w:r w:rsidRPr="0023522F">
        <w:rPr>
          <w:rFonts w:eastAsia="Times New Roman"/>
          <w:b/>
          <w:sz w:val="24"/>
          <w:szCs w:val="24"/>
        </w:rPr>
        <w:t xml:space="preserve">, the plaintiff and </w:t>
      </w:r>
      <w:r w:rsidRPr="0023522F">
        <w:rPr>
          <w:rFonts w:eastAsia="Times New Roman"/>
          <w:i/>
          <w:sz w:val="24"/>
          <w:szCs w:val="24"/>
        </w:rPr>
        <w:t>(name)</w:t>
      </w:r>
      <w:r w:rsidRPr="0023522F">
        <w:rPr>
          <w:rFonts w:eastAsia="Times New Roman"/>
          <w:b/>
          <w:sz w:val="24"/>
          <w:szCs w:val="24"/>
        </w:rPr>
        <w:t>, the defendant.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plaintiff claims: </w:t>
      </w:r>
      <w:r w:rsidRPr="0023522F">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23522F">
        <w:rPr>
          <w:rFonts w:eastAsia="Times New Roman"/>
          <w:b/>
          <w:sz w:val="24"/>
          <w:szCs w:val="24"/>
        </w:rPr>
        <w: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defendant admits </w:t>
      </w:r>
      <w:r w:rsidRPr="0023522F">
        <w:rPr>
          <w:rFonts w:eastAsia="Times New Roman"/>
          <w:i/>
          <w:sz w:val="24"/>
          <w:szCs w:val="24"/>
        </w:rPr>
        <w:t>(describe briefly the admitted facts, if any)</w:t>
      </w:r>
      <w:r w:rsidRPr="0023522F">
        <w:rPr>
          <w:rFonts w:eastAsia="Times New Roman"/>
          <w:b/>
          <w:sz w:val="24"/>
          <w:szCs w:val="24"/>
        </w:rPr>
        <w:t xml:space="preserve">. The defendant denies </w:t>
      </w:r>
      <w:r w:rsidRPr="0023522F">
        <w:rPr>
          <w:rFonts w:eastAsia="Times New Roman"/>
          <w:i/>
          <w:sz w:val="24"/>
          <w:szCs w:val="24"/>
        </w:rPr>
        <w:t>(describe briefly the defendant’s position regarding plaintiff’s claims)</w:t>
      </w:r>
      <w:r w:rsidRPr="0023522F">
        <w:rPr>
          <w:rFonts w:eastAsia="Times New Roman"/>
          <w:b/>
          <w:sz w:val="24"/>
          <w:szCs w:val="24"/>
        </w:rPr>
        <w:t xml:space="preserve">. As (an) affirmative defense(s), the defendant claims </w:t>
      </w:r>
      <w:r w:rsidRPr="0023522F">
        <w:rPr>
          <w:rFonts w:eastAsia="Times New Roman"/>
          <w:i/>
          <w:sz w:val="24"/>
          <w:szCs w:val="24"/>
        </w:rPr>
        <w:t>(describe briefly the defendant’s affirmative defense[s])</w:t>
      </w:r>
      <w:r w:rsidRPr="0023522F">
        <w:rPr>
          <w:rFonts w:eastAsia="Times New Roman"/>
          <w:b/>
          <w:sz w:val="24"/>
          <w:szCs w:val="24"/>
        </w:rPr>
        <w:t>.</w:t>
      </w:r>
    </w:p>
    <w:p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These are the issues you are to decide.</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1. This instruction should be appropriately modified or supplemented to comply with C.R.C.P. 47(a</w:t>
      </w:r>
      <w:proofErr w:type="gramStart"/>
      <w:r w:rsidRPr="0023522F">
        <w:rPr>
          <w:rFonts w:eastAsia="Times New Roman"/>
          <w:sz w:val="24"/>
          <w:szCs w:val="24"/>
        </w:rPr>
        <w:t>)(</w:t>
      </w:r>
      <w:proofErr w:type="gramEnd"/>
      <w:r w:rsidRPr="0023522F">
        <w:rPr>
          <w:rFonts w:eastAsia="Times New Roman"/>
          <w:sz w:val="24"/>
          <w:szCs w:val="24"/>
        </w:rPr>
        <w:t xml:space="preserve">2)(IV) and (V). </w:t>
      </w:r>
      <w:r w:rsidRPr="0023522F">
        <w:rPr>
          <w:rFonts w:eastAsia="Times New Roman"/>
          <w:i/>
          <w:sz w:val="24"/>
          <w:szCs w:val="24"/>
        </w:rPr>
        <w:t>See also</w:t>
      </w:r>
      <w:r w:rsidRPr="0023522F">
        <w:rPr>
          <w:rFonts w:eastAsia="Times New Roman"/>
          <w:sz w:val="24"/>
          <w:szCs w:val="24"/>
        </w:rPr>
        <w:t xml:space="preserve"> C.R.C.P. 47 cmt. </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2. The statement of the case should not include the amount of damages sought by any party. </w:t>
      </w:r>
      <w:proofErr w:type="gramStart"/>
      <w:r w:rsidRPr="0023522F">
        <w:rPr>
          <w:rFonts w:eastAsia="Times New Roman"/>
          <w:b/>
          <w:sz w:val="24"/>
          <w:szCs w:val="24"/>
        </w:rPr>
        <w:t>Rodrigue v. Hausman</w:t>
      </w:r>
      <w:r w:rsidRPr="0023522F">
        <w:rPr>
          <w:rFonts w:eastAsia="Times New Roman"/>
          <w:sz w:val="24"/>
          <w:szCs w:val="24"/>
        </w:rPr>
        <w:t>, 33 Colo. App. 305, 519 P.2d 1216 (1974).</w:t>
      </w:r>
      <w:proofErr w:type="gramEnd"/>
      <w:r w:rsidRPr="0023522F">
        <w:rPr>
          <w:rFonts w:eastAsia="Times New Roman"/>
          <w:sz w:val="24"/>
          <w:szCs w:val="24"/>
        </w:rPr>
        <w:t xml:space="preserve"> </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3. In a district court case, if the parties have stipulated pursuant to C.R.C.P. 48 that the verdict will be by some stated majority rather than by unanimous vote, the first paragraph of this instruction should be modified accordingly, for example, “You must arrive at your verdict by majority vote, with not less than 4 of your 6 members agreeing, applying the law, as you are now instructed, to the facts as you find them to be.”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4. Use only those sentences in the fourth paragraph which are appropriate.</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5. In cases in which the defendant has given notice under section 13-21-111.5(3)(b), C.R.S., that a designated nonparty may be wholly or partially at fau</w:t>
      </w:r>
      <w:r w:rsidR="00C70B67">
        <w:rPr>
          <w:rFonts w:eastAsia="Times New Roman"/>
          <w:sz w:val="24"/>
          <w:szCs w:val="24"/>
        </w:rPr>
        <w:t>lt under section 13-21-111.5(2)</w:t>
      </w:r>
      <w:r w:rsidRPr="0023522F">
        <w:rPr>
          <w:rFonts w:eastAsia="Times New Roman"/>
          <w:sz w:val="24"/>
          <w:szCs w:val="24"/>
        </w:rPr>
        <w:t xml:space="preserve"> for having caused the plaintiff’s claimed damages, the fourth paragraph of this instruction must be appropriately modified to include that claim and provide an appropriate identification of the nonparty.</w:t>
      </w:r>
    </w:p>
    <w:p w:rsidR="0023522F" w:rsidRPr="0023522F" w:rsidRDefault="0023522F" w:rsidP="0023522F">
      <w:pPr>
        <w:spacing w:after="240"/>
        <w:ind w:firstLine="720"/>
        <w:rPr>
          <w:rFonts w:eastAsia="Times New Roman"/>
          <w:sz w:val="24"/>
          <w:szCs w:val="24"/>
        </w:rPr>
      </w:pPr>
      <w:r w:rsidRPr="0023522F">
        <w:rPr>
          <w:rFonts w:eastAsia="Times New Roman"/>
          <w:sz w:val="24"/>
          <w:szCs w:val="24"/>
        </w:rPr>
        <w:t>6. In dependency and neglect proceedings, Instruction 41:4 should be used rather than this instruction.</w:t>
      </w:r>
    </w:p>
    <w:p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rsidR="000C6F97" w:rsidRDefault="0023522F" w:rsidP="0023522F">
      <w:pPr>
        <w:spacing w:after="240"/>
        <w:ind w:firstLine="720"/>
        <w:rPr>
          <w:rFonts w:eastAsia="Times New Roman"/>
          <w:sz w:val="24"/>
          <w:szCs w:val="24"/>
        </w:rPr>
      </w:pPr>
      <w:r w:rsidRPr="0023522F">
        <w:rPr>
          <w:rFonts w:eastAsia="Times New Roman"/>
          <w:sz w:val="24"/>
          <w:szCs w:val="24"/>
        </w:rPr>
        <w:t>This instruction is supported by C.R.C.P. 47(a</w:t>
      </w:r>
      <w:proofErr w:type="gramStart"/>
      <w:r w:rsidRPr="0023522F">
        <w:rPr>
          <w:rFonts w:eastAsia="Times New Roman"/>
          <w:sz w:val="24"/>
          <w:szCs w:val="24"/>
        </w:rPr>
        <w:t>)(</w:t>
      </w:r>
      <w:proofErr w:type="gramEnd"/>
      <w:r w:rsidRPr="0023522F">
        <w:rPr>
          <w:rFonts w:eastAsia="Times New Roman"/>
          <w:sz w:val="24"/>
          <w:szCs w:val="24"/>
        </w:rPr>
        <w:t>2)(IV) and 347(a)(2)(IV).</w:t>
      </w:r>
    </w:p>
    <w:p w:rsidR="00FA7AB0" w:rsidRDefault="00FA7AB0">
      <w:pPr>
        <w:rPr>
          <w:rFonts w:eastAsia="Times New Roman"/>
          <w:sz w:val="24"/>
          <w:szCs w:val="24"/>
        </w:rPr>
      </w:pPr>
      <w:r>
        <w:rPr>
          <w:rFonts w:eastAsia="Times New Roman"/>
          <w:sz w:val="24"/>
          <w:szCs w:val="24"/>
        </w:rPr>
        <w:br w:type="page"/>
      </w:r>
    </w:p>
    <w:p w:rsidR="00FA7AB0" w:rsidRPr="009E3DA4" w:rsidRDefault="00FA7AB0" w:rsidP="00483244">
      <w:pPr>
        <w:spacing w:after="240"/>
        <w:ind w:left="720" w:hanging="720"/>
        <w:rPr>
          <w:rFonts w:eastAsia="Times New Roman"/>
          <w:b/>
          <w:sz w:val="24"/>
          <w:szCs w:val="24"/>
        </w:rPr>
      </w:pPr>
      <w:bookmarkStart w:id="2" w:name="a2_2"/>
      <w:bookmarkEnd w:id="2"/>
      <w:r w:rsidRPr="00FA7AB0">
        <w:rPr>
          <w:rFonts w:eastAsia="Times New Roman"/>
          <w:b/>
          <w:sz w:val="24"/>
          <w:szCs w:val="24"/>
        </w:rPr>
        <w:t xml:space="preserve">2:2 </w:t>
      </w:r>
      <w:r w:rsidRPr="00FA7AB0">
        <w:rPr>
          <w:rFonts w:eastAsia="Times New Roman"/>
          <w:b/>
          <w:sz w:val="24"/>
          <w:szCs w:val="24"/>
        </w:rPr>
        <w:tab/>
        <w:t>LIABILITY IN ISSUE — COUNTERCLAIM</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Each party to this action claims to be entitled to damages from the other. The parties to this case are: </w:t>
      </w:r>
      <w:r w:rsidRPr="00FA7AB0">
        <w:rPr>
          <w:rFonts w:eastAsia="Times New Roman"/>
          <w:i/>
          <w:sz w:val="24"/>
          <w:szCs w:val="24"/>
        </w:rPr>
        <w:t>(name)</w:t>
      </w:r>
      <w:r w:rsidRPr="00FA7AB0">
        <w:rPr>
          <w:rFonts w:eastAsia="Times New Roman"/>
          <w:b/>
          <w:sz w:val="24"/>
          <w:szCs w:val="24"/>
        </w:rPr>
        <w:t xml:space="preserve">, the plaintiff and </w:t>
      </w:r>
      <w:r w:rsidRPr="00FA7AB0">
        <w:rPr>
          <w:rFonts w:eastAsia="Times New Roman"/>
          <w:i/>
          <w:sz w:val="24"/>
          <w:szCs w:val="24"/>
        </w:rPr>
        <w:t>(name)</w:t>
      </w:r>
      <w:r w:rsidRPr="00FA7AB0">
        <w:rPr>
          <w:rFonts w:eastAsia="Times New Roman"/>
          <w:b/>
          <w:sz w:val="24"/>
          <w:szCs w:val="24"/>
        </w:rPr>
        <w:t>, the defendant.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plaintiff claims: </w:t>
      </w:r>
      <w:r w:rsidRPr="00FA7AB0">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defendant admits </w:t>
      </w:r>
      <w:r w:rsidRPr="00FA7AB0">
        <w:rPr>
          <w:rFonts w:eastAsia="Times New Roman"/>
          <w:i/>
          <w:sz w:val="24"/>
          <w:szCs w:val="24"/>
        </w:rPr>
        <w:t>(describe briefly the admitted facts, if any)</w:t>
      </w:r>
      <w:r w:rsidRPr="00FA7AB0">
        <w:rPr>
          <w:rFonts w:eastAsia="Times New Roman"/>
          <w:b/>
          <w:sz w:val="24"/>
          <w:szCs w:val="24"/>
        </w:rPr>
        <w:t xml:space="preserve">. The defendant denies </w:t>
      </w:r>
      <w:r w:rsidRPr="00FA7AB0">
        <w:rPr>
          <w:rFonts w:eastAsia="Times New Roman"/>
          <w:i/>
          <w:sz w:val="24"/>
          <w:szCs w:val="24"/>
        </w:rPr>
        <w:t>(describe briefly the defendant’s position regarding plaintiff’s claims)</w:t>
      </w:r>
      <w:r w:rsidRPr="00FA7AB0">
        <w:rPr>
          <w:rFonts w:eastAsia="Times New Roman"/>
          <w:b/>
          <w:sz w:val="24"/>
          <w:szCs w:val="24"/>
        </w:rPr>
        <w:t xml:space="preserve">. As an affirmative defense, the defendant claims </w:t>
      </w:r>
      <w:r w:rsidRPr="00FA7AB0">
        <w:rPr>
          <w:rFonts w:eastAsia="Times New Roman"/>
          <w:i/>
          <w:sz w:val="24"/>
          <w:szCs w:val="24"/>
        </w:rPr>
        <w:t>(describe briefly the defendant’s affirmative defense[s])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a counterclaim against the plaintiff, the defendant further claims: </w:t>
      </w:r>
      <w:r w:rsidRPr="00FA7AB0">
        <w:rPr>
          <w:rFonts w:eastAsia="Times New Roman"/>
          <w:i/>
          <w:sz w:val="24"/>
          <w:szCs w:val="24"/>
        </w:rPr>
        <w:t>(state the essential elements of the counterclaim)</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to the counterclaim, the plaintiff admits </w:t>
      </w:r>
      <w:r w:rsidRPr="00FA7AB0">
        <w:rPr>
          <w:rFonts w:eastAsia="Times New Roman"/>
          <w:i/>
          <w:sz w:val="24"/>
          <w:szCs w:val="24"/>
        </w:rPr>
        <w:t>(describe briefly the admitted facts, if any)</w:t>
      </w:r>
      <w:r w:rsidRPr="00FA7AB0">
        <w:rPr>
          <w:rFonts w:eastAsia="Times New Roman"/>
          <w:b/>
          <w:sz w:val="24"/>
          <w:szCs w:val="24"/>
        </w:rPr>
        <w:t xml:space="preserve">. The plaintiff denies </w:t>
      </w:r>
      <w:r w:rsidRPr="00FA7AB0">
        <w:rPr>
          <w:rFonts w:eastAsia="Times New Roman"/>
          <w:i/>
          <w:sz w:val="24"/>
          <w:szCs w:val="24"/>
        </w:rPr>
        <w:t>(describe briefly the plaintiff’s position regarding defendant’s claims)</w:t>
      </w:r>
      <w:r w:rsidRPr="00FA7AB0">
        <w:rPr>
          <w:rFonts w:eastAsia="Times New Roman"/>
          <w:b/>
          <w:sz w:val="24"/>
          <w:szCs w:val="24"/>
        </w:rPr>
        <w:t xml:space="preserve">. As an affirmative defense, the plaintiff claims </w:t>
      </w:r>
      <w:r w:rsidRPr="00FA7AB0">
        <w:rPr>
          <w:rFonts w:eastAsia="Times New Roman"/>
          <w:i/>
          <w:sz w:val="24"/>
          <w:szCs w:val="24"/>
        </w:rPr>
        <w:t>(describe briefly the plaintiff’s affirmative defense[s])</w:t>
      </w:r>
      <w:r w:rsidRPr="00FA7AB0">
        <w:rPr>
          <w:rFonts w:eastAsia="Times New Roman"/>
          <w:b/>
          <w:sz w:val="24"/>
          <w:szCs w:val="24"/>
        </w:rPr>
        <w:t>.</w:t>
      </w:r>
    </w:p>
    <w:p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These are the issues you are to decide.</w:t>
      </w:r>
    </w:p>
    <w:p w:rsidR="00FA7AB0" w:rsidRDefault="00FA7AB0" w:rsidP="00FA7AB0">
      <w:pPr>
        <w:jc w:val="center"/>
        <w:rPr>
          <w:rFonts w:eastAsia="Times New Roman"/>
          <w:sz w:val="24"/>
          <w:szCs w:val="24"/>
        </w:rPr>
      </w:pPr>
    </w:p>
    <w:p w:rsidR="00FA7AB0" w:rsidRPr="0054263B" w:rsidRDefault="00FA7AB0" w:rsidP="00FA7AB0">
      <w:pPr>
        <w:keepNext/>
        <w:spacing w:after="240"/>
        <w:jc w:val="center"/>
        <w:rPr>
          <w:rFonts w:eastAsia="Times New Roman"/>
          <w:b/>
          <w:sz w:val="24"/>
          <w:szCs w:val="24"/>
        </w:rPr>
      </w:pPr>
      <w:r w:rsidRPr="0054263B">
        <w:rPr>
          <w:rFonts w:eastAsia="Times New Roman"/>
          <w:b/>
          <w:sz w:val="24"/>
          <w:szCs w:val="24"/>
        </w:rPr>
        <w:t>Notes on Use</w:t>
      </w:r>
    </w:p>
    <w:p w:rsidR="00FA7AB0" w:rsidRPr="00FA7AB0" w:rsidRDefault="00FA7AB0" w:rsidP="00FA7AB0">
      <w:pPr>
        <w:spacing w:after="240"/>
        <w:ind w:firstLine="720"/>
        <w:rPr>
          <w:rFonts w:eastAsia="Times New Roman"/>
          <w:sz w:val="24"/>
          <w:szCs w:val="24"/>
        </w:rPr>
      </w:pPr>
      <w:r w:rsidRPr="00FA7AB0">
        <w:rPr>
          <w:rFonts w:eastAsia="Times New Roman"/>
          <w:sz w:val="24"/>
          <w:szCs w:val="24"/>
        </w:rPr>
        <w:t>1. This instruction should be appropriately modified or supplemented to comply with C.R.C.P. 47(a</w:t>
      </w:r>
      <w:proofErr w:type="gramStart"/>
      <w:r w:rsidRPr="00FA7AB0">
        <w:rPr>
          <w:rFonts w:eastAsia="Times New Roman"/>
          <w:sz w:val="24"/>
          <w:szCs w:val="24"/>
        </w:rPr>
        <w:t>)(</w:t>
      </w:r>
      <w:proofErr w:type="gramEnd"/>
      <w:r w:rsidRPr="00FA7AB0">
        <w:rPr>
          <w:rFonts w:eastAsia="Times New Roman"/>
          <w:sz w:val="24"/>
          <w:szCs w:val="24"/>
        </w:rPr>
        <w:t xml:space="preserve">2)(IV) and (V). </w:t>
      </w:r>
      <w:r w:rsidRPr="00FA7AB0">
        <w:rPr>
          <w:rFonts w:eastAsia="Times New Roman"/>
          <w:i/>
          <w:sz w:val="24"/>
          <w:szCs w:val="24"/>
        </w:rPr>
        <w:t>See also</w:t>
      </w:r>
      <w:r w:rsidRPr="00FA7AB0">
        <w:rPr>
          <w:rFonts w:eastAsia="Times New Roman"/>
          <w:sz w:val="24"/>
          <w:szCs w:val="24"/>
        </w:rPr>
        <w:t xml:space="preserve"> C.R.C.P. 47 cmt.</w:t>
      </w:r>
    </w:p>
    <w:p w:rsidR="00FA7AB0" w:rsidRPr="00FA7AB0" w:rsidRDefault="00FA7AB0" w:rsidP="00FA7AB0">
      <w:pPr>
        <w:spacing w:after="240"/>
        <w:ind w:firstLine="720"/>
        <w:rPr>
          <w:rFonts w:eastAsia="Times New Roman"/>
          <w:sz w:val="24"/>
          <w:szCs w:val="24"/>
        </w:rPr>
      </w:pPr>
      <w:r w:rsidRPr="00FA7AB0">
        <w:rPr>
          <w:rFonts w:eastAsia="Times New Roman"/>
          <w:sz w:val="24"/>
          <w:szCs w:val="24"/>
        </w:rPr>
        <w:t>2. The Notes on Use to Instruction 2:1 are also applicable to this instruction.</w:t>
      </w:r>
    </w:p>
    <w:p w:rsidR="00FA7AB0" w:rsidRPr="0054263B" w:rsidRDefault="00FA7AB0" w:rsidP="00FA7AB0">
      <w:pPr>
        <w:keepNext/>
        <w:spacing w:after="240"/>
        <w:jc w:val="center"/>
        <w:rPr>
          <w:rFonts w:eastAsia="Times New Roman"/>
          <w:b/>
          <w:sz w:val="24"/>
          <w:szCs w:val="24"/>
        </w:rPr>
      </w:pPr>
      <w:r>
        <w:rPr>
          <w:rFonts w:eastAsia="Times New Roman"/>
          <w:b/>
          <w:sz w:val="24"/>
          <w:szCs w:val="24"/>
        </w:rPr>
        <w:t>Source and Authority</w:t>
      </w:r>
    </w:p>
    <w:p w:rsidR="00FA7AB0" w:rsidRDefault="00FA7AB0" w:rsidP="00FA7AB0">
      <w:pPr>
        <w:spacing w:after="240"/>
        <w:ind w:firstLine="720"/>
        <w:rPr>
          <w:rFonts w:eastAsia="Times New Roman"/>
          <w:sz w:val="24"/>
          <w:szCs w:val="24"/>
        </w:rPr>
      </w:pPr>
      <w:r w:rsidRPr="00FA7AB0">
        <w:rPr>
          <w:rFonts w:eastAsia="Times New Roman"/>
          <w:sz w:val="24"/>
          <w:szCs w:val="24"/>
        </w:rPr>
        <w:t>This instruction is supported by C.R.C.P. 47(a</w:t>
      </w:r>
      <w:proofErr w:type="gramStart"/>
      <w:r w:rsidRPr="00FA7AB0">
        <w:rPr>
          <w:rFonts w:eastAsia="Times New Roman"/>
          <w:sz w:val="24"/>
          <w:szCs w:val="24"/>
        </w:rPr>
        <w:t>)(</w:t>
      </w:r>
      <w:proofErr w:type="gramEnd"/>
      <w:r w:rsidRPr="00FA7AB0">
        <w:rPr>
          <w:rFonts w:eastAsia="Times New Roman"/>
          <w:sz w:val="24"/>
          <w:szCs w:val="24"/>
        </w:rPr>
        <w:t>2)(IV) and 347(a)(2)(IV).</w:t>
      </w:r>
    </w:p>
    <w:p w:rsidR="00890903" w:rsidRDefault="00890903">
      <w:pPr>
        <w:rPr>
          <w:rFonts w:eastAsia="Times New Roman"/>
          <w:sz w:val="24"/>
          <w:szCs w:val="24"/>
        </w:rPr>
      </w:pPr>
      <w:r>
        <w:rPr>
          <w:rFonts w:eastAsia="Times New Roman"/>
          <w:sz w:val="24"/>
          <w:szCs w:val="24"/>
        </w:rPr>
        <w:br w:type="page"/>
      </w:r>
    </w:p>
    <w:p w:rsidR="00890903" w:rsidRPr="009E3DA4" w:rsidRDefault="00890903" w:rsidP="00483244">
      <w:pPr>
        <w:spacing w:after="240"/>
        <w:ind w:left="720" w:hanging="720"/>
        <w:rPr>
          <w:rFonts w:eastAsia="Times New Roman"/>
          <w:b/>
          <w:sz w:val="24"/>
          <w:szCs w:val="24"/>
        </w:rPr>
      </w:pPr>
      <w:bookmarkStart w:id="3" w:name="a2_3"/>
      <w:bookmarkEnd w:id="3"/>
      <w:r w:rsidRPr="00890903">
        <w:rPr>
          <w:rFonts w:eastAsia="Times New Roman"/>
          <w:b/>
          <w:sz w:val="24"/>
          <w:szCs w:val="24"/>
        </w:rPr>
        <w:t xml:space="preserve">2:3 </w:t>
      </w:r>
      <w:r w:rsidRPr="00890903">
        <w:rPr>
          <w:rFonts w:eastAsia="Times New Roman"/>
          <w:b/>
          <w:sz w:val="24"/>
          <w:szCs w:val="24"/>
        </w:rPr>
        <w:tab/>
        <w:t>LIABILITY IN ISSUE — THIRD-PARTY COMPLAINT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Court) (I) will now </w:t>
      </w:r>
      <w:smartTag w:uri="urn:schemas-microsoft-com:office:smarttags" w:element="PersonName">
        <w:r w:rsidRPr="00890903">
          <w:rPr>
            <w:rFonts w:eastAsia="Times New Roman"/>
            <w:b/>
            <w:sz w:val="24"/>
            <w:szCs w:val="24"/>
          </w:rPr>
          <w:t>e</w:t>
        </w:r>
      </w:smartTag>
      <w:r w:rsidRPr="00890903">
        <w:rPr>
          <w:rFonts w:eastAsia="Times New Roman"/>
          <w:b/>
          <w:sz w:val="24"/>
          <w:szCs w:val="24"/>
        </w:rPr>
        <w:t>xplain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of </w:t>
      </w:r>
      <w:smartTag w:uri="urn:schemas-microsoft-com:office:smarttags" w:element="PersonName">
        <w:r w:rsidRPr="00890903">
          <w:rPr>
            <w:rFonts w:eastAsia="Times New Roman"/>
            <w:b/>
            <w:sz w:val="24"/>
            <w:szCs w:val="24"/>
          </w:rPr>
          <w:t>e</w:t>
        </w:r>
      </w:smartTag>
      <w:r w:rsidRPr="00890903">
        <w:rPr>
          <w:rFonts w:eastAsia="Times New Roman"/>
          <w:b/>
          <w:sz w:val="24"/>
          <w:szCs w:val="24"/>
        </w:rPr>
        <w:t>ach party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gov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rning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Pl</w:t>
      </w:r>
      <w:smartTag w:uri="urn:schemas-microsoft-com:office:smarttags" w:element="PersonName">
        <w:r w:rsidRPr="00890903">
          <w:rPr>
            <w:rFonts w:eastAsia="Times New Roman"/>
            <w:b/>
            <w:sz w:val="24"/>
            <w:szCs w:val="24"/>
          </w:rPr>
          <w:t>e</w:t>
        </w:r>
      </w:smartTag>
      <w:r w:rsidRPr="00890903">
        <w:rPr>
          <w:rFonts w:eastAsia="Times New Roman"/>
          <w:b/>
          <w:sz w:val="24"/>
          <w:szCs w:val="24"/>
        </w:rPr>
        <w:t>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pay clos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att</w:t>
      </w:r>
      <w:smartTag w:uri="urn:schemas-microsoft-com:office:smarttags" w:element="PersonName">
        <w:r w:rsidRPr="00890903">
          <w:rPr>
            <w:rFonts w:eastAsia="Times New Roman"/>
            <w:b/>
            <w:sz w:val="24"/>
            <w:szCs w:val="24"/>
          </w:rPr>
          <w:t>e</w:t>
        </w:r>
      </w:smartTag>
      <w:r w:rsidRPr="00890903">
        <w:rPr>
          <w:rFonts w:eastAsia="Times New Roman"/>
          <w:b/>
          <w:sz w:val="24"/>
          <w:szCs w:val="24"/>
        </w:rPr>
        <w:t>ntion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includ</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both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instructions and instructions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of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You must consid</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all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and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instructions tog</w:t>
      </w:r>
      <w:smartTag w:uri="urn:schemas-microsoft-com:office:smarttags" w:element="PersonName">
        <w:r w:rsidRPr="00890903">
          <w:rPr>
            <w:rFonts w:eastAsia="Times New Roman"/>
            <w:b/>
            <w:sz w:val="24"/>
            <w:szCs w:val="24"/>
          </w:rPr>
          <w:t>e</w:t>
        </w:r>
      </w:smartTag>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You must all agr</w:t>
      </w:r>
      <w:smartTag w:uri="urn:schemas-microsoft-com:office:smarttags" w:element="PersonName">
        <w:r w:rsidRPr="00890903">
          <w:rPr>
            <w:rFonts w:eastAsia="Times New Roman"/>
            <w:b/>
            <w:sz w:val="24"/>
            <w:szCs w:val="24"/>
          </w:rPr>
          <w:t>e</w:t>
        </w:r>
      </w:smartTag>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on your 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rdict, applying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 as you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now instruct</w:t>
      </w:r>
      <w:smartTag w:uri="urn:schemas-microsoft-com:office:smarttags" w:element="PersonName">
        <w:r w:rsidRPr="00890903">
          <w:rPr>
            <w:rFonts w:eastAsia="Times New Roman"/>
            <w:b/>
            <w:sz w:val="24"/>
            <w:szCs w:val="24"/>
          </w:rPr>
          <w:t>e</w:t>
        </w:r>
      </w:smartTag>
      <w:r w:rsidRPr="00890903">
        <w:rPr>
          <w:rFonts w:eastAsia="Times New Roman"/>
          <w:b/>
          <w:sz w:val="24"/>
          <w:szCs w:val="24"/>
        </w:rPr>
        <w:t>d,)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facts as you find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m to b</w:t>
      </w:r>
      <w:smartTag w:uri="urn:schemas-microsoft-com:office:smarttags" w:element="PersonName">
        <w:r w:rsidRPr="00890903">
          <w:rPr>
            <w:rFonts w:eastAsia="Times New Roman"/>
            <w:b/>
            <w:sz w:val="24"/>
            <w:szCs w:val="24"/>
          </w:rPr>
          <w:t>e</w:t>
        </w:r>
      </w:smartTag>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parti</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to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and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As a third-party claim against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furth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r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xml:space="preserve">,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(describe</w:t>
      </w:r>
      <w:r w:rsidRPr="00890903">
        <w:rPr>
          <w:rFonts w:eastAsia="Times New Roman"/>
          <w:b/>
          <w:sz w:val="24"/>
          <w:szCs w:val="24"/>
        </w:rPr>
        <w:t xml:space="preserve"> </w:t>
      </w:r>
      <w:r w:rsidRPr="00890903">
        <w:rPr>
          <w:rFonts w:eastAsia="Times New Roman"/>
          <w:i/>
          <w:sz w:val="24"/>
          <w:szCs w:val="24"/>
        </w:rPr>
        <w:t>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These are the issues you are to decide.</w:t>
      </w:r>
    </w:p>
    <w:p w:rsidR="00890903" w:rsidRDefault="00890903" w:rsidP="00890903">
      <w:pPr>
        <w:jc w:val="center"/>
        <w:rPr>
          <w:rFonts w:eastAsia="Times New Roman"/>
          <w:sz w:val="24"/>
          <w:szCs w:val="24"/>
        </w:rPr>
      </w:pPr>
    </w:p>
    <w:p w:rsidR="00890903" w:rsidRPr="0054263B" w:rsidRDefault="00890903" w:rsidP="00890903">
      <w:pPr>
        <w:keepNext/>
        <w:spacing w:after="240"/>
        <w:jc w:val="center"/>
        <w:rPr>
          <w:rFonts w:eastAsia="Times New Roman"/>
          <w:b/>
          <w:sz w:val="24"/>
          <w:szCs w:val="24"/>
        </w:rPr>
      </w:pPr>
      <w:r w:rsidRPr="0054263B">
        <w:rPr>
          <w:rFonts w:eastAsia="Times New Roman"/>
          <w:b/>
          <w:sz w:val="24"/>
          <w:szCs w:val="24"/>
        </w:rPr>
        <w:t>Notes on Use</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 xml:space="preserve">1. This instruction should be appropriately modified or supplemented to comply with C.R.C.P. 47(a)(2)(IV) and (V). </w:t>
      </w:r>
      <w:r w:rsidRPr="00890903">
        <w:rPr>
          <w:rFonts w:eastAsia="Times New Roman"/>
          <w:i/>
          <w:sz w:val="24"/>
          <w:szCs w:val="24"/>
        </w:rPr>
        <w:t>See also</w:t>
      </w:r>
      <w:r w:rsidRPr="00890903">
        <w:rPr>
          <w:rFonts w:eastAsia="Times New Roman"/>
          <w:sz w:val="24"/>
          <w:szCs w:val="24"/>
        </w:rPr>
        <w:t xml:space="preserve"> C.R.C.P. 47 cmt.</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2. The Notes on Use to Instruction 2:1 are also applicable to this instruction.</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3. When stating the claims and defenses of the parties in the latter part of this instruction, the actual names of the parties should be used with or without their party designations as seems necessary to avoid confusion.</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4. This instruction should be used only in district courts where, under C.R.C.P. 14, the joinder of third-party defendants is allowed. There is no comparable rule in county courts.</w:t>
      </w:r>
    </w:p>
    <w:p w:rsidR="00890903" w:rsidRPr="0054263B" w:rsidRDefault="00890903" w:rsidP="00890903">
      <w:pPr>
        <w:keepNext/>
        <w:spacing w:after="240"/>
        <w:jc w:val="center"/>
        <w:rPr>
          <w:rFonts w:eastAsia="Times New Roman"/>
          <w:b/>
          <w:sz w:val="24"/>
          <w:szCs w:val="24"/>
        </w:rPr>
      </w:pPr>
      <w:r>
        <w:rPr>
          <w:rFonts w:eastAsia="Times New Roman"/>
          <w:b/>
          <w:sz w:val="24"/>
          <w:szCs w:val="24"/>
        </w:rPr>
        <w:t>Source and Authority</w:t>
      </w:r>
    </w:p>
    <w:p w:rsidR="00890903" w:rsidRPr="00890903" w:rsidRDefault="00890903" w:rsidP="00890903">
      <w:pPr>
        <w:spacing w:after="240"/>
        <w:ind w:firstLine="720"/>
        <w:rPr>
          <w:rFonts w:eastAsia="Times New Roman"/>
          <w:sz w:val="24"/>
          <w:szCs w:val="24"/>
        </w:rPr>
      </w:pPr>
      <w:r w:rsidRPr="00890903">
        <w:rPr>
          <w:rFonts w:eastAsia="Times New Roman"/>
          <w:sz w:val="24"/>
          <w:szCs w:val="24"/>
        </w:rPr>
        <w:t>This instruction is supported by C.R.C.P. 47(a)(2)(IV) and 347(a)(2)(IV).</w:t>
      </w:r>
    </w:p>
    <w:p w:rsidR="00455BC4" w:rsidRDefault="00455BC4">
      <w:pPr>
        <w:rPr>
          <w:rFonts w:eastAsia="Times New Roman"/>
          <w:sz w:val="24"/>
          <w:szCs w:val="24"/>
        </w:rPr>
      </w:pPr>
      <w:r>
        <w:rPr>
          <w:rFonts w:eastAsia="Times New Roman"/>
          <w:sz w:val="24"/>
          <w:szCs w:val="24"/>
        </w:rPr>
        <w:br w:type="page"/>
      </w:r>
    </w:p>
    <w:p w:rsidR="00455BC4" w:rsidRPr="009E3DA4" w:rsidRDefault="00455BC4" w:rsidP="00483244">
      <w:pPr>
        <w:spacing w:after="240"/>
        <w:ind w:left="720" w:hanging="720"/>
        <w:rPr>
          <w:rFonts w:eastAsia="Times New Roman"/>
          <w:b/>
          <w:sz w:val="24"/>
          <w:szCs w:val="24"/>
        </w:rPr>
      </w:pPr>
      <w:bookmarkStart w:id="4" w:name="a2_4"/>
      <w:bookmarkEnd w:id="4"/>
      <w:r w:rsidRPr="00455BC4">
        <w:rPr>
          <w:rFonts w:eastAsia="Times New Roman"/>
          <w:b/>
          <w:sz w:val="24"/>
          <w:szCs w:val="24"/>
        </w:rPr>
        <w:t xml:space="preserve">2:4 </w:t>
      </w:r>
      <w:r w:rsidRPr="00455BC4">
        <w:rPr>
          <w:rFonts w:eastAsia="Times New Roman"/>
          <w:b/>
          <w:sz w:val="24"/>
          <w:szCs w:val="24"/>
        </w:rPr>
        <w:tab/>
        <w:t>ADMITTED LIABILITY</w:t>
      </w:r>
    </w:p>
    <w:p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defendant, </w:t>
      </w:r>
      <w:r w:rsidRPr="00455BC4">
        <w:rPr>
          <w:rFonts w:eastAsia="Times New Roman"/>
          <w:i/>
          <w:sz w:val="24"/>
          <w:szCs w:val="24"/>
        </w:rPr>
        <w:t>(name)</w:t>
      </w:r>
      <w:r w:rsidRPr="00455BC4">
        <w:rPr>
          <w:rFonts w:eastAsia="Times New Roman"/>
          <w:b/>
          <w:sz w:val="24"/>
          <w:szCs w:val="24"/>
        </w:rPr>
        <w:t xml:space="preserve">, has admitted legal liability for any injury and damages the plaintiff, </w:t>
      </w:r>
      <w:r w:rsidRPr="00455BC4">
        <w:rPr>
          <w:rFonts w:eastAsia="Times New Roman"/>
          <w:i/>
          <w:sz w:val="24"/>
          <w:szCs w:val="24"/>
        </w:rPr>
        <w:t>(name)</w:t>
      </w:r>
      <w:r w:rsidRPr="00455BC4">
        <w:rPr>
          <w:rFonts w:eastAsia="Times New Roman"/>
          <w:b/>
          <w:sz w:val="24"/>
          <w:szCs w:val="24"/>
        </w:rPr>
        <w:t xml:space="preserve">, may have suffered that were caused by </w:t>
      </w:r>
      <w:r w:rsidRPr="00455BC4">
        <w:rPr>
          <w:rFonts w:eastAsia="Times New Roman"/>
          <w:i/>
          <w:sz w:val="24"/>
          <w:szCs w:val="24"/>
        </w:rPr>
        <w:t>(describe specific occurrence)</w:t>
      </w:r>
      <w:r w:rsidRPr="00455BC4">
        <w:rPr>
          <w:rFonts w:eastAsia="Times New Roman"/>
          <w:b/>
          <w:sz w:val="24"/>
          <w:szCs w:val="24"/>
        </w:rPr>
        <w:t xml:space="preserve">. The only issues remaining for the jury to determine are the nature and extent of injury, if any, and the amount of damages, if any, caused by </w:t>
      </w:r>
      <w:r w:rsidRPr="00455BC4">
        <w:rPr>
          <w:rFonts w:eastAsia="Times New Roman"/>
          <w:i/>
          <w:sz w:val="24"/>
          <w:szCs w:val="24"/>
        </w:rPr>
        <w:t>(describe specific occurrence)</w:t>
      </w:r>
      <w:r w:rsidRPr="00455BC4">
        <w:rPr>
          <w:rFonts w:eastAsia="Times New Roman"/>
          <w:b/>
          <w:sz w:val="24"/>
          <w:szCs w:val="24"/>
        </w:rPr>
        <w:t>.</w:t>
      </w:r>
    </w:p>
    <w:p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The fact that the defendant has admitted that (he) (she) (it) was (negligent) (at fault) must not influence how you decide the remaining issues.</w:t>
      </w:r>
    </w:p>
    <w:p w:rsidR="00455BC4" w:rsidRDefault="00455BC4" w:rsidP="00455BC4">
      <w:pPr>
        <w:jc w:val="center"/>
        <w:rPr>
          <w:rFonts w:eastAsia="Times New Roman"/>
          <w:sz w:val="24"/>
          <w:szCs w:val="24"/>
        </w:rPr>
      </w:pPr>
    </w:p>
    <w:p w:rsidR="00455BC4" w:rsidRPr="0054263B" w:rsidRDefault="00455BC4" w:rsidP="00455BC4">
      <w:pPr>
        <w:keepNext/>
        <w:spacing w:after="240"/>
        <w:jc w:val="center"/>
        <w:rPr>
          <w:rFonts w:eastAsia="Times New Roman"/>
          <w:b/>
          <w:sz w:val="24"/>
          <w:szCs w:val="24"/>
        </w:rPr>
      </w:pPr>
      <w:r w:rsidRPr="0054263B">
        <w:rPr>
          <w:rFonts w:eastAsia="Times New Roman"/>
          <w:b/>
          <w:sz w:val="24"/>
          <w:szCs w:val="24"/>
        </w:rPr>
        <w:t>Notes on Use</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1. If inappropriate, omit the parenthetical phrases “if any.”</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2. If the admitted liability relates to a counterclaim or third-party claim, this instruction should be modified accordingly.</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 xml:space="preserve">3. This instruction should also be appropriately modified if the defendant alleges that the plaintiff has failed to mitigate his or her damages, </w:t>
      </w:r>
      <w:r w:rsidRPr="00455BC4">
        <w:rPr>
          <w:rFonts w:eastAsia="Times New Roman"/>
          <w:i/>
          <w:sz w:val="24"/>
          <w:szCs w:val="24"/>
        </w:rPr>
        <w:t>see</w:t>
      </w:r>
      <w:r w:rsidRPr="00455BC4">
        <w:rPr>
          <w:rFonts w:eastAsia="Times New Roman"/>
          <w:sz w:val="24"/>
          <w:szCs w:val="24"/>
        </w:rPr>
        <w:t xml:space="preserve"> Instruction 5:2, or if the defendant has alleged aggravation of a preexisting condition, </w:t>
      </w:r>
      <w:r w:rsidRPr="00455BC4">
        <w:rPr>
          <w:rFonts w:eastAsia="Times New Roman"/>
          <w:i/>
          <w:sz w:val="24"/>
          <w:szCs w:val="24"/>
        </w:rPr>
        <w:t>see</w:t>
      </w:r>
      <w:r w:rsidRPr="00455BC4">
        <w:rPr>
          <w:rFonts w:eastAsia="Times New Roman"/>
          <w:sz w:val="24"/>
          <w:szCs w:val="24"/>
        </w:rPr>
        <w:t xml:space="preserve"> Instruction 6:8.</w:t>
      </w:r>
    </w:p>
    <w:p w:rsidR="00455BC4" w:rsidRPr="00455BC4" w:rsidRDefault="00455BC4" w:rsidP="00455BC4">
      <w:pPr>
        <w:spacing w:after="240"/>
        <w:ind w:firstLine="720"/>
        <w:rPr>
          <w:rFonts w:eastAsia="Times New Roman"/>
          <w:sz w:val="24"/>
          <w:szCs w:val="24"/>
        </w:rPr>
      </w:pPr>
      <w:r w:rsidRPr="00455BC4">
        <w:rPr>
          <w:rFonts w:eastAsia="Times New Roman"/>
          <w:sz w:val="24"/>
          <w:szCs w:val="24"/>
        </w:rPr>
        <w:t>4. This instruction should be used only when the defendant has admitted sole responsibility for the plaintiff’s injuries.</w:t>
      </w:r>
    </w:p>
    <w:p w:rsidR="00455BC4" w:rsidRPr="0054263B" w:rsidRDefault="00455BC4" w:rsidP="00455BC4">
      <w:pPr>
        <w:keepNext/>
        <w:spacing w:after="240"/>
        <w:jc w:val="center"/>
        <w:rPr>
          <w:rFonts w:eastAsia="Times New Roman"/>
          <w:b/>
          <w:sz w:val="24"/>
          <w:szCs w:val="24"/>
        </w:rPr>
      </w:pPr>
      <w:r>
        <w:rPr>
          <w:rFonts w:eastAsia="Times New Roman"/>
          <w:b/>
          <w:sz w:val="24"/>
          <w:szCs w:val="24"/>
        </w:rPr>
        <w:t>Source and Authority</w:t>
      </w:r>
    </w:p>
    <w:p w:rsidR="00455BC4" w:rsidRDefault="00455BC4" w:rsidP="00455BC4">
      <w:pPr>
        <w:spacing w:after="240"/>
        <w:ind w:firstLine="720"/>
        <w:rPr>
          <w:rFonts w:eastAsia="Times New Roman"/>
          <w:sz w:val="24"/>
          <w:szCs w:val="24"/>
        </w:rPr>
      </w:pPr>
      <w:r w:rsidRPr="00455BC4">
        <w:rPr>
          <w:rFonts w:eastAsia="Times New Roman"/>
          <w:sz w:val="24"/>
          <w:szCs w:val="24"/>
        </w:rPr>
        <w:t xml:space="preserve">This instruction is supported by </w:t>
      </w:r>
      <w:r w:rsidRPr="00455BC4">
        <w:rPr>
          <w:rFonts w:eastAsia="Times New Roman"/>
          <w:b/>
          <w:sz w:val="24"/>
          <w:szCs w:val="24"/>
        </w:rPr>
        <w:t>Foster v. Phillips</w:t>
      </w:r>
      <w:r w:rsidRPr="00455BC4">
        <w:rPr>
          <w:rFonts w:eastAsia="Times New Roman"/>
          <w:sz w:val="24"/>
          <w:szCs w:val="24"/>
        </w:rPr>
        <w:t>, 6 P.3d 791 (Colo. App. 1999) (where defendant admitted duty and breach of that duty, it was appropriate to instruct jury that defendant was liable as a matter of law for the damages suffered by plaintiff).</w:t>
      </w:r>
    </w:p>
    <w:p w:rsidR="00483244" w:rsidRDefault="00483244">
      <w:pPr>
        <w:rPr>
          <w:rFonts w:eastAsia="Times New Roman"/>
          <w:sz w:val="24"/>
          <w:szCs w:val="24"/>
        </w:rPr>
      </w:pPr>
      <w:r>
        <w:rPr>
          <w:rFonts w:eastAsia="Times New Roman"/>
          <w:sz w:val="24"/>
          <w:szCs w:val="24"/>
        </w:rPr>
        <w:br w:type="page"/>
      </w:r>
    </w:p>
    <w:p w:rsidR="00483244" w:rsidRPr="009E3DA4" w:rsidRDefault="00483244" w:rsidP="00483244">
      <w:pPr>
        <w:spacing w:after="240"/>
        <w:ind w:left="720" w:hanging="720"/>
        <w:rPr>
          <w:rFonts w:eastAsia="Times New Roman"/>
          <w:b/>
          <w:sz w:val="24"/>
          <w:szCs w:val="24"/>
        </w:rPr>
      </w:pPr>
      <w:bookmarkStart w:id="5" w:name="a2_5"/>
      <w:bookmarkEnd w:id="5"/>
      <w:r w:rsidRPr="00483244">
        <w:rPr>
          <w:rFonts w:eastAsia="Times New Roman"/>
          <w:b/>
          <w:sz w:val="24"/>
          <w:szCs w:val="24"/>
        </w:rPr>
        <w:t xml:space="preserve">2:5 </w:t>
      </w:r>
      <w:r w:rsidRPr="00483244">
        <w:rPr>
          <w:rFonts w:eastAsia="Times New Roman"/>
          <w:b/>
          <w:sz w:val="24"/>
          <w:szCs w:val="24"/>
        </w:rPr>
        <w:tab/>
        <w:t>DIRECTED VERDICT AS TO LIABILITY — DAMAGES ONLY IN ISSUE — GENERAL</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(The Court) (I) will now explain the claims of each party to the case and law governing the case. Please pay close attention to these instructions. You must all agree on your verdict, applying the law (, as you are now instructed,) to the facts as you find them to be.</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parties to this case are: </w:t>
      </w:r>
      <w:r w:rsidRPr="00892856">
        <w:rPr>
          <w:rFonts w:eastAsia="Times New Roman"/>
          <w:i/>
          <w:sz w:val="24"/>
          <w:szCs w:val="24"/>
        </w:rPr>
        <w:t>(name)</w:t>
      </w:r>
      <w:r w:rsidRPr="00892856">
        <w:rPr>
          <w:rFonts w:eastAsia="Times New Roman"/>
          <w:b/>
          <w:sz w:val="24"/>
          <w:szCs w:val="24"/>
        </w:rPr>
        <w:t xml:space="preserve">, the plaintiff, and </w:t>
      </w:r>
      <w:r w:rsidRPr="00892856">
        <w:rPr>
          <w:rFonts w:eastAsia="Times New Roman"/>
          <w:i/>
          <w:sz w:val="24"/>
          <w:szCs w:val="24"/>
        </w:rPr>
        <w:t>(name)</w:t>
      </w:r>
      <w:r w:rsidRPr="00892856">
        <w:rPr>
          <w:rFonts w:eastAsia="Times New Roman"/>
          <w:b/>
          <w:sz w:val="24"/>
          <w:szCs w:val="24"/>
        </w:rPr>
        <w:t>, the defendant.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plaintiff claims: </w:t>
      </w:r>
      <w:r w:rsidRPr="00892856">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defendant claims: </w:t>
      </w:r>
      <w:r w:rsidRPr="00892856">
        <w:rPr>
          <w:rFonts w:eastAsia="Times New Roman"/>
          <w:i/>
          <w:sz w:val="24"/>
          <w:szCs w:val="24"/>
        </w:rPr>
        <w:t>(describe the defendant’s denials as to those issues of fact on which the Court is not directing a verdict)</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 (I) (has) (have) determined as a matter of law that </w:t>
      </w:r>
      <w:r w:rsidRPr="00892856">
        <w:rPr>
          <w:rFonts w:eastAsia="Times New Roman"/>
          <w:i/>
          <w:sz w:val="24"/>
          <w:szCs w:val="24"/>
        </w:rPr>
        <w:t>(describe those facts which the Court is directing the jury to find)</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Because (the Court) (I) (has) (have) found these facts to be true, the only matter(s) remaining for you to decide (is) (are): </w:t>
      </w:r>
      <w:r w:rsidRPr="00892856">
        <w:rPr>
          <w:rFonts w:eastAsia="Times New Roman"/>
          <w:i/>
          <w:sz w:val="24"/>
          <w:szCs w:val="24"/>
        </w:rPr>
        <w:t>(describe those facts on which the Court is not directing a verdict and which remain in dispute)</w:t>
      </w:r>
      <w:r w:rsidRPr="00892856">
        <w:rPr>
          <w:rFonts w:eastAsia="Times New Roman"/>
          <w:b/>
          <w:sz w:val="24"/>
          <w:szCs w:val="24"/>
        </w:rPr>
        <w:t>.</w:t>
      </w:r>
    </w:p>
    <w:p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Court’s decision that the defendant </w:t>
      </w:r>
      <w:r w:rsidRPr="00892856">
        <w:rPr>
          <w:rFonts w:eastAsia="Times New Roman"/>
          <w:i/>
          <w:sz w:val="24"/>
          <w:szCs w:val="24"/>
        </w:rPr>
        <w:t>(insert appropriate description, e.g., “breached the contract,” etc.)</w:t>
      </w:r>
      <w:r w:rsidRPr="00892856">
        <w:rPr>
          <w:rFonts w:eastAsia="Times New Roman"/>
          <w:b/>
          <w:sz w:val="24"/>
          <w:szCs w:val="24"/>
        </w:rPr>
        <w:t xml:space="preserve"> should not influence you in deciding (this) (these) remaining issue(s).</w:t>
      </w:r>
    </w:p>
    <w:p w:rsidR="00483244" w:rsidRDefault="00483244" w:rsidP="00483244">
      <w:pPr>
        <w:jc w:val="center"/>
        <w:rPr>
          <w:rFonts w:eastAsia="Times New Roman"/>
          <w:sz w:val="24"/>
          <w:szCs w:val="24"/>
        </w:rPr>
      </w:pPr>
    </w:p>
    <w:p w:rsidR="00483244" w:rsidRPr="0054263B" w:rsidRDefault="00483244" w:rsidP="00483244">
      <w:pPr>
        <w:keepNext/>
        <w:spacing w:after="240"/>
        <w:jc w:val="center"/>
        <w:rPr>
          <w:rFonts w:eastAsia="Times New Roman"/>
          <w:b/>
          <w:sz w:val="24"/>
          <w:szCs w:val="24"/>
        </w:rPr>
      </w:pPr>
      <w:r w:rsidRPr="0054263B">
        <w:rPr>
          <w:rFonts w:eastAsia="Times New Roman"/>
          <w:b/>
          <w:sz w:val="24"/>
          <w:szCs w:val="24"/>
        </w:rPr>
        <w:t>Notes on Use</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1. See the first two Notes on Use to Instruction 2:1.</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2. Use whichever parenthesized portions are appropriate.</w:t>
      </w:r>
    </w:p>
    <w:p w:rsidR="00483244" w:rsidRPr="0054263B" w:rsidRDefault="00483244" w:rsidP="00483244">
      <w:pPr>
        <w:keepNext/>
        <w:spacing w:after="240"/>
        <w:jc w:val="center"/>
        <w:rPr>
          <w:rFonts w:eastAsia="Times New Roman"/>
          <w:b/>
          <w:sz w:val="24"/>
          <w:szCs w:val="24"/>
        </w:rPr>
      </w:pPr>
      <w:r>
        <w:rPr>
          <w:rFonts w:eastAsia="Times New Roman"/>
          <w:b/>
          <w:sz w:val="24"/>
          <w:szCs w:val="24"/>
        </w:rPr>
        <w:t>Source and Authority</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1. This instruction is supported by C.R.C.P. 47(a)(2)(IV) and 347(a)(2)(IV).</w:t>
      </w:r>
    </w:p>
    <w:p w:rsidR="00892856" w:rsidRPr="00892856" w:rsidRDefault="00892856" w:rsidP="00892856">
      <w:pPr>
        <w:spacing w:after="240"/>
        <w:ind w:firstLine="720"/>
        <w:rPr>
          <w:rFonts w:eastAsia="Times New Roman"/>
          <w:sz w:val="24"/>
          <w:szCs w:val="24"/>
        </w:rPr>
      </w:pPr>
      <w:r w:rsidRPr="00892856">
        <w:rPr>
          <w:rFonts w:eastAsia="Times New Roman"/>
          <w:sz w:val="24"/>
          <w:szCs w:val="24"/>
        </w:rPr>
        <w:t xml:space="preserve">2. As to when the court may properly direct a verdict as to any or all of the issues of liability, see </w:t>
      </w:r>
      <w:r w:rsidRPr="00892856">
        <w:rPr>
          <w:rFonts w:eastAsia="Times New Roman"/>
          <w:b/>
          <w:sz w:val="24"/>
          <w:szCs w:val="24"/>
        </w:rPr>
        <w:t>CeBuzz, Inc. v. Sniderman</w:t>
      </w:r>
      <w:r w:rsidRPr="00892856">
        <w:rPr>
          <w:rFonts w:eastAsia="Times New Roman"/>
          <w:sz w:val="24"/>
          <w:szCs w:val="24"/>
        </w:rPr>
        <w:t xml:space="preserve">, 171 Colo. 246, 249-50, 252-53, 466 P.2d 457, 458, 460 (1970), holding that it was proper to direct a verdict on the issues of negligence and proximate cause where, when viewing the evidence in the light most favorable to the party against whom the motion was made, the evidence was not only undisputed but reasonable minds could draw only one reasonable conclusion, that is, negligence; where “neither the evidence nor the inferences deducible therefrom are in dispute, and the measure of the defendant’s duty is clearly defined, the issues of negligence and proximate cause become . . . issues of law.” </w:t>
      </w:r>
      <w:r w:rsidRPr="00892856">
        <w:rPr>
          <w:rFonts w:eastAsia="Times New Roman"/>
          <w:i/>
          <w:sz w:val="24"/>
          <w:szCs w:val="24"/>
        </w:rPr>
        <w:t>See also</w:t>
      </w:r>
      <w:r w:rsidRPr="00892856">
        <w:rPr>
          <w:rFonts w:eastAsia="Times New Roman"/>
          <w:sz w:val="24"/>
          <w:szCs w:val="24"/>
        </w:rPr>
        <w:t xml:space="preserve"> </w:t>
      </w:r>
      <w:r w:rsidRPr="00892856">
        <w:rPr>
          <w:rFonts w:eastAsia="Times New Roman"/>
          <w:b/>
          <w:sz w:val="24"/>
          <w:szCs w:val="24"/>
        </w:rPr>
        <w:t>Thompson v. Tartler</w:t>
      </w:r>
      <w:r w:rsidRPr="00892856">
        <w:rPr>
          <w:rFonts w:eastAsia="Times New Roman"/>
          <w:sz w:val="24"/>
          <w:szCs w:val="24"/>
        </w:rPr>
        <w:t xml:space="preserve">, 166 Colo. 247, 443 P.2d 365 (1968) (directed verdict proper) (quoting and reaffirming rules of </w:t>
      </w:r>
      <w:r w:rsidRPr="00892856">
        <w:rPr>
          <w:rFonts w:eastAsia="Times New Roman"/>
          <w:b/>
          <w:sz w:val="24"/>
          <w:szCs w:val="24"/>
        </w:rPr>
        <w:t>Blount v. Romero</w:t>
      </w:r>
      <w:r w:rsidRPr="00892856">
        <w:rPr>
          <w:rFonts w:eastAsia="Times New Roman"/>
          <w:sz w:val="24"/>
          <w:szCs w:val="24"/>
        </w:rPr>
        <w:t xml:space="preserve">, 157 Colo. 130, 401 P.2d 611 (1965), and </w:t>
      </w:r>
      <w:r w:rsidRPr="00892856">
        <w:rPr>
          <w:rFonts w:eastAsia="Times New Roman"/>
          <w:b/>
          <w:sz w:val="24"/>
          <w:szCs w:val="24"/>
        </w:rPr>
        <w:t>Bates v. Stagg</w:t>
      </w:r>
      <w:r w:rsidRPr="00892856">
        <w:rPr>
          <w:rFonts w:eastAsia="Times New Roman"/>
          <w:sz w:val="24"/>
          <w:szCs w:val="24"/>
        </w:rPr>
        <w:t>, 157 Colo. 456, 459, 404 P.2d 530, 531 (1965) (viewing the evidence most favorable to the defendant, “it is only in the clearest of cases, where the facts are undisputed and reasonable minds could draw but one inference from them, that the question of just what constitutes reasonable care is ever one of law to be taken from the jury and decided by the court.”)).</w:t>
      </w:r>
    </w:p>
    <w:p w:rsidR="00731DD9" w:rsidRDefault="00731DD9">
      <w:pPr>
        <w:rPr>
          <w:rFonts w:eastAsia="Times New Roman"/>
          <w:sz w:val="24"/>
          <w:szCs w:val="24"/>
        </w:rPr>
      </w:pPr>
      <w:r>
        <w:rPr>
          <w:rFonts w:eastAsia="Times New Roman"/>
          <w:sz w:val="24"/>
          <w:szCs w:val="24"/>
        </w:rPr>
        <w:br w:type="page"/>
      </w:r>
    </w:p>
    <w:p w:rsidR="00731DD9" w:rsidRPr="009E3DA4" w:rsidRDefault="00731DD9" w:rsidP="00731DD9">
      <w:pPr>
        <w:spacing w:after="240"/>
        <w:ind w:left="720" w:hanging="720"/>
        <w:rPr>
          <w:rFonts w:eastAsia="Times New Roman"/>
          <w:b/>
          <w:sz w:val="24"/>
          <w:szCs w:val="24"/>
        </w:rPr>
      </w:pPr>
      <w:bookmarkStart w:id="6" w:name="a2_6"/>
      <w:bookmarkEnd w:id="6"/>
      <w:r w:rsidRPr="00731DD9">
        <w:rPr>
          <w:rFonts w:eastAsia="Times New Roman"/>
          <w:b/>
          <w:sz w:val="24"/>
          <w:szCs w:val="24"/>
        </w:rPr>
        <w:t xml:space="preserve">2:6 </w:t>
      </w:r>
      <w:r w:rsidRPr="00731DD9">
        <w:rPr>
          <w:rFonts w:eastAsia="Times New Roman"/>
          <w:b/>
          <w:sz w:val="24"/>
          <w:szCs w:val="24"/>
        </w:rPr>
        <w:tab/>
        <w:t>DIRECTED VERDICT AS TO LIABILITY — DAMAGES ONLY IN ISSUE — NEGLIGENCE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 (I) will now explain the claims of each party to the case and the law governing the case. Please pay close attention to these instructions. You must all agree on your verdict, applying the law, as you are now instructed, to the facts as you find them to be.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parties to this case are: </w:t>
      </w:r>
      <w:r w:rsidRPr="00731DD9">
        <w:rPr>
          <w:rFonts w:eastAsia="Times New Roman"/>
          <w:i/>
          <w:sz w:val="24"/>
          <w:szCs w:val="24"/>
        </w:rPr>
        <w:t>(name)</w:t>
      </w:r>
      <w:r w:rsidRPr="00731DD9">
        <w:rPr>
          <w:rFonts w:eastAsia="Times New Roman"/>
          <w:b/>
          <w:sz w:val="24"/>
          <w:szCs w:val="24"/>
        </w:rPr>
        <w:t xml:space="preserve">, the plaintiff, and </w:t>
      </w:r>
      <w:r w:rsidRPr="00731DD9">
        <w:rPr>
          <w:rFonts w:eastAsia="Times New Roman"/>
          <w:i/>
          <w:sz w:val="24"/>
          <w:szCs w:val="24"/>
        </w:rPr>
        <w:t>(name)</w:t>
      </w:r>
      <w:r w:rsidRPr="00731DD9">
        <w:rPr>
          <w:rFonts w:eastAsia="Times New Roman"/>
          <w:b/>
          <w:sz w:val="24"/>
          <w:szCs w:val="24"/>
        </w:rPr>
        <w:t>,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plaintiff claims that on </w:t>
      </w:r>
      <w:r w:rsidRPr="00731DD9">
        <w:rPr>
          <w:rFonts w:eastAsia="Times New Roman"/>
          <w:i/>
          <w:sz w:val="24"/>
          <w:szCs w:val="24"/>
        </w:rPr>
        <w:t>(insert date)</w:t>
      </w:r>
      <w:r w:rsidRPr="00731DD9">
        <w:rPr>
          <w:rFonts w:eastAsia="Times New Roman"/>
          <w:b/>
          <w:sz w:val="24"/>
          <w:szCs w:val="24"/>
        </w:rPr>
        <w:t>, (he) (she) (it) had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defendant has denied that the plaintiff had any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(Court) (I) (have) (has) decided that the defendant was negligent in that (he) (she) (it) </w:t>
      </w:r>
      <w:r w:rsidRPr="00731DD9">
        <w:rPr>
          <w:rFonts w:eastAsia="Times New Roman"/>
          <w:i/>
          <w:sz w:val="24"/>
          <w:szCs w:val="24"/>
        </w:rPr>
        <w:t>(insert description of conduct which the Court has determined constitutes negligence as a matter of law)</w:t>
      </w:r>
      <w:r w:rsidRPr="00731DD9">
        <w:rPr>
          <w:rFonts w:eastAsia="Times New Roman"/>
          <w:b/>
          <w:sz w:val="24"/>
          <w:szCs w:val="24"/>
        </w:rPr>
        <w: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In view of this decision the only matters remaining for you to decide are:</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1. Did the plaintiff have (injuries) (damages) (losses)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2. If so, what is the total amount of damages that the plaintiff had that were caused by the negligence of the defendant?</w:t>
      </w:r>
    </w:p>
    <w:p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Court’s decision that the defendant was negligent should not influence you in determining either of these two issues.</w:t>
      </w:r>
    </w:p>
    <w:p w:rsidR="00731DD9" w:rsidRDefault="00731DD9" w:rsidP="00731DD9">
      <w:pPr>
        <w:jc w:val="center"/>
        <w:rPr>
          <w:rFonts w:eastAsia="Times New Roman"/>
          <w:sz w:val="24"/>
          <w:szCs w:val="24"/>
        </w:rPr>
      </w:pPr>
    </w:p>
    <w:p w:rsidR="00731DD9" w:rsidRPr="0054263B" w:rsidRDefault="00731DD9" w:rsidP="00731DD9">
      <w:pPr>
        <w:keepNext/>
        <w:spacing w:after="240"/>
        <w:jc w:val="center"/>
        <w:rPr>
          <w:rFonts w:eastAsia="Times New Roman"/>
          <w:b/>
          <w:sz w:val="24"/>
          <w:szCs w:val="24"/>
        </w:rPr>
      </w:pPr>
      <w:r w:rsidRPr="0054263B">
        <w:rPr>
          <w:rFonts w:eastAsia="Times New Roman"/>
          <w:b/>
          <w:sz w:val="24"/>
          <w:szCs w:val="24"/>
        </w:rPr>
        <w:t>Notes on Use</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1. The Notes on Use to Instruction 2:5 are also applicable to this instruction.</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2. When this instruction is given, the appropriate instruction or instructions relating to cause (Instructions 9:18 – 9:21) should also be given.</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3. If the court is directing a verdict not only on the issue of negligence but also on the issue of whether or not the plaintiff sustained injury as a result of such negligence, this instruction should be appropriately modified.</w:t>
      </w:r>
    </w:p>
    <w:p w:rsidR="00B23F9B" w:rsidRPr="00B23F9B" w:rsidRDefault="00B23F9B" w:rsidP="00B23F9B">
      <w:pPr>
        <w:spacing w:after="240"/>
        <w:ind w:firstLine="720"/>
        <w:rPr>
          <w:rFonts w:eastAsia="Times New Roman"/>
          <w:sz w:val="24"/>
          <w:szCs w:val="24"/>
        </w:rPr>
      </w:pPr>
      <w:r w:rsidRPr="00B23F9B">
        <w:rPr>
          <w:rFonts w:eastAsia="Times New Roman"/>
          <w:sz w:val="24"/>
          <w:szCs w:val="24"/>
        </w:rPr>
        <w:t xml:space="preserve">4. Whenever this instruction would be applicable to the defendant’s conduct, but there is also sufficient evidence of comparative negligence on the plaintiff’s part, the instruction, along with the appropriate comparative negligence instructions (Instructions 9:26 – 9:28D), must be appropriately modified. Also, in a comparative negligence case, if the court directs a finding or verdict of negligence against one or more of the parties, the court must also instruct the jury as to the conduct on which such finding is based as well as any other conduct the jury could reasonably find constituted negligence, in order to permit the jury to make a proper comparison of such negligence with any negligence of other parties the jury may find. </w:t>
      </w:r>
      <w:r w:rsidRPr="00B23F9B">
        <w:rPr>
          <w:rFonts w:eastAsia="Times New Roman"/>
          <w:b/>
          <w:sz w:val="24"/>
          <w:szCs w:val="24"/>
        </w:rPr>
        <w:t>Ricklin v. Smith</w:t>
      </w:r>
      <w:r w:rsidRPr="00B23F9B">
        <w:rPr>
          <w:rFonts w:eastAsia="Times New Roman"/>
          <w:sz w:val="24"/>
          <w:szCs w:val="24"/>
        </w:rPr>
        <w:t>, 670 P.2d 1239 (Colo. App. 1983).</w:t>
      </w:r>
    </w:p>
    <w:p w:rsidR="00731DD9" w:rsidRPr="0054263B" w:rsidRDefault="00731DD9" w:rsidP="00731DD9">
      <w:pPr>
        <w:keepNext/>
        <w:spacing w:after="240"/>
        <w:jc w:val="center"/>
        <w:rPr>
          <w:rFonts w:eastAsia="Times New Roman"/>
          <w:b/>
          <w:sz w:val="24"/>
          <w:szCs w:val="24"/>
        </w:rPr>
      </w:pPr>
      <w:r>
        <w:rPr>
          <w:rFonts w:eastAsia="Times New Roman"/>
          <w:b/>
          <w:sz w:val="24"/>
          <w:szCs w:val="24"/>
        </w:rPr>
        <w:t>Source and Authority</w:t>
      </w:r>
    </w:p>
    <w:p w:rsidR="00B23F9B" w:rsidRDefault="00B23F9B" w:rsidP="00731DD9">
      <w:pPr>
        <w:spacing w:after="240"/>
        <w:ind w:firstLine="720"/>
        <w:rPr>
          <w:rFonts w:eastAsia="Times New Roman"/>
          <w:sz w:val="24"/>
          <w:szCs w:val="24"/>
        </w:rPr>
      </w:pPr>
      <w:r w:rsidRPr="00B23F9B">
        <w:rPr>
          <w:rFonts w:eastAsia="Times New Roman"/>
          <w:sz w:val="24"/>
          <w:szCs w:val="24"/>
        </w:rPr>
        <w:t>This instruction is supported by C.R.C.P. 47(a)(2)(IV) and 347(a)(2)(IV).</w:t>
      </w:r>
    </w:p>
    <w:sectPr w:rsidR="00B23F9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90D" w:rsidRDefault="0025490D" w:rsidP="0054263B">
      <w:r>
        <w:separator/>
      </w:r>
    </w:p>
    <w:p w:rsidR="0025490D" w:rsidRDefault="0025490D"/>
  </w:endnote>
  <w:endnote w:type="continuationSeparator" w:id="0">
    <w:p w:rsidR="0025490D" w:rsidRDefault="0025490D" w:rsidP="0054263B">
      <w:r>
        <w:continuationSeparator/>
      </w:r>
    </w:p>
    <w:p w:rsidR="0025490D" w:rsidRDefault="00254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rsidR="00336CE4" w:rsidRDefault="00336CE4">
        <w:pPr>
          <w:pStyle w:val="Footer"/>
          <w:jc w:val="center"/>
        </w:pPr>
        <w:r>
          <w:fldChar w:fldCharType="begin"/>
        </w:r>
        <w:r>
          <w:instrText xml:space="preserve"> PAGE   \* MERGEFORMAT </w:instrText>
        </w:r>
        <w:r>
          <w:fldChar w:fldCharType="separate"/>
        </w:r>
        <w:r w:rsidR="00C27CE4">
          <w:rPr>
            <w:noProof/>
          </w:rPr>
          <w:t>2</w:t>
        </w:r>
        <w:r>
          <w:rPr>
            <w:noProof/>
          </w:rPr>
          <w:fldChar w:fldCharType="end"/>
        </w:r>
      </w:p>
    </w:sdtContent>
  </w:sdt>
  <w:p w:rsidR="00336CE4" w:rsidRDefault="00336CE4">
    <w:pPr>
      <w:pStyle w:val="Footer"/>
    </w:pPr>
  </w:p>
  <w:p w:rsidR="00336CE4" w:rsidRDefault="00336C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90D" w:rsidRDefault="0025490D" w:rsidP="0054263B">
      <w:r>
        <w:separator/>
      </w:r>
    </w:p>
    <w:p w:rsidR="0025490D" w:rsidRDefault="0025490D"/>
  </w:footnote>
  <w:footnote w:type="continuationSeparator" w:id="0">
    <w:p w:rsidR="0025490D" w:rsidRDefault="0025490D" w:rsidP="0054263B">
      <w:r>
        <w:continuationSeparator/>
      </w:r>
    </w:p>
    <w:p w:rsidR="0025490D" w:rsidRDefault="002549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85495"/>
    <w:rsid w:val="000921F1"/>
    <w:rsid w:val="000C6F97"/>
    <w:rsid w:val="001117D9"/>
    <w:rsid w:val="001903CB"/>
    <w:rsid w:val="001A2648"/>
    <w:rsid w:val="002065D8"/>
    <w:rsid w:val="0021368F"/>
    <w:rsid w:val="0022134E"/>
    <w:rsid w:val="00223286"/>
    <w:rsid w:val="0023522F"/>
    <w:rsid w:val="0025490D"/>
    <w:rsid w:val="002A23B0"/>
    <w:rsid w:val="002E0970"/>
    <w:rsid w:val="00336CE4"/>
    <w:rsid w:val="00352111"/>
    <w:rsid w:val="003937B8"/>
    <w:rsid w:val="003E4DA9"/>
    <w:rsid w:val="003F736D"/>
    <w:rsid w:val="00455BC4"/>
    <w:rsid w:val="00456038"/>
    <w:rsid w:val="00483244"/>
    <w:rsid w:val="004C62F9"/>
    <w:rsid w:val="004E7EF1"/>
    <w:rsid w:val="0054263B"/>
    <w:rsid w:val="00544449"/>
    <w:rsid w:val="006272FE"/>
    <w:rsid w:val="006421BD"/>
    <w:rsid w:val="00661D05"/>
    <w:rsid w:val="00675252"/>
    <w:rsid w:val="006A6D8E"/>
    <w:rsid w:val="006A74B6"/>
    <w:rsid w:val="006E0D06"/>
    <w:rsid w:val="006E3575"/>
    <w:rsid w:val="006E62F0"/>
    <w:rsid w:val="007119D8"/>
    <w:rsid w:val="00731DD9"/>
    <w:rsid w:val="00743059"/>
    <w:rsid w:val="007532AB"/>
    <w:rsid w:val="007E1675"/>
    <w:rsid w:val="007E72DE"/>
    <w:rsid w:val="007F7129"/>
    <w:rsid w:val="00832DB4"/>
    <w:rsid w:val="00853ECF"/>
    <w:rsid w:val="00875064"/>
    <w:rsid w:val="00890903"/>
    <w:rsid w:val="00892856"/>
    <w:rsid w:val="008A6164"/>
    <w:rsid w:val="008B1617"/>
    <w:rsid w:val="008E41F1"/>
    <w:rsid w:val="008F4C42"/>
    <w:rsid w:val="00902A25"/>
    <w:rsid w:val="00914128"/>
    <w:rsid w:val="009B6746"/>
    <w:rsid w:val="009E3DA4"/>
    <w:rsid w:val="00A36457"/>
    <w:rsid w:val="00A36A3C"/>
    <w:rsid w:val="00A80C10"/>
    <w:rsid w:val="00B23F9B"/>
    <w:rsid w:val="00B37722"/>
    <w:rsid w:val="00B567C1"/>
    <w:rsid w:val="00B670CB"/>
    <w:rsid w:val="00B70D68"/>
    <w:rsid w:val="00B72D6B"/>
    <w:rsid w:val="00B937E4"/>
    <w:rsid w:val="00BA7F92"/>
    <w:rsid w:val="00BE2B09"/>
    <w:rsid w:val="00BE654D"/>
    <w:rsid w:val="00C27CE4"/>
    <w:rsid w:val="00C40968"/>
    <w:rsid w:val="00C60E95"/>
    <w:rsid w:val="00C70B67"/>
    <w:rsid w:val="00C84E71"/>
    <w:rsid w:val="00CA41CC"/>
    <w:rsid w:val="00CC1AC8"/>
    <w:rsid w:val="00CC6A95"/>
    <w:rsid w:val="00CC7E17"/>
    <w:rsid w:val="00CD4A7D"/>
    <w:rsid w:val="00CE593D"/>
    <w:rsid w:val="00D06D8D"/>
    <w:rsid w:val="00D333AA"/>
    <w:rsid w:val="00DB2C90"/>
    <w:rsid w:val="00DC63A9"/>
    <w:rsid w:val="00DC66A6"/>
    <w:rsid w:val="00DE2930"/>
    <w:rsid w:val="00DF3BF1"/>
    <w:rsid w:val="00E058BA"/>
    <w:rsid w:val="00E87C31"/>
    <w:rsid w:val="00E970B9"/>
    <w:rsid w:val="00EC7C98"/>
    <w:rsid w:val="00ED7176"/>
    <w:rsid w:val="00F764F4"/>
    <w:rsid w:val="00FA7AB0"/>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2020-12-05T15:55:00Z</dcterms:created>
  <dcterms:modified xsi:type="dcterms:W3CDTF">2020-12-05T15:55:00Z</dcterms:modified>
</cp:coreProperties>
</file>