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475BB" w14:textId="5690D2CB" w:rsidR="00CA41CC" w:rsidRPr="00914128" w:rsidRDefault="0068336D" w:rsidP="00914128">
      <w:pPr>
        <w:pStyle w:val="Heading1"/>
      </w:pPr>
      <w:bookmarkStart w:id="0" w:name="_GoBack"/>
      <w:bookmarkEnd w:id="0"/>
      <w:r>
        <w:t xml:space="preserve">CHAPTER </w:t>
      </w:r>
      <w:r w:rsidR="00DC2F89">
        <w:t>26</w:t>
      </w:r>
    </w:p>
    <w:p w14:paraId="23E577DA" w14:textId="77777777" w:rsidR="00EC7C98" w:rsidRPr="00914128" w:rsidRDefault="009C22FE" w:rsidP="00914128">
      <w:pPr>
        <w:pStyle w:val="Heading1"/>
      </w:pPr>
      <w:r w:rsidRPr="009C22FE">
        <w:t>BREACH OF FIDUCIARY DUTY</w:t>
      </w:r>
    </w:p>
    <w:p w14:paraId="3533B5D8" w14:textId="77777777" w:rsidR="00EC7C98" w:rsidRDefault="00514DC0" w:rsidP="00914128">
      <w:pPr>
        <w:pStyle w:val="ToC"/>
      </w:pPr>
      <w:hyperlink w:anchor="a26_01" w:history="1">
        <w:r w:rsidR="009C22FE" w:rsidRPr="00D9448D">
          <w:rPr>
            <w:rStyle w:val="Hyperlink"/>
          </w:rPr>
          <w:t>26:1</w:t>
        </w:r>
      </w:hyperlink>
      <w:r w:rsidR="009C22FE" w:rsidRPr="00D9448D">
        <w:t xml:space="preserve"> </w:t>
      </w:r>
      <w:r w:rsidR="009C22FE" w:rsidRPr="00D9448D">
        <w:tab/>
        <w:t xml:space="preserve">Elements </w:t>
      </w:r>
      <w:r w:rsidR="009C22FE">
        <w:t>o</w:t>
      </w:r>
      <w:r w:rsidR="009C22FE" w:rsidRPr="00D9448D">
        <w:t>f Liability</w:t>
      </w:r>
    </w:p>
    <w:p w14:paraId="1BD3FC88" w14:textId="77777777" w:rsidR="00D9448D" w:rsidRDefault="00514DC0" w:rsidP="00914128">
      <w:pPr>
        <w:pStyle w:val="ToC"/>
      </w:pPr>
      <w:hyperlink w:anchor="a26_02" w:history="1">
        <w:r w:rsidR="009C22FE" w:rsidRPr="00D9448D">
          <w:rPr>
            <w:rStyle w:val="Hyperlink"/>
          </w:rPr>
          <w:t>26:2</w:t>
        </w:r>
      </w:hyperlink>
      <w:r w:rsidR="009C22FE" w:rsidRPr="00D9448D">
        <w:t xml:space="preserve"> </w:t>
      </w:r>
      <w:r w:rsidR="009C22FE" w:rsidRPr="00D9448D">
        <w:tab/>
        <w:t xml:space="preserve">Fiduciary </w:t>
      </w:r>
      <w:proofErr w:type="gramStart"/>
      <w:r w:rsidR="009C22FE" w:rsidRPr="00D9448D">
        <w:t>Relationship</w:t>
      </w:r>
      <w:proofErr w:type="gramEnd"/>
      <w:r w:rsidR="009C22FE" w:rsidRPr="00D9448D">
        <w:t xml:space="preserve"> — Defined</w:t>
      </w:r>
    </w:p>
    <w:p w14:paraId="2E8BB7D0" w14:textId="77777777" w:rsidR="00D9448D" w:rsidRDefault="00514DC0" w:rsidP="00914128">
      <w:pPr>
        <w:pStyle w:val="ToC"/>
      </w:pPr>
      <w:hyperlink w:anchor="a26_03" w:history="1">
        <w:r w:rsidR="009C22FE" w:rsidRPr="00D9448D">
          <w:rPr>
            <w:rStyle w:val="Hyperlink"/>
          </w:rPr>
          <w:t>26:3</w:t>
        </w:r>
      </w:hyperlink>
      <w:r w:rsidR="009C22FE" w:rsidRPr="00D9448D">
        <w:t xml:space="preserve"> </w:t>
      </w:r>
      <w:r w:rsidR="009C22FE" w:rsidRPr="00D9448D">
        <w:tab/>
        <w:t xml:space="preserve">Fiduciary </w:t>
      </w:r>
      <w:proofErr w:type="gramStart"/>
      <w:r w:rsidR="009C22FE" w:rsidRPr="00D9448D">
        <w:t>Relationship</w:t>
      </w:r>
      <w:proofErr w:type="gramEnd"/>
      <w:r w:rsidR="009C22FE" w:rsidRPr="00D9448D">
        <w:t xml:space="preserve"> Arising Out </w:t>
      </w:r>
      <w:r w:rsidR="009C22FE">
        <w:t>o</w:t>
      </w:r>
      <w:r w:rsidR="009C22FE" w:rsidRPr="00D9448D">
        <w:t xml:space="preserve">f </w:t>
      </w:r>
      <w:r w:rsidR="009C22FE">
        <w:t>a</w:t>
      </w:r>
      <w:r w:rsidR="009C22FE" w:rsidRPr="00D9448D">
        <w:t xml:space="preserve"> Confidential Relationship</w:t>
      </w:r>
    </w:p>
    <w:p w14:paraId="41176833" w14:textId="77777777" w:rsidR="00D9448D" w:rsidRDefault="00514DC0" w:rsidP="00914128">
      <w:pPr>
        <w:pStyle w:val="ToC"/>
      </w:pPr>
      <w:hyperlink w:anchor="a26_04" w:history="1">
        <w:r w:rsidR="009C22FE" w:rsidRPr="00D9448D">
          <w:rPr>
            <w:rStyle w:val="Hyperlink"/>
          </w:rPr>
          <w:t>26:4</w:t>
        </w:r>
      </w:hyperlink>
      <w:r w:rsidR="009C22FE" w:rsidRPr="00D9448D">
        <w:t xml:space="preserve"> </w:t>
      </w:r>
      <w:r w:rsidR="009C22FE" w:rsidRPr="00D9448D">
        <w:tab/>
        <w:t xml:space="preserve">Confidential </w:t>
      </w:r>
      <w:proofErr w:type="gramStart"/>
      <w:r w:rsidR="009C22FE" w:rsidRPr="00D9448D">
        <w:t>Relationship</w:t>
      </w:r>
      <w:proofErr w:type="gramEnd"/>
      <w:r w:rsidR="009C22FE" w:rsidRPr="00D9448D">
        <w:t xml:space="preserve"> — Defined</w:t>
      </w:r>
    </w:p>
    <w:p w14:paraId="3A054ADD" w14:textId="77777777" w:rsidR="00D9448D" w:rsidRDefault="00514DC0" w:rsidP="00914128">
      <w:pPr>
        <w:pStyle w:val="ToC"/>
      </w:pPr>
      <w:hyperlink w:anchor="a26_05" w:history="1">
        <w:r w:rsidR="009C22FE" w:rsidRPr="00485635">
          <w:rPr>
            <w:rStyle w:val="Hyperlink"/>
          </w:rPr>
          <w:t>26:5</w:t>
        </w:r>
      </w:hyperlink>
      <w:r w:rsidR="009C22FE" w:rsidRPr="00485635">
        <w:t xml:space="preserve"> </w:t>
      </w:r>
      <w:r w:rsidR="009C22FE" w:rsidRPr="00485635">
        <w:tab/>
        <w:t>Actual Damages</w:t>
      </w:r>
    </w:p>
    <w:p w14:paraId="7815CE0F" w14:textId="77777777" w:rsidR="00352111" w:rsidRPr="00352111" w:rsidRDefault="00352111">
      <w:pPr>
        <w:rPr>
          <w:rFonts w:eastAsia="Times New Roman"/>
          <w:sz w:val="24"/>
          <w:szCs w:val="24"/>
        </w:rPr>
      </w:pPr>
      <w:r w:rsidRPr="00352111">
        <w:rPr>
          <w:rFonts w:eastAsia="Times New Roman"/>
          <w:sz w:val="24"/>
          <w:szCs w:val="24"/>
        </w:rPr>
        <w:br w:type="page"/>
      </w:r>
    </w:p>
    <w:p w14:paraId="778F041E" w14:textId="77777777" w:rsidR="009E3DA4" w:rsidRPr="009E3DA4" w:rsidRDefault="00DC2F89" w:rsidP="00CC0502">
      <w:pPr>
        <w:spacing w:after="240"/>
        <w:ind w:left="720" w:hanging="720"/>
        <w:rPr>
          <w:rFonts w:eastAsia="Times New Roman"/>
          <w:b/>
          <w:sz w:val="24"/>
          <w:szCs w:val="24"/>
        </w:rPr>
      </w:pPr>
      <w:bookmarkStart w:id="1" w:name="a26_01"/>
      <w:bookmarkEnd w:id="1"/>
      <w:r w:rsidRPr="00DC2F89">
        <w:rPr>
          <w:rFonts w:eastAsia="Times New Roman"/>
          <w:b/>
          <w:sz w:val="24"/>
          <w:szCs w:val="24"/>
        </w:rPr>
        <w:lastRenderedPageBreak/>
        <w:t xml:space="preserve">26:1 </w:t>
      </w:r>
      <w:r w:rsidRPr="00DC2F89">
        <w:rPr>
          <w:rFonts w:eastAsia="Times New Roman"/>
          <w:b/>
          <w:sz w:val="24"/>
          <w:szCs w:val="24"/>
        </w:rPr>
        <w:tab/>
        <w:t>ELEMENTS OF LIABILITY</w:t>
      </w:r>
    </w:p>
    <w:p w14:paraId="449DD7AD"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For the plaintiff, </w:t>
      </w:r>
      <w:r w:rsidRPr="00DC2F89">
        <w:rPr>
          <w:rFonts w:eastAsia="Times New Roman"/>
          <w:i/>
          <w:sz w:val="24"/>
          <w:szCs w:val="24"/>
        </w:rPr>
        <w:t>(name)</w:t>
      </w:r>
      <w:r w:rsidRPr="00DC2F89">
        <w:rPr>
          <w:rFonts w:eastAsia="Times New Roman"/>
          <w:b/>
          <w:sz w:val="24"/>
          <w:szCs w:val="24"/>
        </w:rPr>
        <w:t xml:space="preserve">, to recover from the defendant, </w:t>
      </w:r>
      <w:r w:rsidRPr="00DC2F89">
        <w:rPr>
          <w:rFonts w:eastAsia="Times New Roman"/>
          <w:i/>
          <w:sz w:val="24"/>
          <w:szCs w:val="24"/>
        </w:rPr>
        <w:t>(name)</w:t>
      </w:r>
      <w:r w:rsidRPr="00DC2F89">
        <w:rPr>
          <w:rFonts w:eastAsia="Times New Roman"/>
          <w:b/>
          <w:sz w:val="24"/>
          <w:szCs w:val="24"/>
        </w:rPr>
        <w:t>, on (his) (her) claim of breach of fiduciary duty, you must find that all of the following have been proved by a preponderance of the evidence:</w:t>
      </w:r>
    </w:p>
    <w:p w14:paraId="7667ED86"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1. The defendant was acting as a fiduciary of the plaintiff with respect to </w:t>
      </w:r>
      <w:r w:rsidRPr="00DC2F89">
        <w:rPr>
          <w:rFonts w:eastAsia="Times New Roman"/>
          <w:i/>
          <w:sz w:val="24"/>
          <w:szCs w:val="24"/>
        </w:rPr>
        <w:t>(insert appropriate description of the subject matter, e.g., “sale of plaintiff’s house”)</w:t>
      </w:r>
      <w:r w:rsidRPr="00DC2F89">
        <w:rPr>
          <w:rFonts w:eastAsia="Times New Roman"/>
          <w:b/>
          <w:sz w:val="24"/>
          <w:szCs w:val="24"/>
        </w:rPr>
        <w:t>;</w:t>
      </w:r>
    </w:p>
    <w:p w14:paraId="0C101A2E"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2. The defendant breached a fiduciary duty to the plaintiff;</w:t>
      </w:r>
    </w:p>
    <w:p w14:paraId="60C90AC9"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3. The plaintiff had (injuries) (damages) (losses); and</w:t>
      </w:r>
    </w:p>
    <w:p w14:paraId="1BAFA414"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4. The defendant’s breach of fiduciary duty was a cause of the plaintiff’s (injuries) (damages) (losses).</w:t>
      </w:r>
    </w:p>
    <w:p w14:paraId="3C364BB0"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If you find that any one or more of these </w:t>
      </w:r>
      <w:r w:rsidRPr="00DC2F89">
        <w:rPr>
          <w:rFonts w:eastAsia="Times New Roman"/>
          <w:i/>
          <w:sz w:val="24"/>
          <w:szCs w:val="24"/>
        </w:rPr>
        <w:t>(number)</w:t>
      </w:r>
      <w:r w:rsidRPr="00DC2F89">
        <w:rPr>
          <w:rFonts w:eastAsia="Times New Roman"/>
          <w:b/>
          <w:sz w:val="24"/>
          <w:szCs w:val="24"/>
        </w:rPr>
        <w:t xml:space="preserve"> statements has not been proved, then your verdict must be for the defendant.</w:t>
      </w:r>
    </w:p>
    <w:p w14:paraId="0A02702A"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 xml:space="preserve">On the other hand, if you find that all of these </w:t>
      </w:r>
      <w:r w:rsidRPr="00DC2F89">
        <w:rPr>
          <w:rFonts w:eastAsia="Times New Roman"/>
          <w:i/>
          <w:sz w:val="24"/>
          <w:szCs w:val="24"/>
        </w:rPr>
        <w:t>(number)</w:t>
      </w:r>
      <w:r w:rsidRPr="00DC2F89">
        <w:rPr>
          <w:rFonts w:eastAsia="Times New Roman"/>
          <w:b/>
          <w:sz w:val="24"/>
          <w:szCs w:val="24"/>
        </w:rPr>
        <w:t xml:space="preserve"> statements have been proved, (then your verdict must be for the plaintiff) (then you must consider the defendant’s affirmative defense(s) of </w:t>
      </w:r>
      <w:r w:rsidRPr="00DC2F89">
        <w:rPr>
          <w:rFonts w:eastAsia="Times New Roman"/>
          <w:i/>
          <w:sz w:val="24"/>
          <w:szCs w:val="24"/>
        </w:rPr>
        <w:t>[insert any affirmative defense that would be a complete defense to plaintiff’s claim]</w:t>
      </w:r>
      <w:r w:rsidRPr="00DC2F89">
        <w:rPr>
          <w:rFonts w:eastAsia="Times New Roman"/>
          <w:b/>
          <w:sz w:val="24"/>
          <w:szCs w:val="24"/>
        </w:rPr>
        <w:t>).</w:t>
      </w:r>
    </w:p>
    <w:p w14:paraId="1A95AAD7"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AC7BAB1" w14:textId="77777777" w:rsidR="00DC2F89" w:rsidRPr="00DC2F89" w:rsidRDefault="00DC2F89" w:rsidP="00DC2F89">
      <w:pPr>
        <w:spacing w:after="240"/>
        <w:ind w:firstLine="720"/>
        <w:rPr>
          <w:rFonts w:eastAsia="Times New Roman"/>
          <w:b/>
          <w:sz w:val="24"/>
          <w:szCs w:val="24"/>
        </w:rPr>
      </w:pPr>
      <w:r w:rsidRPr="00DC2F89">
        <w:rPr>
          <w:rFonts w:eastAsia="Times New Roman"/>
          <w:b/>
          <w:sz w:val="24"/>
          <w:szCs w:val="24"/>
        </w:rPr>
        <w:t>However, if you find that (this affirmative defense has not) (none of these affirmative defenses have) been proved, then your verdict must be for the plaintiff.</w:t>
      </w:r>
    </w:p>
    <w:p w14:paraId="5B52082B" w14:textId="77777777" w:rsidR="00832DB4" w:rsidRDefault="00832DB4" w:rsidP="0054263B">
      <w:pPr>
        <w:jc w:val="center"/>
        <w:rPr>
          <w:rFonts w:eastAsia="Times New Roman"/>
          <w:sz w:val="24"/>
          <w:szCs w:val="24"/>
        </w:rPr>
      </w:pPr>
    </w:p>
    <w:p w14:paraId="75103AC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AACBADE"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1. Omit any numbered paragraph the facts of which are not in dispute.</w:t>
      </w:r>
    </w:p>
    <w:p w14:paraId="1F899BCF"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2. In cases involving multiple defendants or designated nonparties where the pro rata liability statute, § 13-21-111.5, C.R.S., is applicable, see </w:t>
      </w:r>
      <w:r w:rsidR="00DD77BF">
        <w:rPr>
          <w:rFonts w:eastAsia="Times New Roman"/>
          <w:sz w:val="24"/>
          <w:szCs w:val="24"/>
        </w:rPr>
        <w:t xml:space="preserve">the </w:t>
      </w:r>
      <w:r w:rsidRPr="00DC2F89">
        <w:rPr>
          <w:rFonts w:eastAsia="Times New Roman"/>
          <w:sz w:val="24"/>
          <w:szCs w:val="24"/>
        </w:rPr>
        <w:t>Notes on Use to Instruction 4:20.</w:t>
      </w:r>
    </w:p>
    <w:p w14:paraId="7D2B20C6"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3. When the court directs a verdict as to the existence of a fiduciary relationship and the subject matter of such a relationship, this instruction should be modified according to Note on Use 5 of this instruction. </w:t>
      </w:r>
      <w:proofErr w:type="gramStart"/>
      <w:r w:rsidRPr="007A1E8C">
        <w:rPr>
          <w:rFonts w:eastAsia="Times New Roman"/>
          <w:i/>
          <w:sz w:val="24"/>
          <w:szCs w:val="24"/>
        </w:rPr>
        <w:t>See</w:t>
      </w:r>
      <w:r w:rsidRPr="00DC2F89">
        <w:rPr>
          <w:rFonts w:eastAsia="Times New Roman"/>
          <w:sz w:val="24"/>
          <w:szCs w:val="24"/>
        </w:rPr>
        <w:t xml:space="preserve"> </w:t>
      </w:r>
      <w:r w:rsidRPr="00DC2F89">
        <w:rPr>
          <w:rFonts w:eastAsia="Times New Roman"/>
          <w:b/>
          <w:sz w:val="24"/>
          <w:szCs w:val="24"/>
        </w:rPr>
        <w:t>Paine, Webber, Jackson &amp; Curtis, Inc. v. Adams</w:t>
      </w:r>
      <w:r w:rsidRPr="00DC2F89">
        <w:rPr>
          <w:rFonts w:eastAsia="Times New Roman"/>
          <w:sz w:val="24"/>
          <w:szCs w:val="24"/>
        </w:rPr>
        <w:t>, 718 P.2d 508 (Colo. 1986).</w:t>
      </w:r>
      <w:proofErr w:type="gramEnd"/>
    </w:p>
    <w:p w14:paraId="7A953E31"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4. Although the second element requires that the defendant breach a fiduciary duty owed to the plaintiff, the Colorado Court of Appeals in </w:t>
      </w:r>
      <w:r w:rsidRPr="00DC2F89">
        <w:rPr>
          <w:rFonts w:eastAsia="Times New Roman"/>
          <w:b/>
          <w:sz w:val="24"/>
          <w:szCs w:val="24"/>
        </w:rPr>
        <w:t>Taylor v. Taylor</w:t>
      </w:r>
      <w:r w:rsidRPr="00DC2F89">
        <w:rPr>
          <w:rFonts w:eastAsia="Times New Roman"/>
          <w:sz w:val="24"/>
          <w:szCs w:val="24"/>
        </w:rPr>
        <w:t xml:space="preserve">, 2016 COA 100, </w:t>
      </w:r>
      <w:r w:rsidR="00AF1706">
        <w:rPr>
          <w:rFonts w:eastAsia="Times New Roman"/>
          <w:sz w:val="24"/>
          <w:szCs w:val="24"/>
        </w:rPr>
        <w:t xml:space="preserve">381 P.3d 428, </w:t>
      </w:r>
      <w:r w:rsidRPr="00DC2F89">
        <w:rPr>
          <w:rFonts w:eastAsia="Times New Roman"/>
          <w:sz w:val="24"/>
          <w:szCs w:val="24"/>
        </w:rPr>
        <w:t xml:space="preserve">concluded that a plaintiff may maintain a breach of fiduciary duty claim where the fiduciary duty is owed to a third party so long as the plaintiff can establish standing. </w:t>
      </w:r>
      <w:r w:rsidRPr="00DC2F89">
        <w:rPr>
          <w:rFonts w:eastAsia="Times New Roman"/>
          <w:i/>
          <w:sz w:val="24"/>
          <w:szCs w:val="24"/>
        </w:rPr>
        <w:t>See</w:t>
      </w:r>
      <w:r w:rsidRPr="00DC2F89">
        <w:rPr>
          <w:rFonts w:eastAsia="Times New Roman"/>
          <w:b/>
          <w:sz w:val="24"/>
          <w:szCs w:val="24"/>
        </w:rPr>
        <w:t xml:space="preserve"> Taylor</w:t>
      </w:r>
      <w:r w:rsidRPr="00DC2F89">
        <w:rPr>
          <w:rFonts w:eastAsia="Times New Roman"/>
          <w:sz w:val="24"/>
          <w:szCs w:val="24"/>
        </w:rPr>
        <w:t xml:space="preserve">, ¶¶ 14-25 </w:t>
      </w:r>
      <w:r w:rsidRPr="00DC2F89">
        <w:rPr>
          <w:rFonts w:eastAsia="Times New Roman"/>
          <w:sz w:val="24"/>
          <w:szCs w:val="24"/>
        </w:rPr>
        <w:lastRenderedPageBreak/>
        <w:t xml:space="preserve">(holding that settlor’s children had standing to bring action against trustee for breach of fiduciary duty even though trustee’s fiduciary duty was owed to the settlor and not to the children). </w:t>
      </w:r>
      <w:r w:rsidRPr="00DC2F89">
        <w:rPr>
          <w:rFonts w:eastAsia="Times New Roman"/>
          <w:i/>
          <w:sz w:val="24"/>
          <w:szCs w:val="24"/>
        </w:rPr>
        <w:t xml:space="preserve">But cf. </w:t>
      </w:r>
      <w:r w:rsidRPr="00DC2F89">
        <w:rPr>
          <w:rFonts w:eastAsia="Times New Roman"/>
          <w:b/>
          <w:sz w:val="24"/>
          <w:szCs w:val="24"/>
        </w:rPr>
        <w:t>Baker v. Wood, Ris &amp; Hames, P.C.</w:t>
      </w:r>
      <w:r w:rsidRPr="00DC2F89">
        <w:rPr>
          <w:rFonts w:eastAsia="Times New Roman"/>
          <w:sz w:val="24"/>
          <w:szCs w:val="24"/>
        </w:rPr>
        <w:t xml:space="preserve">, 2016 CO 5, ¶¶ 20-35, 364 P.3d 872 (declining to extend liability of a testator’s attorney to non-client beneficiaries, except where the attorney has committed fraud or a malicious or tortious act, including negligent misrepresentation). Accordingly, where the court has concluded that a plaintiff has standing to pursue a breach of fiduciary duty claim in circumstances in which the fiduciary duty was owed to a third </w:t>
      </w:r>
      <w:proofErr w:type="gramStart"/>
      <w:r w:rsidRPr="00DC2F89">
        <w:rPr>
          <w:rFonts w:eastAsia="Times New Roman"/>
          <w:sz w:val="24"/>
          <w:szCs w:val="24"/>
        </w:rPr>
        <w:t>party,</w:t>
      </w:r>
      <w:proofErr w:type="gramEnd"/>
      <w:r w:rsidRPr="00DC2F89">
        <w:rPr>
          <w:rFonts w:eastAsia="Times New Roman"/>
          <w:sz w:val="24"/>
          <w:szCs w:val="24"/>
        </w:rPr>
        <w:t xml:space="preserve"> this element of the instruction should be modified accordingly.</w:t>
      </w:r>
    </w:p>
    <w:p w14:paraId="4A7FDE27"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5. If there is a dispute as to whether the defendant was acting as a fiduciary of the plaintiff, Instruction 26:2 or 26:3 should be given with this instruction together with any additional instructions that may be required, e.g., Instruction 8:1, defining “agent” and “principal.” If there is no such dispute, the first numbered paragraph should be omitted, the jury should be instructed that a fiduciary relationship existed between the parties, and only the first sentence of Instruction 26:2 should be given in order to define the fiduciary relationship.</w:t>
      </w:r>
    </w:p>
    <w:p w14:paraId="267A5DDA"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6. Appropriate instructions defining other terms used in this instruction must also be given, </w:t>
      </w:r>
      <w:r w:rsidR="00DD77BF">
        <w:rPr>
          <w:rFonts w:eastAsia="Times New Roman"/>
          <w:sz w:val="24"/>
          <w:szCs w:val="24"/>
        </w:rPr>
        <w:t>for example</w:t>
      </w:r>
      <w:r w:rsidRPr="00DC2F89">
        <w:rPr>
          <w:rFonts w:eastAsia="Times New Roman"/>
          <w:sz w:val="24"/>
          <w:szCs w:val="24"/>
        </w:rPr>
        <w:t xml:space="preserve">, an instruction or instructions relating to causation. </w:t>
      </w:r>
      <w:r w:rsidRPr="00DC2F89">
        <w:rPr>
          <w:rFonts w:eastAsia="Times New Roman"/>
          <w:i/>
          <w:sz w:val="24"/>
          <w:szCs w:val="24"/>
        </w:rPr>
        <w:t>See</w:t>
      </w:r>
      <w:r w:rsidRPr="00DC2F89">
        <w:rPr>
          <w:rFonts w:eastAsia="Times New Roman"/>
          <w:sz w:val="24"/>
          <w:szCs w:val="24"/>
        </w:rPr>
        <w:t xml:space="preserve"> Instructions 9:18 </w:t>
      </w:r>
      <w:r w:rsidR="00DD77BF">
        <w:t>–</w:t>
      </w:r>
      <w:r w:rsidRPr="00DC2F89">
        <w:rPr>
          <w:rFonts w:eastAsia="Times New Roman"/>
          <w:sz w:val="24"/>
          <w:szCs w:val="24"/>
        </w:rPr>
        <w:t xml:space="preserve"> 9:21.</w:t>
      </w:r>
    </w:p>
    <w:p w14:paraId="3F6F4C50"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7. Use whichever parenthesized words are appropriate.</w:t>
      </w:r>
    </w:p>
    <w:p w14:paraId="2BCF63EB"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8. If the defendant has put no affirmative defense in issue or there is insufficient evidence to support a defense, the last two paragraphs should be omitted.</w:t>
      </w:r>
    </w:p>
    <w:p w14:paraId="4E38F374"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9. Though mitigation of damages is an affirmative defense</w:t>
      </w:r>
      <w:r w:rsidR="00DD77BF">
        <w:rPr>
          <w:rFonts w:eastAsia="Times New Roman"/>
          <w:sz w:val="24"/>
          <w:szCs w:val="24"/>
        </w:rPr>
        <w:t>,</w:t>
      </w:r>
      <w:r w:rsidRPr="00DC2F89">
        <w:rPr>
          <w:rFonts w:eastAsia="Times New Roman"/>
          <w:sz w:val="24"/>
          <w:szCs w:val="24"/>
        </w:rPr>
        <w:t xml:space="preserve"> </w:t>
      </w:r>
      <w:r w:rsidRPr="007A1E8C">
        <w:rPr>
          <w:rFonts w:eastAsia="Times New Roman"/>
          <w:i/>
          <w:sz w:val="24"/>
          <w:szCs w:val="24"/>
        </w:rPr>
        <w:t>see</w:t>
      </w:r>
      <w:r w:rsidR="007A1E8C">
        <w:rPr>
          <w:rFonts w:eastAsia="Times New Roman"/>
          <w:sz w:val="24"/>
          <w:szCs w:val="24"/>
        </w:rPr>
        <w:t xml:space="preserve"> Instruction 5:2</w:t>
      </w:r>
      <w:r w:rsidRPr="00DC2F89">
        <w:rPr>
          <w:rFonts w:eastAsia="Times New Roman"/>
          <w:sz w:val="24"/>
          <w:szCs w:val="24"/>
        </w:rPr>
        <w:t>,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9E0951C" w14:textId="77777777" w:rsidR="00DC2F89" w:rsidRDefault="00DC2F89" w:rsidP="00DC2F89">
      <w:pPr>
        <w:spacing w:after="240"/>
        <w:ind w:firstLine="720"/>
        <w:rPr>
          <w:rFonts w:eastAsia="Times New Roman"/>
          <w:sz w:val="24"/>
          <w:szCs w:val="24"/>
        </w:rPr>
      </w:pPr>
      <w:r w:rsidRPr="00DC2F89">
        <w:rPr>
          <w:rFonts w:eastAsia="Times New Roman"/>
          <w:sz w:val="24"/>
          <w:szCs w:val="24"/>
        </w:rPr>
        <w:t>10. If plaintiff is alleging the existence of a fiduciary duty arising out of a confidential relationship, Instructions 26:3 and 26:4 should be given with this instruction.</w:t>
      </w:r>
    </w:p>
    <w:p w14:paraId="37C5498F" w14:textId="4593292E" w:rsidR="00806F39" w:rsidRPr="00DC2F89" w:rsidRDefault="00806F39" w:rsidP="00DC2F89">
      <w:pPr>
        <w:spacing w:after="240"/>
        <w:ind w:firstLine="720"/>
        <w:rPr>
          <w:rFonts w:eastAsia="Times New Roman"/>
          <w:sz w:val="24"/>
          <w:szCs w:val="24"/>
        </w:rPr>
      </w:pPr>
      <w:r>
        <w:rPr>
          <w:rFonts w:eastAsia="Times New Roman"/>
          <w:sz w:val="24"/>
          <w:szCs w:val="24"/>
        </w:rPr>
        <w:t>11</w:t>
      </w:r>
      <w:r w:rsidRPr="00DC2F89">
        <w:rPr>
          <w:rFonts w:eastAsia="Times New Roman"/>
          <w:sz w:val="24"/>
          <w:szCs w:val="24"/>
        </w:rPr>
        <w:t xml:space="preserve">. This instruction does not apply to claims for relief that are equitable rather than legal. </w:t>
      </w:r>
      <w:r w:rsidRPr="00DC2F89">
        <w:rPr>
          <w:rFonts w:eastAsia="Times New Roman"/>
          <w:i/>
          <w:sz w:val="24"/>
          <w:szCs w:val="24"/>
        </w:rPr>
        <w:t xml:space="preserve">Compare </w:t>
      </w:r>
      <w:r w:rsidRPr="00DC2F89">
        <w:rPr>
          <w:rFonts w:eastAsia="Times New Roman"/>
          <w:b/>
          <w:sz w:val="24"/>
          <w:szCs w:val="24"/>
        </w:rPr>
        <w:t>Kaitz v. Dist</w:t>
      </w:r>
      <w:r>
        <w:rPr>
          <w:rFonts w:eastAsia="Times New Roman"/>
          <w:b/>
          <w:sz w:val="24"/>
          <w:szCs w:val="24"/>
        </w:rPr>
        <w:t>.</w:t>
      </w:r>
      <w:r w:rsidRPr="00DC2F89">
        <w:rPr>
          <w:rFonts w:eastAsia="Times New Roman"/>
          <w:b/>
          <w:sz w:val="24"/>
          <w:szCs w:val="24"/>
        </w:rPr>
        <w:t xml:space="preserve"> Court</w:t>
      </w:r>
      <w:r w:rsidRPr="00DC2F89">
        <w:rPr>
          <w:rFonts w:eastAsia="Times New Roman"/>
          <w:sz w:val="24"/>
          <w:szCs w:val="24"/>
        </w:rPr>
        <w:t xml:space="preserve">, 650 P.2d 553 (Colo. 1982), </w:t>
      </w:r>
      <w:r w:rsidRPr="00DC2F89">
        <w:rPr>
          <w:rFonts w:eastAsia="Times New Roman"/>
          <w:i/>
          <w:sz w:val="24"/>
          <w:szCs w:val="24"/>
        </w:rPr>
        <w:t>with</w:t>
      </w:r>
      <w:r w:rsidRPr="00DC2F89">
        <w:rPr>
          <w:rFonts w:eastAsia="Times New Roman"/>
          <w:sz w:val="24"/>
          <w:szCs w:val="24"/>
        </w:rPr>
        <w:t xml:space="preserve"> </w:t>
      </w:r>
      <w:r w:rsidRPr="00DC2F89">
        <w:rPr>
          <w:rFonts w:eastAsia="Times New Roman"/>
          <w:b/>
          <w:sz w:val="24"/>
          <w:szCs w:val="24"/>
        </w:rPr>
        <w:t>Paine, Webber, Jackson &amp; Curtis</w:t>
      </w:r>
      <w:r w:rsidRPr="00DC2F89">
        <w:rPr>
          <w:rFonts w:eastAsia="Times New Roman"/>
          <w:sz w:val="24"/>
          <w:szCs w:val="24"/>
        </w:rPr>
        <w:t>,</w:t>
      </w:r>
      <w:r w:rsidRPr="00DC2F89">
        <w:rPr>
          <w:rFonts w:eastAsia="Times New Roman"/>
          <w:b/>
          <w:sz w:val="24"/>
          <w:szCs w:val="24"/>
        </w:rPr>
        <w:t xml:space="preserve"> </w:t>
      </w:r>
      <w:r w:rsidRPr="00DC2F89">
        <w:rPr>
          <w:rFonts w:eastAsia="Times New Roman"/>
          <w:sz w:val="24"/>
          <w:szCs w:val="24"/>
        </w:rPr>
        <w:t xml:space="preserve">718 P.2d </w:t>
      </w:r>
      <w:r>
        <w:rPr>
          <w:rFonts w:eastAsia="Times New Roman"/>
          <w:sz w:val="24"/>
          <w:szCs w:val="24"/>
        </w:rPr>
        <w:t>at 513-14</w:t>
      </w:r>
      <w:r w:rsidRPr="00DC2F89">
        <w:rPr>
          <w:rFonts w:eastAsia="Times New Roman"/>
          <w:sz w:val="24"/>
          <w:szCs w:val="24"/>
        </w:rPr>
        <w:t xml:space="preserve">.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Mahoney Mktg. Corp.</w:t>
      </w:r>
      <w:r>
        <w:rPr>
          <w:rFonts w:eastAsia="Times New Roman"/>
          <w:b/>
          <w:sz w:val="24"/>
          <w:szCs w:val="24"/>
        </w:rPr>
        <w:t xml:space="preserve"> v. Sentry Builders</w:t>
      </w:r>
      <w:r w:rsidRPr="00DC2F89">
        <w:rPr>
          <w:rFonts w:eastAsia="Times New Roman"/>
          <w:sz w:val="24"/>
          <w:szCs w:val="24"/>
        </w:rPr>
        <w:t xml:space="preserve">, 697 P.2d </w:t>
      </w:r>
      <w:r>
        <w:rPr>
          <w:rFonts w:eastAsia="Times New Roman"/>
          <w:sz w:val="24"/>
          <w:szCs w:val="24"/>
        </w:rPr>
        <w:t>1139,</w:t>
      </w:r>
      <w:r w:rsidRPr="00DC2F89">
        <w:rPr>
          <w:rFonts w:eastAsia="Times New Roman"/>
          <w:sz w:val="24"/>
          <w:szCs w:val="24"/>
        </w:rPr>
        <w:t xml:space="preserve"> 1140 </w:t>
      </w:r>
      <w:r>
        <w:rPr>
          <w:rFonts w:eastAsia="Times New Roman"/>
          <w:sz w:val="24"/>
          <w:szCs w:val="24"/>
        </w:rPr>
        <w:t xml:space="preserve">(Colo. App. 1985) </w:t>
      </w:r>
      <w:r w:rsidRPr="00DC2F89">
        <w:rPr>
          <w:rFonts w:eastAsia="Times New Roman"/>
          <w:sz w:val="24"/>
          <w:szCs w:val="24"/>
        </w:rPr>
        <w:t>(“</w:t>
      </w:r>
      <w:r w:rsidR="00BA7563">
        <w:rPr>
          <w:rFonts w:eastAsia="Times New Roman"/>
          <w:sz w:val="24"/>
          <w:szCs w:val="24"/>
        </w:rPr>
        <w:t>A</w:t>
      </w:r>
      <w:r w:rsidRPr="00DC2F89">
        <w:rPr>
          <w:rFonts w:eastAsia="Times New Roman"/>
          <w:sz w:val="24"/>
          <w:szCs w:val="24"/>
        </w:rPr>
        <w:t>lthough fiduciary obligations are equitable in nature, the remedies [for breach] are generally at law.”).</w:t>
      </w:r>
    </w:p>
    <w:p w14:paraId="26A3CC7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E8B392" w14:textId="77777777" w:rsidR="00DC2F89" w:rsidRPr="00DC2F89" w:rsidRDefault="00DC2F89" w:rsidP="00DC2F89">
      <w:pPr>
        <w:spacing w:after="240"/>
        <w:ind w:firstLine="720"/>
        <w:rPr>
          <w:rFonts w:eastAsia="Times New Roman"/>
          <w:sz w:val="24"/>
          <w:szCs w:val="24"/>
        </w:rPr>
      </w:pPr>
      <w:r w:rsidRPr="00DC2F89">
        <w:rPr>
          <w:rFonts w:eastAsia="Times New Roman"/>
          <w:sz w:val="24"/>
          <w:szCs w:val="24"/>
        </w:rPr>
        <w:t xml:space="preserve">1. This instruction is supported by </w:t>
      </w:r>
      <w:r w:rsidRPr="00DC2F89">
        <w:rPr>
          <w:rFonts w:eastAsia="Times New Roman"/>
          <w:b/>
          <w:sz w:val="24"/>
          <w:szCs w:val="24"/>
        </w:rPr>
        <w:t>Rupert v. Clayton Brokerage Co.</w:t>
      </w:r>
      <w:r w:rsidRPr="00DC2F89">
        <w:rPr>
          <w:rFonts w:eastAsia="Times New Roman"/>
          <w:sz w:val="24"/>
          <w:szCs w:val="24"/>
        </w:rPr>
        <w:t xml:space="preserve">, 737 P.2d 1106 (Colo. 1987); </w:t>
      </w:r>
      <w:r w:rsidRPr="00DC2F89">
        <w:rPr>
          <w:rFonts w:eastAsia="Times New Roman"/>
          <w:b/>
          <w:sz w:val="24"/>
          <w:szCs w:val="24"/>
        </w:rPr>
        <w:t>Paine, Webber, Jackson &amp; Curtis</w:t>
      </w:r>
      <w:r w:rsidRPr="00DC2F89">
        <w:rPr>
          <w:rFonts w:eastAsia="Times New Roman"/>
          <w:sz w:val="24"/>
          <w:szCs w:val="24"/>
        </w:rPr>
        <w:t xml:space="preserve">, 718 P.2d </w:t>
      </w:r>
      <w:r w:rsidR="00DD77BF">
        <w:rPr>
          <w:rFonts w:eastAsia="Times New Roman"/>
          <w:sz w:val="24"/>
          <w:szCs w:val="24"/>
        </w:rPr>
        <w:t xml:space="preserve">at </w:t>
      </w:r>
      <w:r w:rsidRPr="00DC2F89">
        <w:rPr>
          <w:rFonts w:eastAsia="Times New Roman"/>
          <w:sz w:val="24"/>
          <w:szCs w:val="24"/>
        </w:rPr>
        <w:t>5</w:t>
      </w:r>
      <w:r w:rsidR="00AF1706">
        <w:rPr>
          <w:rFonts w:eastAsia="Times New Roman"/>
          <w:sz w:val="24"/>
          <w:szCs w:val="24"/>
        </w:rPr>
        <w:t>14-15</w:t>
      </w:r>
      <w:r w:rsidRPr="00DC2F89">
        <w:rPr>
          <w:rFonts w:eastAsia="Times New Roman"/>
          <w:sz w:val="24"/>
          <w:szCs w:val="24"/>
        </w:rPr>
        <w:t xml:space="preserve">; </w:t>
      </w:r>
      <w:r w:rsidRPr="00DC2F89">
        <w:rPr>
          <w:rFonts w:eastAsia="Times New Roman"/>
          <w:b/>
          <w:sz w:val="24"/>
          <w:szCs w:val="24"/>
        </w:rPr>
        <w:t>Kunz v. Warren</w:t>
      </w:r>
      <w:r w:rsidRPr="00DC2F89">
        <w:rPr>
          <w:rFonts w:eastAsia="Times New Roman"/>
          <w:sz w:val="24"/>
          <w:szCs w:val="24"/>
        </w:rPr>
        <w:t>, 725 P.2d 794 (Colo.</w:t>
      </w:r>
      <w:r w:rsidR="00E71BCE">
        <w:rPr>
          <w:rFonts w:eastAsia="Times New Roman"/>
          <w:sz w:val="24"/>
          <w:szCs w:val="24"/>
        </w:rPr>
        <w:t xml:space="preserve"> </w:t>
      </w:r>
      <w:r w:rsidRPr="00DC2F89">
        <w:rPr>
          <w:rFonts w:eastAsia="Times New Roman"/>
          <w:sz w:val="24"/>
          <w:szCs w:val="24"/>
        </w:rPr>
        <w:t xml:space="preserve">App. 1986); </w:t>
      </w:r>
      <w:r w:rsidR="00806F39">
        <w:rPr>
          <w:rFonts w:eastAsia="Times New Roman"/>
          <w:sz w:val="24"/>
          <w:szCs w:val="24"/>
        </w:rPr>
        <w:t xml:space="preserve">and </w:t>
      </w:r>
      <w:r w:rsidRPr="00DC2F89">
        <w:rPr>
          <w:rFonts w:eastAsia="Times New Roman"/>
          <w:b/>
          <w:sz w:val="24"/>
          <w:szCs w:val="24"/>
        </w:rPr>
        <w:t>Brunner v. Horton</w:t>
      </w:r>
      <w:r w:rsidRPr="00DC2F89">
        <w:rPr>
          <w:rFonts w:eastAsia="Times New Roman"/>
          <w:sz w:val="24"/>
          <w:szCs w:val="24"/>
        </w:rPr>
        <w:t>, 702 P.2d 283 (</w:t>
      </w:r>
      <w:r w:rsidR="00E71BCE">
        <w:rPr>
          <w:rFonts w:eastAsia="Times New Roman"/>
          <w:sz w:val="24"/>
          <w:szCs w:val="24"/>
        </w:rPr>
        <w:t>Colo. App.</w:t>
      </w:r>
      <w:r w:rsidRPr="00DC2F89">
        <w:rPr>
          <w:rFonts w:eastAsia="Times New Roman"/>
          <w:sz w:val="24"/>
          <w:szCs w:val="24"/>
        </w:rPr>
        <w:t xml:space="preserve"> 1985). </w:t>
      </w:r>
      <w:r w:rsidRPr="00DC2F89">
        <w:rPr>
          <w:rFonts w:eastAsia="Times New Roman"/>
          <w:i/>
          <w:sz w:val="24"/>
          <w:szCs w:val="24"/>
        </w:rPr>
        <w:t>See also</w:t>
      </w:r>
      <w:r w:rsidRPr="00DC2F89">
        <w:rPr>
          <w:rFonts w:eastAsia="Times New Roman"/>
          <w:sz w:val="24"/>
          <w:szCs w:val="24"/>
        </w:rPr>
        <w:t xml:space="preserve"> </w:t>
      </w:r>
      <w:r w:rsidRPr="00DC2F89">
        <w:rPr>
          <w:rFonts w:eastAsia="Times New Roman"/>
          <w:b/>
          <w:sz w:val="24"/>
          <w:szCs w:val="24"/>
        </w:rPr>
        <w:t>Accident &amp; Injury Med. Specialists, P.C. v. Mintz</w:t>
      </w:r>
      <w:r w:rsidRPr="00DC2F89">
        <w:rPr>
          <w:rFonts w:eastAsia="Times New Roman"/>
          <w:sz w:val="24"/>
          <w:szCs w:val="24"/>
        </w:rPr>
        <w:t xml:space="preserve">, 2012 CO 50, </w:t>
      </w:r>
      <w:r w:rsidR="00AF1706">
        <w:rPr>
          <w:rFonts w:eastAsia="Times New Roman"/>
          <w:sz w:val="24"/>
          <w:szCs w:val="24"/>
        </w:rPr>
        <w:t xml:space="preserve">¶ 21, </w:t>
      </w:r>
      <w:r w:rsidRPr="00DC2F89">
        <w:rPr>
          <w:rFonts w:eastAsia="Times New Roman"/>
          <w:sz w:val="24"/>
          <w:szCs w:val="24"/>
        </w:rPr>
        <w:t xml:space="preserve">279 P.3d 658; </w:t>
      </w:r>
      <w:r w:rsidRPr="00DC2F89">
        <w:rPr>
          <w:rFonts w:eastAsia="Times New Roman"/>
          <w:b/>
          <w:sz w:val="24"/>
          <w:szCs w:val="24"/>
        </w:rPr>
        <w:lastRenderedPageBreak/>
        <w:t>Destefano v. Grabrian</w:t>
      </w:r>
      <w:r w:rsidRPr="00DC2F89">
        <w:rPr>
          <w:rFonts w:eastAsia="Times New Roman"/>
          <w:sz w:val="24"/>
          <w:szCs w:val="24"/>
        </w:rPr>
        <w:t xml:space="preserve">, 763 P.2d 275 (Colo. 1988); </w:t>
      </w:r>
      <w:r w:rsidRPr="00DC2F89">
        <w:rPr>
          <w:rFonts w:eastAsia="Times New Roman"/>
          <w:b/>
          <w:sz w:val="24"/>
          <w:szCs w:val="24"/>
        </w:rPr>
        <w:t>Bithell v. W</w:t>
      </w:r>
      <w:r w:rsidR="00AF1706">
        <w:rPr>
          <w:rFonts w:eastAsia="Times New Roman"/>
          <w:b/>
          <w:sz w:val="24"/>
          <w:szCs w:val="24"/>
        </w:rPr>
        <w:t>.</w:t>
      </w:r>
      <w:r w:rsidRPr="00DC2F89">
        <w:rPr>
          <w:rFonts w:eastAsia="Times New Roman"/>
          <w:b/>
          <w:sz w:val="24"/>
          <w:szCs w:val="24"/>
        </w:rPr>
        <w:t xml:space="preserve"> Care Corp.</w:t>
      </w:r>
      <w:r w:rsidRPr="00DC2F89">
        <w:rPr>
          <w:rFonts w:eastAsia="Times New Roman"/>
          <w:sz w:val="24"/>
          <w:szCs w:val="24"/>
        </w:rPr>
        <w:t>, 762 P.2d 708 (</w:t>
      </w:r>
      <w:r w:rsidR="00E71BCE">
        <w:rPr>
          <w:rFonts w:eastAsia="Times New Roman"/>
          <w:sz w:val="24"/>
          <w:szCs w:val="24"/>
        </w:rPr>
        <w:t>Colo. App.</w:t>
      </w:r>
      <w:r w:rsidR="00AF1706">
        <w:rPr>
          <w:rFonts w:eastAsia="Times New Roman"/>
          <w:sz w:val="24"/>
          <w:szCs w:val="24"/>
        </w:rPr>
        <w:t xml:space="preserve"> </w:t>
      </w:r>
      <w:r w:rsidRPr="00DC2F89">
        <w:rPr>
          <w:rFonts w:eastAsia="Times New Roman"/>
          <w:sz w:val="24"/>
          <w:szCs w:val="24"/>
        </w:rPr>
        <w:t>1988).</w:t>
      </w:r>
    </w:p>
    <w:p w14:paraId="1E3DD1EA" w14:textId="77777777" w:rsidR="00DC2F89" w:rsidRPr="00DC2F89" w:rsidRDefault="00806F39" w:rsidP="00DC2F89">
      <w:pPr>
        <w:spacing w:after="240"/>
        <w:ind w:firstLine="720"/>
        <w:rPr>
          <w:rFonts w:eastAsia="Times New Roman"/>
          <w:sz w:val="24"/>
          <w:szCs w:val="24"/>
        </w:rPr>
      </w:pPr>
      <w:r>
        <w:rPr>
          <w:rFonts w:eastAsia="Times New Roman"/>
          <w:sz w:val="24"/>
          <w:szCs w:val="24"/>
        </w:rPr>
        <w:t>2</w:t>
      </w:r>
      <w:r w:rsidR="00DC2F89" w:rsidRPr="00DC2F89">
        <w:rPr>
          <w:rFonts w:eastAsia="Times New Roman"/>
          <w:sz w:val="24"/>
          <w:szCs w:val="24"/>
        </w:rPr>
        <w:t xml:space="preserve">. Because an action for damages for breach of a duty not to disclose confidential information lies in tort, and is legal rather than equitable, it will support a claim for punitive damages. </w:t>
      </w:r>
      <w:r w:rsidR="00DC2F89" w:rsidRPr="00DC2F89">
        <w:rPr>
          <w:rFonts w:eastAsia="Times New Roman"/>
          <w:b/>
          <w:sz w:val="24"/>
          <w:szCs w:val="24"/>
        </w:rPr>
        <w:t>Rubenstein v. S</w:t>
      </w:r>
      <w:r w:rsidR="00265D86">
        <w:rPr>
          <w:rFonts w:eastAsia="Times New Roman"/>
          <w:b/>
          <w:sz w:val="24"/>
          <w:szCs w:val="24"/>
        </w:rPr>
        <w:t>.</w:t>
      </w:r>
      <w:r w:rsidR="00DC2F89" w:rsidRPr="00DC2F89">
        <w:rPr>
          <w:rFonts w:eastAsia="Times New Roman"/>
          <w:b/>
          <w:sz w:val="24"/>
          <w:szCs w:val="24"/>
        </w:rPr>
        <w:t xml:space="preserve"> Denver Nat’l Bank</w:t>
      </w:r>
      <w:r w:rsidR="00DC2F89" w:rsidRPr="00DC2F89">
        <w:rPr>
          <w:rFonts w:eastAsia="Times New Roman"/>
          <w:sz w:val="24"/>
          <w:szCs w:val="24"/>
        </w:rPr>
        <w:t>, 762 P.2d 755 (</w:t>
      </w:r>
      <w:r w:rsidR="00E71BCE">
        <w:rPr>
          <w:rFonts w:eastAsia="Times New Roman"/>
          <w:sz w:val="24"/>
          <w:szCs w:val="24"/>
        </w:rPr>
        <w:t>Colo. App.</w:t>
      </w:r>
      <w:r w:rsidR="00DC2F89" w:rsidRPr="00DC2F89">
        <w:rPr>
          <w:rFonts w:eastAsia="Times New Roman"/>
          <w:sz w:val="24"/>
          <w:szCs w:val="24"/>
        </w:rPr>
        <w:t xml:space="preserve"> 1988)</w:t>
      </w:r>
      <w:r w:rsidR="00265D86">
        <w:rPr>
          <w:rFonts w:eastAsia="Times New Roman"/>
          <w:sz w:val="24"/>
          <w:szCs w:val="24"/>
        </w:rPr>
        <w:t>;</w:t>
      </w:r>
      <w:r w:rsidR="00DC2F89" w:rsidRPr="00DC2F89">
        <w:rPr>
          <w:rFonts w:eastAsia="Times New Roman"/>
          <w:sz w:val="24"/>
          <w:szCs w:val="24"/>
        </w:rPr>
        <w:t xml:space="preserve"> </w:t>
      </w:r>
      <w:r w:rsidR="00265D86">
        <w:rPr>
          <w:rFonts w:eastAsia="Times New Roman"/>
          <w:i/>
          <w:sz w:val="24"/>
          <w:szCs w:val="24"/>
        </w:rPr>
        <w:t>s</w:t>
      </w:r>
      <w:r w:rsidR="00DC2F89" w:rsidRPr="00DC2F89">
        <w:rPr>
          <w:rFonts w:eastAsia="Times New Roman"/>
          <w:i/>
          <w:sz w:val="24"/>
          <w:szCs w:val="24"/>
        </w:rPr>
        <w:t>ee also</w:t>
      </w:r>
      <w:r w:rsidR="00DC2F89" w:rsidRPr="00DC2F89">
        <w:rPr>
          <w:rFonts w:eastAsia="Times New Roman"/>
          <w:sz w:val="24"/>
          <w:szCs w:val="24"/>
        </w:rPr>
        <w:t xml:space="preserve"> </w:t>
      </w:r>
      <w:r w:rsidR="00DC2F89" w:rsidRPr="00DC2F89">
        <w:rPr>
          <w:rFonts w:eastAsia="Times New Roman"/>
          <w:b/>
          <w:sz w:val="24"/>
          <w:szCs w:val="24"/>
        </w:rPr>
        <w:t>Virdanco, Inc. v. MTS Int’l</w:t>
      </w:r>
      <w:r w:rsidR="00DC2F89" w:rsidRPr="00DC2F89">
        <w:rPr>
          <w:rFonts w:eastAsia="Times New Roman"/>
          <w:sz w:val="24"/>
          <w:szCs w:val="24"/>
        </w:rPr>
        <w:t>, 820 P.2d 352 (</w:t>
      </w:r>
      <w:r w:rsidR="00E71BCE">
        <w:rPr>
          <w:rFonts w:eastAsia="Times New Roman"/>
          <w:sz w:val="24"/>
          <w:szCs w:val="24"/>
        </w:rPr>
        <w:t>Colo. App.</w:t>
      </w:r>
      <w:r w:rsidR="00DC2F89" w:rsidRPr="00DC2F89">
        <w:rPr>
          <w:rFonts w:eastAsia="Times New Roman"/>
          <w:sz w:val="24"/>
          <w:szCs w:val="24"/>
        </w:rPr>
        <w:t xml:space="preserve"> 1991) (where primary purpose of action for breach of fiduciary duty was to recover compensatory damages, action was primarily legal and, therefore, punitive damages were recoverable, even though plaintiff also sought equitable remedy of accounting).</w:t>
      </w:r>
    </w:p>
    <w:p w14:paraId="44AACACF" w14:textId="77777777" w:rsidR="00DC2F89" w:rsidRPr="00DC2F89" w:rsidRDefault="00806F39" w:rsidP="00DC2F89">
      <w:pPr>
        <w:spacing w:after="240"/>
        <w:ind w:firstLine="720"/>
        <w:rPr>
          <w:rFonts w:eastAsia="Times New Roman"/>
          <w:sz w:val="24"/>
          <w:szCs w:val="24"/>
        </w:rPr>
      </w:pPr>
      <w:r>
        <w:rPr>
          <w:rFonts w:eastAsia="Times New Roman"/>
          <w:sz w:val="24"/>
          <w:szCs w:val="24"/>
        </w:rPr>
        <w:t>3</w:t>
      </w:r>
      <w:r w:rsidR="00DC2F89" w:rsidRPr="00DC2F89">
        <w:rPr>
          <w:rFonts w:eastAsia="Times New Roman"/>
          <w:sz w:val="24"/>
          <w:szCs w:val="24"/>
        </w:rPr>
        <w:t xml:space="preserve">. For a discussion of the elements necessary to establish the tort of aiding and abetting a breach of a fiduciary duty, see </w:t>
      </w:r>
      <w:r w:rsidR="00DC2F89" w:rsidRPr="00DC2F89">
        <w:rPr>
          <w:rFonts w:eastAsia="Times New Roman"/>
          <w:b/>
          <w:sz w:val="24"/>
          <w:szCs w:val="24"/>
        </w:rPr>
        <w:t>Nelson v. Elway</w:t>
      </w:r>
      <w:r w:rsidR="00DC2F89" w:rsidRPr="00DC2F89">
        <w:rPr>
          <w:rFonts w:eastAsia="Times New Roman"/>
          <w:sz w:val="24"/>
          <w:szCs w:val="24"/>
        </w:rPr>
        <w:t>, 971 P.2d 245 (</w:t>
      </w:r>
      <w:r w:rsidR="00E71BCE">
        <w:rPr>
          <w:rFonts w:eastAsia="Times New Roman"/>
          <w:sz w:val="24"/>
          <w:szCs w:val="24"/>
        </w:rPr>
        <w:t>Colo. App.</w:t>
      </w:r>
      <w:r w:rsidR="00DC2F89" w:rsidRPr="00DC2F89">
        <w:rPr>
          <w:rFonts w:eastAsia="Times New Roman"/>
          <w:sz w:val="24"/>
          <w:szCs w:val="24"/>
        </w:rPr>
        <w:t xml:space="preserve"> 1998), and </w:t>
      </w:r>
      <w:r w:rsidR="00DC2F89" w:rsidRPr="00DC2F89">
        <w:rPr>
          <w:rFonts w:eastAsia="Times New Roman"/>
          <w:b/>
          <w:sz w:val="24"/>
          <w:szCs w:val="24"/>
        </w:rPr>
        <w:t>Holmes v. Young</w:t>
      </w:r>
      <w:r w:rsidR="00DC2F89" w:rsidRPr="00DC2F89">
        <w:rPr>
          <w:rFonts w:eastAsia="Times New Roman"/>
          <w:sz w:val="24"/>
          <w:szCs w:val="24"/>
        </w:rPr>
        <w:t>, 885 P.2d 305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1994).</w:t>
      </w:r>
    </w:p>
    <w:p w14:paraId="67334801" w14:textId="3C288D5F" w:rsidR="00DC2F89" w:rsidRPr="00DC2F89" w:rsidRDefault="00806F39" w:rsidP="00DC2F89">
      <w:pPr>
        <w:spacing w:after="240"/>
        <w:ind w:firstLine="720"/>
        <w:rPr>
          <w:rFonts w:eastAsia="Times New Roman"/>
          <w:sz w:val="24"/>
          <w:szCs w:val="24"/>
        </w:rPr>
      </w:pPr>
      <w:r>
        <w:rPr>
          <w:rFonts w:eastAsia="Times New Roman"/>
          <w:sz w:val="24"/>
          <w:szCs w:val="24"/>
        </w:rPr>
        <w:t>4</w:t>
      </w:r>
      <w:r w:rsidR="00DC2F89" w:rsidRPr="00DC2F89">
        <w:rPr>
          <w:rFonts w:eastAsia="Times New Roman"/>
          <w:sz w:val="24"/>
          <w:szCs w:val="24"/>
        </w:rPr>
        <w:t xml:space="preserve">. Where the same operative facts support claims for both legal malpractice and breach of fiduciary duty, the latter claim should be dismissed as duplicative. </w:t>
      </w:r>
      <w:r w:rsidR="00010538" w:rsidRPr="007171CC">
        <w:rPr>
          <w:rFonts w:eastAsia="Times New Roman"/>
          <w:b/>
          <w:bCs/>
          <w:sz w:val="24"/>
          <w:szCs w:val="24"/>
        </w:rPr>
        <w:t>Froid v. Zacheis</w:t>
      </w:r>
      <w:r w:rsidR="00010538">
        <w:rPr>
          <w:rFonts w:eastAsia="Times New Roman"/>
          <w:sz w:val="24"/>
          <w:szCs w:val="24"/>
        </w:rPr>
        <w:t>, 2021 COA 74, ¶ 9 n.2</w:t>
      </w:r>
      <w:r w:rsidR="00BF333D">
        <w:rPr>
          <w:rFonts w:eastAsia="Times New Roman"/>
          <w:sz w:val="24"/>
          <w:szCs w:val="24"/>
        </w:rPr>
        <w:t>, 494 P.3d 673</w:t>
      </w:r>
      <w:r w:rsidR="00010538">
        <w:rPr>
          <w:rFonts w:eastAsia="Times New Roman"/>
          <w:sz w:val="24"/>
          <w:szCs w:val="24"/>
        </w:rPr>
        <w:t xml:space="preserve">; </w:t>
      </w:r>
      <w:r w:rsidR="00010538" w:rsidRPr="007171CC">
        <w:rPr>
          <w:rFonts w:eastAsia="Times New Roman"/>
          <w:b/>
          <w:bCs/>
          <w:sz w:val="24"/>
          <w:szCs w:val="24"/>
        </w:rPr>
        <w:t>Aller v.</w:t>
      </w:r>
      <w:r w:rsidR="00010538">
        <w:rPr>
          <w:rFonts w:eastAsia="Times New Roman"/>
          <w:b/>
          <w:bCs/>
          <w:sz w:val="24"/>
          <w:szCs w:val="24"/>
        </w:rPr>
        <w:t xml:space="preserve"> </w:t>
      </w:r>
      <w:r w:rsidR="00010538" w:rsidRPr="007171CC">
        <w:rPr>
          <w:rFonts w:eastAsia="Times New Roman"/>
          <w:b/>
          <w:bCs/>
          <w:sz w:val="24"/>
          <w:szCs w:val="24"/>
        </w:rPr>
        <w:t xml:space="preserve">Law </w:t>
      </w:r>
      <w:r w:rsidR="00010538">
        <w:rPr>
          <w:rFonts w:eastAsia="Times New Roman"/>
          <w:b/>
          <w:bCs/>
          <w:sz w:val="24"/>
          <w:szCs w:val="24"/>
        </w:rPr>
        <w:t>O</w:t>
      </w:r>
      <w:r w:rsidR="00010538" w:rsidRPr="007171CC">
        <w:rPr>
          <w:rFonts w:eastAsia="Times New Roman"/>
          <w:b/>
          <w:bCs/>
          <w:sz w:val="24"/>
          <w:szCs w:val="24"/>
        </w:rPr>
        <w:t>ff</w:t>
      </w:r>
      <w:r w:rsidR="00010538">
        <w:rPr>
          <w:rFonts w:eastAsia="Times New Roman"/>
          <w:b/>
          <w:bCs/>
          <w:sz w:val="24"/>
          <w:szCs w:val="24"/>
        </w:rPr>
        <w:t>ice</w:t>
      </w:r>
      <w:r w:rsidR="00010538" w:rsidRPr="007171CC">
        <w:rPr>
          <w:rFonts w:eastAsia="Times New Roman"/>
          <w:b/>
          <w:bCs/>
          <w:sz w:val="24"/>
          <w:szCs w:val="24"/>
        </w:rPr>
        <w:t xml:space="preserve"> </w:t>
      </w:r>
      <w:r w:rsidR="00010538">
        <w:rPr>
          <w:rFonts w:eastAsia="Times New Roman"/>
          <w:b/>
          <w:bCs/>
          <w:sz w:val="24"/>
          <w:szCs w:val="24"/>
        </w:rPr>
        <w:t>o</w:t>
      </w:r>
      <w:r w:rsidR="00010538" w:rsidRPr="007171CC">
        <w:rPr>
          <w:rFonts w:eastAsia="Times New Roman"/>
          <w:b/>
          <w:bCs/>
          <w:sz w:val="24"/>
          <w:szCs w:val="24"/>
        </w:rPr>
        <w:t>f Carole C. Schr</w:t>
      </w:r>
      <w:r w:rsidR="00010538">
        <w:rPr>
          <w:rFonts w:eastAsia="Times New Roman"/>
          <w:b/>
          <w:bCs/>
          <w:sz w:val="24"/>
          <w:szCs w:val="24"/>
        </w:rPr>
        <w:t>i</w:t>
      </w:r>
      <w:r w:rsidR="00010538" w:rsidRPr="007171CC">
        <w:rPr>
          <w:rFonts w:eastAsia="Times New Roman"/>
          <w:b/>
          <w:bCs/>
          <w:sz w:val="24"/>
          <w:szCs w:val="24"/>
        </w:rPr>
        <w:t>efer, P.C.</w:t>
      </w:r>
      <w:r w:rsidR="00010538" w:rsidRPr="00397288">
        <w:rPr>
          <w:rFonts w:eastAsia="Times New Roman"/>
          <w:bCs/>
          <w:sz w:val="24"/>
          <w:szCs w:val="24"/>
        </w:rPr>
        <w:t>,</w:t>
      </w:r>
      <w:r w:rsidR="00010538">
        <w:rPr>
          <w:rFonts w:eastAsia="Times New Roman"/>
          <w:sz w:val="24"/>
          <w:szCs w:val="24"/>
        </w:rPr>
        <w:t xml:space="preserve"> 140 P.3d 23 (Colo. App. 2005); </w:t>
      </w:r>
      <w:r w:rsidR="00DC2F89" w:rsidRPr="00DC2F89">
        <w:rPr>
          <w:rFonts w:eastAsia="Times New Roman"/>
          <w:b/>
          <w:sz w:val="24"/>
          <w:szCs w:val="24"/>
        </w:rPr>
        <w:t>Moguls of Aspen, Inc. v. Faegre &amp; Benson</w:t>
      </w:r>
      <w:r w:rsidR="00DC2F89" w:rsidRPr="00DC2F89">
        <w:rPr>
          <w:rFonts w:eastAsia="Times New Roman"/>
          <w:sz w:val="24"/>
          <w:szCs w:val="24"/>
        </w:rPr>
        <w:t>, 956 P.2d 618 (</w:t>
      </w:r>
      <w:r w:rsidR="00E71BCE">
        <w:rPr>
          <w:rFonts w:eastAsia="Times New Roman"/>
          <w:sz w:val="24"/>
          <w:szCs w:val="24"/>
        </w:rPr>
        <w:t>Colo. App.</w:t>
      </w:r>
      <w:r w:rsidR="00DC2F89" w:rsidRPr="00DC2F89">
        <w:rPr>
          <w:rFonts w:eastAsia="Times New Roman"/>
          <w:sz w:val="24"/>
          <w:szCs w:val="24"/>
        </w:rPr>
        <w:t xml:space="preserve"> 1997). On the other hand, where the facts and duties underlying claims for breach of a fiduciary duty and negligence are not the same, it is proper to submit both claims to the jury. </w:t>
      </w:r>
      <w:proofErr w:type="gramStart"/>
      <w:r w:rsidR="00DC2F89" w:rsidRPr="00DC2F89">
        <w:rPr>
          <w:rFonts w:eastAsia="Times New Roman"/>
          <w:b/>
          <w:sz w:val="24"/>
          <w:szCs w:val="24"/>
        </w:rPr>
        <w:t>Boyd v. Garvert</w:t>
      </w:r>
      <w:r w:rsidR="00DC2F89" w:rsidRPr="00DC2F89">
        <w:rPr>
          <w:rFonts w:eastAsia="Times New Roman"/>
          <w:sz w:val="24"/>
          <w:szCs w:val="24"/>
        </w:rPr>
        <w:t>,</w:t>
      </w:r>
      <w:r w:rsidR="00DC2F89" w:rsidRPr="00DC2F89">
        <w:rPr>
          <w:rFonts w:eastAsia="Times New Roman"/>
          <w:b/>
          <w:sz w:val="24"/>
          <w:szCs w:val="24"/>
        </w:rPr>
        <w:t xml:space="preserve"> </w:t>
      </w:r>
      <w:r w:rsidR="00DC2F89" w:rsidRPr="00DC2F89">
        <w:rPr>
          <w:rFonts w:eastAsia="Times New Roman"/>
          <w:sz w:val="24"/>
          <w:szCs w:val="24"/>
        </w:rPr>
        <w:t>9 P.3d 1161 (</w:t>
      </w:r>
      <w:r w:rsidR="00E71BCE">
        <w:rPr>
          <w:rFonts w:eastAsia="Times New Roman"/>
          <w:sz w:val="24"/>
          <w:szCs w:val="24"/>
        </w:rPr>
        <w:t>Colo. App.</w:t>
      </w:r>
      <w:r w:rsidR="00265D86">
        <w:rPr>
          <w:rFonts w:eastAsia="Times New Roman"/>
          <w:sz w:val="24"/>
          <w:szCs w:val="24"/>
        </w:rPr>
        <w:t xml:space="preserve"> </w:t>
      </w:r>
      <w:r w:rsidR="00DC2F89" w:rsidRPr="00DC2F89">
        <w:rPr>
          <w:rFonts w:eastAsia="Times New Roman"/>
          <w:sz w:val="24"/>
          <w:szCs w:val="24"/>
        </w:rPr>
        <w:t>2000).</w:t>
      </w:r>
      <w:proofErr w:type="gramEnd"/>
      <w:r w:rsidR="00DC2F89" w:rsidRPr="00DC2F89">
        <w:rPr>
          <w:rFonts w:eastAsia="Times New Roman"/>
          <w:sz w:val="24"/>
          <w:szCs w:val="24"/>
        </w:rPr>
        <w:t xml:space="preserve"> Expert testimony is necessary to support causation in a breach of fiduciary case arising out of an attorney-client relationship. </w:t>
      </w:r>
      <w:proofErr w:type="gramStart"/>
      <w:r w:rsidR="00DC2F89" w:rsidRPr="00DC2F89">
        <w:rPr>
          <w:rFonts w:eastAsia="Times New Roman"/>
          <w:b/>
          <w:sz w:val="24"/>
          <w:szCs w:val="24"/>
        </w:rPr>
        <w:t>Allen v. Martin</w:t>
      </w:r>
      <w:r w:rsidR="00DC2F89" w:rsidRPr="00DC2F89">
        <w:rPr>
          <w:rFonts w:eastAsia="Times New Roman"/>
          <w:sz w:val="24"/>
          <w:szCs w:val="24"/>
        </w:rPr>
        <w:t>, 203 P.3d 546 (</w:t>
      </w:r>
      <w:r w:rsidR="00E71BCE">
        <w:rPr>
          <w:rFonts w:eastAsia="Times New Roman"/>
          <w:sz w:val="24"/>
          <w:szCs w:val="24"/>
        </w:rPr>
        <w:t>Colo. App.</w:t>
      </w:r>
      <w:r w:rsidR="00DC2F89" w:rsidRPr="00DC2F89">
        <w:rPr>
          <w:rFonts w:eastAsia="Times New Roman"/>
          <w:sz w:val="24"/>
          <w:szCs w:val="24"/>
        </w:rPr>
        <w:t xml:space="preserve"> 2008).</w:t>
      </w:r>
      <w:proofErr w:type="gramEnd"/>
    </w:p>
    <w:p w14:paraId="355E4247" w14:textId="77777777" w:rsidR="00DC2F89" w:rsidRPr="00DC2F89" w:rsidRDefault="00806F39" w:rsidP="00DC2F89">
      <w:pPr>
        <w:spacing w:after="240"/>
        <w:ind w:firstLine="720"/>
        <w:rPr>
          <w:rFonts w:eastAsia="Times New Roman"/>
          <w:sz w:val="24"/>
          <w:szCs w:val="24"/>
        </w:rPr>
      </w:pPr>
      <w:r>
        <w:rPr>
          <w:rFonts w:eastAsia="Times New Roman"/>
          <w:sz w:val="24"/>
          <w:szCs w:val="24"/>
        </w:rPr>
        <w:t>5</w:t>
      </w:r>
      <w:r w:rsidR="00DC2F89" w:rsidRPr="00DC2F89">
        <w:rPr>
          <w:rFonts w:eastAsia="Times New Roman"/>
          <w:sz w:val="24"/>
          <w:szCs w:val="24"/>
        </w:rPr>
        <w:t xml:space="preserve">. Where a breach of fiduciary duty claim is based on a misuse of property held in trust, a plaintiff need only show a transfer to or use of trust property by the fiduciary to raise a rebuttable presumption of a breach of fiduciary duty and establish a prima facie case. The fiduciary must then introduce some evidence to show that the transaction was fair and reasonable. If such evidence is introduced, the trier of fact must then determine, based on all the evidence, whether the plaintiff has proven her claim of breach of fiduciary duty by a preponderance of the evidence. </w:t>
      </w:r>
      <w:r w:rsidR="00DC2F89" w:rsidRPr="00DC2F89">
        <w:rPr>
          <w:rFonts w:eastAsia="Times New Roman"/>
          <w:i/>
          <w:sz w:val="24"/>
          <w:szCs w:val="24"/>
        </w:rPr>
        <w:t>See</w:t>
      </w:r>
      <w:r w:rsidR="00DC2F89" w:rsidRPr="00DC2F89">
        <w:rPr>
          <w:rFonts w:eastAsia="Times New Roman"/>
          <w:sz w:val="24"/>
          <w:szCs w:val="24"/>
        </w:rPr>
        <w:t xml:space="preserve"> </w:t>
      </w:r>
      <w:r w:rsidR="00DC2F89" w:rsidRPr="00DC2F89">
        <w:rPr>
          <w:rFonts w:eastAsia="Times New Roman"/>
          <w:b/>
          <w:sz w:val="24"/>
          <w:szCs w:val="24"/>
        </w:rPr>
        <w:t>Estate of Heyn</w:t>
      </w:r>
      <w:r w:rsidR="00DC2F89" w:rsidRPr="00DC2F89">
        <w:rPr>
          <w:rFonts w:eastAsia="Times New Roman"/>
          <w:sz w:val="24"/>
          <w:szCs w:val="24"/>
        </w:rPr>
        <w:t>, 47 P.3d 724 (</w:t>
      </w:r>
      <w:r w:rsidR="00E71BCE">
        <w:rPr>
          <w:rFonts w:eastAsia="Times New Roman"/>
          <w:sz w:val="24"/>
          <w:szCs w:val="24"/>
        </w:rPr>
        <w:t>Colo. App.</w:t>
      </w:r>
      <w:r w:rsidR="00DC2F89" w:rsidRPr="00DC2F89">
        <w:rPr>
          <w:rFonts w:eastAsia="Times New Roman"/>
          <w:sz w:val="24"/>
          <w:szCs w:val="24"/>
        </w:rPr>
        <w:t xml:space="preserve"> 2002); </w:t>
      </w:r>
      <w:r w:rsidR="00DC2F89" w:rsidRPr="00DC2F89">
        <w:rPr>
          <w:rFonts w:eastAsia="Times New Roman"/>
          <w:i/>
          <w:sz w:val="24"/>
          <w:szCs w:val="24"/>
        </w:rPr>
        <w:t xml:space="preserve">see also </w:t>
      </w:r>
      <w:r w:rsidR="00DC2F89" w:rsidRPr="00DC2F89">
        <w:rPr>
          <w:rFonts w:eastAsia="Times New Roman"/>
          <w:b/>
          <w:sz w:val="24"/>
          <w:szCs w:val="24"/>
        </w:rPr>
        <w:t>In re Estate of Foiles</w:t>
      </w:r>
      <w:r w:rsidR="00DC2F89" w:rsidRPr="00DC2F89">
        <w:rPr>
          <w:rFonts w:eastAsia="Times New Roman"/>
          <w:sz w:val="24"/>
          <w:szCs w:val="24"/>
        </w:rPr>
        <w:t>, 2014 COA 104, ¶¶ 15, 45</w:t>
      </w:r>
      <w:r w:rsidR="00265D86">
        <w:rPr>
          <w:rFonts w:eastAsia="Times New Roman"/>
          <w:sz w:val="24"/>
          <w:szCs w:val="24"/>
        </w:rPr>
        <w:t>, 338 P.3d 1098</w:t>
      </w:r>
      <w:r w:rsidR="00DC2F89" w:rsidRPr="00DC2F89">
        <w:rPr>
          <w:rFonts w:eastAsia="Times New Roman"/>
          <w:sz w:val="24"/>
          <w:szCs w:val="24"/>
        </w:rPr>
        <w:t xml:space="preserve"> (trial court erred in failing to recognize prima facie case of breach of fiduciary duty where trustee transferred trust property to himself). </w:t>
      </w:r>
    </w:p>
    <w:p w14:paraId="7C21778E" w14:textId="77777777" w:rsidR="00DC2F89" w:rsidRPr="00DC2F89" w:rsidRDefault="00806F39" w:rsidP="00DC2F89">
      <w:pPr>
        <w:spacing w:after="240"/>
        <w:ind w:firstLine="720"/>
        <w:rPr>
          <w:rFonts w:eastAsia="Times New Roman"/>
          <w:sz w:val="24"/>
          <w:szCs w:val="24"/>
        </w:rPr>
      </w:pPr>
      <w:r>
        <w:rPr>
          <w:rFonts w:eastAsia="Times New Roman"/>
          <w:sz w:val="24"/>
          <w:szCs w:val="24"/>
        </w:rPr>
        <w:t>6</w:t>
      </w:r>
      <w:r w:rsidR="00DC2F89" w:rsidRPr="00DC2F89">
        <w:rPr>
          <w:rFonts w:eastAsia="Times New Roman"/>
          <w:sz w:val="24"/>
          <w:szCs w:val="24"/>
        </w:rPr>
        <w:t xml:space="preserve">. In the absence of a trust provision allowing ratification by a co-trustee of otherwise invalid actions, only the consent of all beneficiaries who have proper capacity and are fully informed of the facts can ratify an action taken in violation of a trust agreement. Accordingly, the trial court erred in ruling that beneficiary’s breach of fiduciary duty claim against one trustee was precluded by ratification of the suspect transaction by the co-trustee. </w:t>
      </w:r>
      <w:proofErr w:type="gramStart"/>
      <w:r w:rsidR="00DC2F89" w:rsidRPr="00DC2F89">
        <w:rPr>
          <w:rFonts w:eastAsia="Times New Roman"/>
          <w:b/>
          <w:sz w:val="24"/>
          <w:szCs w:val="24"/>
        </w:rPr>
        <w:t>In re Estate of Foiles</w:t>
      </w:r>
      <w:r w:rsidR="00DC2F89" w:rsidRPr="00DC2F89">
        <w:rPr>
          <w:rFonts w:eastAsia="Times New Roman"/>
          <w:sz w:val="24"/>
          <w:szCs w:val="24"/>
        </w:rPr>
        <w:t>, 2014 COA 104</w:t>
      </w:r>
      <w:r w:rsidR="00265D86">
        <w:rPr>
          <w:rFonts w:eastAsia="Times New Roman"/>
          <w:sz w:val="24"/>
          <w:szCs w:val="24"/>
        </w:rPr>
        <w:t>, ¶ 43</w:t>
      </w:r>
      <w:r w:rsidR="00DC2F89" w:rsidRPr="00DC2F89">
        <w:rPr>
          <w:rFonts w:eastAsia="Times New Roman"/>
          <w:sz w:val="24"/>
          <w:szCs w:val="24"/>
        </w:rPr>
        <w:t>.</w:t>
      </w:r>
      <w:proofErr w:type="gramEnd"/>
    </w:p>
    <w:p w14:paraId="2AF473A8" w14:textId="77777777" w:rsidR="00DC2F89" w:rsidRPr="00DC2F89" w:rsidRDefault="00806F39" w:rsidP="00DC2F89">
      <w:pPr>
        <w:spacing w:after="240"/>
        <w:ind w:firstLine="720"/>
        <w:rPr>
          <w:rFonts w:eastAsia="Times New Roman"/>
          <w:sz w:val="24"/>
          <w:szCs w:val="24"/>
        </w:rPr>
      </w:pPr>
      <w:r>
        <w:rPr>
          <w:rFonts w:eastAsia="Times New Roman"/>
          <w:sz w:val="24"/>
          <w:szCs w:val="24"/>
        </w:rPr>
        <w:t>7</w:t>
      </w:r>
      <w:r w:rsidR="00DC2F89" w:rsidRPr="00DC2F89">
        <w:rPr>
          <w:rFonts w:eastAsia="Times New Roman"/>
          <w:sz w:val="24"/>
          <w:szCs w:val="24"/>
        </w:rPr>
        <w:t xml:space="preserve">. Colorado recognizes a claim </w:t>
      </w:r>
      <w:r w:rsidR="00FA53D7">
        <w:rPr>
          <w:rFonts w:eastAsia="Times New Roman"/>
          <w:sz w:val="24"/>
          <w:szCs w:val="24"/>
        </w:rPr>
        <w:t>for</w:t>
      </w:r>
      <w:r w:rsidR="00DC2F89" w:rsidRPr="00DC2F89">
        <w:rPr>
          <w:rFonts w:eastAsia="Times New Roman"/>
          <w:sz w:val="24"/>
          <w:szCs w:val="24"/>
        </w:rPr>
        <w:t xml:space="preserve"> breach of a duty of loyalty arising out of an employer-employee relationship. </w:t>
      </w:r>
      <w:r w:rsidR="00DC2F89" w:rsidRPr="00DC2F89">
        <w:rPr>
          <w:rFonts w:eastAsia="Times New Roman"/>
          <w:b/>
          <w:sz w:val="24"/>
          <w:szCs w:val="24"/>
        </w:rPr>
        <w:t>Jet Courier Serv., Inc. v. Mulei</w:t>
      </w:r>
      <w:r w:rsidR="00DC2F89" w:rsidRPr="00DC2F89">
        <w:rPr>
          <w:rFonts w:eastAsia="Times New Roman"/>
          <w:sz w:val="24"/>
          <w:szCs w:val="24"/>
        </w:rPr>
        <w:t xml:space="preserve">, 771 P.2d 486 (Colo. 1989) (employee with a high level of authority in the employer’s organization is an agent, has a duty to act solely for his principal’s benefit, and violates that duty by setting up his business by soliciting customers and urging co-workers to leave with him before terminating employment). </w:t>
      </w:r>
      <w:r w:rsidR="00FA53D7">
        <w:rPr>
          <w:rFonts w:eastAsia="Times New Roman"/>
          <w:sz w:val="24"/>
          <w:szCs w:val="24"/>
        </w:rPr>
        <w:t xml:space="preserve">When the </w:t>
      </w:r>
      <w:proofErr w:type="gramStart"/>
      <w:r w:rsidR="00FA53D7">
        <w:rPr>
          <w:rFonts w:eastAsia="Times New Roman"/>
          <w:sz w:val="24"/>
          <w:szCs w:val="24"/>
        </w:rPr>
        <w:lastRenderedPageBreak/>
        <w:t>circumstances</w:t>
      </w:r>
      <w:proofErr w:type="gramEnd"/>
      <w:r w:rsidR="00FA53D7">
        <w:rPr>
          <w:rFonts w:eastAsia="Times New Roman"/>
          <w:sz w:val="24"/>
          <w:szCs w:val="24"/>
        </w:rPr>
        <w:t xml:space="preserve"> demonstrate that the employee is an agent of the employer, the duty of loyalty applies. </w:t>
      </w:r>
      <w:r w:rsidR="00DC2F89" w:rsidRPr="00DC2F89">
        <w:rPr>
          <w:rFonts w:eastAsia="Times New Roman"/>
          <w:i/>
          <w:sz w:val="24"/>
          <w:szCs w:val="24"/>
        </w:rPr>
        <w:t xml:space="preserve">See </w:t>
      </w:r>
      <w:r w:rsidR="00DC2F89" w:rsidRPr="00DC2F89">
        <w:rPr>
          <w:rFonts w:eastAsia="Times New Roman"/>
          <w:b/>
          <w:sz w:val="24"/>
          <w:szCs w:val="24"/>
        </w:rPr>
        <w:t>Graphic Directions, Inc. v. Bush</w:t>
      </w:r>
      <w:r w:rsidR="00DC2F89" w:rsidRPr="00DC2F89">
        <w:rPr>
          <w:rFonts w:eastAsia="Times New Roman"/>
          <w:sz w:val="24"/>
          <w:szCs w:val="24"/>
        </w:rPr>
        <w:t>, 862 P.2d 1020 (</w:t>
      </w:r>
      <w:r w:rsidR="00E71BCE">
        <w:rPr>
          <w:rFonts w:eastAsia="Times New Roman"/>
          <w:sz w:val="24"/>
          <w:szCs w:val="24"/>
        </w:rPr>
        <w:t>Colo. App.</w:t>
      </w:r>
      <w:r w:rsidR="005575D0">
        <w:rPr>
          <w:rFonts w:eastAsia="Times New Roman"/>
          <w:sz w:val="24"/>
          <w:szCs w:val="24"/>
        </w:rPr>
        <w:t xml:space="preserve"> </w:t>
      </w:r>
      <w:r w:rsidR="00DC2F89" w:rsidRPr="00DC2F89">
        <w:rPr>
          <w:rFonts w:eastAsia="Times New Roman"/>
          <w:sz w:val="24"/>
          <w:szCs w:val="24"/>
        </w:rPr>
        <w:t>1993) (</w:t>
      </w:r>
      <w:r w:rsidR="005575D0">
        <w:rPr>
          <w:rFonts w:eastAsia="Times New Roman"/>
          <w:sz w:val="24"/>
          <w:szCs w:val="24"/>
        </w:rPr>
        <w:t>employee handled technical aspects of client accounts and supervised work of artists</w:t>
      </w:r>
      <w:r w:rsidR="00FA53D7">
        <w:rPr>
          <w:rFonts w:eastAsia="Times New Roman"/>
          <w:sz w:val="24"/>
          <w:szCs w:val="24"/>
        </w:rPr>
        <w:t>, thus demonstrating sufficient authority to create agency relationship and duty of loyalty</w:t>
      </w:r>
      <w:r w:rsidR="001561D5">
        <w:rPr>
          <w:rFonts w:eastAsia="Times New Roman"/>
          <w:sz w:val="24"/>
          <w:szCs w:val="24"/>
        </w:rPr>
        <w:t xml:space="preserve"> to employer</w:t>
      </w:r>
      <w:r w:rsidR="00DC2F89" w:rsidRPr="00DC2F89">
        <w:rPr>
          <w:rFonts w:eastAsia="Times New Roman"/>
          <w:sz w:val="24"/>
          <w:szCs w:val="24"/>
        </w:rPr>
        <w:t xml:space="preserve">); </w:t>
      </w:r>
      <w:r w:rsidR="00B134C5" w:rsidRPr="00B134C5">
        <w:rPr>
          <w:rFonts w:eastAsia="Times New Roman"/>
          <w:i/>
          <w:sz w:val="24"/>
          <w:szCs w:val="24"/>
        </w:rPr>
        <w:t>see also</w:t>
      </w:r>
      <w:r w:rsidR="00B134C5">
        <w:rPr>
          <w:rFonts w:eastAsia="Times New Roman"/>
          <w:sz w:val="24"/>
          <w:szCs w:val="24"/>
        </w:rPr>
        <w:t xml:space="preserve"> </w:t>
      </w:r>
      <w:r w:rsidR="00B134C5" w:rsidRPr="00DC2F89">
        <w:rPr>
          <w:rFonts w:eastAsia="Times New Roman"/>
          <w:b/>
          <w:sz w:val="24"/>
          <w:szCs w:val="24"/>
        </w:rPr>
        <w:t>Lucht’s Concrete Pumping, Inc. v. Horner</w:t>
      </w:r>
      <w:r w:rsidR="00B134C5" w:rsidRPr="00DC2F89">
        <w:rPr>
          <w:rFonts w:eastAsia="Times New Roman"/>
          <w:sz w:val="24"/>
          <w:szCs w:val="24"/>
        </w:rPr>
        <w:t>, 224 P.3d 355 (</w:t>
      </w:r>
      <w:r w:rsidR="00B134C5">
        <w:rPr>
          <w:rFonts w:eastAsia="Times New Roman"/>
          <w:sz w:val="24"/>
          <w:szCs w:val="24"/>
        </w:rPr>
        <w:t>Colo. App.</w:t>
      </w:r>
      <w:r w:rsidR="00B134C5" w:rsidRPr="00DC2F89">
        <w:rPr>
          <w:rFonts w:eastAsia="Times New Roman"/>
          <w:sz w:val="24"/>
          <w:szCs w:val="24"/>
        </w:rPr>
        <w:t xml:space="preserve"> 2009)</w:t>
      </w:r>
      <w:r w:rsidR="00B041F7">
        <w:rPr>
          <w:rFonts w:eastAsia="Times New Roman"/>
          <w:sz w:val="24"/>
          <w:szCs w:val="24"/>
        </w:rPr>
        <w:t xml:space="preserve"> </w:t>
      </w:r>
      <w:r w:rsidR="00B041F7" w:rsidRPr="00DC2F89">
        <w:rPr>
          <w:rFonts w:eastAsia="Times New Roman"/>
          <w:sz w:val="24"/>
          <w:szCs w:val="24"/>
        </w:rPr>
        <w:t>(employee’s authority made him an agent of the employer</w:t>
      </w:r>
      <w:r w:rsidR="00B041F7">
        <w:rPr>
          <w:rFonts w:eastAsia="Times New Roman"/>
          <w:sz w:val="24"/>
          <w:szCs w:val="24"/>
        </w:rPr>
        <w:t xml:space="preserve"> and created</w:t>
      </w:r>
      <w:r w:rsidR="00B041F7" w:rsidRPr="00DC2F89">
        <w:rPr>
          <w:rFonts w:eastAsia="Times New Roman"/>
          <w:sz w:val="24"/>
          <w:szCs w:val="24"/>
        </w:rPr>
        <w:t xml:space="preserve"> a fiduciary relationship)</w:t>
      </w:r>
      <w:r w:rsidR="00B134C5" w:rsidRPr="00DC2F89">
        <w:rPr>
          <w:rFonts w:eastAsia="Times New Roman"/>
          <w:sz w:val="24"/>
          <w:szCs w:val="24"/>
        </w:rPr>
        <w:t xml:space="preserve">, </w:t>
      </w:r>
      <w:r w:rsidR="00B134C5" w:rsidRPr="00DC2F89">
        <w:rPr>
          <w:rFonts w:eastAsia="Times New Roman"/>
          <w:i/>
          <w:sz w:val="24"/>
          <w:szCs w:val="24"/>
        </w:rPr>
        <w:t>rev’d on other grounds</w:t>
      </w:r>
      <w:r w:rsidR="00B134C5" w:rsidRPr="00DC2F89">
        <w:rPr>
          <w:rFonts w:eastAsia="Times New Roman"/>
          <w:sz w:val="24"/>
          <w:szCs w:val="24"/>
        </w:rPr>
        <w:t>, 255 P.3d 1058 (Colo. 2011)</w:t>
      </w:r>
      <w:r w:rsidR="00B041F7">
        <w:rPr>
          <w:rFonts w:eastAsia="Times New Roman"/>
          <w:sz w:val="24"/>
          <w:szCs w:val="24"/>
        </w:rPr>
        <w:t xml:space="preserve">; </w:t>
      </w:r>
      <w:r w:rsidR="00DC2F89" w:rsidRPr="00DC2F89">
        <w:rPr>
          <w:rFonts w:eastAsia="Times New Roman"/>
          <w:b/>
          <w:sz w:val="24"/>
          <w:szCs w:val="24"/>
        </w:rPr>
        <w:t>Koontz v. Rosener</w:t>
      </w:r>
      <w:r w:rsidR="00DC2F89" w:rsidRPr="00DC2F89">
        <w:rPr>
          <w:rFonts w:eastAsia="Times New Roman"/>
          <w:sz w:val="24"/>
          <w:szCs w:val="24"/>
        </w:rPr>
        <w:t>, 787 P.2d 192 (Colo. App. 1989) (</w:t>
      </w:r>
      <w:r w:rsidR="00B134C5">
        <w:rPr>
          <w:rFonts w:eastAsia="Times New Roman"/>
          <w:sz w:val="24"/>
          <w:szCs w:val="24"/>
        </w:rPr>
        <w:t xml:space="preserve">employees breached duty of loyalty </w:t>
      </w:r>
      <w:r w:rsidR="00DC2F89" w:rsidRPr="00DC2F89">
        <w:rPr>
          <w:rFonts w:eastAsia="Times New Roman"/>
          <w:sz w:val="24"/>
          <w:szCs w:val="24"/>
        </w:rPr>
        <w:t xml:space="preserve">by shortlisting </w:t>
      </w:r>
      <w:r w:rsidR="00B134C5">
        <w:rPr>
          <w:rFonts w:eastAsia="Times New Roman"/>
          <w:sz w:val="24"/>
          <w:szCs w:val="24"/>
        </w:rPr>
        <w:t>and</w:t>
      </w:r>
      <w:r w:rsidR="00DC2F89" w:rsidRPr="00DC2F89">
        <w:rPr>
          <w:rFonts w:eastAsia="Times New Roman"/>
          <w:sz w:val="24"/>
          <w:szCs w:val="24"/>
        </w:rPr>
        <w:t xml:space="preserve"> discouraging real estate offerings and soliciting co-workers to </w:t>
      </w:r>
      <w:r w:rsidR="00B134C5">
        <w:rPr>
          <w:rFonts w:eastAsia="Times New Roman"/>
          <w:sz w:val="24"/>
          <w:szCs w:val="24"/>
        </w:rPr>
        <w:t>join their anticipated venture</w:t>
      </w:r>
      <w:r w:rsidR="00DC2F89" w:rsidRPr="00DC2F89">
        <w:rPr>
          <w:rFonts w:eastAsia="Times New Roman"/>
          <w:sz w:val="24"/>
          <w:szCs w:val="24"/>
        </w:rPr>
        <w:t>)</w:t>
      </w:r>
      <w:r w:rsidR="00B041F7">
        <w:rPr>
          <w:rFonts w:eastAsia="Times New Roman"/>
          <w:sz w:val="24"/>
          <w:szCs w:val="24"/>
        </w:rPr>
        <w:t>.</w:t>
      </w:r>
    </w:p>
    <w:p w14:paraId="7F05AB40" w14:textId="77777777" w:rsidR="00DC2F89" w:rsidRPr="00DC2F89" w:rsidRDefault="00806F39" w:rsidP="00DC2F89">
      <w:pPr>
        <w:spacing w:after="240"/>
        <w:ind w:firstLine="720"/>
        <w:rPr>
          <w:rFonts w:eastAsia="Times New Roman"/>
          <w:sz w:val="24"/>
          <w:szCs w:val="24"/>
        </w:rPr>
      </w:pPr>
      <w:r>
        <w:rPr>
          <w:rFonts w:eastAsia="Times New Roman"/>
          <w:sz w:val="24"/>
          <w:szCs w:val="24"/>
        </w:rPr>
        <w:t>8</w:t>
      </w:r>
      <w:r w:rsidR="00DC2F89" w:rsidRPr="00DC2F89">
        <w:rPr>
          <w:rFonts w:eastAsia="Times New Roman"/>
          <w:sz w:val="24"/>
          <w:szCs w:val="24"/>
        </w:rPr>
        <w:t xml:space="preserve">. A fiduciary has the duty to disclose only material information. Therefore, a breach of fiduciary duty by non-disclosure requires that the undisclosed information be material. </w:t>
      </w:r>
      <w:r w:rsidR="00DC2F89" w:rsidRPr="00DC2F89">
        <w:rPr>
          <w:rFonts w:eastAsia="Times New Roman"/>
          <w:b/>
          <w:sz w:val="24"/>
          <w:szCs w:val="24"/>
        </w:rPr>
        <w:t>Moye White LLP v. Beren</w:t>
      </w:r>
      <w:r w:rsidR="00DC2F89" w:rsidRPr="00DC2F89">
        <w:rPr>
          <w:rFonts w:eastAsia="Times New Roman"/>
          <w:sz w:val="24"/>
          <w:szCs w:val="24"/>
        </w:rPr>
        <w:t xml:space="preserve">, 2013 COA 89, </w:t>
      </w:r>
      <w:r w:rsidR="00B041F7">
        <w:rPr>
          <w:rFonts w:eastAsia="Times New Roman"/>
          <w:sz w:val="24"/>
          <w:szCs w:val="24"/>
        </w:rPr>
        <w:t xml:space="preserve">¶¶ 27, 38, </w:t>
      </w:r>
      <w:r w:rsidR="00DC2F89" w:rsidRPr="00DC2F89">
        <w:rPr>
          <w:rFonts w:eastAsia="Times New Roman"/>
          <w:sz w:val="24"/>
          <w:szCs w:val="24"/>
        </w:rPr>
        <w:t xml:space="preserve">320 P.3d 373 (attorney’s </w:t>
      </w:r>
      <w:r w:rsidR="00B041F7">
        <w:rPr>
          <w:rFonts w:eastAsia="Times New Roman"/>
          <w:sz w:val="24"/>
          <w:szCs w:val="24"/>
        </w:rPr>
        <w:t xml:space="preserve">medical and </w:t>
      </w:r>
      <w:r w:rsidR="00DC2F89" w:rsidRPr="00DC2F89">
        <w:rPr>
          <w:rFonts w:eastAsia="Times New Roman"/>
          <w:sz w:val="24"/>
          <w:szCs w:val="24"/>
        </w:rPr>
        <w:t xml:space="preserve">arrest </w:t>
      </w:r>
      <w:r w:rsidR="00B041F7">
        <w:rPr>
          <w:rFonts w:eastAsia="Times New Roman"/>
          <w:sz w:val="24"/>
          <w:szCs w:val="24"/>
        </w:rPr>
        <w:t>history</w:t>
      </w:r>
      <w:r w:rsidR="00DC2F89" w:rsidRPr="00DC2F89">
        <w:rPr>
          <w:rFonts w:eastAsia="Times New Roman"/>
          <w:sz w:val="24"/>
          <w:szCs w:val="24"/>
        </w:rPr>
        <w:t xml:space="preserve"> w</w:t>
      </w:r>
      <w:r w:rsidR="00B041F7">
        <w:rPr>
          <w:rFonts w:eastAsia="Times New Roman"/>
          <w:sz w:val="24"/>
          <w:szCs w:val="24"/>
        </w:rPr>
        <w:t>as</w:t>
      </w:r>
      <w:r w:rsidR="00DC2F89" w:rsidRPr="00DC2F89">
        <w:rPr>
          <w:rFonts w:eastAsia="Times New Roman"/>
          <w:sz w:val="24"/>
          <w:szCs w:val="24"/>
        </w:rPr>
        <w:t xml:space="preserve"> not material because risk of </w:t>
      </w:r>
      <w:r w:rsidR="00433162">
        <w:rPr>
          <w:rFonts w:eastAsia="Times New Roman"/>
          <w:sz w:val="24"/>
          <w:szCs w:val="24"/>
        </w:rPr>
        <w:t>impaired</w:t>
      </w:r>
      <w:r w:rsidR="00DC2F89" w:rsidRPr="00DC2F89">
        <w:rPr>
          <w:rFonts w:eastAsia="Times New Roman"/>
          <w:sz w:val="24"/>
          <w:szCs w:val="24"/>
        </w:rPr>
        <w:t xml:space="preserve"> legal representation was speculative).</w:t>
      </w:r>
    </w:p>
    <w:p w14:paraId="1787B16F" w14:textId="77777777" w:rsidR="00E41870" w:rsidRDefault="00E41870">
      <w:pPr>
        <w:rPr>
          <w:rFonts w:eastAsia="Times New Roman"/>
          <w:sz w:val="24"/>
          <w:szCs w:val="24"/>
        </w:rPr>
      </w:pPr>
      <w:r>
        <w:rPr>
          <w:rFonts w:eastAsia="Times New Roman"/>
          <w:sz w:val="24"/>
          <w:szCs w:val="24"/>
        </w:rPr>
        <w:br w:type="page"/>
      </w:r>
    </w:p>
    <w:p w14:paraId="4BAEBA7A" w14:textId="77777777" w:rsidR="00E41870" w:rsidRPr="009E3DA4" w:rsidRDefault="00E41870" w:rsidP="00E41870">
      <w:pPr>
        <w:spacing w:after="240"/>
        <w:ind w:left="720" w:hanging="720"/>
        <w:rPr>
          <w:rFonts w:eastAsia="Times New Roman"/>
          <w:b/>
          <w:sz w:val="24"/>
          <w:szCs w:val="24"/>
        </w:rPr>
      </w:pPr>
      <w:bookmarkStart w:id="2" w:name="a26_02"/>
      <w:bookmarkEnd w:id="2"/>
      <w:r w:rsidRPr="00E41870">
        <w:rPr>
          <w:rFonts w:eastAsia="Times New Roman"/>
          <w:b/>
          <w:sz w:val="24"/>
          <w:szCs w:val="24"/>
        </w:rPr>
        <w:lastRenderedPageBreak/>
        <w:t xml:space="preserve">26:2 </w:t>
      </w:r>
      <w:r w:rsidRPr="00E41870">
        <w:rPr>
          <w:rFonts w:eastAsia="Times New Roman"/>
          <w:b/>
          <w:sz w:val="24"/>
          <w:szCs w:val="24"/>
        </w:rPr>
        <w:tab/>
        <w:t xml:space="preserve">FIDUCIARY </w:t>
      </w:r>
      <w:proofErr w:type="gramStart"/>
      <w:r w:rsidRPr="00E41870">
        <w:rPr>
          <w:rFonts w:eastAsia="Times New Roman"/>
          <w:b/>
          <w:sz w:val="24"/>
          <w:szCs w:val="24"/>
        </w:rPr>
        <w:t>RELATIONSHIP</w:t>
      </w:r>
      <w:proofErr w:type="gramEnd"/>
      <w:r w:rsidRPr="00E41870">
        <w:rPr>
          <w:rFonts w:eastAsia="Times New Roman"/>
          <w:b/>
          <w:sz w:val="24"/>
          <w:szCs w:val="24"/>
        </w:rPr>
        <w:t xml:space="preserve"> — DEFINED</w:t>
      </w:r>
    </w:p>
    <w:p w14:paraId="0934BB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A fiduciary relationship exists whenever one person is entrusted to act for the benefit of or in the interests of another and has the legal (power) (authority) to do so.</w:t>
      </w:r>
    </w:p>
    <w:p w14:paraId="47016E48"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the defendant, </w:t>
      </w:r>
      <w:r w:rsidRPr="00E41870">
        <w:rPr>
          <w:rFonts w:eastAsia="Times New Roman"/>
          <w:i/>
          <w:sz w:val="24"/>
          <w:szCs w:val="24"/>
        </w:rPr>
        <w:t>(name)</w:t>
      </w:r>
      <w:r w:rsidRPr="00E41870">
        <w:rPr>
          <w:rFonts w:eastAsia="Times New Roman"/>
          <w:b/>
          <w:sz w:val="24"/>
          <w:szCs w:val="24"/>
        </w:rPr>
        <w:t xml:space="preserve">, was acting as (a) (an) </w:t>
      </w:r>
      <w:r w:rsidRPr="00E41870">
        <w:rPr>
          <w:rFonts w:eastAsia="Times New Roman"/>
          <w:i/>
          <w:sz w:val="24"/>
          <w:szCs w:val="24"/>
        </w:rPr>
        <w:t>(insert appropriate description, e.g., “attorney,” “partner,” “joint venturer,” “agent,” etc.)</w:t>
      </w:r>
      <w:r w:rsidRPr="00E41870">
        <w:rPr>
          <w:rFonts w:eastAsia="Times New Roman"/>
          <w:b/>
          <w:sz w:val="24"/>
          <w:szCs w:val="24"/>
        </w:rPr>
        <w:t xml:space="preserve"> of the plaintiff,</w:t>
      </w:r>
      <w:r w:rsidRPr="00E41870">
        <w:rPr>
          <w:rFonts w:eastAsia="Times New Roman"/>
          <w:i/>
          <w:sz w:val="24"/>
          <w:szCs w:val="24"/>
        </w:rPr>
        <w:t xml:space="preserve"> (name)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 e.g., “sale of plaintiff’s house”)</w:t>
      </w:r>
      <w:r w:rsidRPr="00E41870">
        <w:rPr>
          <w:rFonts w:eastAsia="Times New Roman"/>
          <w:b/>
          <w:sz w:val="24"/>
          <w:szCs w:val="24"/>
        </w:rPr>
        <w:t xml:space="preserve">, then you are instructed that the defendant was acting as a fiduciary of the plaintiff, </w:t>
      </w:r>
      <w:r w:rsidRPr="00E41870">
        <w:rPr>
          <w:rFonts w:eastAsia="Times New Roman"/>
          <w:i/>
          <w:sz w:val="24"/>
          <w:szCs w:val="24"/>
        </w:rPr>
        <w:t>(name)</w:t>
      </w:r>
      <w:r w:rsidRPr="00E41870">
        <w:rPr>
          <w:rFonts w:eastAsia="Times New Roman"/>
          <w:b/>
          <w:sz w:val="24"/>
          <w:szCs w:val="24"/>
        </w:rPr>
        <w:t xml:space="preserve">, with respect to </w:t>
      </w:r>
      <w:r w:rsidRPr="00E41870">
        <w:rPr>
          <w:rFonts w:eastAsia="Times New Roman"/>
          <w:i/>
          <w:sz w:val="24"/>
          <w:szCs w:val="24"/>
        </w:rPr>
        <w:t>(insert appropriate description of subject matter)</w:t>
      </w:r>
      <w:r w:rsidRPr="00E41870">
        <w:rPr>
          <w:rFonts w:eastAsia="Times New Roman"/>
          <w:b/>
          <w:sz w:val="24"/>
          <w:szCs w:val="24"/>
        </w:rPr>
        <w:t>.</w:t>
      </w:r>
    </w:p>
    <w:p w14:paraId="1CF091AE" w14:textId="77777777" w:rsidR="00E41870" w:rsidRDefault="00E41870" w:rsidP="00E41870">
      <w:pPr>
        <w:jc w:val="center"/>
        <w:rPr>
          <w:rFonts w:eastAsia="Times New Roman"/>
          <w:sz w:val="24"/>
          <w:szCs w:val="24"/>
        </w:rPr>
      </w:pPr>
    </w:p>
    <w:p w14:paraId="54118BAA"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027CF3A" w14:textId="58E7D403"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define that fiduciary relationship by using the first sentence of this instruction. However, when the alleged relationship between the parties, if proven, would establish the existence of a fiduciary relationship as a matter of law, but the facts giving rise to such a relationship are in dispute, then the second paragraph of this instruction should also be given. Depending on the nature of the fiduciary relationship alleged and the particular facts in dispute, this instruction may </w:t>
      </w:r>
      <w:r w:rsidR="00433162">
        <w:rPr>
          <w:rFonts w:eastAsia="Times New Roman"/>
          <w:sz w:val="24"/>
          <w:szCs w:val="24"/>
        </w:rPr>
        <w:t>require</w:t>
      </w:r>
      <w:r w:rsidRPr="00E41870">
        <w:rPr>
          <w:rFonts w:eastAsia="Times New Roman"/>
          <w:sz w:val="24"/>
          <w:szCs w:val="24"/>
        </w:rPr>
        <w:t xml:space="preserve"> modifi</w:t>
      </w:r>
      <w:r w:rsidR="00433162">
        <w:rPr>
          <w:rFonts w:eastAsia="Times New Roman"/>
          <w:sz w:val="24"/>
          <w:szCs w:val="24"/>
        </w:rPr>
        <w:t>cation</w:t>
      </w:r>
      <w:r w:rsidRPr="00E41870">
        <w:rPr>
          <w:rFonts w:eastAsia="Times New Roman"/>
          <w:sz w:val="24"/>
          <w:szCs w:val="24"/>
        </w:rPr>
        <w:t>.</w:t>
      </w:r>
    </w:p>
    <w:p w14:paraId="5245AF13"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2. If plaintiff is claiming that the fiduciary duty arose out of a confidential relationship and there is sufficient evidence to support that claim, then Instruction 26:3, rather than this instruction, should be used.</w:t>
      </w:r>
    </w:p>
    <w:p w14:paraId="565A3EEC"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F2CC776" w14:textId="0A3B6EB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00806F39" w:rsidRPr="00806F39">
        <w:rPr>
          <w:rFonts w:eastAsia="Times New Roman"/>
          <w:b/>
          <w:sz w:val="24"/>
          <w:szCs w:val="24"/>
        </w:rPr>
        <w:t>Rocky Mountain Exploration, Inc. v. Davis Graham &amp; Stubbs LLP</w:t>
      </w:r>
      <w:r w:rsidR="00806F39">
        <w:rPr>
          <w:rFonts w:eastAsia="Times New Roman"/>
          <w:sz w:val="24"/>
          <w:szCs w:val="24"/>
        </w:rPr>
        <w:t xml:space="preserve">, 2018 CO 54, </w:t>
      </w:r>
      <w:r w:rsidR="00776F3F">
        <w:rPr>
          <w:rFonts w:eastAsia="Times New Roman"/>
          <w:sz w:val="24"/>
          <w:szCs w:val="24"/>
        </w:rPr>
        <w:t>¶ 60</w:t>
      </w:r>
      <w:r w:rsidR="00BB28E0">
        <w:rPr>
          <w:rFonts w:eastAsia="Times New Roman"/>
          <w:sz w:val="24"/>
          <w:szCs w:val="24"/>
        </w:rPr>
        <w:t>, 420 P.3d 223</w:t>
      </w:r>
      <w:r w:rsidRPr="00E41870">
        <w:rPr>
          <w:rFonts w:eastAsia="Times New Roman"/>
          <w:sz w:val="24"/>
          <w:szCs w:val="24"/>
        </w:rPr>
        <w:t xml:space="preserve">; </w:t>
      </w:r>
      <w:r w:rsidR="00CE2A2F" w:rsidRPr="00CE2A2F">
        <w:rPr>
          <w:rFonts w:eastAsia="Times New Roman"/>
          <w:b/>
          <w:sz w:val="24"/>
          <w:szCs w:val="24"/>
        </w:rPr>
        <w:t xml:space="preserve">Accident &amp; Injury </w:t>
      </w:r>
      <w:r w:rsidR="00CE2A2F">
        <w:rPr>
          <w:rFonts w:eastAsia="Times New Roman"/>
          <w:b/>
          <w:sz w:val="24"/>
          <w:szCs w:val="24"/>
        </w:rPr>
        <w:t xml:space="preserve">Medical </w:t>
      </w:r>
      <w:r w:rsidR="00CE2A2F" w:rsidRPr="00CE2A2F">
        <w:rPr>
          <w:rFonts w:eastAsia="Times New Roman"/>
          <w:b/>
          <w:sz w:val="24"/>
          <w:szCs w:val="24"/>
        </w:rPr>
        <w:t>Specialists, P.C. v. Mintz</w:t>
      </w:r>
      <w:r w:rsidR="00CE2A2F">
        <w:rPr>
          <w:rFonts w:eastAsia="Times New Roman"/>
          <w:sz w:val="24"/>
          <w:szCs w:val="24"/>
        </w:rPr>
        <w:t xml:space="preserve">, 2012 CO 50, ¶ 21, 279 P.3d 658; </w:t>
      </w:r>
      <w:r w:rsidR="00776F3F">
        <w:rPr>
          <w:rFonts w:eastAsia="Times New Roman"/>
          <w:sz w:val="24"/>
          <w:szCs w:val="24"/>
        </w:rPr>
        <w:t xml:space="preserve">and </w:t>
      </w:r>
      <w:r w:rsidR="00776F3F" w:rsidRPr="00E41870">
        <w:rPr>
          <w:rFonts w:eastAsia="Times New Roman"/>
          <w:b/>
          <w:sz w:val="24"/>
          <w:szCs w:val="24"/>
        </w:rPr>
        <w:t>Moses v. Diocese of Colo.</w:t>
      </w:r>
      <w:r w:rsidR="00776F3F" w:rsidRPr="00E41870">
        <w:rPr>
          <w:rFonts w:eastAsia="Times New Roman"/>
          <w:sz w:val="24"/>
          <w:szCs w:val="24"/>
        </w:rPr>
        <w:t>, 863 P.2d 310 (Colo. 1993)</w:t>
      </w:r>
      <w:r w:rsidR="00776F3F">
        <w:rPr>
          <w:rFonts w:eastAsia="Times New Roman"/>
          <w:sz w:val="24"/>
          <w:szCs w:val="24"/>
        </w:rPr>
        <w:t xml:space="preserve">. </w:t>
      </w:r>
      <w:r w:rsidR="00776F3F" w:rsidRPr="00776F3F">
        <w:rPr>
          <w:rFonts w:eastAsia="Times New Roman"/>
          <w:i/>
          <w:sz w:val="24"/>
          <w:szCs w:val="24"/>
        </w:rPr>
        <w:t>See also</w:t>
      </w:r>
      <w:r w:rsidR="00776F3F">
        <w:rPr>
          <w:rFonts w:eastAsia="Times New Roman"/>
          <w:sz w:val="24"/>
          <w:szCs w:val="24"/>
        </w:rPr>
        <w:t xml:space="preserve"> </w:t>
      </w:r>
      <w:r w:rsidR="00776F3F" w:rsidRPr="00E41870">
        <w:rPr>
          <w:rFonts w:eastAsia="Times New Roman"/>
          <w:b/>
          <w:sz w:val="24"/>
          <w:szCs w:val="24"/>
        </w:rPr>
        <w:t>Lucas v. Abbott</w:t>
      </w:r>
      <w:r w:rsidR="00776F3F" w:rsidRPr="00E41870">
        <w:rPr>
          <w:rFonts w:eastAsia="Times New Roman"/>
          <w:sz w:val="24"/>
          <w:szCs w:val="24"/>
        </w:rPr>
        <w:t>, 198 Colo. 477, 601 P.2d 1376 (1979) (joint venturers)</w:t>
      </w:r>
      <w:r w:rsidR="00776F3F">
        <w:rPr>
          <w:rFonts w:eastAsia="Times New Roman"/>
          <w:sz w:val="24"/>
          <w:szCs w:val="24"/>
        </w:rPr>
        <w:t xml:space="preserve">; </w:t>
      </w:r>
      <w:r w:rsidRPr="00E41870">
        <w:rPr>
          <w:rFonts w:eastAsia="Times New Roman"/>
          <w:b/>
          <w:sz w:val="24"/>
          <w:szCs w:val="24"/>
        </w:rPr>
        <w:t>McKinney v. Christmas</w:t>
      </w:r>
      <w:r w:rsidRPr="00E41870">
        <w:rPr>
          <w:rFonts w:eastAsia="Times New Roman"/>
          <w:sz w:val="24"/>
          <w:szCs w:val="24"/>
        </w:rPr>
        <w:t xml:space="preserve">, 143 Colo. 361, 353 P.2d 373 (1960) (real estate agent); </w:t>
      </w:r>
      <w:r w:rsidR="008C79FC" w:rsidRPr="00E41870">
        <w:rPr>
          <w:rFonts w:eastAsia="Times New Roman"/>
          <w:b/>
          <w:sz w:val="24"/>
          <w:szCs w:val="24"/>
        </w:rPr>
        <w:t>Howard v. Hester</w:t>
      </w:r>
      <w:r w:rsidR="008C79FC" w:rsidRPr="00E41870">
        <w:rPr>
          <w:rFonts w:eastAsia="Times New Roman"/>
          <w:sz w:val="24"/>
          <w:szCs w:val="24"/>
        </w:rPr>
        <w:t xml:space="preserve">, 139 Colo. 255, 338 P.2d 106 (1959) (attorney and real estate agent); </w:t>
      </w:r>
      <w:r w:rsidRPr="00E41870">
        <w:rPr>
          <w:rFonts w:eastAsia="Times New Roman"/>
          <w:b/>
          <w:sz w:val="24"/>
          <w:szCs w:val="24"/>
        </w:rPr>
        <w:t>Midwest Mut</w:t>
      </w:r>
      <w:r w:rsidR="00776F3F">
        <w:rPr>
          <w:rFonts w:eastAsia="Times New Roman"/>
          <w:b/>
          <w:sz w:val="24"/>
          <w:szCs w:val="24"/>
        </w:rPr>
        <w:t>., Inc.</w:t>
      </w:r>
      <w:r w:rsidRPr="00E41870">
        <w:rPr>
          <w:rFonts w:eastAsia="Times New Roman"/>
          <w:b/>
          <w:sz w:val="24"/>
          <w:szCs w:val="24"/>
        </w:rPr>
        <w:t xml:space="preserve"> v. Heald</w:t>
      </w:r>
      <w:r w:rsidRPr="00E41870">
        <w:rPr>
          <w:rFonts w:eastAsia="Times New Roman"/>
          <w:sz w:val="24"/>
          <w:szCs w:val="24"/>
        </w:rPr>
        <w:t xml:space="preserve">, 106 Colo. 552, 108 P.2d 535 (1940) (attorney); </w:t>
      </w:r>
      <w:r w:rsidRPr="00E41870">
        <w:rPr>
          <w:rFonts w:eastAsia="Times New Roman"/>
          <w:b/>
          <w:sz w:val="24"/>
          <w:szCs w:val="24"/>
        </w:rPr>
        <w:t>Hart v. Colo</w:t>
      </w:r>
      <w:r w:rsidR="00402C7C">
        <w:rPr>
          <w:rFonts w:eastAsia="Times New Roman"/>
          <w:b/>
          <w:sz w:val="24"/>
          <w:szCs w:val="24"/>
        </w:rPr>
        <w:t>.</w:t>
      </w:r>
      <w:r w:rsidRPr="00E41870">
        <w:rPr>
          <w:rFonts w:eastAsia="Times New Roman"/>
          <w:b/>
          <w:sz w:val="24"/>
          <w:szCs w:val="24"/>
        </w:rPr>
        <w:t xml:space="preserve"> Real Estate Comm</w:t>
      </w:r>
      <w:r w:rsidR="00402C7C">
        <w:rPr>
          <w:rFonts w:eastAsia="Times New Roman"/>
          <w:b/>
          <w:sz w:val="24"/>
          <w:szCs w:val="24"/>
        </w:rPr>
        <w:t>’</w:t>
      </w:r>
      <w:r w:rsidRPr="00E41870">
        <w:rPr>
          <w:rFonts w:eastAsia="Times New Roman"/>
          <w:b/>
          <w:sz w:val="24"/>
          <w:szCs w:val="24"/>
        </w:rPr>
        <w:t>n</w:t>
      </w:r>
      <w:r w:rsidRPr="00E41870">
        <w:rPr>
          <w:rFonts w:eastAsia="Times New Roman"/>
          <w:sz w:val="24"/>
          <w:szCs w:val="24"/>
        </w:rPr>
        <w:t>, 702 P.2d 763 (</w:t>
      </w:r>
      <w:r w:rsidR="00E71BCE">
        <w:rPr>
          <w:rFonts w:eastAsia="Times New Roman"/>
          <w:sz w:val="24"/>
          <w:szCs w:val="24"/>
        </w:rPr>
        <w:t>Colo. App.</w:t>
      </w:r>
      <w:r w:rsidRPr="00E41870">
        <w:rPr>
          <w:rFonts w:eastAsia="Times New Roman"/>
          <w:sz w:val="24"/>
          <w:szCs w:val="24"/>
        </w:rPr>
        <w:t xml:space="preserve"> 1985) (agent as a fiduciary); </w:t>
      </w:r>
      <w:r w:rsidRPr="00E41870">
        <w:rPr>
          <w:rFonts w:eastAsia="Times New Roman"/>
          <w:b/>
          <w:sz w:val="24"/>
          <w:szCs w:val="24"/>
        </w:rPr>
        <w:t>Brunner v. Horton</w:t>
      </w:r>
      <w:r w:rsidRPr="00E41870">
        <w:rPr>
          <w:rFonts w:eastAsia="Times New Roman"/>
          <w:sz w:val="24"/>
          <w:szCs w:val="24"/>
        </w:rPr>
        <w:t>, 702 P.2d 283 (</w:t>
      </w:r>
      <w:r w:rsidR="00E71BCE">
        <w:rPr>
          <w:rFonts w:eastAsia="Times New Roman"/>
          <w:sz w:val="24"/>
          <w:szCs w:val="24"/>
        </w:rPr>
        <w:t>Colo. App.</w:t>
      </w:r>
      <w:r w:rsidRPr="00E41870">
        <w:rPr>
          <w:rFonts w:eastAsia="Times New Roman"/>
          <w:sz w:val="24"/>
          <w:szCs w:val="24"/>
        </w:rPr>
        <w:t xml:space="preserve"> 1985) (same).</w:t>
      </w:r>
    </w:p>
    <w:p w14:paraId="53ECF101" w14:textId="6F05EA2F"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prerequisite to finding a fiduciary duty is the existence of a fiduciary relationship. </w:t>
      </w:r>
      <w:r w:rsidRPr="00E41870">
        <w:rPr>
          <w:rFonts w:eastAsia="Times New Roman"/>
          <w:b/>
          <w:sz w:val="24"/>
          <w:szCs w:val="24"/>
        </w:rPr>
        <w:t>Moses</w:t>
      </w:r>
      <w:r w:rsidRPr="00E41870">
        <w:rPr>
          <w:rFonts w:eastAsia="Times New Roman"/>
          <w:sz w:val="24"/>
          <w:szCs w:val="24"/>
        </w:rPr>
        <w:t xml:space="preserve">, 863 P.2d </w:t>
      </w:r>
      <w:r w:rsidR="00776F3F">
        <w:rPr>
          <w:rFonts w:eastAsia="Times New Roman"/>
          <w:sz w:val="24"/>
          <w:szCs w:val="24"/>
        </w:rPr>
        <w:t xml:space="preserve">at </w:t>
      </w:r>
      <w:r w:rsidRPr="00E41870">
        <w:rPr>
          <w:rFonts w:eastAsia="Times New Roman"/>
          <w:sz w:val="24"/>
          <w:szCs w:val="24"/>
        </w:rPr>
        <w:t>3</w:t>
      </w:r>
      <w:r w:rsidR="00776F3F">
        <w:rPr>
          <w:rFonts w:eastAsia="Times New Roman"/>
          <w:sz w:val="24"/>
          <w:szCs w:val="24"/>
        </w:rPr>
        <w:t>2</w:t>
      </w:r>
      <w:r w:rsidRPr="00E41870">
        <w:rPr>
          <w:rFonts w:eastAsia="Times New Roman"/>
          <w:sz w:val="24"/>
          <w:szCs w:val="24"/>
        </w:rPr>
        <w:t>1 (record supported jury’s determination that fiduciary relationship existed between bishop and parishioner where there was evidence that bishop occupied superior position over parishioner, was able to exert substantial influence over parishioner, and assumed a duty to act in the best interests of the parishioner).</w:t>
      </w:r>
    </w:p>
    <w:p w14:paraId="43E685DC" w14:textId="78C8D4A5" w:rsidR="00E41870" w:rsidRDefault="00E41870" w:rsidP="00E41870">
      <w:pPr>
        <w:spacing w:after="240"/>
        <w:ind w:firstLine="720"/>
        <w:rPr>
          <w:rFonts w:eastAsia="Times New Roman"/>
          <w:sz w:val="24"/>
          <w:szCs w:val="24"/>
        </w:rPr>
      </w:pPr>
      <w:r w:rsidRPr="00E41870">
        <w:rPr>
          <w:rFonts w:eastAsia="Times New Roman"/>
          <w:sz w:val="24"/>
          <w:szCs w:val="24"/>
        </w:rPr>
        <w:lastRenderedPageBreak/>
        <w:t>3. Fiduciary duties arise only as to matters within the scope of th</w:t>
      </w:r>
      <w:r w:rsidR="009603E5">
        <w:rPr>
          <w:rFonts w:eastAsia="Times New Roman"/>
          <w:sz w:val="24"/>
          <w:szCs w:val="24"/>
        </w:rPr>
        <w:t xml:space="preserve">e fiduciary relationship. </w:t>
      </w:r>
      <w:r w:rsidRPr="00E41870">
        <w:rPr>
          <w:rFonts w:eastAsia="Times New Roman"/>
          <w:i/>
          <w:sz w:val="24"/>
          <w:szCs w:val="24"/>
        </w:rPr>
        <w:t xml:space="preserve">See </w:t>
      </w:r>
      <w:r w:rsidRPr="00E41870">
        <w:rPr>
          <w:rFonts w:eastAsia="Times New Roman"/>
          <w:b/>
          <w:sz w:val="24"/>
          <w:szCs w:val="24"/>
        </w:rPr>
        <w:t>Mintz v. Accident &amp; Injury Med. Specialists, PC</w:t>
      </w:r>
      <w:r w:rsidRPr="00E41870">
        <w:rPr>
          <w:rFonts w:eastAsia="Times New Roman"/>
          <w:sz w:val="24"/>
          <w:szCs w:val="24"/>
        </w:rPr>
        <w:t>, 284 P.3d 62, 68 (Colo. App. 2010)</w:t>
      </w:r>
      <w:r w:rsidR="00402C7C">
        <w:rPr>
          <w:rFonts w:eastAsia="Times New Roman"/>
          <w:sz w:val="24"/>
          <w:szCs w:val="24"/>
        </w:rPr>
        <w:t xml:space="preserve"> </w:t>
      </w:r>
      <w:r w:rsidR="00402C7C" w:rsidRPr="00E41870">
        <w:rPr>
          <w:rFonts w:eastAsia="Times New Roman"/>
          <w:sz w:val="24"/>
          <w:szCs w:val="24"/>
        </w:rPr>
        <w:t xml:space="preserve">(explaining that a “fiduciary relationship exists between two persons when one of them has </w:t>
      </w:r>
      <w:r w:rsidR="00402C7C">
        <w:rPr>
          <w:rFonts w:eastAsia="Times New Roman"/>
          <w:sz w:val="24"/>
          <w:szCs w:val="24"/>
        </w:rPr>
        <w:t xml:space="preserve">undertaken </w:t>
      </w:r>
      <w:r w:rsidR="00402C7C" w:rsidRPr="00E41870">
        <w:rPr>
          <w:rFonts w:eastAsia="Times New Roman"/>
          <w:sz w:val="24"/>
          <w:szCs w:val="24"/>
        </w:rPr>
        <w:t>a duty to act for or to give advice for the benefit of another on matters within the relationship’s scope”)</w:t>
      </w:r>
      <w:r w:rsidRPr="00E41870">
        <w:rPr>
          <w:rFonts w:eastAsia="Times New Roman"/>
          <w:sz w:val="24"/>
          <w:szCs w:val="24"/>
        </w:rPr>
        <w:t xml:space="preserve">, </w:t>
      </w:r>
      <w:r w:rsidRPr="00E41870">
        <w:rPr>
          <w:rFonts w:eastAsia="Times New Roman"/>
          <w:i/>
          <w:sz w:val="24"/>
          <w:szCs w:val="24"/>
        </w:rPr>
        <w:t>aff’d</w:t>
      </w:r>
      <w:r w:rsidRPr="00E41870">
        <w:rPr>
          <w:rFonts w:eastAsia="Times New Roman"/>
          <w:sz w:val="24"/>
          <w:szCs w:val="24"/>
        </w:rPr>
        <w:t>, 2012 CO 50, 279 P.3d 658; s</w:t>
      </w:r>
      <w:r w:rsidRPr="00E41870">
        <w:rPr>
          <w:rFonts w:eastAsia="Times New Roman"/>
          <w:i/>
          <w:sz w:val="24"/>
          <w:szCs w:val="24"/>
        </w:rPr>
        <w:t xml:space="preserve">ee also </w:t>
      </w:r>
      <w:r w:rsidRPr="00E41870">
        <w:rPr>
          <w:rFonts w:eastAsia="Times New Roman"/>
          <w:b/>
          <w:sz w:val="24"/>
          <w:szCs w:val="24"/>
        </w:rPr>
        <w:t>Semler v. Hellerstein</w:t>
      </w:r>
      <w:r w:rsidRPr="00E41870">
        <w:rPr>
          <w:rFonts w:eastAsia="Times New Roman"/>
          <w:sz w:val="24"/>
          <w:szCs w:val="24"/>
        </w:rPr>
        <w:t>, 2016 COA 143, ¶¶ 35-40</w:t>
      </w:r>
      <w:r w:rsidR="000F57B1">
        <w:rPr>
          <w:rFonts w:eastAsia="Times New Roman"/>
          <w:sz w:val="24"/>
          <w:szCs w:val="24"/>
        </w:rPr>
        <w:t>, 428 P.3d 555</w:t>
      </w:r>
      <w:r w:rsidRPr="00E41870">
        <w:rPr>
          <w:rFonts w:eastAsia="Times New Roman"/>
          <w:sz w:val="24"/>
          <w:szCs w:val="24"/>
        </w:rPr>
        <w:t xml:space="preserve">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009F041D">
        <w:rPr>
          <w:rFonts w:eastAsia="Times New Roman"/>
          <w:sz w:val="24"/>
          <w:szCs w:val="24"/>
        </w:rPr>
        <w:t xml:space="preserve">, </w:t>
      </w:r>
      <w:r w:rsidR="009F041D" w:rsidRPr="000F57B1">
        <w:rPr>
          <w:rFonts w:eastAsia="Times New Roman"/>
          <w:i/>
          <w:sz w:val="24"/>
          <w:szCs w:val="24"/>
        </w:rPr>
        <w:t xml:space="preserve">rev’d </w:t>
      </w:r>
      <w:r w:rsidR="000F57B1">
        <w:rPr>
          <w:rFonts w:eastAsia="Times New Roman"/>
          <w:i/>
          <w:sz w:val="24"/>
          <w:szCs w:val="24"/>
        </w:rPr>
        <w:t xml:space="preserve">on other grounds </w:t>
      </w:r>
      <w:r w:rsidR="009F041D" w:rsidRPr="000F57B1">
        <w:rPr>
          <w:rFonts w:eastAsia="Times New Roman"/>
          <w:i/>
          <w:sz w:val="24"/>
          <w:szCs w:val="24"/>
        </w:rPr>
        <w:t>sub nom.</w:t>
      </w:r>
      <w:r w:rsidR="009F041D">
        <w:rPr>
          <w:rFonts w:eastAsia="Times New Roman"/>
          <w:sz w:val="24"/>
          <w:szCs w:val="24"/>
        </w:rPr>
        <w:t xml:space="preserve"> </w:t>
      </w:r>
      <w:r w:rsidR="009F041D">
        <w:rPr>
          <w:rFonts w:eastAsia="Times New Roman"/>
          <w:b/>
          <w:sz w:val="24"/>
          <w:szCs w:val="24"/>
        </w:rPr>
        <w:t>Bewley v. Semler</w:t>
      </w:r>
      <w:r w:rsidR="000F57B1">
        <w:rPr>
          <w:rFonts w:eastAsia="Times New Roman"/>
          <w:sz w:val="24"/>
          <w:szCs w:val="24"/>
        </w:rPr>
        <w:t>, 2018 CO 79, 432 P.3d 582</w:t>
      </w:r>
      <w:r w:rsidRPr="00E41870">
        <w:rPr>
          <w:rFonts w:eastAsia="Times New Roman"/>
          <w:sz w:val="24"/>
          <w:szCs w:val="24"/>
        </w:rPr>
        <w:t>.</w:t>
      </w:r>
    </w:p>
    <w:p w14:paraId="02F0456C" w14:textId="282C9378" w:rsidR="00FC1E82" w:rsidRDefault="00F00661" w:rsidP="00E41870">
      <w:pPr>
        <w:spacing w:after="240"/>
        <w:ind w:firstLine="720"/>
        <w:rPr>
          <w:rFonts w:eastAsia="Times New Roman"/>
          <w:sz w:val="24"/>
          <w:szCs w:val="24"/>
        </w:rPr>
      </w:pPr>
      <w:r>
        <w:rPr>
          <w:rFonts w:eastAsia="Times New Roman"/>
          <w:sz w:val="24"/>
          <w:szCs w:val="24"/>
        </w:rPr>
        <w:t xml:space="preserve">4. Parties to a </w:t>
      </w:r>
      <w:r w:rsidR="001D4027">
        <w:rPr>
          <w:rFonts w:eastAsia="Times New Roman"/>
          <w:sz w:val="24"/>
          <w:szCs w:val="24"/>
        </w:rPr>
        <w:t xml:space="preserve">contract may disclaim the existence of a </w:t>
      </w:r>
      <w:r>
        <w:rPr>
          <w:rFonts w:eastAsia="Times New Roman"/>
          <w:sz w:val="24"/>
          <w:szCs w:val="24"/>
        </w:rPr>
        <w:t>joint venture</w:t>
      </w:r>
      <w:r w:rsidR="001D4027">
        <w:rPr>
          <w:rFonts w:eastAsia="Times New Roman"/>
          <w:sz w:val="24"/>
          <w:szCs w:val="24"/>
        </w:rPr>
        <w:t>,</w:t>
      </w:r>
      <w:r>
        <w:rPr>
          <w:rFonts w:eastAsia="Times New Roman"/>
          <w:sz w:val="24"/>
          <w:szCs w:val="24"/>
        </w:rPr>
        <w:t xml:space="preserve"> </w:t>
      </w:r>
      <w:r w:rsidR="001D4027">
        <w:rPr>
          <w:rFonts w:eastAsia="Times New Roman"/>
          <w:sz w:val="24"/>
          <w:szCs w:val="24"/>
        </w:rPr>
        <w:t>there</w:t>
      </w:r>
      <w:r>
        <w:rPr>
          <w:rFonts w:eastAsia="Times New Roman"/>
          <w:sz w:val="24"/>
          <w:szCs w:val="24"/>
        </w:rPr>
        <w:t xml:space="preserve">by </w:t>
      </w:r>
      <w:r w:rsidR="001D4027">
        <w:rPr>
          <w:rFonts w:eastAsia="Times New Roman"/>
          <w:sz w:val="24"/>
          <w:szCs w:val="24"/>
        </w:rPr>
        <w:t xml:space="preserve">disclaiming any </w:t>
      </w:r>
      <w:r>
        <w:rPr>
          <w:rFonts w:eastAsia="Times New Roman"/>
          <w:sz w:val="24"/>
          <w:szCs w:val="24"/>
        </w:rPr>
        <w:t xml:space="preserve">fiduciary </w:t>
      </w:r>
      <w:r w:rsidR="001D4027">
        <w:rPr>
          <w:rFonts w:eastAsia="Times New Roman"/>
          <w:sz w:val="24"/>
          <w:szCs w:val="24"/>
        </w:rPr>
        <w:t>relationship</w:t>
      </w:r>
      <w:r>
        <w:rPr>
          <w:rFonts w:eastAsia="Times New Roman"/>
          <w:sz w:val="24"/>
          <w:szCs w:val="24"/>
        </w:rPr>
        <w:t xml:space="preserve"> that would otherwise </w:t>
      </w:r>
      <w:r w:rsidR="001D4027">
        <w:rPr>
          <w:rFonts w:eastAsia="Times New Roman"/>
          <w:sz w:val="24"/>
          <w:szCs w:val="24"/>
        </w:rPr>
        <w:t>arise from one joint venturer to another</w:t>
      </w:r>
      <w:r>
        <w:rPr>
          <w:rFonts w:eastAsia="Times New Roman"/>
          <w:sz w:val="24"/>
          <w:szCs w:val="24"/>
        </w:rPr>
        <w:t xml:space="preserve">. </w:t>
      </w:r>
      <w:r>
        <w:rPr>
          <w:rFonts w:eastAsia="Times New Roman"/>
          <w:b/>
          <w:sz w:val="24"/>
          <w:szCs w:val="24"/>
        </w:rPr>
        <w:t>Rocky Mountain Expl.</w:t>
      </w:r>
      <w:r>
        <w:rPr>
          <w:rFonts w:eastAsia="Times New Roman"/>
          <w:sz w:val="24"/>
          <w:szCs w:val="24"/>
        </w:rPr>
        <w:t xml:space="preserve">, 2018 CO 54, </w:t>
      </w:r>
      <w:r w:rsidRPr="008F30CF">
        <w:rPr>
          <w:rFonts w:eastAsia="Times New Roman"/>
          <w:sz w:val="24"/>
          <w:szCs w:val="24"/>
        </w:rPr>
        <w:t>¶</w:t>
      </w:r>
      <w:r>
        <w:rPr>
          <w:rFonts w:eastAsia="Times New Roman"/>
          <w:sz w:val="24"/>
          <w:szCs w:val="24"/>
        </w:rPr>
        <w:t xml:space="preserve"> 62, 420 P.3d </w:t>
      </w:r>
      <w:r w:rsidR="00BB28E0">
        <w:rPr>
          <w:rFonts w:eastAsia="Times New Roman"/>
          <w:sz w:val="24"/>
          <w:szCs w:val="24"/>
        </w:rPr>
        <w:t>at</w:t>
      </w:r>
      <w:r>
        <w:rPr>
          <w:rFonts w:eastAsia="Times New Roman"/>
          <w:sz w:val="24"/>
          <w:szCs w:val="24"/>
        </w:rPr>
        <w:t xml:space="preserve"> 235 (“Even when a fiduciary relationship exists, however, the parties may modify—or even disclaim—that relationship.”)</w:t>
      </w:r>
      <w:r w:rsidR="001D4027">
        <w:rPr>
          <w:rFonts w:eastAsia="Times New Roman"/>
          <w:sz w:val="24"/>
          <w:szCs w:val="24"/>
        </w:rPr>
        <w:t>.</w:t>
      </w:r>
    </w:p>
    <w:p w14:paraId="56A3E9D2" w14:textId="7F4B4C34" w:rsidR="00E41870" w:rsidRPr="00E41870" w:rsidRDefault="00F00661" w:rsidP="00E41870">
      <w:pPr>
        <w:spacing w:after="240"/>
        <w:ind w:firstLine="720"/>
        <w:rPr>
          <w:rFonts w:eastAsia="Times New Roman"/>
          <w:sz w:val="24"/>
          <w:szCs w:val="24"/>
        </w:rPr>
      </w:pPr>
      <w:r>
        <w:rPr>
          <w:rFonts w:eastAsia="Times New Roman"/>
          <w:sz w:val="24"/>
          <w:szCs w:val="24"/>
        </w:rPr>
        <w:t>5</w:t>
      </w:r>
      <w:r w:rsidR="00E41870" w:rsidRPr="00E41870">
        <w:rPr>
          <w:rFonts w:eastAsia="Times New Roman"/>
          <w:sz w:val="24"/>
          <w:szCs w:val="24"/>
        </w:rPr>
        <w:t xml:space="preserve">. For a definition of a “fiduciary,” see </w:t>
      </w:r>
      <w:r w:rsidR="00E41870" w:rsidRPr="00E41870">
        <w:rPr>
          <w:rFonts w:eastAsia="Times New Roman"/>
          <w:b/>
          <w:sz w:val="24"/>
          <w:szCs w:val="24"/>
        </w:rPr>
        <w:t>Taylor v. Taylor</w:t>
      </w:r>
      <w:r w:rsidR="00E41870" w:rsidRPr="00E41870">
        <w:rPr>
          <w:rFonts w:eastAsia="Times New Roman"/>
          <w:sz w:val="24"/>
          <w:szCs w:val="24"/>
        </w:rPr>
        <w:t xml:space="preserve">, 2016 COA 100, ¶ 13 n.1, 381 P.3d 428, 431 (“A fiduciary is required to act with good faith and loyalty, unaffected by personal motives.”); and </w:t>
      </w:r>
      <w:r w:rsidR="00E41870" w:rsidRPr="00E41870">
        <w:rPr>
          <w:rFonts w:eastAsia="Times New Roman"/>
          <w:b/>
          <w:sz w:val="24"/>
          <w:szCs w:val="24"/>
        </w:rPr>
        <w:t>Tepley v. Public Employees Retirement Ass’n</w:t>
      </w:r>
      <w:r w:rsidR="00E41870" w:rsidRPr="00E41870">
        <w:rPr>
          <w:rFonts w:eastAsia="Times New Roman"/>
          <w:sz w:val="24"/>
          <w:szCs w:val="24"/>
        </w:rPr>
        <w:t>, 955 P.2d 573 (</w:t>
      </w:r>
      <w:r w:rsidR="00E71BCE">
        <w:rPr>
          <w:rFonts w:eastAsia="Times New Roman"/>
          <w:sz w:val="24"/>
          <w:szCs w:val="24"/>
        </w:rPr>
        <w:t>Colo. App.</w:t>
      </w:r>
      <w:r w:rsidR="00E41870" w:rsidRPr="00E41870">
        <w:rPr>
          <w:rFonts w:eastAsia="Times New Roman"/>
          <w:sz w:val="24"/>
          <w:szCs w:val="24"/>
        </w:rPr>
        <w:t xml:space="preserve"> 1997) (fiduciary is a person having a duty, created by his undertaking, to act primarily for the benefit of another in matters connected with the undertaking). </w:t>
      </w:r>
      <w:r w:rsidR="00E41870" w:rsidRPr="00E41870">
        <w:rPr>
          <w:rFonts w:eastAsia="Times New Roman"/>
          <w:i/>
          <w:sz w:val="24"/>
          <w:szCs w:val="24"/>
        </w:rPr>
        <w:t xml:space="preserve">See also </w:t>
      </w:r>
      <w:r w:rsidR="00E41870" w:rsidRPr="00E41870">
        <w:rPr>
          <w:rFonts w:eastAsia="Times New Roman"/>
          <w:b/>
          <w:sz w:val="24"/>
          <w:szCs w:val="24"/>
        </w:rPr>
        <w:t>Application for Water Rights of Town of Minturn</w:t>
      </w:r>
      <w:r w:rsidR="00E41870" w:rsidRPr="00E41870">
        <w:rPr>
          <w:rFonts w:eastAsia="Times New Roman"/>
          <w:sz w:val="24"/>
          <w:szCs w:val="24"/>
        </w:rPr>
        <w:t xml:space="preserve">, 2015 CO 61, ¶ 11, 359 P.3d 29, 31 (recognizing that the “relationship between a trustee and a beneficiary is fiduciary in nature” and explaining that a “‘fiduciary relationship involves a duty on the part of the fiduciary to act for the benefit of the other party as to matters within the scope of the relationship’” (quoting 1 </w:t>
      </w:r>
      <w:r w:rsidR="00E41870" w:rsidRPr="00E41870">
        <w:rPr>
          <w:rFonts w:eastAsia="Times New Roman"/>
          <w:smallCaps/>
          <w:sz w:val="24"/>
          <w:szCs w:val="24"/>
        </w:rPr>
        <w:t>A. Wakemen Scott, et al., Scott and Ascher on Trusts</w:t>
      </w:r>
      <w:r w:rsidR="00E41870" w:rsidRPr="00E41870">
        <w:rPr>
          <w:rFonts w:eastAsia="Times New Roman"/>
          <w:sz w:val="24"/>
          <w:szCs w:val="24"/>
        </w:rPr>
        <w:t xml:space="preserve"> §</w:t>
      </w:r>
      <w:r w:rsidR="003E7402">
        <w:rPr>
          <w:rFonts w:eastAsia="Times New Roman"/>
          <w:sz w:val="24"/>
          <w:szCs w:val="24"/>
        </w:rPr>
        <w:t>§</w:t>
      </w:r>
      <w:r w:rsidR="00E41870" w:rsidRPr="00E41870">
        <w:rPr>
          <w:rFonts w:eastAsia="Times New Roman"/>
          <w:sz w:val="24"/>
          <w:szCs w:val="24"/>
        </w:rPr>
        <w:t xml:space="preserve"> 2.1.5, at 37 </w:t>
      </w:r>
      <w:r w:rsidR="003E7402">
        <w:rPr>
          <w:rFonts w:eastAsia="Times New Roman"/>
          <w:sz w:val="24"/>
          <w:szCs w:val="24"/>
        </w:rPr>
        <w:t xml:space="preserve">&amp; 2.1.6, at 38 </w:t>
      </w:r>
      <w:r w:rsidR="00E41870" w:rsidRPr="00E41870">
        <w:rPr>
          <w:rFonts w:eastAsia="Times New Roman"/>
          <w:sz w:val="24"/>
          <w:szCs w:val="24"/>
        </w:rPr>
        <w:t xml:space="preserve">(5th ed. 2006))). A “fiduciary” may also be defined by statute. </w:t>
      </w:r>
      <w:r w:rsidR="00E41870" w:rsidRPr="00E41870">
        <w:rPr>
          <w:rFonts w:eastAsia="Times New Roman"/>
          <w:i/>
          <w:sz w:val="24"/>
          <w:szCs w:val="24"/>
        </w:rPr>
        <w:t>See, e.g.</w:t>
      </w:r>
      <w:r w:rsidR="00E41870" w:rsidRPr="00E41870">
        <w:rPr>
          <w:rFonts w:eastAsia="Times New Roman"/>
          <w:sz w:val="24"/>
          <w:szCs w:val="24"/>
        </w:rPr>
        <w:t>, § 15-1-103(2), C.R.S.</w:t>
      </w:r>
      <w:r w:rsidR="003E7402">
        <w:rPr>
          <w:rFonts w:eastAsia="Times New Roman"/>
          <w:sz w:val="24"/>
          <w:szCs w:val="24"/>
        </w:rPr>
        <w:t xml:space="preserve"> (</w:t>
      </w:r>
      <w:r w:rsidR="00E41870" w:rsidRPr="00E41870">
        <w:rPr>
          <w:rFonts w:eastAsia="Times New Roman"/>
          <w:sz w:val="24"/>
          <w:szCs w:val="24"/>
        </w:rPr>
        <w:t xml:space="preserve">defining “fiduciary” under the Uniform Fiduciaries </w:t>
      </w:r>
      <w:r w:rsidR="003E7402">
        <w:rPr>
          <w:rFonts w:eastAsia="Times New Roman"/>
          <w:sz w:val="24"/>
          <w:szCs w:val="24"/>
        </w:rPr>
        <w:t>L</w:t>
      </w:r>
      <w:r w:rsidR="00E41870" w:rsidRPr="00E41870">
        <w:rPr>
          <w:rFonts w:eastAsia="Times New Roman"/>
          <w:sz w:val="24"/>
          <w:szCs w:val="24"/>
        </w:rPr>
        <w:t>aw</w:t>
      </w:r>
      <w:r w:rsidR="003E7402">
        <w:rPr>
          <w:rFonts w:eastAsia="Times New Roman"/>
          <w:sz w:val="24"/>
          <w:szCs w:val="24"/>
        </w:rPr>
        <w:t>)</w:t>
      </w:r>
      <w:r w:rsidR="00E41870" w:rsidRPr="00E41870">
        <w:rPr>
          <w:rFonts w:eastAsia="Times New Roman"/>
          <w:sz w:val="24"/>
          <w:szCs w:val="24"/>
        </w:rPr>
        <w:t>.</w:t>
      </w:r>
    </w:p>
    <w:p w14:paraId="694DEFDC" w14:textId="185674A1" w:rsidR="00E41870" w:rsidRPr="00E41870" w:rsidRDefault="00F00661" w:rsidP="00E41870">
      <w:pPr>
        <w:spacing w:after="240"/>
        <w:ind w:firstLine="720"/>
        <w:rPr>
          <w:rFonts w:eastAsia="Times New Roman"/>
          <w:sz w:val="24"/>
          <w:szCs w:val="24"/>
        </w:rPr>
      </w:pPr>
      <w:r>
        <w:rPr>
          <w:rFonts w:eastAsia="Times New Roman"/>
          <w:sz w:val="24"/>
          <w:szCs w:val="24"/>
        </w:rPr>
        <w:t>6</w:t>
      </w:r>
      <w:r w:rsidR="00E41870" w:rsidRPr="00E41870">
        <w:rPr>
          <w:rFonts w:eastAsia="Times New Roman"/>
          <w:sz w:val="24"/>
          <w:szCs w:val="24"/>
        </w:rPr>
        <w:t xml:space="preserve">. In </w:t>
      </w:r>
      <w:r w:rsidR="00334106">
        <w:rPr>
          <w:rFonts w:eastAsia="Times New Roman"/>
          <w:sz w:val="24"/>
          <w:szCs w:val="24"/>
        </w:rPr>
        <w:t xml:space="preserve">the principal-agent context, it is the agent who owes a fiduciary duty to the principal; a principal owes some duties to the agent but they are not fiduciary. </w:t>
      </w:r>
      <w:r w:rsidR="00E41870" w:rsidRPr="00E41870">
        <w:rPr>
          <w:rFonts w:eastAsia="Times New Roman"/>
          <w:b/>
          <w:sz w:val="24"/>
          <w:szCs w:val="24"/>
        </w:rPr>
        <w:t>MDM Grp</w:t>
      </w:r>
      <w:r w:rsidR="003E7402">
        <w:rPr>
          <w:rFonts w:eastAsia="Times New Roman"/>
          <w:b/>
          <w:sz w:val="24"/>
          <w:szCs w:val="24"/>
        </w:rPr>
        <w:t>.</w:t>
      </w:r>
      <w:r w:rsidR="00E41870" w:rsidRPr="00E41870">
        <w:rPr>
          <w:rFonts w:eastAsia="Times New Roman"/>
          <w:b/>
          <w:sz w:val="24"/>
          <w:szCs w:val="24"/>
        </w:rPr>
        <w:t xml:space="preserve"> </w:t>
      </w:r>
      <w:proofErr w:type="gramStart"/>
      <w:r w:rsidR="00E41870" w:rsidRPr="00E41870">
        <w:rPr>
          <w:rFonts w:eastAsia="Times New Roman"/>
          <w:b/>
          <w:sz w:val="24"/>
          <w:szCs w:val="24"/>
        </w:rPr>
        <w:t>Assocs.,</w:t>
      </w:r>
      <w:proofErr w:type="gramEnd"/>
      <w:r w:rsidR="00E41870" w:rsidRPr="00E41870">
        <w:rPr>
          <w:rFonts w:eastAsia="Times New Roman"/>
          <w:b/>
          <w:sz w:val="24"/>
          <w:szCs w:val="24"/>
        </w:rPr>
        <w:t xml:space="preserve"> Inc. v. CX Reinsurance Co.</w:t>
      </w:r>
      <w:r w:rsidR="00E41870" w:rsidRPr="00E41870">
        <w:rPr>
          <w:rFonts w:eastAsia="Times New Roman"/>
          <w:sz w:val="24"/>
          <w:szCs w:val="24"/>
        </w:rPr>
        <w:t>,</w:t>
      </w:r>
      <w:r w:rsidR="00E41870" w:rsidRPr="00E41870">
        <w:rPr>
          <w:rFonts w:eastAsia="Times New Roman"/>
          <w:b/>
          <w:sz w:val="24"/>
          <w:szCs w:val="24"/>
        </w:rPr>
        <w:t xml:space="preserve"> </w:t>
      </w:r>
      <w:r w:rsidR="00E41870" w:rsidRPr="00E41870">
        <w:rPr>
          <w:rFonts w:eastAsia="Times New Roman"/>
          <w:sz w:val="24"/>
          <w:szCs w:val="24"/>
        </w:rPr>
        <w:t>165 P.3d 882 (</w:t>
      </w:r>
      <w:r w:rsidR="00E71BCE">
        <w:rPr>
          <w:rFonts w:eastAsia="Times New Roman"/>
          <w:sz w:val="24"/>
          <w:szCs w:val="24"/>
        </w:rPr>
        <w:t>Colo. App.</w:t>
      </w:r>
      <w:r w:rsidR="003E7402">
        <w:rPr>
          <w:rFonts w:eastAsia="Times New Roman"/>
          <w:sz w:val="24"/>
          <w:szCs w:val="24"/>
        </w:rPr>
        <w:t xml:space="preserve"> </w:t>
      </w:r>
      <w:r w:rsidR="00E41870" w:rsidRPr="00E41870">
        <w:rPr>
          <w:rFonts w:eastAsia="Times New Roman"/>
          <w:sz w:val="24"/>
          <w:szCs w:val="24"/>
        </w:rPr>
        <w:t xml:space="preserve">2007). </w:t>
      </w:r>
    </w:p>
    <w:p w14:paraId="6DF7C235" w14:textId="302696CE" w:rsidR="00E41870" w:rsidRPr="00E41870" w:rsidRDefault="00F00661" w:rsidP="00E41870">
      <w:pPr>
        <w:spacing w:after="240"/>
        <w:ind w:firstLine="720"/>
        <w:rPr>
          <w:rFonts w:eastAsia="Times New Roman"/>
          <w:sz w:val="24"/>
          <w:szCs w:val="24"/>
        </w:rPr>
      </w:pPr>
      <w:r>
        <w:rPr>
          <w:rFonts w:eastAsia="Times New Roman"/>
          <w:sz w:val="24"/>
          <w:szCs w:val="24"/>
        </w:rPr>
        <w:t>7</w:t>
      </w:r>
      <w:r w:rsidR="00E41870" w:rsidRPr="00E41870">
        <w:rPr>
          <w:rFonts w:eastAsia="Times New Roman"/>
          <w:sz w:val="24"/>
          <w:szCs w:val="24"/>
        </w:rPr>
        <w:t>. Corporate agents may in some circumstances have a fiduciary relationship with third parties.</w:t>
      </w:r>
      <w:r w:rsidR="00E41870" w:rsidRPr="00E41870">
        <w:rPr>
          <w:rFonts w:eastAsia="Times New Roman"/>
          <w:b/>
          <w:sz w:val="24"/>
          <w:szCs w:val="24"/>
        </w:rPr>
        <w:t xml:space="preserve"> </w:t>
      </w:r>
      <w:r w:rsidR="00E41870" w:rsidRPr="00E41870">
        <w:rPr>
          <w:rFonts w:eastAsia="Times New Roman"/>
          <w:i/>
          <w:sz w:val="24"/>
          <w:szCs w:val="24"/>
        </w:rPr>
        <w:t>See</w:t>
      </w:r>
      <w:r w:rsidR="00E41870" w:rsidRPr="00E41870">
        <w:rPr>
          <w:rFonts w:eastAsia="Times New Roman"/>
          <w:b/>
          <w:sz w:val="24"/>
          <w:szCs w:val="24"/>
        </w:rPr>
        <w:t xml:space="preserve"> Alexander v. Anstine</w:t>
      </w:r>
      <w:r w:rsidR="00E41870" w:rsidRPr="00E41870">
        <w:rPr>
          <w:rFonts w:eastAsia="Times New Roman"/>
          <w:sz w:val="24"/>
          <w:szCs w:val="24"/>
        </w:rPr>
        <w:t xml:space="preserve">, 152 P.3d 497 (Colo. 2007) (directors and officers of insolvent corporation have limited fiduciary duty not to favor their own interests over those of creditors). </w:t>
      </w:r>
      <w:r w:rsidR="00E41870" w:rsidRPr="00E41870">
        <w:rPr>
          <w:rFonts w:eastAsia="Times New Roman"/>
          <w:i/>
          <w:sz w:val="24"/>
          <w:szCs w:val="24"/>
        </w:rPr>
        <w:t xml:space="preserve">But see </w:t>
      </w:r>
      <w:r w:rsidR="00E41870" w:rsidRPr="00E41870">
        <w:rPr>
          <w:rFonts w:eastAsia="Times New Roman"/>
          <w:b/>
          <w:sz w:val="24"/>
          <w:szCs w:val="24"/>
        </w:rPr>
        <w:t>Weinstein v. Colborne Foodbotics, LLC</w:t>
      </w:r>
      <w:r w:rsidR="00E41870" w:rsidRPr="00E41870">
        <w:rPr>
          <w:rFonts w:eastAsia="Times New Roman"/>
          <w:sz w:val="24"/>
          <w:szCs w:val="24"/>
        </w:rPr>
        <w:t xml:space="preserve">, 2013 CO 33, </w:t>
      </w:r>
      <w:r w:rsidR="001561D5">
        <w:rPr>
          <w:rFonts w:eastAsia="Times New Roman"/>
          <w:sz w:val="24"/>
          <w:szCs w:val="24"/>
        </w:rPr>
        <w:t xml:space="preserve">¶ 23, </w:t>
      </w:r>
      <w:r w:rsidR="00E41870" w:rsidRPr="00E41870">
        <w:rPr>
          <w:rFonts w:eastAsia="Times New Roman"/>
          <w:sz w:val="24"/>
          <w:szCs w:val="24"/>
        </w:rPr>
        <w:t xml:space="preserve">302 P.3d 263 (holding that a creditor of an insolvent LLC could not assert a claim for breach of fiduciary duty against </w:t>
      </w:r>
      <w:r w:rsidR="001561D5">
        <w:rPr>
          <w:rFonts w:eastAsia="Times New Roman"/>
          <w:sz w:val="24"/>
          <w:szCs w:val="24"/>
        </w:rPr>
        <w:t xml:space="preserve">the LLC’s </w:t>
      </w:r>
      <w:r w:rsidR="00E41870" w:rsidRPr="00E41870">
        <w:rPr>
          <w:rFonts w:eastAsia="Times New Roman"/>
          <w:sz w:val="24"/>
          <w:szCs w:val="24"/>
        </w:rPr>
        <w:t>managers because the LLC Act expressly provides that managers are not liable for debts of the LLC and extends no fiduciary duty to creditors).</w:t>
      </w:r>
    </w:p>
    <w:p w14:paraId="087E7017" w14:textId="57CAAB2B"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8. For other cases </w:t>
      </w:r>
      <w:r w:rsidR="001561D5">
        <w:rPr>
          <w:rFonts w:eastAsia="Times New Roman"/>
          <w:sz w:val="24"/>
          <w:szCs w:val="24"/>
        </w:rPr>
        <w:t>analyzing</w:t>
      </w:r>
      <w:r w:rsidRPr="00E41870">
        <w:rPr>
          <w:rFonts w:eastAsia="Times New Roman"/>
          <w:sz w:val="24"/>
          <w:szCs w:val="24"/>
        </w:rPr>
        <w:t xml:space="preserve"> the existence of a fiduciary relationship, see </w:t>
      </w:r>
      <w:r w:rsidRPr="00E41870">
        <w:rPr>
          <w:rFonts w:eastAsia="Times New Roman"/>
          <w:b/>
          <w:sz w:val="24"/>
          <w:szCs w:val="24"/>
        </w:rPr>
        <w:t>Baker v. Wood, Ris &amp; Hames, P.C.</w:t>
      </w:r>
      <w:r w:rsidRPr="00E41870">
        <w:rPr>
          <w:rFonts w:eastAsia="Times New Roman"/>
          <w:sz w:val="24"/>
          <w:szCs w:val="24"/>
        </w:rPr>
        <w:t>, 2016 CO 5, ¶¶ 20-35, 364 P.3d 872, 879 (reiterating that Colorado follows a rule of “strict privity” in limiting the fiduciary duty owed by attorneys to their clients only and not third parties and holding that “an attorney’s liability to a non-client is limited to the narrow set of circumstances in which the attorney has committed fraud or a malicious or tortious act, including negligent misrepresentation”);</w:t>
      </w:r>
      <w:r w:rsidRPr="00E41870">
        <w:rPr>
          <w:rFonts w:eastAsia="Times New Roman"/>
          <w:b/>
          <w:sz w:val="24"/>
          <w:szCs w:val="24"/>
        </w:rPr>
        <w:t xml:space="preserve"> Trujillo v. Colorado Division of Insurance</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2014 CO </w:t>
      </w:r>
      <w:r w:rsidRPr="00E41870">
        <w:rPr>
          <w:rFonts w:eastAsia="Times New Roman"/>
          <w:sz w:val="24"/>
          <w:szCs w:val="24"/>
        </w:rPr>
        <w:lastRenderedPageBreak/>
        <w:t xml:space="preserve">17, ¶ 20 &amp; n.14, 320 P.3d 1208 (although insurance producers owe fiduciary duties to insured and insurers under plain language of section 10-2-704(1)(a), C.R.S., bail bondsmen did not violate this fiduciary duty with respect to his client because she was not an “insured” within the meaning of the statute); </w:t>
      </w:r>
      <w:r w:rsidRPr="00E41870">
        <w:rPr>
          <w:rFonts w:eastAsia="Times New Roman"/>
          <w:b/>
          <w:sz w:val="24"/>
          <w:szCs w:val="24"/>
        </w:rPr>
        <w:t>Mintz</w:t>
      </w:r>
      <w:r w:rsidRPr="00E41870">
        <w:rPr>
          <w:rFonts w:eastAsia="Times New Roman"/>
          <w:sz w:val="24"/>
          <w:szCs w:val="24"/>
        </w:rPr>
        <w:t xml:space="preserve">, 2012 CO 50, ¶ 19 (attorney did not owe fiduciary duties to third party medical providers who were owed money by attorney’s clients out of insurance settlement proceeds placed into attorney’s COLTAF account); </w:t>
      </w:r>
      <w:r w:rsidRPr="00E41870">
        <w:rPr>
          <w:rFonts w:eastAsia="Times New Roman"/>
          <w:b/>
          <w:sz w:val="24"/>
          <w:szCs w:val="24"/>
        </w:rPr>
        <w:t>Brodeur v. American Home Assurance Co.</w:t>
      </w:r>
      <w:r w:rsidRPr="00E41870">
        <w:rPr>
          <w:rFonts w:eastAsia="Times New Roman"/>
          <w:sz w:val="24"/>
          <w:szCs w:val="24"/>
        </w:rPr>
        <w:t xml:space="preserve">, 169 P.3d 139 (Colo. 2007) (workers’ compensation insurer owes no fiduciary duty to insured); </w:t>
      </w:r>
      <w:r w:rsidRPr="00E41870">
        <w:rPr>
          <w:rFonts w:eastAsia="Times New Roman"/>
          <w:b/>
          <w:sz w:val="24"/>
          <w:szCs w:val="24"/>
        </w:rPr>
        <w:t>Destefano v. Grabrian</w:t>
      </w:r>
      <w:r w:rsidRPr="00E41870">
        <w:rPr>
          <w:rFonts w:eastAsia="Times New Roman"/>
          <w:sz w:val="24"/>
          <w:szCs w:val="24"/>
        </w:rPr>
        <w:t xml:space="preserve">, 763 P.2d 275 (Colo. 1988) (priest acting as marriage counselor had fiduciary relationship to both husband and wife with respect to their marital relationship); </w:t>
      </w:r>
      <w:r w:rsidRPr="00E41870">
        <w:rPr>
          <w:rFonts w:eastAsia="Times New Roman"/>
          <w:b/>
          <w:sz w:val="24"/>
          <w:szCs w:val="24"/>
        </w:rPr>
        <w:t>Paine, Webber, Jackson &amp; Curtis, Inc. v. Adams</w:t>
      </w:r>
      <w:r w:rsidRPr="00E41870">
        <w:rPr>
          <w:rFonts w:eastAsia="Times New Roman"/>
          <w:sz w:val="24"/>
          <w:szCs w:val="24"/>
        </w:rPr>
        <w:t xml:space="preserve">, 718 P.2d 508 (Colo. 1986) (stockbroker who had practical control over customer’s account had fiduciary duty to customer with respect to handling account); </w:t>
      </w:r>
      <w:r w:rsidRPr="00E41870">
        <w:rPr>
          <w:rFonts w:eastAsia="Times New Roman"/>
          <w:b/>
          <w:sz w:val="24"/>
          <w:szCs w:val="24"/>
        </w:rPr>
        <w:t>Semler</w:t>
      </w:r>
      <w:r w:rsidRPr="00E41870">
        <w:rPr>
          <w:rFonts w:eastAsia="Times New Roman"/>
          <w:sz w:val="24"/>
          <w:szCs w:val="24"/>
        </w:rPr>
        <w:t>, 2016 COA 143, ¶¶ 35-40 (recognizing that board members of a homeowners’ association owe fiduciary duties to both the association and its members, but affirming dismissal of breach of fiduciary duty claim against association treasurer because treasurer was not bound by his fiduciary duties when acting wholly outside the scope of his board position);</w:t>
      </w:r>
      <w:r w:rsidRPr="00E41870">
        <w:rPr>
          <w:rFonts w:eastAsia="Times New Roman"/>
          <w:b/>
          <w:sz w:val="24"/>
          <w:szCs w:val="24"/>
        </w:rPr>
        <w:t xml:space="preserve"> Gessler v. Grossman</w:t>
      </w:r>
      <w:r w:rsidRPr="00E41870">
        <w:rPr>
          <w:rFonts w:eastAsia="Times New Roman"/>
          <w:sz w:val="24"/>
          <w:szCs w:val="24"/>
        </w:rPr>
        <w:t>, 2015 COA 62, ¶¶ 18-20 (holding that the public trust statute, § 24-18-103, C.R.S., is not merely hortatory, but sets forth a specific standard of conduct by imposing a fiduciary duty on public officials)</w:t>
      </w:r>
      <w:r w:rsidR="00E57F5F">
        <w:rPr>
          <w:rFonts w:eastAsia="Times New Roman"/>
          <w:sz w:val="24"/>
          <w:szCs w:val="24"/>
        </w:rPr>
        <w:t xml:space="preserve">, </w:t>
      </w:r>
      <w:r w:rsidR="00E57F5F" w:rsidRPr="00E57F5F">
        <w:rPr>
          <w:rFonts w:eastAsia="Times New Roman"/>
          <w:i/>
          <w:sz w:val="24"/>
          <w:szCs w:val="24"/>
        </w:rPr>
        <w:t>aff’d</w:t>
      </w:r>
      <w:r w:rsidR="00E57F5F">
        <w:rPr>
          <w:rFonts w:eastAsia="Times New Roman"/>
          <w:i/>
          <w:sz w:val="24"/>
          <w:szCs w:val="24"/>
        </w:rPr>
        <w:t xml:space="preserve"> sub nom.</w:t>
      </w:r>
      <w:r w:rsidR="00E57F5F">
        <w:rPr>
          <w:rFonts w:eastAsia="Times New Roman"/>
          <w:sz w:val="24"/>
          <w:szCs w:val="24"/>
        </w:rPr>
        <w:t xml:space="preserve"> </w:t>
      </w:r>
      <w:r w:rsidR="00E57F5F" w:rsidRPr="00E57F5F">
        <w:rPr>
          <w:rFonts w:eastAsia="Times New Roman"/>
          <w:b/>
          <w:sz w:val="24"/>
          <w:szCs w:val="24"/>
        </w:rPr>
        <w:t>Gessler v. Smith</w:t>
      </w:r>
      <w:r w:rsidR="009603E5">
        <w:rPr>
          <w:rFonts w:eastAsia="Times New Roman"/>
          <w:sz w:val="24"/>
          <w:szCs w:val="24"/>
        </w:rPr>
        <w:t xml:space="preserve">, </w:t>
      </w:r>
      <w:r w:rsidR="00E57F5F">
        <w:rPr>
          <w:rFonts w:eastAsia="Times New Roman"/>
          <w:sz w:val="24"/>
          <w:szCs w:val="24"/>
        </w:rPr>
        <w:t>2018 CO 48</w:t>
      </w:r>
      <w:r w:rsidR="00F8277D">
        <w:rPr>
          <w:rFonts w:eastAsia="Times New Roman"/>
          <w:sz w:val="24"/>
          <w:szCs w:val="24"/>
        </w:rPr>
        <w:t>, 419 P.3d 964</w:t>
      </w:r>
      <w:r w:rsidRPr="00E41870">
        <w:rPr>
          <w:rFonts w:eastAsia="Times New Roman"/>
          <w:sz w:val="24"/>
          <w:szCs w:val="24"/>
        </w:rPr>
        <w:t xml:space="preserve">; </w:t>
      </w:r>
      <w:r w:rsidRPr="00E41870">
        <w:rPr>
          <w:rFonts w:eastAsia="Times New Roman"/>
          <w:b/>
          <w:sz w:val="24"/>
          <w:szCs w:val="24"/>
        </w:rPr>
        <w:t>LaFond v. Sweeney</w:t>
      </w:r>
      <w:r w:rsidRPr="00E41870">
        <w:rPr>
          <w:rFonts w:eastAsia="Times New Roman"/>
          <w:sz w:val="24"/>
          <w:szCs w:val="24"/>
        </w:rPr>
        <w:t xml:space="preserve">, 2012 COA 27, </w:t>
      </w:r>
      <w:r w:rsidR="00E57F5F">
        <w:rPr>
          <w:rFonts w:eastAsia="Times New Roman"/>
          <w:sz w:val="24"/>
          <w:szCs w:val="24"/>
        </w:rPr>
        <w:t xml:space="preserve">¶¶ 38-42, </w:t>
      </w:r>
      <w:r w:rsidRPr="00E41870">
        <w:rPr>
          <w:rFonts w:eastAsia="Times New Roman"/>
          <w:sz w:val="24"/>
          <w:szCs w:val="24"/>
        </w:rPr>
        <w:t xml:space="preserve">345 P.3d 932 (members of LLC law firm owed one another fiduciary duties and such duties continued subsequent to dissolution of the LLC but before the winding up of the LLC was completed), </w:t>
      </w:r>
      <w:r w:rsidRPr="00E41870">
        <w:rPr>
          <w:rFonts w:eastAsia="Times New Roman"/>
          <w:i/>
          <w:sz w:val="24"/>
          <w:szCs w:val="24"/>
        </w:rPr>
        <w:t>aff’d</w:t>
      </w:r>
      <w:r w:rsidRPr="00E41870">
        <w:rPr>
          <w:rFonts w:eastAsia="Times New Roman"/>
          <w:sz w:val="24"/>
          <w:szCs w:val="24"/>
        </w:rPr>
        <w:t xml:space="preserve">, 2015 CO 3, 343 P.3d 939; </w:t>
      </w:r>
      <w:r w:rsidRPr="00E41870">
        <w:rPr>
          <w:rFonts w:eastAsia="Times New Roman"/>
          <w:b/>
          <w:sz w:val="24"/>
          <w:szCs w:val="24"/>
        </w:rPr>
        <w:t>Ludlow v. Gibbons</w:t>
      </w:r>
      <w:r w:rsidRPr="00E41870">
        <w:rPr>
          <w:rFonts w:eastAsia="Times New Roman"/>
          <w:sz w:val="24"/>
          <w:szCs w:val="24"/>
        </w:rPr>
        <w:t xml:space="preserve">, 310 P.3d 130 (Colo. App. 2011) (section 12-61-803(2), C.R.S., provides that the exclusive method for a real estate broker to assume fiduciary duties to a party to a real estate transaction is through a written agreement), </w:t>
      </w:r>
      <w:r w:rsidRPr="00E41870">
        <w:rPr>
          <w:rFonts w:eastAsia="Times New Roman"/>
          <w:i/>
          <w:sz w:val="24"/>
          <w:szCs w:val="24"/>
        </w:rPr>
        <w:t>rev’d on other grounds</w:t>
      </w:r>
      <w:r w:rsidRPr="00E41870">
        <w:rPr>
          <w:rFonts w:eastAsia="Times New Roman"/>
          <w:sz w:val="24"/>
          <w:szCs w:val="24"/>
        </w:rPr>
        <w:t xml:space="preserve">, 2013 CO 49, 304 P.3d 239; </w:t>
      </w:r>
      <w:r w:rsidRPr="00E41870">
        <w:rPr>
          <w:rFonts w:eastAsia="Times New Roman"/>
          <w:b/>
          <w:sz w:val="24"/>
          <w:szCs w:val="24"/>
        </w:rPr>
        <w:t>A Good Time Rental, LLC v. First American Title Agency, Inc.</w:t>
      </w:r>
      <w:r w:rsidRPr="00E41870">
        <w:rPr>
          <w:rFonts w:eastAsia="Times New Roman"/>
          <w:sz w:val="24"/>
          <w:szCs w:val="24"/>
        </w:rPr>
        <w:t xml:space="preserve">, 259 P.3d 534 (Colo. App. 2011) (any fiduciary-type relationship between a closing agent and its client does not trump the economic loss rule); </w:t>
      </w:r>
      <w:r w:rsidRPr="00E41870">
        <w:rPr>
          <w:rFonts w:eastAsia="Times New Roman"/>
          <w:b/>
          <w:sz w:val="24"/>
          <w:szCs w:val="24"/>
        </w:rPr>
        <w:t>Barfield v. Hall Realty, Inc.</w:t>
      </w:r>
      <w:r w:rsidRPr="00E41870">
        <w:rPr>
          <w:rFonts w:eastAsia="Times New Roman"/>
          <w:sz w:val="24"/>
          <w:szCs w:val="24"/>
        </w:rPr>
        <w:t xml:space="preserve">, 232 P.3d 286 (Colo. App. 2010) (real estate transaction broker does not have a fiduciary relationship with either party to a real estate transaction); </w:t>
      </w:r>
      <w:r w:rsidRPr="00E41870">
        <w:rPr>
          <w:rFonts w:eastAsia="Times New Roman"/>
          <w:b/>
          <w:sz w:val="24"/>
          <w:szCs w:val="24"/>
        </w:rPr>
        <w:t>Olson v. State Farm Mutual Automobile Insurance, Co.</w:t>
      </w:r>
      <w:r w:rsidRPr="00E41870">
        <w:rPr>
          <w:rFonts w:eastAsia="Times New Roman"/>
          <w:sz w:val="24"/>
          <w:szCs w:val="24"/>
        </w:rPr>
        <w:t xml:space="preserve">, 174 P.3d 849 (Colo. App. 2007) (no quasi-fiduciary duty between insurer and insured requiring insurer to inform insured of statute of limitations on claim for UM benefits); </w:t>
      </w:r>
      <w:r w:rsidRPr="00E41870">
        <w:rPr>
          <w:rFonts w:eastAsia="Times New Roman"/>
          <w:b/>
          <w:sz w:val="24"/>
          <w:szCs w:val="24"/>
        </w:rPr>
        <w:t>Premier Farm Credit, PCA v. W-Cattle, LLC</w:t>
      </w:r>
      <w:r w:rsidRPr="00E41870">
        <w:rPr>
          <w:rFonts w:eastAsia="Times New Roman"/>
          <w:sz w:val="24"/>
          <w:szCs w:val="24"/>
        </w:rPr>
        <w:t xml:space="preserve">, 155 P.3d 504 (Colo. App. 2006) (absent special circumstances, relationship between lending institution and customer is not a fiduciary relationship but merely one of creditor and debtor); </w:t>
      </w:r>
      <w:r w:rsidRPr="00E41870">
        <w:rPr>
          <w:rFonts w:eastAsia="Times New Roman"/>
          <w:b/>
          <w:sz w:val="24"/>
          <w:szCs w:val="24"/>
        </w:rPr>
        <w:t>Equitex, Inc. v. Ungar</w:t>
      </w:r>
      <w:r w:rsidRPr="00E41870">
        <w:rPr>
          <w:rFonts w:eastAsia="Times New Roman"/>
          <w:sz w:val="24"/>
          <w:szCs w:val="24"/>
        </w:rPr>
        <w:t xml:space="preserve">, 60 P.3d 746 (Colo. App. 2002) (attorney’s longstanding relationship with corporation and its president did not give rise to fiduciary duties on part of corporation or its president where they had not assumed any responsibility to represent attorney’s interests and attorney had not been induced to place trust or confidence in corporation or its president); </w:t>
      </w:r>
      <w:r w:rsidRPr="00E41870">
        <w:rPr>
          <w:rFonts w:eastAsia="Times New Roman"/>
          <w:b/>
          <w:sz w:val="24"/>
          <w:szCs w:val="24"/>
        </w:rPr>
        <w:t>Turkey Creek, LLC v. Rosania</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953 P.2d 1306 (Colo. App. 1998) (no fiduciary relationship existed between tenants in common absent evidence that one party reposed special confidence in the other); </w:t>
      </w:r>
      <w:r w:rsidRPr="00E41870">
        <w:rPr>
          <w:rFonts w:eastAsia="Times New Roman"/>
          <w:b/>
          <w:sz w:val="24"/>
          <w:szCs w:val="24"/>
        </w:rPr>
        <w:t>Vikell Investors Pacific, Inc. v. Kip Hampden, Ltd.</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946 P.2d 589 (Colo. App. 1997) (no fiduciary relationship between owner of apartment buildings and engineer who worked on project to stabilize buildings); </w:t>
      </w:r>
      <w:r w:rsidRPr="00E41870">
        <w:rPr>
          <w:rFonts w:eastAsia="Times New Roman"/>
          <w:b/>
          <w:sz w:val="24"/>
          <w:szCs w:val="24"/>
        </w:rPr>
        <w:t>Winkler v. Rocky Mountain Conference of United Methodist Church</w:t>
      </w:r>
      <w:r w:rsidRPr="00E41870">
        <w:rPr>
          <w:rFonts w:eastAsia="Times New Roman"/>
          <w:sz w:val="24"/>
          <w:szCs w:val="24"/>
        </w:rPr>
        <w:t xml:space="preserve">, 923 P.2d 152 (Colo. App. 1995) (pastor who counseled parishioner on personal matters had fiduciary relationship with parishioner); </w:t>
      </w:r>
      <w:r w:rsidRPr="00E41870">
        <w:rPr>
          <w:rFonts w:eastAsia="Times New Roman"/>
          <w:b/>
          <w:sz w:val="24"/>
          <w:szCs w:val="24"/>
        </w:rPr>
        <w:t>Johnston v. CIGNA Corp.</w:t>
      </w:r>
      <w:r w:rsidRPr="00E41870">
        <w:rPr>
          <w:rFonts w:eastAsia="Times New Roman"/>
          <w:sz w:val="24"/>
          <w:szCs w:val="24"/>
        </w:rPr>
        <w:t xml:space="preserve">, 916 P.2d 643 (Colo. App. 1996) (investment advisor owes fiduciary duty to customers); </w:t>
      </w:r>
      <w:r w:rsidRPr="00E41870">
        <w:rPr>
          <w:rFonts w:eastAsia="Times New Roman"/>
          <w:b/>
          <w:sz w:val="24"/>
          <w:szCs w:val="24"/>
        </w:rPr>
        <w:t>Emenyonu v. State Farm Fire &amp; Casualty Co.</w:t>
      </w:r>
      <w:r w:rsidRPr="00E41870">
        <w:rPr>
          <w:rFonts w:eastAsia="Times New Roman"/>
          <w:sz w:val="24"/>
          <w:szCs w:val="24"/>
        </w:rPr>
        <w:t xml:space="preserve">, 885 P.2d 320 (Colo. App. 1994) </w:t>
      </w:r>
      <w:r w:rsidRPr="00E41870">
        <w:rPr>
          <w:rFonts w:eastAsia="Times New Roman"/>
          <w:sz w:val="24"/>
          <w:szCs w:val="24"/>
        </w:rPr>
        <w:lastRenderedPageBreak/>
        <w:t xml:space="preserve">(contractual relationship between insurer and its insured does not give rise to fiduciary relationship with respect to first-party disputes); </w:t>
      </w:r>
      <w:r w:rsidRPr="00E41870">
        <w:rPr>
          <w:rFonts w:eastAsia="Times New Roman"/>
          <w:b/>
          <w:sz w:val="24"/>
          <w:szCs w:val="24"/>
        </w:rPr>
        <w:t>Wells Fargo Realty Advisors Funding, Inc. v. Uioli, Inc.</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872 P.2d 1359 (Colo. App. 1994) (no fiduciary relationship between borrower and lender where borrower did not repose special trust in lender or relax care and vigilance that borrower would ordinarily have exercised); </w:t>
      </w:r>
      <w:r w:rsidRPr="00E41870">
        <w:rPr>
          <w:rFonts w:eastAsia="Times New Roman"/>
          <w:b/>
          <w:sz w:val="24"/>
          <w:szCs w:val="24"/>
        </w:rPr>
        <w:t>Bock v. Brody</w:t>
      </w:r>
      <w:r w:rsidRPr="00E41870">
        <w:rPr>
          <w:rFonts w:eastAsia="Times New Roman"/>
          <w:sz w:val="24"/>
          <w:szCs w:val="24"/>
        </w:rPr>
        <w:t xml:space="preserve">, 870 P.2d 530 (Colo. App. 1993) (evidence of close business and personal relationship, without more, is insufficient to establish fiduciary relationship),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Jarnagin v. Busby, Inc.</w:t>
      </w:r>
      <w:r w:rsidRPr="00E41870">
        <w:rPr>
          <w:rFonts w:eastAsia="Times New Roman"/>
          <w:sz w:val="24"/>
          <w:szCs w:val="24"/>
        </w:rPr>
        <w:t xml:space="preserve">, 867 P.2d 63 (Colo. App. 1993) (no fiduciary relationship between parties where there was no evidence that plaintiff reasonably reposed trust and confidence in defendant); </w:t>
      </w:r>
      <w:r w:rsidRPr="00E57F5F">
        <w:rPr>
          <w:rFonts w:eastAsia="Times New Roman"/>
          <w:b/>
          <w:sz w:val="24"/>
          <w:szCs w:val="24"/>
        </w:rPr>
        <w:t>Graphic Directions, Inc.</w:t>
      </w:r>
      <w:r w:rsidRPr="00E57F5F">
        <w:rPr>
          <w:rFonts w:eastAsia="Times New Roman"/>
          <w:sz w:val="24"/>
          <w:szCs w:val="24"/>
        </w:rPr>
        <w:t>,</w:t>
      </w:r>
      <w:r w:rsidRPr="00E57F5F">
        <w:rPr>
          <w:rFonts w:eastAsia="Times New Roman"/>
          <w:b/>
          <w:sz w:val="24"/>
          <w:szCs w:val="24"/>
        </w:rPr>
        <w:t xml:space="preserve"> </w:t>
      </w:r>
      <w:r w:rsidRPr="00E57F5F">
        <w:rPr>
          <w:rFonts w:eastAsia="Times New Roman"/>
          <w:sz w:val="24"/>
          <w:szCs w:val="24"/>
        </w:rPr>
        <w:t xml:space="preserve">862 P.2d </w:t>
      </w:r>
      <w:r w:rsidR="00E57F5F">
        <w:rPr>
          <w:rFonts w:eastAsia="Times New Roman"/>
          <w:sz w:val="24"/>
          <w:szCs w:val="24"/>
        </w:rPr>
        <w:t xml:space="preserve">at </w:t>
      </w:r>
      <w:r w:rsidRPr="00E57F5F">
        <w:rPr>
          <w:rFonts w:eastAsia="Times New Roman"/>
          <w:sz w:val="24"/>
          <w:szCs w:val="24"/>
        </w:rPr>
        <w:t>102</w:t>
      </w:r>
      <w:r w:rsidR="00E57F5F">
        <w:rPr>
          <w:rFonts w:eastAsia="Times New Roman"/>
          <w:sz w:val="24"/>
          <w:szCs w:val="24"/>
        </w:rPr>
        <w:t>3</w:t>
      </w:r>
      <w:r w:rsidRPr="00E41870">
        <w:rPr>
          <w:rFonts w:eastAsia="Times New Roman"/>
          <w:sz w:val="24"/>
          <w:szCs w:val="24"/>
        </w:rPr>
        <w:t xml:space="preserve"> (art director of graphics business owed fiduciary duty to employer); </w:t>
      </w:r>
      <w:r w:rsidRPr="00E41870">
        <w:rPr>
          <w:rFonts w:eastAsia="Times New Roman"/>
          <w:b/>
          <w:sz w:val="24"/>
          <w:szCs w:val="24"/>
        </w:rPr>
        <w:t>Nicholson v. Ash</w:t>
      </w:r>
      <w:r w:rsidRPr="00E41870">
        <w:rPr>
          <w:rFonts w:eastAsia="Times New Roman"/>
          <w:sz w:val="24"/>
          <w:szCs w:val="24"/>
        </w:rPr>
        <w:t xml:space="preserve">, 800 P.2d 1352 (Colo. App. 1990) (evidence was insufficient to establish fiduciary relationship where no confidential relationship existed between parties prior to date of business transaction that gave rise to claim); </w:t>
      </w:r>
      <w:r w:rsidRPr="00E41870">
        <w:rPr>
          <w:rFonts w:eastAsia="Times New Roman"/>
          <w:b/>
          <w:sz w:val="24"/>
          <w:szCs w:val="24"/>
        </w:rPr>
        <w:t>First National Bank v. Theos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794 P.2d 1055 (Colo. App. 1990) (trial court erred in failing to instruct jury that to establish fiduciary relationship between bank and borrower, borrower had to show that he justifiably reposed a special trust or confidence in bank to act in borrower’s best interest, that bank either invited, ostensibly accepted or acquiesced in such trust, and that bank assumed duty to act in borrower’s interest with respect to subject matter of trust); </w:t>
      </w:r>
      <w:r w:rsidRPr="00E41870">
        <w:rPr>
          <w:rFonts w:eastAsia="Times New Roman"/>
          <w:b/>
          <w:sz w:val="24"/>
          <w:szCs w:val="24"/>
        </w:rPr>
        <w:t>Rubenstein v. South Denver National Bank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762 P.2d 755 (Colo. App. 1988) (trial court erred in entering summary judgment dismissing plaintiff’s claim against bank for breach of fiduciary duty since there were controverted issues of material fact regarding the existence of fiduciary relationship); </w:t>
      </w:r>
      <w:r w:rsidRPr="00E41870">
        <w:rPr>
          <w:rFonts w:eastAsia="Times New Roman"/>
          <w:b/>
          <w:sz w:val="24"/>
          <w:szCs w:val="24"/>
        </w:rPr>
        <w:t>Dolton v. Capitol Federal Savings &amp; Loan Ass’n</w:t>
      </w:r>
      <w:r w:rsidRPr="00E41870">
        <w:rPr>
          <w:rFonts w:eastAsia="Times New Roman"/>
          <w:sz w:val="24"/>
          <w:szCs w:val="24"/>
        </w:rPr>
        <w:t xml:space="preserve">, 642 P.2d 21 (Colo. App. 1981) (same); and </w:t>
      </w:r>
      <w:r w:rsidRPr="00E41870">
        <w:rPr>
          <w:rFonts w:eastAsia="Times New Roman"/>
          <w:b/>
          <w:sz w:val="24"/>
          <w:szCs w:val="24"/>
        </w:rPr>
        <w:t>Breeden v. Dailey</w:t>
      </w:r>
      <w:r w:rsidRPr="00E41870">
        <w:rPr>
          <w:rFonts w:eastAsia="Times New Roman"/>
          <w:sz w:val="24"/>
          <w:szCs w:val="24"/>
        </w:rPr>
        <w:t xml:space="preserve">, 40 Colo. App. 70, 574 P.2d 508 (1977) (where employment agreement gave defendant the power to make financial commitments in unlimited amounts on plaintiff’s behalf and without prior approval, fiduciary relationship existed between the parties as a matter of law).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Circle T Corp. v. Deerfield</w:t>
      </w:r>
      <w:r w:rsidRPr="00E41870">
        <w:rPr>
          <w:rFonts w:eastAsia="Times New Roman"/>
          <w:sz w:val="24"/>
          <w:szCs w:val="24"/>
        </w:rPr>
        <w:t xml:space="preserve">, 166 Colo. 238, 444 P.2d 404 (1968); </w:t>
      </w:r>
      <w:r w:rsidRPr="00E41870">
        <w:rPr>
          <w:rFonts w:eastAsia="Times New Roman"/>
          <w:b/>
          <w:sz w:val="24"/>
          <w:szCs w:val="24"/>
        </w:rPr>
        <w:t>A</w:t>
      </w:r>
      <w:r w:rsidRPr="00020613">
        <w:rPr>
          <w:rFonts w:eastAsia="Times New Roman"/>
          <w:b/>
          <w:sz w:val="24"/>
          <w:szCs w:val="24"/>
        </w:rPr>
        <w:t>lexander Co. v. Packard</w:t>
      </w:r>
      <w:r w:rsidRPr="00020613">
        <w:rPr>
          <w:rFonts w:eastAsia="Times New Roman"/>
          <w:sz w:val="24"/>
          <w:szCs w:val="24"/>
        </w:rPr>
        <w:t>, 754 P.2d 780 (Colo. App. 1988)</w:t>
      </w:r>
      <w:r w:rsidRPr="00E41870">
        <w:rPr>
          <w:rFonts w:eastAsia="Times New Roman"/>
          <w:sz w:val="24"/>
          <w:szCs w:val="24"/>
        </w:rPr>
        <w:t xml:space="preserve">; </w:t>
      </w:r>
      <w:r w:rsidRPr="00E41870">
        <w:rPr>
          <w:rFonts w:eastAsia="Times New Roman"/>
          <w:b/>
          <w:sz w:val="24"/>
          <w:szCs w:val="24"/>
        </w:rPr>
        <w:t>Meyer v. Schwartz</w:t>
      </w:r>
      <w:r w:rsidRPr="00E41870">
        <w:rPr>
          <w:rFonts w:eastAsia="Times New Roman"/>
          <w:sz w:val="24"/>
          <w:szCs w:val="24"/>
        </w:rPr>
        <w:t>, 638 P.2d 821 (Colo. App. 1981).</w:t>
      </w:r>
    </w:p>
    <w:p w14:paraId="759ECAF7" w14:textId="77777777" w:rsidR="00E41870" w:rsidRDefault="00E41870">
      <w:pPr>
        <w:rPr>
          <w:rFonts w:eastAsia="Times New Roman"/>
          <w:sz w:val="24"/>
          <w:szCs w:val="24"/>
        </w:rPr>
      </w:pPr>
      <w:r>
        <w:rPr>
          <w:rFonts w:eastAsia="Times New Roman"/>
          <w:sz w:val="24"/>
          <w:szCs w:val="24"/>
        </w:rPr>
        <w:br w:type="page"/>
      </w:r>
    </w:p>
    <w:p w14:paraId="67DD50CD" w14:textId="77777777" w:rsidR="00E41870" w:rsidRPr="009E3DA4" w:rsidRDefault="00E41870" w:rsidP="00E41870">
      <w:pPr>
        <w:spacing w:after="240"/>
        <w:ind w:left="720" w:hanging="720"/>
        <w:rPr>
          <w:rFonts w:eastAsia="Times New Roman"/>
          <w:b/>
          <w:sz w:val="24"/>
          <w:szCs w:val="24"/>
        </w:rPr>
      </w:pPr>
      <w:bookmarkStart w:id="3" w:name="a26_03"/>
      <w:bookmarkEnd w:id="3"/>
      <w:r w:rsidRPr="00E41870">
        <w:rPr>
          <w:rFonts w:eastAsia="Times New Roman"/>
          <w:b/>
          <w:sz w:val="24"/>
          <w:szCs w:val="24"/>
        </w:rPr>
        <w:lastRenderedPageBreak/>
        <w:t xml:space="preserve">26:3 </w:t>
      </w:r>
      <w:r w:rsidRPr="00E41870">
        <w:rPr>
          <w:rFonts w:eastAsia="Times New Roman"/>
          <w:b/>
          <w:sz w:val="24"/>
          <w:szCs w:val="24"/>
        </w:rPr>
        <w:tab/>
        <w:t xml:space="preserve">FIDUCIARY </w:t>
      </w:r>
      <w:proofErr w:type="gramStart"/>
      <w:r w:rsidRPr="00E41870">
        <w:rPr>
          <w:rFonts w:eastAsia="Times New Roman"/>
          <w:b/>
          <w:sz w:val="24"/>
          <w:szCs w:val="24"/>
        </w:rPr>
        <w:t>RELATIONSHIP</w:t>
      </w:r>
      <w:proofErr w:type="gramEnd"/>
      <w:r w:rsidRPr="00E41870">
        <w:rPr>
          <w:rFonts w:eastAsia="Times New Roman"/>
          <w:b/>
          <w:sz w:val="24"/>
          <w:szCs w:val="24"/>
        </w:rPr>
        <w:t xml:space="preserve"> ARISING OUT OF A CONFIDENTIAL RELATIONSHIP</w:t>
      </w:r>
    </w:p>
    <w:p w14:paraId="3071B80B"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For the plaintiff,</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w:t>
      </w:r>
      <w:r w:rsidRPr="00E41870">
        <w:rPr>
          <w:rFonts w:eastAsia="Times New Roman"/>
          <w:sz w:val="24"/>
          <w:szCs w:val="24"/>
        </w:rPr>
        <w:t xml:space="preserve"> </w:t>
      </w:r>
      <w:r w:rsidRPr="00E41870">
        <w:rPr>
          <w:rFonts w:eastAsia="Times New Roman"/>
          <w:b/>
          <w:sz w:val="24"/>
          <w:szCs w:val="24"/>
        </w:rPr>
        <w:t>to recover from the defendant,</w:t>
      </w:r>
      <w:r w:rsidRPr="00E41870">
        <w:rPr>
          <w:rFonts w:eastAsia="Times New Roman"/>
          <w:sz w:val="24"/>
          <w:szCs w:val="24"/>
        </w:rPr>
        <w:t xml:space="preserve"> </w:t>
      </w:r>
      <w:r w:rsidRPr="00E41870">
        <w:rPr>
          <w:rFonts w:eastAsia="Times New Roman"/>
          <w:i/>
          <w:sz w:val="24"/>
          <w:szCs w:val="24"/>
        </w:rPr>
        <w:t>(name)</w:t>
      </w:r>
      <w:r w:rsidRPr="00E41870">
        <w:rPr>
          <w:rFonts w:eastAsia="Times New Roman"/>
          <w:b/>
          <w:sz w:val="24"/>
          <w:szCs w:val="24"/>
        </w:rPr>
        <w:t>, on (his) (her) (its) claim of breach of a fiduciary duty arising from a confidential relationship, you must find that all the following have been proved by a preponderance of the evidence:</w:t>
      </w:r>
    </w:p>
    <w:p w14:paraId="15AE433C"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1. The plaintiff had a confidential relationship with the defendant; </w:t>
      </w:r>
    </w:p>
    <w:p w14:paraId="595601F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2. [The plaintiff justifiably placed trust and confidence in the defendant], [The defendant invited, accepted or appeared to accept, or acquiesced in the plaintiff’s trust and confidence]; </w:t>
      </w:r>
    </w:p>
    <w:p w14:paraId="5396C1F7"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3. The defendant assumed a duty to represent the plaintiff’s interest in the subject of the transaction; </w:t>
      </w:r>
    </w:p>
    <w:p w14:paraId="599BFB05"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4. The duty that arose by reason of the confidential relationship between the plaintiff and the defendant applied to </w:t>
      </w:r>
      <w:r w:rsidRPr="00E41870">
        <w:rPr>
          <w:rFonts w:eastAsia="Times New Roman"/>
          <w:i/>
          <w:sz w:val="24"/>
          <w:szCs w:val="24"/>
        </w:rPr>
        <w:t>(insert appropriate description of subject matter of the suit)</w:t>
      </w:r>
      <w:r w:rsidRPr="00E41870">
        <w:rPr>
          <w:rFonts w:eastAsia="Times New Roman"/>
          <w:b/>
          <w:sz w:val="24"/>
          <w:szCs w:val="24"/>
        </w:rPr>
        <w:t>; and</w:t>
      </w:r>
    </w:p>
    <w:p w14:paraId="4FF9C3EF"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5. The defendant violated that duty, causing damage to the plaintiff.</w:t>
      </w:r>
    </w:p>
    <w:p w14:paraId="3BDE8EDA"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If you find that any one or more of these </w:t>
      </w:r>
      <w:r w:rsidRPr="00E41870">
        <w:rPr>
          <w:rFonts w:eastAsia="Times New Roman"/>
          <w:i/>
          <w:sz w:val="24"/>
          <w:szCs w:val="24"/>
        </w:rPr>
        <w:t>(number)</w:t>
      </w:r>
      <w:r w:rsidRPr="00E41870">
        <w:rPr>
          <w:rFonts w:eastAsia="Times New Roman"/>
          <w:b/>
          <w:sz w:val="24"/>
          <w:szCs w:val="24"/>
        </w:rPr>
        <w:t xml:space="preserve"> statements has not been proved, then your verdict must be for the defendant. </w:t>
      </w:r>
    </w:p>
    <w:p w14:paraId="641B11A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 xml:space="preserve">On the other hand, if you find that all of these </w:t>
      </w:r>
      <w:r w:rsidRPr="00E41870">
        <w:rPr>
          <w:rFonts w:eastAsia="Times New Roman"/>
          <w:i/>
          <w:sz w:val="24"/>
          <w:szCs w:val="24"/>
        </w:rPr>
        <w:t>(number)</w:t>
      </w:r>
      <w:r w:rsidRPr="00E41870">
        <w:rPr>
          <w:rFonts w:eastAsia="Times New Roman"/>
          <w:b/>
          <w:sz w:val="24"/>
          <w:szCs w:val="24"/>
        </w:rPr>
        <w:t xml:space="preserve"> statements have been proved, (then your verdict must be for the plaintiff) (then you must consider the defendant’s affirmative defense(s) of</w:t>
      </w:r>
      <w:r w:rsidRPr="00E41870">
        <w:rPr>
          <w:rFonts w:eastAsia="Times New Roman"/>
          <w:sz w:val="24"/>
          <w:szCs w:val="24"/>
        </w:rPr>
        <w:t xml:space="preserve"> </w:t>
      </w:r>
      <w:r w:rsidRPr="00E41870">
        <w:rPr>
          <w:rFonts w:eastAsia="Times New Roman"/>
          <w:i/>
          <w:sz w:val="24"/>
          <w:szCs w:val="24"/>
        </w:rPr>
        <w:t>[insert any affirmative defense that would be a complete defense to plaintiff’s claim]</w:t>
      </w:r>
      <w:r w:rsidRPr="00E41870">
        <w:rPr>
          <w:rFonts w:eastAsia="Times New Roman"/>
          <w:b/>
          <w:sz w:val="24"/>
          <w:szCs w:val="24"/>
        </w:rPr>
        <w:t>).</w:t>
      </w:r>
    </w:p>
    <w:p w14:paraId="7D81AA1B" w14:textId="07547AB0"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If you find that (this affirmative defense has) (any one o</w:t>
      </w:r>
      <w:r w:rsidR="000532E3">
        <w:rPr>
          <w:rFonts w:eastAsia="Times New Roman"/>
          <w:b/>
          <w:sz w:val="24"/>
          <w:szCs w:val="24"/>
        </w:rPr>
        <w:t>r</w:t>
      </w:r>
      <w:r w:rsidRPr="00E41870">
        <w:rPr>
          <w:rFonts w:eastAsia="Times New Roman"/>
          <w:b/>
          <w:sz w:val="24"/>
          <w:szCs w:val="24"/>
        </w:rPr>
        <w:t xml:space="preserve"> more of the affirmative defenses have) been proved by a preponderance of the evidence, then your verdict must be for the defendant.</w:t>
      </w:r>
    </w:p>
    <w:p w14:paraId="7267B79B" w14:textId="77777777" w:rsidR="00E41870" w:rsidRPr="00E41870" w:rsidRDefault="00E41870" w:rsidP="00E41870">
      <w:pPr>
        <w:spacing w:after="240"/>
        <w:ind w:firstLine="720"/>
        <w:rPr>
          <w:rFonts w:eastAsia="Times New Roman"/>
          <w:sz w:val="24"/>
          <w:szCs w:val="24"/>
        </w:rPr>
      </w:pPr>
      <w:r w:rsidRPr="00E41870">
        <w:rPr>
          <w:rFonts w:eastAsia="Times New Roman"/>
          <w:b/>
          <w:sz w:val="24"/>
          <w:szCs w:val="24"/>
        </w:rPr>
        <w:t>However, if you find that (this affirmative defense has not) (none of these affirmative defenses have) been proved, then your verdict must be for the plaintiff.</w:t>
      </w:r>
      <w:r w:rsidRPr="00E41870">
        <w:rPr>
          <w:rFonts w:eastAsia="Times New Roman"/>
          <w:sz w:val="24"/>
          <w:szCs w:val="24"/>
        </w:rPr>
        <w:t xml:space="preserve"> </w:t>
      </w:r>
    </w:p>
    <w:p w14:paraId="0FFBA16F" w14:textId="77777777" w:rsidR="00E41870" w:rsidRDefault="00E41870" w:rsidP="00E41870">
      <w:pPr>
        <w:jc w:val="center"/>
        <w:rPr>
          <w:rFonts w:eastAsia="Times New Roman"/>
          <w:sz w:val="24"/>
          <w:szCs w:val="24"/>
        </w:rPr>
      </w:pPr>
    </w:p>
    <w:p w14:paraId="436CD6FF"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4180CCE7"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This instruction should be given with Instruction 26:4.</w:t>
      </w:r>
    </w:p>
    <w:p w14:paraId="054192B6" w14:textId="706BEDD8"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In paragraph 2 of the instruction, use all </w:t>
      </w:r>
      <w:r w:rsidR="00020613">
        <w:rPr>
          <w:rFonts w:eastAsia="Times New Roman"/>
          <w:sz w:val="24"/>
          <w:szCs w:val="24"/>
        </w:rPr>
        <w:t xml:space="preserve">applicable </w:t>
      </w:r>
      <w:r w:rsidRPr="00E41870">
        <w:rPr>
          <w:rFonts w:eastAsia="Times New Roman"/>
          <w:sz w:val="24"/>
          <w:szCs w:val="24"/>
        </w:rPr>
        <w:t xml:space="preserve">alternate phrases. </w:t>
      </w:r>
    </w:p>
    <w:p w14:paraId="3FA60CF6" w14:textId="7A3AEB06"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3. When, based on undisputed facts, the court determines as a matter of law that the defendant was acting as a fiduciary for the plaintiff with respect to the subject matter of the suit, the jury should be instructed that the court has determined that a fiduciary relationship existed between the parties, and the first sentence of Instruction 26:2, rather than this instruction should </w:t>
      </w:r>
      <w:r w:rsidRPr="00E41870">
        <w:rPr>
          <w:rFonts w:eastAsia="Times New Roman"/>
          <w:sz w:val="24"/>
          <w:szCs w:val="24"/>
        </w:rPr>
        <w:lastRenderedPageBreak/>
        <w:t xml:space="preserve">be used. Also, Instruction 26:2 should be used, rather than this instruction, when the claimed fiduciary duty is based on a relationship that is recognized, as a matter of law, as being a fiduciary relationship, such as exists between agent and principal, partners, joint venturers, </w:t>
      </w:r>
      <w:r w:rsidR="00020613">
        <w:rPr>
          <w:rFonts w:eastAsia="Times New Roman"/>
          <w:sz w:val="24"/>
          <w:szCs w:val="24"/>
        </w:rPr>
        <w:t xml:space="preserve">or </w:t>
      </w:r>
      <w:r w:rsidRPr="00E41870">
        <w:rPr>
          <w:rFonts w:eastAsia="Times New Roman"/>
          <w:sz w:val="24"/>
          <w:szCs w:val="24"/>
        </w:rPr>
        <w:t xml:space="preserve">attorney and client. </w:t>
      </w:r>
      <w:r w:rsidRPr="00EE51DF">
        <w:rPr>
          <w:rFonts w:eastAsia="Times New Roman"/>
          <w:i/>
          <w:sz w:val="24"/>
          <w:szCs w:val="24"/>
        </w:rPr>
        <w:t>See</w:t>
      </w:r>
      <w:r w:rsidRPr="00E41870">
        <w:rPr>
          <w:rFonts w:eastAsia="Times New Roman"/>
          <w:sz w:val="24"/>
          <w:szCs w:val="24"/>
        </w:rPr>
        <w:t xml:space="preserve"> Chapter 7 of these instructions.</w:t>
      </w:r>
    </w:p>
    <w:p w14:paraId="604BFFB9"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4. In all cases involving a fiduciary relationship arising out of a confidential relationship, the elements of this instruction must be proven by the plaintiff. However, because fiduciary relationships have been found to arise in diverse situations, the court may need to consider the adequacy of this instruction in light of the particular facts of the case, and this instruction may need to be appropriately modified or supplemented to better reflect the law applicable to specific factual situations.</w:t>
      </w:r>
    </w:p>
    <w:p w14:paraId="5E9E4B8D"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79C536E9" w14:textId="76E70430"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1. This instruction is supported by </w:t>
      </w:r>
      <w:r w:rsidRPr="00E41870">
        <w:rPr>
          <w:rFonts w:eastAsia="Times New Roman"/>
          <w:b/>
          <w:sz w:val="24"/>
          <w:szCs w:val="24"/>
        </w:rPr>
        <w:t>First Nat</w:t>
      </w:r>
      <w:r w:rsidR="005626B2">
        <w:rPr>
          <w:rFonts w:eastAsia="Times New Roman"/>
          <w:b/>
          <w:sz w:val="24"/>
          <w:szCs w:val="24"/>
        </w:rPr>
        <w:t>iona</w:t>
      </w:r>
      <w:r w:rsidRPr="00E41870">
        <w:rPr>
          <w:rFonts w:eastAsia="Times New Roman"/>
          <w:b/>
          <w:sz w:val="24"/>
          <w:szCs w:val="24"/>
        </w:rPr>
        <w:t>l Bank v. Theos</w:t>
      </w:r>
      <w:r w:rsidRPr="00E41870">
        <w:rPr>
          <w:rFonts w:eastAsia="Times New Roman"/>
          <w:sz w:val="24"/>
          <w:szCs w:val="24"/>
        </w:rPr>
        <w:t>, 794 P.2d 1055 (Colo. App. 1990)</w:t>
      </w:r>
      <w:r w:rsidR="005626B2">
        <w:rPr>
          <w:rFonts w:eastAsia="Times New Roman"/>
          <w:sz w:val="24"/>
          <w:szCs w:val="24"/>
        </w:rPr>
        <w:t>.</w:t>
      </w:r>
      <w:r w:rsidRPr="00E41870">
        <w:rPr>
          <w:rFonts w:eastAsia="Times New Roman"/>
          <w:sz w:val="24"/>
          <w:szCs w:val="24"/>
        </w:rPr>
        <w:t xml:space="preserve"> </w:t>
      </w:r>
      <w:r w:rsidR="005626B2">
        <w:rPr>
          <w:rFonts w:eastAsia="Times New Roman"/>
          <w:i/>
          <w:sz w:val="24"/>
          <w:szCs w:val="24"/>
        </w:rPr>
        <w:t>S</w:t>
      </w:r>
      <w:r w:rsidRPr="00E41870">
        <w:rPr>
          <w:rFonts w:eastAsia="Times New Roman"/>
          <w:i/>
          <w:sz w:val="24"/>
          <w:szCs w:val="24"/>
        </w:rPr>
        <w:t>ee also</w:t>
      </w:r>
      <w:r w:rsidRPr="00E41870">
        <w:rPr>
          <w:rFonts w:eastAsia="Times New Roman"/>
          <w:sz w:val="24"/>
          <w:szCs w:val="24"/>
        </w:rPr>
        <w:t xml:space="preserve"> </w:t>
      </w:r>
      <w:r w:rsidRPr="00E41870">
        <w:rPr>
          <w:rFonts w:eastAsia="Times New Roman"/>
          <w:b/>
          <w:sz w:val="24"/>
          <w:szCs w:val="24"/>
        </w:rPr>
        <w:t>Jarnagin v. Busby, Inc.</w:t>
      </w:r>
      <w:r w:rsidRPr="00E41870">
        <w:rPr>
          <w:rFonts w:eastAsia="Times New Roman"/>
          <w:sz w:val="24"/>
          <w:szCs w:val="24"/>
        </w:rPr>
        <w:t>, 867 P.2d 63 (Colo. App. 1993).</w:t>
      </w:r>
    </w:p>
    <w:p w14:paraId="1DD88EEB" w14:textId="23ED8F57"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A fiduciary duty may arise out of a confidential relationship. </w:t>
      </w:r>
      <w:r w:rsidRPr="00E41870">
        <w:rPr>
          <w:rFonts w:eastAsia="Times New Roman"/>
          <w:b/>
          <w:sz w:val="24"/>
          <w:szCs w:val="24"/>
        </w:rPr>
        <w:t>Rubenstein v. S</w:t>
      </w:r>
      <w:r w:rsidR="005626B2">
        <w:rPr>
          <w:rFonts w:eastAsia="Times New Roman"/>
          <w:b/>
          <w:sz w:val="24"/>
          <w:szCs w:val="24"/>
        </w:rPr>
        <w:t>.</w:t>
      </w:r>
      <w:r w:rsidRPr="00E41870">
        <w:rPr>
          <w:rFonts w:eastAsia="Times New Roman"/>
          <w:b/>
          <w:sz w:val="24"/>
          <w:szCs w:val="24"/>
        </w:rPr>
        <w:t xml:space="preserve"> Denver Nat’l Bank</w:t>
      </w:r>
      <w:r w:rsidRPr="00E41870">
        <w:rPr>
          <w:rFonts w:eastAsia="Times New Roman"/>
          <w:sz w:val="24"/>
          <w:szCs w:val="24"/>
        </w:rPr>
        <w:t xml:space="preserve">, 762 P.2d 755 (Colo. App. 1988); </w:t>
      </w:r>
      <w:r w:rsidRPr="00E41870">
        <w:rPr>
          <w:rFonts w:eastAsia="Times New Roman"/>
          <w:b/>
          <w:sz w:val="24"/>
          <w:szCs w:val="24"/>
        </w:rPr>
        <w:t xml:space="preserve">Dolton v. Capitol Fed. </w:t>
      </w:r>
      <w:proofErr w:type="gramStart"/>
      <w:r w:rsidRPr="00E41870">
        <w:rPr>
          <w:rFonts w:eastAsia="Times New Roman"/>
          <w:b/>
          <w:sz w:val="24"/>
          <w:szCs w:val="24"/>
        </w:rPr>
        <w:t>Sav.</w:t>
      </w:r>
      <w:proofErr w:type="gramEnd"/>
      <w:r w:rsidRPr="00E41870">
        <w:rPr>
          <w:rFonts w:eastAsia="Times New Roman"/>
          <w:b/>
          <w:sz w:val="24"/>
          <w:szCs w:val="24"/>
        </w:rPr>
        <w:t xml:space="preserve"> </w:t>
      </w:r>
      <w:proofErr w:type="gramStart"/>
      <w:r w:rsidRPr="00E41870">
        <w:rPr>
          <w:rFonts w:eastAsia="Times New Roman"/>
          <w:b/>
          <w:sz w:val="24"/>
          <w:szCs w:val="24"/>
        </w:rPr>
        <w:t>&amp; Loan Ass’n</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642 P.2d 21 (Colo. App. 1981).</w:t>
      </w:r>
      <w:proofErr w:type="gramEnd"/>
      <w:r w:rsidRPr="00E41870">
        <w:rPr>
          <w:rFonts w:eastAsia="Times New Roman"/>
          <w:sz w:val="24"/>
          <w:szCs w:val="24"/>
        </w:rPr>
        <w:t xml:space="preserve"> However, the existence of a confidential relationship, without more, is insufficient to establish a fiduciary duty. </w:t>
      </w:r>
      <w:r w:rsidRPr="00E41870">
        <w:rPr>
          <w:rFonts w:eastAsia="Times New Roman"/>
          <w:b/>
          <w:sz w:val="24"/>
          <w:szCs w:val="24"/>
        </w:rPr>
        <w:t>Bock v. Brody</w:t>
      </w:r>
      <w:r w:rsidRPr="00E41870">
        <w:rPr>
          <w:rFonts w:eastAsia="Times New Roman"/>
          <w:sz w:val="24"/>
          <w:szCs w:val="24"/>
        </w:rPr>
        <w:t xml:space="preserve">, 870 P.2d 530 (Colo. App. 1993), </w:t>
      </w:r>
      <w:r w:rsidRPr="00E41870">
        <w:rPr>
          <w:rFonts w:eastAsia="Times New Roman"/>
          <w:i/>
          <w:sz w:val="24"/>
          <w:szCs w:val="24"/>
        </w:rPr>
        <w:t>aff’d in part, rev’d in part on other grounds</w:t>
      </w:r>
      <w:r w:rsidRPr="00E41870">
        <w:rPr>
          <w:rFonts w:eastAsia="Times New Roman"/>
          <w:sz w:val="24"/>
          <w:szCs w:val="24"/>
        </w:rPr>
        <w:t xml:space="preserve">, 897 P.2d 769 (Colo. 1995); </w:t>
      </w:r>
      <w:r w:rsidRPr="00E41870">
        <w:rPr>
          <w:rFonts w:eastAsia="Times New Roman"/>
          <w:b/>
          <w:sz w:val="24"/>
          <w:szCs w:val="24"/>
        </w:rPr>
        <w:t>Theos</w:t>
      </w:r>
      <w:r w:rsidRPr="00E41870">
        <w:rPr>
          <w:rFonts w:eastAsia="Times New Roman"/>
          <w:sz w:val="24"/>
          <w:szCs w:val="24"/>
        </w:rPr>
        <w:t xml:space="preserve">, 794 P.2d </w:t>
      </w:r>
      <w:r w:rsidR="005626B2">
        <w:rPr>
          <w:rFonts w:eastAsia="Times New Roman"/>
          <w:sz w:val="24"/>
          <w:szCs w:val="24"/>
        </w:rPr>
        <w:t xml:space="preserve">at </w:t>
      </w:r>
      <w:r w:rsidRPr="00E41870">
        <w:rPr>
          <w:rFonts w:eastAsia="Times New Roman"/>
          <w:sz w:val="24"/>
          <w:szCs w:val="24"/>
        </w:rPr>
        <w:t>10</w:t>
      </w:r>
      <w:r w:rsidR="005626B2">
        <w:rPr>
          <w:rFonts w:eastAsia="Times New Roman"/>
          <w:sz w:val="24"/>
          <w:szCs w:val="24"/>
        </w:rPr>
        <w:t>61</w:t>
      </w:r>
      <w:r w:rsidRPr="00E41870">
        <w:rPr>
          <w:rFonts w:eastAsia="Times New Roman"/>
          <w:sz w:val="24"/>
          <w:szCs w:val="24"/>
        </w:rPr>
        <w:t xml:space="preserve">. Moreover, under Colorado law, there is no separate tort for breach of a confidential relationship. </w:t>
      </w:r>
      <w:r w:rsidRPr="00E41870">
        <w:rPr>
          <w:rFonts w:eastAsia="Times New Roman"/>
          <w:b/>
          <w:sz w:val="24"/>
          <w:szCs w:val="24"/>
        </w:rPr>
        <w:t>Bock</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 xml:space="preserve">870 P.2d </w:t>
      </w:r>
      <w:r w:rsidR="005626B2">
        <w:rPr>
          <w:rFonts w:eastAsia="Times New Roman"/>
          <w:sz w:val="24"/>
          <w:szCs w:val="24"/>
        </w:rPr>
        <w:t xml:space="preserve">at </w:t>
      </w:r>
      <w:r w:rsidRPr="00E41870">
        <w:rPr>
          <w:rFonts w:eastAsia="Times New Roman"/>
          <w:sz w:val="24"/>
          <w:szCs w:val="24"/>
        </w:rPr>
        <w:t>53</w:t>
      </w:r>
      <w:r w:rsidR="005626B2">
        <w:rPr>
          <w:rFonts w:eastAsia="Times New Roman"/>
          <w:sz w:val="24"/>
          <w:szCs w:val="24"/>
        </w:rPr>
        <w:t>3</w:t>
      </w:r>
      <w:r w:rsidRPr="00E41870">
        <w:rPr>
          <w:rFonts w:eastAsia="Times New Roman"/>
          <w:sz w:val="24"/>
          <w:szCs w:val="24"/>
        </w:rPr>
        <w:t xml:space="preserve">; </w:t>
      </w:r>
      <w:r w:rsidRPr="00E41870">
        <w:rPr>
          <w:rFonts w:eastAsia="Times New Roman"/>
          <w:b/>
          <w:sz w:val="24"/>
          <w:szCs w:val="24"/>
        </w:rPr>
        <w:t>Todd Holding Co. v. Super Valu Stores, Inc.</w:t>
      </w:r>
      <w:r w:rsidRPr="00E41870">
        <w:rPr>
          <w:rFonts w:eastAsia="Times New Roman"/>
          <w:sz w:val="24"/>
          <w:szCs w:val="24"/>
        </w:rPr>
        <w:t xml:space="preserve">, 874 P.2d 402 (Colo. App. 1993); </w:t>
      </w:r>
      <w:r w:rsidRPr="00E41870">
        <w:rPr>
          <w:rFonts w:eastAsia="Times New Roman"/>
          <w:i/>
          <w:sz w:val="24"/>
          <w:szCs w:val="24"/>
        </w:rPr>
        <w:t>see also</w:t>
      </w:r>
      <w:r w:rsidRPr="00E41870">
        <w:rPr>
          <w:rFonts w:eastAsia="Times New Roman"/>
          <w:sz w:val="24"/>
          <w:szCs w:val="24"/>
        </w:rPr>
        <w:t xml:space="preserve"> </w:t>
      </w:r>
      <w:r w:rsidRPr="00E41870">
        <w:rPr>
          <w:rFonts w:eastAsia="Times New Roman"/>
          <w:b/>
          <w:sz w:val="24"/>
          <w:szCs w:val="24"/>
        </w:rPr>
        <w:t>Smith v. TCI Commc’ns, Inc.</w:t>
      </w:r>
      <w:r w:rsidRPr="00E41870">
        <w:rPr>
          <w:rFonts w:eastAsia="Times New Roman"/>
          <w:sz w:val="24"/>
          <w:szCs w:val="24"/>
        </w:rPr>
        <w:t xml:space="preserve">, 981 P.2d 690 (Colo. App. 1999) (recognizing that confidential relationship may give rise to fiduciary duty, but holding that no such duty existed where confidential relationship did not exist prior to transaction giving rise to claim). </w:t>
      </w:r>
    </w:p>
    <w:p w14:paraId="17EF9408" w14:textId="6F3509CB" w:rsidR="00407AAB" w:rsidRDefault="00E41870" w:rsidP="00370240">
      <w:pPr>
        <w:spacing w:after="240"/>
        <w:ind w:firstLine="720"/>
        <w:rPr>
          <w:rFonts w:eastAsia="Times New Roman"/>
          <w:sz w:val="24"/>
          <w:szCs w:val="24"/>
        </w:rPr>
      </w:pPr>
      <w:r w:rsidRPr="00E41870">
        <w:rPr>
          <w:rFonts w:eastAsia="Times New Roman"/>
          <w:sz w:val="24"/>
          <w:szCs w:val="24"/>
        </w:rPr>
        <w:t xml:space="preserve">3. A fiduciary duty has been found where one party occupied a superior position over the other and, thus, was in a position to influence or affect the interests of the other. </w:t>
      </w:r>
      <w:r w:rsidRPr="00E41870">
        <w:rPr>
          <w:rFonts w:eastAsia="Times New Roman"/>
          <w:b/>
          <w:sz w:val="24"/>
          <w:szCs w:val="24"/>
        </w:rPr>
        <w:t>Moses v. Diocese of Colo.</w:t>
      </w:r>
      <w:r w:rsidRPr="00E41870">
        <w:rPr>
          <w:rFonts w:eastAsia="Times New Roman"/>
          <w:sz w:val="24"/>
          <w:szCs w:val="24"/>
        </w:rPr>
        <w:t xml:space="preserve">, 863 P.2d 310 (Colo. 1993); </w:t>
      </w:r>
      <w:r w:rsidRPr="00E41870">
        <w:rPr>
          <w:rFonts w:eastAsia="Times New Roman"/>
          <w:i/>
          <w:sz w:val="24"/>
          <w:szCs w:val="24"/>
        </w:rPr>
        <w:t xml:space="preserve">see also </w:t>
      </w:r>
      <w:r w:rsidRPr="00E41870">
        <w:rPr>
          <w:rFonts w:eastAsia="Times New Roman"/>
          <w:b/>
          <w:sz w:val="24"/>
          <w:szCs w:val="24"/>
        </w:rPr>
        <w:t>In the Interest of Delluomo v. Cedarblade</w:t>
      </w:r>
      <w:r w:rsidRPr="00E41870">
        <w:rPr>
          <w:rFonts w:eastAsia="Times New Roman"/>
          <w:sz w:val="24"/>
          <w:szCs w:val="24"/>
        </w:rPr>
        <w:t xml:space="preserve">, 2014 COA 43, ¶ 27, 328 P.3d 291, 296 (“A trustee’s duty springs from the underlying legal agreement to manage property and is bounded by the scope of that relationship; in contrast, the duty of a confidential relation arises from superiority and influence, is borne by the individual, is not expressly agreed upon, and involves property only incidentally.”). A fiduciary duty has been found where one person has practical control over the affairs of another. </w:t>
      </w:r>
      <w:proofErr w:type="gramStart"/>
      <w:r w:rsidRPr="00E41870">
        <w:rPr>
          <w:rFonts w:eastAsia="Times New Roman"/>
          <w:b/>
          <w:sz w:val="24"/>
          <w:szCs w:val="24"/>
        </w:rPr>
        <w:t>Paine, Webber, Jackson &amp; Curtis, Inc. v. Adams</w:t>
      </w:r>
      <w:r w:rsidRPr="00E41870">
        <w:rPr>
          <w:rFonts w:eastAsia="Times New Roman"/>
          <w:sz w:val="24"/>
          <w:szCs w:val="24"/>
        </w:rPr>
        <w:t>,</w:t>
      </w:r>
      <w:r w:rsidRPr="00E41870">
        <w:rPr>
          <w:rFonts w:eastAsia="Times New Roman"/>
          <w:b/>
          <w:sz w:val="24"/>
          <w:szCs w:val="24"/>
        </w:rPr>
        <w:t xml:space="preserve"> </w:t>
      </w:r>
      <w:r w:rsidRPr="00E41870">
        <w:rPr>
          <w:rFonts w:eastAsia="Times New Roman"/>
          <w:sz w:val="24"/>
          <w:szCs w:val="24"/>
        </w:rPr>
        <w:t>718 P.2d 508 (Colo. 1986).</w:t>
      </w:r>
      <w:proofErr w:type="gramEnd"/>
      <w:r w:rsidRPr="00E41870">
        <w:rPr>
          <w:rFonts w:eastAsia="Times New Roman"/>
          <w:sz w:val="24"/>
          <w:szCs w:val="24"/>
        </w:rPr>
        <w:t xml:space="preserve"> A fiduciary duty may arise from a business or confidential relationship that compels or induces one party to relax the care and vigilance one would ordinarily exercise in dealing with a stranger. </w:t>
      </w:r>
      <w:r w:rsidRPr="00E41870">
        <w:rPr>
          <w:rFonts w:eastAsia="Times New Roman"/>
          <w:b/>
          <w:sz w:val="24"/>
          <w:szCs w:val="24"/>
        </w:rPr>
        <w:t>Dolton</w:t>
      </w:r>
      <w:r w:rsidRPr="00E41870">
        <w:rPr>
          <w:rFonts w:eastAsia="Times New Roman"/>
          <w:sz w:val="24"/>
          <w:szCs w:val="24"/>
        </w:rPr>
        <w:t xml:space="preserve">, </w:t>
      </w:r>
      <w:proofErr w:type="gramStart"/>
      <w:r w:rsidRPr="00E41870">
        <w:rPr>
          <w:rFonts w:eastAsia="Times New Roman"/>
          <w:sz w:val="24"/>
          <w:szCs w:val="24"/>
        </w:rPr>
        <w:t xml:space="preserve">642 P.2d </w:t>
      </w:r>
      <w:r w:rsidR="006E0FB3">
        <w:rPr>
          <w:rFonts w:eastAsia="Times New Roman"/>
          <w:sz w:val="24"/>
          <w:szCs w:val="24"/>
        </w:rPr>
        <w:t xml:space="preserve">at </w:t>
      </w:r>
      <w:r w:rsidRPr="00E41870">
        <w:rPr>
          <w:rFonts w:eastAsia="Times New Roman"/>
          <w:sz w:val="24"/>
          <w:szCs w:val="24"/>
        </w:rPr>
        <w:t>2</w:t>
      </w:r>
      <w:r w:rsidR="006E0FB3">
        <w:rPr>
          <w:rFonts w:eastAsia="Times New Roman"/>
          <w:sz w:val="24"/>
          <w:szCs w:val="24"/>
        </w:rPr>
        <w:t>3</w:t>
      </w:r>
      <w:proofErr w:type="gramEnd"/>
      <w:r w:rsidRPr="00E41870">
        <w:rPr>
          <w:rFonts w:eastAsia="Times New Roman"/>
          <w:sz w:val="24"/>
          <w:szCs w:val="24"/>
        </w:rPr>
        <w:t xml:space="preserve">. A fiduciary relationship can arise out of a relationship of blood, business, friendship, or other association. </w:t>
      </w:r>
      <w:r w:rsidRPr="00E41870">
        <w:rPr>
          <w:rFonts w:eastAsia="Times New Roman"/>
          <w:b/>
          <w:sz w:val="24"/>
          <w:szCs w:val="24"/>
        </w:rPr>
        <w:t>Moses</w:t>
      </w:r>
      <w:r w:rsidRPr="00E41870">
        <w:rPr>
          <w:rFonts w:eastAsia="Times New Roman"/>
          <w:sz w:val="24"/>
          <w:szCs w:val="24"/>
        </w:rPr>
        <w:t>,</w:t>
      </w:r>
      <w:r w:rsidRPr="00E41870">
        <w:rPr>
          <w:rFonts w:eastAsia="Times New Roman"/>
          <w:b/>
          <w:sz w:val="24"/>
          <w:szCs w:val="24"/>
        </w:rPr>
        <w:t xml:space="preserve"> </w:t>
      </w:r>
      <w:proofErr w:type="gramStart"/>
      <w:r>
        <w:rPr>
          <w:rFonts w:eastAsia="Times New Roman"/>
          <w:sz w:val="24"/>
          <w:szCs w:val="24"/>
        </w:rPr>
        <w:t xml:space="preserve">863 P.2d </w:t>
      </w:r>
      <w:r w:rsidR="006E0FB3">
        <w:rPr>
          <w:rFonts w:eastAsia="Times New Roman"/>
          <w:sz w:val="24"/>
          <w:szCs w:val="24"/>
        </w:rPr>
        <w:t xml:space="preserve">at </w:t>
      </w:r>
      <w:r>
        <w:rPr>
          <w:rFonts w:eastAsia="Times New Roman"/>
          <w:sz w:val="24"/>
          <w:szCs w:val="24"/>
        </w:rPr>
        <w:t>3</w:t>
      </w:r>
      <w:r w:rsidR="006E0FB3">
        <w:rPr>
          <w:rFonts w:eastAsia="Times New Roman"/>
          <w:sz w:val="24"/>
          <w:szCs w:val="24"/>
        </w:rPr>
        <w:t>22</w:t>
      </w:r>
      <w:proofErr w:type="gramEnd"/>
      <w:r>
        <w:rPr>
          <w:rFonts w:eastAsia="Times New Roman"/>
          <w:sz w:val="24"/>
          <w:szCs w:val="24"/>
        </w:rPr>
        <w:t>.</w:t>
      </w:r>
    </w:p>
    <w:p w14:paraId="5D0EB565" w14:textId="77777777" w:rsidR="00E41870" w:rsidRDefault="00E41870">
      <w:pPr>
        <w:rPr>
          <w:rFonts w:eastAsia="Times New Roman"/>
          <w:sz w:val="24"/>
          <w:szCs w:val="24"/>
        </w:rPr>
      </w:pPr>
      <w:r>
        <w:rPr>
          <w:rFonts w:eastAsia="Times New Roman"/>
          <w:sz w:val="24"/>
          <w:szCs w:val="24"/>
        </w:rPr>
        <w:br w:type="page"/>
      </w:r>
    </w:p>
    <w:p w14:paraId="1851D044" w14:textId="77777777" w:rsidR="00E41870" w:rsidRPr="009E3DA4" w:rsidRDefault="00E41870" w:rsidP="00E41870">
      <w:pPr>
        <w:spacing w:after="240"/>
        <w:ind w:left="720" w:hanging="720"/>
        <w:rPr>
          <w:rFonts w:eastAsia="Times New Roman"/>
          <w:b/>
          <w:sz w:val="24"/>
          <w:szCs w:val="24"/>
        </w:rPr>
      </w:pPr>
      <w:bookmarkStart w:id="4" w:name="a26_04"/>
      <w:bookmarkEnd w:id="4"/>
      <w:r w:rsidRPr="00E41870">
        <w:rPr>
          <w:rFonts w:eastAsia="Times New Roman"/>
          <w:b/>
          <w:sz w:val="24"/>
          <w:szCs w:val="24"/>
        </w:rPr>
        <w:lastRenderedPageBreak/>
        <w:t xml:space="preserve">26:4 </w:t>
      </w:r>
      <w:r w:rsidRPr="00E41870">
        <w:rPr>
          <w:rFonts w:eastAsia="Times New Roman"/>
          <w:b/>
          <w:sz w:val="24"/>
          <w:szCs w:val="24"/>
        </w:rPr>
        <w:tab/>
        <w:t xml:space="preserve">CONFIDENTIAL </w:t>
      </w:r>
      <w:proofErr w:type="gramStart"/>
      <w:r w:rsidRPr="00E41870">
        <w:rPr>
          <w:rFonts w:eastAsia="Times New Roman"/>
          <w:b/>
          <w:sz w:val="24"/>
          <w:szCs w:val="24"/>
        </w:rPr>
        <w:t>RELATIONSHIP</w:t>
      </w:r>
      <w:proofErr w:type="gramEnd"/>
      <w:r w:rsidRPr="00E41870">
        <w:rPr>
          <w:rFonts w:eastAsia="Times New Roman"/>
          <w:b/>
          <w:sz w:val="24"/>
          <w:szCs w:val="24"/>
        </w:rPr>
        <w:t xml:space="preserve"> — DEFINED</w:t>
      </w:r>
    </w:p>
    <w:p w14:paraId="15AF7BC0" w14:textId="77777777" w:rsidR="00E41870" w:rsidRPr="00E41870" w:rsidRDefault="00E41870" w:rsidP="00E41870">
      <w:pPr>
        <w:spacing w:after="240"/>
        <w:ind w:firstLine="720"/>
        <w:rPr>
          <w:rFonts w:eastAsia="Times New Roman"/>
          <w:b/>
          <w:sz w:val="24"/>
          <w:szCs w:val="24"/>
        </w:rPr>
      </w:pPr>
      <w:r w:rsidRPr="00E41870">
        <w:rPr>
          <w:rFonts w:eastAsia="Times New Roman"/>
          <w:b/>
          <w:sz w:val="24"/>
          <w:szCs w:val="24"/>
        </w:rPr>
        <w:t xml:space="preserve">A confidential relationship exists between parties to a transaction if the parties’ relationship is such that one is induced to relax the care and vigilance one ordinarily would exercise in dealing with a stranger. </w:t>
      </w:r>
    </w:p>
    <w:p w14:paraId="082B2D53" w14:textId="77777777" w:rsidR="00E41870" w:rsidRDefault="00E41870" w:rsidP="00E41870">
      <w:pPr>
        <w:jc w:val="center"/>
        <w:rPr>
          <w:rFonts w:eastAsia="Times New Roman"/>
          <w:sz w:val="24"/>
          <w:szCs w:val="24"/>
        </w:rPr>
      </w:pPr>
    </w:p>
    <w:p w14:paraId="7B7681F2" w14:textId="77777777" w:rsidR="00E41870" w:rsidRPr="0054263B" w:rsidRDefault="00E41870" w:rsidP="00E41870">
      <w:pPr>
        <w:keepNext/>
        <w:spacing w:after="240"/>
        <w:jc w:val="center"/>
        <w:rPr>
          <w:rFonts w:eastAsia="Times New Roman"/>
          <w:b/>
          <w:sz w:val="24"/>
          <w:szCs w:val="24"/>
        </w:rPr>
      </w:pPr>
      <w:r w:rsidRPr="0054263B">
        <w:rPr>
          <w:rFonts w:eastAsia="Times New Roman"/>
          <w:b/>
          <w:sz w:val="24"/>
          <w:szCs w:val="24"/>
        </w:rPr>
        <w:t>Notes on Use</w:t>
      </w:r>
    </w:p>
    <w:p w14:paraId="0C6414FB" w14:textId="77777777" w:rsidR="00E41870" w:rsidRPr="00E41870" w:rsidRDefault="00E41870" w:rsidP="00E41870">
      <w:pPr>
        <w:spacing w:after="240"/>
        <w:ind w:firstLine="720"/>
        <w:rPr>
          <w:rFonts w:eastAsia="Times New Roman"/>
          <w:sz w:val="24"/>
          <w:szCs w:val="24"/>
        </w:rPr>
      </w:pPr>
      <w:r w:rsidRPr="00E41870">
        <w:rPr>
          <w:rFonts w:eastAsia="Times New Roman"/>
          <w:sz w:val="24"/>
          <w:szCs w:val="24"/>
        </w:rPr>
        <w:t>1. When instructing a jury on the definition of a confidential relationship in a will contest, Instruction 34:18 should be used, rather than this instruction.</w:t>
      </w:r>
    </w:p>
    <w:p w14:paraId="7685A298" w14:textId="70133DFC" w:rsidR="00E41870" w:rsidRPr="00E41870" w:rsidRDefault="00E41870" w:rsidP="00E41870">
      <w:pPr>
        <w:spacing w:after="240"/>
        <w:ind w:firstLine="720"/>
        <w:rPr>
          <w:rFonts w:eastAsia="Times New Roman"/>
          <w:sz w:val="24"/>
          <w:szCs w:val="24"/>
        </w:rPr>
      </w:pPr>
      <w:r w:rsidRPr="00E41870">
        <w:rPr>
          <w:rFonts w:eastAsia="Times New Roman"/>
          <w:sz w:val="24"/>
          <w:szCs w:val="24"/>
        </w:rPr>
        <w:t xml:space="preserve">2. The existence of a confidential relationship is not sufficient in and of itself to establish a breach of fiduciary duty. </w:t>
      </w:r>
      <w:proofErr w:type="gramStart"/>
      <w:r w:rsidRPr="00E41870">
        <w:rPr>
          <w:rFonts w:eastAsia="Times New Roman"/>
          <w:b/>
          <w:sz w:val="24"/>
          <w:szCs w:val="24"/>
        </w:rPr>
        <w:t>First Nat’l Bank v. Theos</w:t>
      </w:r>
      <w:r w:rsidRPr="00E41870">
        <w:rPr>
          <w:rFonts w:eastAsia="Times New Roman"/>
          <w:sz w:val="24"/>
          <w:szCs w:val="24"/>
        </w:rPr>
        <w:t>, 794 P.2d 1055 (</w:t>
      </w:r>
      <w:r w:rsidR="00E71BCE">
        <w:rPr>
          <w:rFonts w:eastAsia="Times New Roman"/>
          <w:sz w:val="24"/>
          <w:szCs w:val="24"/>
        </w:rPr>
        <w:t>Colo. App.</w:t>
      </w:r>
      <w:r w:rsidR="006E0FB3">
        <w:rPr>
          <w:rFonts w:eastAsia="Times New Roman"/>
          <w:sz w:val="24"/>
          <w:szCs w:val="24"/>
        </w:rPr>
        <w:t xml:space="preserve"> </w:t>
      </w:r>
      <w:r w:rsidRPr="00E41870">
        <w:rPr>
          <w:rFonts w:eastAsia="Times New Roman"/>
          <w:sz w:val="24"/>
          <w:szCs w:val="24"/>
        </w:rPr>
        <w:t>1990).</w:t>
      </w:r>
      <w:proofErr w:type="gramEnd"/>
      <w:r w:rsidRPr="00E41870">
        <w:rPr>
          <w:rFonts w:eastAsia="Times New Roman"/>
          <w:sz w:val="24"/>
          <w:szCs w:val="24"/>
        </w:rPr>
        <w:t xml:space="preserve"> Accordingly, this instruction should be given with Instruction 26:3. </w:t>
      </w:r>
    </w:p>
    <w:p w14:paraId="7FBB9102" w14:textId="77777777" w:rsidR="00E41870" w:rsidRPr="0054263B" w:rsidRDefault="00E41870" w:rsidP="00E41870">
      <w:pPr>
        <w:keepNext/>
        <w:spacing w:after="240"/>
        <w:jc w:val="center"/>
        <w:rPr>
          <w:rFonts w:eastAsia="Times New Roman"/>
          <w:b/>
          <w:sz w:val="24"/>
          <w:szCs w:val="24"/>
        </w:rPr>
      </w:pPr>
      <w:r>
        <w:rPr>
          <w:rFonts w:eastAsia="Times New Roman"/>
          <w:b/>
          <w:sz w:val="24"/>
          <w:szCs w:val="24"/>
        </w:rPr>
        <w:t>Source and Authority</w:t>
      </w:r>
    </w:p>
    <w:p w14:paraId="59B6FA3A" w14:textId="38922C88"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This instruction is supported by </w:t>
      </w:r>
      <w:r w:rsidRPr="00E71646">
        <w:rPr>
          <w:rFonts w:eastAsia="Times New Roman"/>
          <w:b/>
          <w:sz w:val="24"/>
          <w:szCs w:val="24"/>
        </w:rPr>
        <w:t>Jarnagin v. Busby, Inc.</w:t>
      </w:r>
      <w:r w:rsidRPr="00E71646">
        <w:rPr>
          <w:rFonts w:eastAsia="Times New Roman"/>
          <w:sz w:val="24"/>
          <w:szCs w:val="24"/>
        </w:rPr>
        <w:t>, 867 P.2d 63 (</w:t>
      </w:r>
      <w:r w:rsidR="00E71BCE">
        <w:rPr>
          <w:rFonts w:eastAsia="Times New Roman"/>
          <w:sz w:val="24"/>
          <w:szCs w:val="24"/>
        </w:rPr>
        <w:t>Colo. App.</w:t>
      </w:r>
      <w:r w:rsidRPr="00E71646">
        <w:rPr>
          <w:rFonts w:eastAsia="Times New Roman"/>
          <w:sz w:val="24"/>
          <w:szCs w:val="24"/>
        </w:rPr>
        <w:t xml:space="preserve"> 1993)</w:t>
      </w:r>
      <w:r w:rsidR="006E0FB3">
        <w:rPr>
          <w:rFonts w:eastAsia="Times New Roman"/>
          <w:sz w:val="24"/>
          <w:szCs w:val="24"/>
        </w:rPr>
        <w:t>.</w:t>
      </w:r>
      <w:r w:rsidRPr="00E71646">
        <w:rPr>
          <w:rFonts w:eastAsia="Times New Roman"/>
          <w:sz w:val="24"/>
          <w:szCs w:val="24"/>
        </w:rPr>
        <w:t xml:space="preserve"> </w:t>
      </w:r>
      <w:r w:rsidR="006E0FB3">
        <w:rPr>
          <w:rFonts w:eastAsia="Times New Roman"/>
          <w:i/>
          <w:sz w:val="24"/>
          <w:szCs w:val="24"/>
        </w:rPr>
        <w:t>S</w:t>
      </w:r>
      <w:r w:rsidRPr="00E71646">
        <w:rPr>
          <w:rFonts w:eastAsia="Times New Roman"/>
          <w:i/>
          <w:sz w:val="24"/>
          <w:szCs w:val="24"/>
        </w:rPr>
        <w:t xml:space="preserve">ee also </w:t>
      </w:r>
      <w:r w:rsidRPr="00E71646">
        <w:rPr>
          <w:rFonts w:eastAsia="Times New Roman"/>
          <w:b/>
          <w:sz w:val="24"/>
          <w:szCs w:val="24"/>
        </w:rPr>
        <w:t>Turkey Creek, LLC v. Rosania</w:t>
      </w:r>
      <w:r w:rsidRPr="00E71646">
        <w:rPr>
          <w:rFonts w:eastAsia="Times New Roman"/>
          <w:sz w:val="24"/>
          <w:szCs w:val="24"/>
        </w:rPr>
        <w:t>, 953 P.2d 1306 (</w:t>
      </w:r>
      <w:r w:rsidR="00E71BCE">
        <w:rPr>
          <w:rFonts w:eastAsia="Times New Roman"/>
          <w:sz w:val="24"/>
          <w:szCs w:val="24"/>
        </w:rPr>
        <w:t>Colo. App.</w:t>
      </w:r>
      <w:r w:rsidRPr="00E71646">
        <w:rPr>
          <w:rFonts w:eastAsia="Times New Roman"/>
          <w:sz w:val="24"/>
          <w:szCs w:val="24"/>
        </w:rPr>
        <w:t xml:space="preserve"> 1998); </w:t>
      </w:r>
      <w:r w:rsidRPr="00E71646">
        <w:rPr>
          <w:rFonts w:eastAsia="Times New Roman"/>
          <w:b/>
          <w:sz w:val="24"/>
          <w:szCs w:val="24"/>
        </w:rPr>
        <w:t>Vikell Inv</w:t>
      </w:r>
      <w:r w:rsidR="006E0FB3">
        <w:rPr>
          <w:rFonts w:eastAsia="Times New Roman"/>
          <w:b/>
          <w:sz w:val="24"/>
          <w:szCs w:val="24"/>
        </w:rPr>
        <w:t>’</w:t>
      </w:r>
      <w:r w:rsidRPr="00E71646">
        <w:rPr>
          <w:rFonts w:eastAsia="Times New Roman"/>
          <w:b/>
          <w:sz w:val="24"/>
          <w:szCs w:val="24"/>
        </w:rPr>
        <w:t>rs Pac</w:t>
      </w:r>
      <w:r w:rsidR="00EB5935">
        <w:rPr>
          <w:rFonts w:eastAsia="Times New Roman"/>
          <w:b/>
          <w:sz w:val="24"/>
          <w:szCs w:val="24"/>
        </w:rPr>
        <w:t>.</w:t>
      </w:r>
      <w:r w:rsidRPr="00E71646">
        <w:rPr>
          <w:rFonts w:eastAsia="Times New Roman"/>
          <w:b/>
          <w:sz w:val="24"/>
          <w:szCs w:val="24"/>
        </w:rPr>
        <w:t>, Inc. v. Kip Hampden, Ltd.</w:t>
      </w:r>
      <w:r w:rsidRPr="00E71646">
        <w:rPr>
          <w:rFonts w:eastAsia="Times New Roman"/>
          <w:sz w:val="24"/>
          <w:szCs w:val="24"/>
        </w:rPr>
        <w:t>, 946 P.2d 589 (</w:t>
      </w:r>
      <w:r w:rsidR="00E71BCE">
        <w:rPr>
          <w:rFonts w:eastAsia="Times New Roman"/>
          <w:sz w:val="24"/>
          <w:szCs w:val="24"/>
        </w:rPr>
        <w:t>Colo. App.</w:t>
      </w:r>
      <w:r w:rsidRPr="00E71646">
        <w:rPr>
          <w:rFonts w:eastAsia="Times New Roman"/>
          <w:sz w:val="24"/>
          <w:szCs w:val="24"/>
        </w:rPr>
        <w:t xml:space="preserve"> 1997); </w:t>
      </w:r>
      <w:r w:rsidRPr="00E71646">
        <w:rPr>
          <w:rFonts w:eastAsia="Times New Roman"/>
          <w:b/>
          <w:sz w:val="24"/>
          <w:szCs w:val="24"/>
        </w:rPr>
        <w:t>Nicholson v. Ash</w:t>
      </w:r>
      <w:r w:rsidRPr="00E71646">
        <w:rPr>
          <w:rFonts w:eastAsia="Times New Roman"/>
          <w:sz w:val="24"/>
          <w:szCs w:val="24"/>
        </w:rPr>
        <w:t>, 800 P.2d 1352 (</w:t>
      </w:r>
      <w:r w:rsidR="00E71BCE">
        <w:rPr>
          <w:rFonts w:eastAsia="Times New Roman"/>
          <w:sz w:val="24"/>
          <w:szCs w:val="24"/>
        </w:rPr>
        <w:t>Colo. App.</w:t>
      </w:r>
      <w:r w:rsidRPr="00E71646">
        <w:rPr>
          <w:rFonts w:eastAsia="Times New Roman"/>
          <w:sz w:val="24"/>
          <w:szCs w:val="24"/>
        </w:rPr>
        <w:t xml:space="preserve"> 1990); </w:t>
      </w:r>
      <w:r w:rsidRPr="00E71646">
        <w:rPr>
          <w:rFonts w:eastAsia="Times New Roman"/>
          <w:b/>
          <w:sz w:val="24"/>
          <w:szCs w:val="24"/>
        </w:rPr>
        <w:t xml:space="preserve">Dolton v. Capital Fed. </w:t>
      </w:r>
      <w:proofErr w:type="gramStart"/>
      <w:r w:rsidRPr="00E71646">
        <w:rPr>
          <w:rFonts w:eastAsia="Times New Roman"/>
          <w:b/>
          <w:sz w:val="24"/>
          <w:szCs w:val="24"/>
        </w:rPr>
        <w:t>Sav.</w:t>
      </w:r>
      <w:proofErr w:type="gramEnd"/>
      <w:r w:rsidRPr="00E71646">
        <w:rPr>
          <w:rFonts w:eastAsia="Times New Roman"/>
          <w:b/>
          <w:sz w:val="24"/>
          <w:szCs w:val="24"/>
        </w:rPr>
        <w:t xml:space="preserve"> </w:t>
      </w:r>
      <w:proofErr w:type="gramStart"/>
      <w:r w:rsidRPr="00E71646">
        <w:rPr>
          <w:rFonts w:eastAsia="Times New Roman"/>
          <w:b/>
          <w:sz w:val="24"/>
          <w:szCs w:val="24"/>
        </w:rPr>
        <w:t>&amp; Loan Ass’n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642 P.2d 21 (</w:t>
      </w:r>
      <w:r w:rsidR="00E71BCE">
        <w:rPr>
          <w:rFonts w:eastAsia="Times New Roman"/>
          <w:sz w:val="24"/>
          <w:szCs w:val="24"/>
        </w:rPr>
        <w:t>Colo. App.</w:t>
      </w:r>
      <w:r w:rsidRPr="00E71646">
        <w:rPr>
          <w:rFonts w:eastAsia="Times New Roman"/>
          <w:sz w:val="24"/>
          <w:szCs w:val="24"/>
        </w:rPr>
        <w:t xml:space="preserve"> 1981); </w:t>
      </w:r>
      <w:r w:rsidRPr="00E71646">
        <w:rPr>
          <w:rFonts w:eastAsia="Times New Roman"/>
          <w:i/>
          <w:sz w:val="24"/>
          <w:szCs w:val="24"/>
        </w:rPr>
        <w:t xml:space="preserve">accord </w:t>
      </w:r>
      <w:r w:rsidRPr="00E71646">
        <w:rPr>
          <w:rFonts w:eastAsia="Times New Roman"/>
          <w:b/>
          <w:sz w:val="24"/>
          <w:szCs w:val="24"/>
        </w:rPr>
        <w:t>United Fire &amp; Cas</w:t>
      </w:r>
      <w:r w:rsidR="00EB5935">
        <w:rPr>
          <w:rFonts w:eastAsia="Times New Roman"/>
          <w:b/>
          <w:sz w:val="24"/>
          <w:szCs w:val="24"/>
        </w:rPr>
        <w:t>.</w:t>
      </w:r>
      <w:proofErr w:type="gramEnd"/>
      <w:r w:rsidRPr="00E71646">
        <w:rPr>
          <w:rFonts w:eastAsia="Times New Roman"/>
          <w:b/>
          <w:sz w:val="24"/>
          <w:szCs w:val="24"/>
        </w:rPr>
        <w:t xml:space="preserve"> Co. v. Nissan Motor Corp.</w:t>
      </w:r>
      <w:r w:rsidRPr="00E71646">
        <w:rPr>
          <w:rFonts w:eastAsia="Times New Roman"/>
          <w:sz w:val="24"/>
          <w:szCs w:val="24"/>
        </w:rPr>
        <w:t xml:space="preserve">, 164 Colo. 42, </w:t>
      </w:r>
      <w:r w:rsidR="00EB5935">
        <w:rPr>
          <w:rFonts w:eastAsia="Times New Roman"/>
          <w:sz w:val="24"/>
          <w:szCs w:val="24"/>
        </w:rPr>
        <w:t xml:space="preserve">44, </w:t>
      </w:r>
      <w:r w:rsidRPr="00E71646">
        <w:rPr>
          <w:rFonts w:eastAsia="Times New Roman"/>
          <w:sz w:val="24"/>
          <w:szCs w:val="24"/>
        </w:rPr>
        <w:t>433 P.2d 769</w:t>
      </w:r>
      <w:r w:rsidR="00EB5935">
        <w:rPr>
          <w:rFonts w:eastAsia="Times New Roman"/>
          <w:sz w:val="24"/>
          <w:szCs w:val="24"/>
        </w:rPr>
        <w:t>, 771</w:t>
      </w:r>
      <w:r w:rsidRPr="00E71646">
        <w:rPr>
          <w:rFonts w:eastAsia="Times New Roman"/>
          <w:sz w:val="24"/>
          <w:szCs w:val="24"/>
        </w:rPr>
        <w:t xml:space="preserve"> (1967) (concluding that no fiduciary relationship existed between plaintiff and defendant in the absence of any showing of a relationship “which might have impelled or induced </w:t>
      </w:r>
      <w:r w:rsidR="00EB5935">
        <w:rPr>
          <w:rFonts w:eastAsia="Times New Roman"/>
          <w:sz w:val="24"/>
          <w:szCs w:val="24"/>
        </w:rPr>
        <w:t>[</w:t>
      </w:r>
      <w:r w:rsidRPr="00E71646">
        <w:rPr>
          <w:rFonts w:eastAsia="Times New Roman"/>
          <w:sz w:val="24"/>
          <w:szCs w:val="24"/>
        </w:rPr>
        <w:t>plaintiff</w:t>
      </w:r>
      <w:r w:rsidR="00EB5935">
        <w:rPr>
          <w:rFonts w:eastAsia="Times New Roman"/>
          <w:sz w:val="24"/>
          <w:szCs w:val="24"/>
        </w:rPr>
        <w:t>]</w:t>
      </w:r>
      <w:r w:rsidRPr="00E71646">
        <w:rPr>
          <w:rFonts w:eastAsia="Times New Roman"/>
          <w:sz w:val="24"/>
          <w:szCs w:val="24"/>
        </w:rPr>
        <w:t xml:space="preserve"> to relax the care and vigilance it would and should have ordinarily exercised in dealing with a stranger”). </w:t>
      </w:r>
    </w:p>
    <w:p w14:paraId="5BAA70B0" w14:textId="760160A4"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2. </w:t>
      </w:r>
      <w:r w:rsidR="006E0FB3">
        <w:rPr>
          <w:rFonts w:eastAsia="Times New Roman"/>
          <w:sz w:val="24"/>
          <w:szCs w:val="24"/>
        </w:rPr>
        <w:t>A</w:t>
      </w:r>
      <w:r w:rsidRPr="00E71646">
        <w:rPr>
          <w:rFonts w:eastAsia="Times New Roman"/>
          <w:sz w:val="24"/>
          <w:szCs w:val="24"/>
        </w:rPr>
        <w:t xml:space="preserve"> confidential relationship may also arise if: (1) one party has taken steps to induce another to believe that it can safely rely on the first party’s judgment or advice; or (2) one person has gained the confidence of the other and purports to act or advise with the other’s interest in mind</w:t>
      </w:r>
      <w:r w:rsidR="006E0FB3">
        <w:rPr>
          <w:rFonts w:eastAsia="Times New Roman"/>
          <w:sz w:val="24"/>
          <w:szCs w:val="24"/>
        </w:rPr>
        <w:t xml:space="preserve">. </w:t>
      </w:r>
      <w:r w:rsidR="006E0FB3" w:rsidRPr="00E71646">
        <w:rPr>
          <w:rFonts w:eastAsia="Times New Roman"/>
          <w:b/>
          <w:sz w:val="24"/>
          <w:szCs w:val="24"/>
        </w:rPr>
        <w:t>Theos</w:t>
      </w:r>
      <w:r w:rsidR="006E0FB3" w:rsidRPr="00E71646">
        <w:rPr>
          <w:rFonts w:eastAsia="Times New Roman"/>
          <w:sz w:val="24"/>
          <w:szCs w:val="24"/>
        </w:rPr>
        <w:t xml:space="preserve">, 794 P.2d </w:t>
      </w:r>
      <w:r w:rsidR="006E0FB3">
        <w:rPr>
          <w:rFonts w:eastAsia="Times New Roman"/>
          <w:sz w:val="24"/>
          <w:szCs w:val="24"/>
        </w:rPr>
        <w:t xml:space="preserve">at </w:t>
      </w:r>
      <w:r w:rsidR="006E0FB3" w:rsidRPr="00E71646">
        <w:rPr>
          <w:rFonts w:eastAsia="Times New Roman"/>
          <w:sz w:val="24"/>
          <w:szCs w:val="24"/>
        </w:rPr>
        <w:t>10</w:t>
      </w:r>
      <w:r w:rsidR="006E0FB3">
        <w:rPr>
          <w:rFonts w:eastAsia="Times New Roman"/>
          <w:sz w:val="24"/>
          <w:szCs w:val="24"/>
        </w:rPr>
        <w:t>61 (</w:t>
      </w:r>
      <w:r w:rsidR="006E0FB3" w:rsidRPr="00E71646">
        <w:rPr>
          <w:rFonts w:eastAsia="Times New Roman"/>
          <w:sz w:val="24"/>
          <w:szCs w:val="24"/>
        </w:rPr>
        <w:t xml:space="preserve">citing </w:t>
      </w:r>
      <w:r w:rsidR="006E0FB3" w:rsidRPr="00E71646">
        <w:rPr>
          <w:rFonts w:eastAsia="Times New Roman"/>
          <w:iCs/>
          <w:smallCaps/>
          <w:sz w:val="24"/>
          <w:szCs w:val="24"/>
        </w:rPr>
        <w:t>Restatement (Second) of Contracts</w:t>
      </w:r>
      <w:r w:rsidR="006E0FB3" w:rsidRPr="00E71646">
        <w:rPr>
          <w:rFonts w:eastAsia="Times New Roman"/>
          <w:i/>
          <w:iCs/>
          <w:sz w:val="24"/>
          <w:szCs w:val="24"/>
        </w:rPr>
        <w:t xml:space="preserve"> </w:t>
      </w:r>
      <w:r w:rsidR="006E0FB3" w:rsidRPr="00E71646">
        <w:rPr>
          <w:rFonts w:eastAsia="Times New Roman"/>
          <w:sz w:val="24"/>
          <w:szCs w:val="24"/>
        </w:rPr>
        <w:t>§ 161d cmt</w:t>
      </w:r>
      <w:r w:rsidR="006E0FB3">
        <w:rPr>
          <w:rFonts w:eastAsia="Times New Roman"/>
          <w:sz w:val="24"/>
          <w:szCs w:val="24"/>
        </w:rPr>
        <w:t xml:space="preserve">. f (1982); </w:t>
      </w:r>
      <w:r w:rsidR="006E0FB3" w:rsidRPr="00E71646">
        <w:rPr>
          <w:rFonts w:eastAsia="Times New Roman"/>
          <w:iCs/>
          <w:smallCaps/>
          <w:sz w:val="24"/>
          <w:szCs w:val="24"/>
        </w:rPr>
        <w:t>Restatement (Second) of Trusts</w:t>
      </w:r>
      <w:r w:rsidR="006E0FB3" w:rsidRPr="00E71646">
        <w:rPr>
          <w:rFonts w:eastAsia="Times New Roman"/>
          <w:sz w:val="24"/>
          <w:szCs w:val="24"/>
        </w:rPr>
        <w:t xml:space="preserve"> § 2 cmt</w:t>
      </w:r>
      <w:r w:rsidR="006E0FB3">
        <w:rPr>
          <w:rFonts w:eastAsia="Times New Roman"/>
          <w:sz w:val="24"/>
          <w:szCs w:val="24"/>
        </w:rPr>
        <w:t>.</w:t>
      </w:r>
      <w:r w:rsidR="006E0FB3" w:rsidRPr="00E71646">
        <w:rPr>
          <w:rFonts w:eastAsia="Times New Roman"/>
          <w:sz w:val="24"/>
          <w:szCs w:val="24"/>
        </w:rPr>
        <w:t xml:space="preserve"> b (1959)</w:t>
      </w:r>
      <w:r w:rsidR="006E0FB3">
        <w:rPr>
          <w:rFonts w:eastAsia="Times New Roman"/>
          <w:sz w:val="24"/>
          <w:szCs w:val="24"/>
        </w:rPr>
        <w:t>)</w:t>
      </w:r>
      <w:r w:rsidRPr="00E71646">
        <w:rPr>
          <w:rFonts w:eastAsia="Times New Roman"/>
          <w:sz w:val="24"/>
          <w:szCs w:val="24"/>
        </w:rPr>
        <w:t xml:space="preserve">; </w:t>
      </w:r>
      <w:r w:rsidRPr="00E71646">
        <w:rPr>
          <w:rFonts w:eastAsia="Times New Roman"/>
          <w:i/>
          <w:sz w:val="24"/>
          <w:szCs w:val="24"/>
        </w:rPr>
        <w:t xml:space="preserve">see also </w:t>
      </w:r>
      <w:r w:rsidRPr="00E71646">
        <w:rPr>
          <w:rFonts w:eastAsia="Times New Roman"/>
          <w:b/>
          <w:sz w:val="24"/>
          <w:szCs w:val="24"/>
        </w:rPr>
        <w:t>In re Marriage of Page</w:t>
      </w:r>
      <w:r w:rsidRPr="00E71646">
        <w:rPr>
          <w:rFonts w:eastAsia="Times New Roman"/>
          <w:sz w:val="24"/>
          <w:szCs w:val="24"/>
        </w:rPr>
        <w:t>, 7</w:t>
      </w:r>
      <w:r w:rsidR="006E0FB3">
        <w:rPr>
          <w:rFonts w:eastAsia="Times New Roman"/>
          <w:sz w:val="24"/>
          <w:szCs w:val="24"/>
        </w:rPr>
        <w:t>0</w:t>
      </w:r>
      <w:r w:rsidRPr="00E71646">
        <w:rPr>
          <w:rFonts w:eastAsia="Times New Roman"/>
          <w:sz w:val="24"/>
          <w:szCs w:val="24"/>
        </w:rPr>
        <w:t xml:space="preserve"> P.</w:t>
      </w:r>
      <w:r w:rsidR="006E0FB3">
        <w:rPr>
          <w:rFonts w:eastAsia="Times New Roman"/>
          <w:sz w:val="24"/>
          <w:szCs w:val="24"/>
        </w:rPr>
        <w:t>3</w:t>
      </w:r>
      <w:r w:rsidRPr="00E71646">
        <w:rPr>
          <w:rFonts w:eastAsia="Times New Roman"/>
          <w:sz w:val="24"/>
          <w:szCs w:val="24"/>
        </w:rPr>
        <w:t xml:space="preserve">d </w:t>
      </w:r>
      <w:r w:rsidR="006E0FB3">
        <w:rPr>
          <w:rFonts w:eastAsia="Times New Roman"/>
          <w:sz w:val="24"/>
          <w:szCs w:val="24"/>
        </w:rPr>
        <w:t>579</w:t>
      </w:r>
      <w:r w:rsidRPr="00E71646">
        <w:rPr>
          <w:rFonts w:eastAsia="Times New Roman"/>
          <w:sz w:val="24"/>
          <w:szCs w:val="24"/>
        </w:rPr>
        <w:t xml:space="preserve"> (</w:t>
      </w:r>
      <w:r w:rsidR="006E0FB3">
        <w:rPr>
          <w:rFonts w:eastAsia="Times New Roman"/>
          <w:sz w:val="24"/>
          <w:szCs w:val="24"/>
        </w:rPr>
        <w:t>Colo. App. 2003</w:t>
      </w:r>
      <w:r w:rsidRPr="00E71646">
        <w:rPr>
          <w:rFonts w:eastAsia="Times New Roman"/>
          <w:sz w:val="24"/>
          <w:szCs w:val="24"/>
        </w:rPr>
        <w:t xml:space="preserve">) (following </w:t>
      </w:r>
      <w:r w:rsidRPr="00827ADB">
        <w:rPr>
          <w:rFonts w:eastAsia="Times New Roman"/>
          <w:b/>
          <w:sz w:val="24"/>
          <w:szCs w:val="24"/>
        </w:rPr>
        <w:t>Theos</w:t>
      </w:r>
      <w:r w:rsidRPr="00E71646">
        <w:rPr>
          <w:rFonts w:eastAsia="Times New Roman"/>
          <w:sz w:val="24"/>
          <w:szCs w:val="24"/>
        </w:rPr>
        <w:t xml:space="preserve">). </w:t>
      </w:r>
    </w:p>
    <w:p w14:paraId="34B2062D" w14:textId="6E9DC78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3. A confidential relationship may arise from a multitude of different circumstances. </w:t>
      </w:r>
      <w:r w:rsidRPr="00E71646">
        <w:rPr>
          <w:rFonts w:eastAsia="Times New Roman"/>
          <w:b/>
          <w:sz w:val="24"/>
          <w:szCs w:val="24"/>
        </w:rPr>
        <w:t>Nicholson</w:t>
      </w:r>
      <w:r w:rsidRPr="00E71646">
        <w:rPr>
          <w:rFonts w:eastAsia="Times New Roman"/>
          <w:sz w:val="24"/>
          <w:szCs w:val="24"/>
        </w:rPr>
        <w:t xml:space="preserve">, 800 P.2d </w:t>
      </w:r>
      <w:r w:rsidR="00EB5935">
        <w:rPr>
          <w:rFonts w:eastAsia="Times New Roman"/>
          <w:sz w:val="24"/>
          <w:szCs w:val="24"/>
        </w:rPr>
        <w:t xml:space="preserve">at </w:t>
      </w:r>
      <w:r w:rsidRPr="00E71646">
        <w:rPr>
          <w:rFonts w:eastAsia="Times New Roman"/>
          <w:sz w:val="24"/>
          <w:szCs w:val="24"/>
        </w:rPr>
        <w:t>135</w:t>
      </w:r>
      <w:r w:rsidR="00EB5935">
        <w:rPr>
          <w:rFonts w:eastAsia="Times New Roman"/>
          <w:sz w:val="24"/>
          <w:szCs w:val="24"/>
        </w:rPr>
        <w:t>5</w:t>
      </w:r>
      <w:r w:rsidRPr="00E71646">
        <w:rPr>
          <w:rFonts w:eastAsia="Times New Roman"/>
          <w:i/>
          <w:sz w:val="24"/>
          <w:szCs w:val="24"/>
        </w:rPr>
        <w:t xml:space="preserve">; see also </w:t>
      </w:r>
      <w:r w:rsidRPr="00E71646">
        <w:rPr>
          <w:rFonts w:eastAsia="Times New Roman"/>
          <w:b/>
          <w:sz w:val="24"/>
          <w:szCs w:val="24"/>
        </w:rPr>
        <w:t>Lewis v. Lewis</w:t>
      </w:r>
      <w:r w:rsidRPr="00E71646">
        <w:rPr>
          <w:rFonts w:eastAsia="Times New Roman"/>
          <w:sz w:val="24"/>
          <w:szCs w:val="24"/>
        </w:rPr>
        <w:t>, 18</w:t>
      </w:r>
      <w:r w:rsidR="00EB5935">
        <w:rPr>
          <w:rFonts w:eastAsia="Times New Roman"/>
          <w:sz w:val="24"/>
          <w:szCs w:val="24"/>
        </w:rPr>
        <w:t>9</w:t>
      </w:r>
      <w:r w:rsidRPr="00E71646">
        <w:rPr>
          <w:rFonts w:eastAsia="Times New Roman"/>
          <w:sz w:val="24"/>
          <w:szCs w:val="24"/>
        </w:rPr>
        <w:t xml:space="preserve"> P.3d 1134 (Colo. 2008) (discussing the nature of a confidential relationship in the context of a claim for unjust enrichment and stating that a confidential relationship may serve as an indication of fiduciary status).</w:t>
      </w:r>
    </w:p>
    <w:p w14:paraId="2CA3B7F4" w14:textId="77777777" w:rsidR="00E71646" w:rsidRDefault="00E71646">
      <w:pPr>
        <w:rPr>
          <w:rFonts w:eastAsia="Times New Roman"/>
          <w:sz w:val="24"/>
          <w:szCs w:val="24"/>
        </w:rPr>
      </w:pPr>
      <w:r>
        <w:rPr>
          <w:rFonts w:eastAsia="Times New Roman"/>
          <w:sz w:val="24"/>
          <w:szCs w:val="24"/>
        </w:rPr>
        <w:br w:type="page"/>
      </w:r>
    </w:p>
    <w:p w14:paraId="1FD4C9AF" w14:textId="77777777" w:rsidR="00E71646" w:rsidRPr="009E3DA4" w:rsidRDefault="00E71646" w:rsidP="00E71646">
      <w:pPr>
        <w:spacing w:after="240"/>
        <w:ind w:left="720" w:hanging="720"/>
        <w:rPr>
          <w:rFonts w:eastAsia="Times New Roman"/>
          <w:b/>
          <w:sz w:val="24"/>
          <w:szCs w:val="24"/>
        </w:rPr>
      </w:pPr>
      <w:bookmarkStart w:id="5" w:name="a26_05"/>
      <w:bookmarkEnd w:id="5"/>
      <w:r w:rsidRPr="00E71646">
        <w:rPr>
          <w:rFonts w:eastAsia="Times New Roman"/>
          <w:b/>
          <w:sz w:val="24"/>
          <w:szCs w:val="24"/>
        </w:rPr>
        <w:lastRenderedPageBreak/>
        <w:t xml:space="preserve">26:5 </w:t>
      </w:r>
      <w:r w:rsidRPr="00E71646">
        <w:rPr>
          <w:rFonts w:eastAsia="Times New Roman"/>
          <w:b/>
          <w:sz w:val="24"/>
          <w:szCs w:val="24"/>
        </w:rPr>
        <w:tab/>
        <w:t>ACTUAL DAMAGES</w:t>
      </w:r>
    </w:p>
    <w:p w14:paraId="414A015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Plaintiff, </w:t>
      </w:r>
      <w:r w:rsidRPr="00E71646">
        <w:rPr>
          <w:rFonts w:eastAsia="Times New Roman"/>
          <w:i/>
          <w:sz w:val="24"/>
          <w:szCs w:val="24"/>
        </w:rPr>
        <w:t>(name)</w:t>
      </w:r>
      <w:r w:rsidRPr="00E71646">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breach of fiduciary duty by the defendant(s), </w:t>
      </w:r>
      <w:r w:rsidRPr="00E71646">
        <w:rPr>
          <w:rFonts w:eastAsia="Times New Roman"/>
          <w:i/>
          <w:sz w:val="24"/>
          <w:szCs w:val="24"/>
        </w:rPr>
        <w:t>(name[s])</w:t>
      </w:r>
      <w:r w:rsidRPr="00E71646">
        <w:rPr>
          <w:rFonts w:eastAsia="Times New Roman"/>
          <w:b/>
          <w:sz w:val="24"/>
          <w:szCs w:val="24"/>
        </w:rPr>
        <w:t xml:space="preserve">, (and the </w:t>
      </w:r>
      <w:r w:rsidRPr="00E71646">
        <w:rPr>
          <w:rFonts w:eastAsia="Times New Roman"/>
          <w:i/>
          <w:sz w:val="24"/>
          <w:szCs w:val="24"/>
        </w:rPr>
        <w:t>[insert appropriate description, e.g., “negligence”]</w:t>
      </w:r>
      <w:r w:rsidRPr="00E71646">
        <w:rPr>
          <w:rFonts w:eastAsia="Times New Roman"/>
          <w:b/>
          <w:sz w:val="24"/>
          <w:szCs w:val="24"/>
        </w:rPr>
        <w:t>, if any, of any designated nonparties).</w:t>
      </w:r>
    </w:p>
    <w:p w14:paraId="4F221403"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In determining such damages, you shall consider the following:</w:t>
      </w:r>
    </w:p>
    <w:p w14:paraId="696693C6"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1. Any noneconomic losses or injuries which plaintiff has had or will probably have in the future, including: </w:t>
      </w:r>
      <w:r w:rsidRPr="00E71646">
        <w:rPr>
          <w:rFonts w:eastAsia="Times New Roman"/>
          <w:i/>
          <w:sz w:val="24"/>
          <w:szCs w:val="24"/>
        </w:rPr>
        <w:t>[insert any recoverable noneconomic losses for which there is sufficient evidence]</w:t>
      </w:r>
      <w:r w:rsidRPr="00E71646">
        <w:rPr>
          <w:rFonts w:eastAsia="Times New Roman"/>
          <w:b/>
          <w:sz w:val="24"/>
          <w:szCs w:val="24"/>
        </w:rPr>
        <w:t>; and</w:t>
      </w:r>
    </w:p>
    <w:p w14:paraId="1F400739"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2. Any economic losses which plaintiff has had or will probably have in the future, including:</w:t>
      </w:r>
    </w:p>
    <w:p w14:paraId="7661C59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(a. Anything of value or any profit the defendant, </w:t>
      </w:r>
      <w:r w:rsidRPr="00E71646">
        <w:rPr>
          <w:rFonts w:eastAsia="Times New Roman"/>
          <w:i/>
          <w:sz w:val="24"/>
          <w:szCs w:val="24"/>
        </w:rPr>
        <w:t>[name]</w:t>
      </w:r>
      <w:r w:rsidRPr="00E71646">
        <w:rPr>
          <w:rFonts w:eastAsia="Times New Roman"/>
          <w:b/>
          <w:sz w:val="24"/>
          <w:szCs w:val="24"/>
        </w:rPr>
        <w:t>, received as a result of the breach of fiduciary duty);</w:t>
      </w:r>
    </w:p>
    <w:p w14:paraId="1FE5E7F5"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(b. Any loss of the plaintiff’s property or assets caused by the breach of the fiduciary duty);</w:t>
      </w:r>
    </w:p>
    <w:p w14:paraId="52005B2C" w14:textId="77777777"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(c. Any loss of [profits] [or] [income] which plaintiff could reasonably have expected to earn had the fiduciary duty not been breached);</w:t>
      </w:r>
    </w:p>
    <w:p w14:paraId="72B69786" w14:textId="31202E44" w:rsidR="00E71646" w:rsidRPr="00E71646" w:rsidRDefault="00E71646" w:rsidP="00E71646">
      <w:pPr>
        <w:spacing w:after="240"/>
        <w:ind w:firstLine="720"/>
        <w:rPr>
          <w:rFonts w:eastAsia="Times New Roman"/>
          <w:b/>
          <w:sz w:val="24"/>
          <w:szCs w:val="24"/>
        </w:rPr>
      </w:pPr>
      <w:r w:rsidRPr="00E71646">
        <w:rPr>
          <w:rFonts w:eastAsia="Times New Roman"/>
          <w:b/>
          <w:sz w:val="24"/>
          <w:szCs w:val="24"/>
        </w:rPr>
        <w:t xml:space="preserve">(d. Any [loss] [damage] which plaintiff has had as a result of a third person making a claim against </w:t>
      </w:r>
      <w:r w:rsidR="00EB5935">
        <w:rPr>
          <w:rFonts w:eastAsia="Times New Roman"/>
          <w:b/>
          <w:sz w:val="24"/>
          <w:szCs w:val="24"/>
        </w:rPr>
        <w:t>[</w:t>
      </w:r>
      <w:r w:rsidRPr="00E71646">
        <w:rPr>
          <w:rFonts w:eastAsia="Times New Roman"/>
          <w:b/>
          <w:sz w:val="24"/>
          <w:szCs w:val="24"/>
        </w:rPr>
        <w:t>him</w:t>
      </w:r>
      <w:r w:rsidR="00EB5935">
        <w:rPr>
          <w:rFonts w:eastAsia="Times New Roman"/>
          <w:b/>
          <w:sz w:val="24"/>
          <w:szCs w:val="24"/>
        </w:rPr>
        <w:t>]</w:t>
      </w:r>
      <w:r w:rsidRPr="00E71646">
        <w:rPr>
          <w:rFonts w:eastAsia="Times New Roman"/>
          <w:b/>
          <w:sz w:val="24"/>
          <w:szCs w:val="24"/>
        </w:rPr>
        <w:t xml:space="preserve"> </w:t>
      </w:r>
      <w:r w:rsidR="00EB5935">
        <w:rPr>
          <w:rFonts w:eastAsia="Times New Roman"/>
          <w:b/>
          <w:sz w:val="24"/>
          <w:szCs w:val="24"/>
        </w:rPr>
        <w:t>[</w:t>
      </w:r>
      <w:r w:rsidRPr="00E71646">
        <w:rPr>
          <w:rFonts w:eastAsia="Times New Roman"/>
          <w:b/>
          <w:sz w:val="24"/>
          <w:szCs w:val="24"/>
        </w:rPr>
        <w:t>her</w:t>
      </w:r>
      <w:r w:rsidR="00EB5935">
        <w:rPr>
          <w:rFonts w:eastAsia="Times New Roman"/>
          <w:b/>
          <w:sz w:val="24"/>
          <w:szCs w:val="24"/>
        </w:rPr>
        <w:t>]</w:t>
      </w:r>
      <w:r w:rsidRPr="00E71646">
        <w:rPr>
          <w:rFonts w:eastAsia="Times New Roman"/>
          <w:b/>
          <w:sz w:val="24"/>
          <w:szCs w:val="24"/>
        </w:rPr>
        <w:t xml:space="preserve"> because of the breach of fiduciary duty); and</w:t>
      </w:r>
    </w:p>
    <w:p w14:paraId="61DFE923" w14:textId="77777777" w:rsidR="00E71646" w:rsidRPr="00E71646" w:rsidRDefault="00E71646" w:rsidP="00E71646">
      <w:pPr>
        <w:spacing w:after="240"/>
        <w:ind w:firstLine="720"/>
        <w:rPr>
          <w:rFonts w:eastAsia="Times New Roman"/>
          <w:b/>
          <w:sz w:val="24"/>
          <w:szCs w:val="24"/>
        </w:rPr>
      </w:pPr>
      <w:proofErr w:type="gramStart"/>
      <w:r w:rsidRPr="00E71646">
        <w:rPr>
          <w:rFonts w:eastAsia="Times New Roman"/>
          <w:b/>
          <w:sz w:val="24"/>
          <w:szCs w:val="24"/>
        </w:rPr>
        <w:t xml:space="preserve">(e. </w:t>
      </w:r>
      <w:r w:rsidRPr="00E71646">
        <w:rPr>
          <w:rFonts w:eastAsia="Times New Roman"/>
          <w:i/>
          <w:sz w:val="24"/>
          <w:szCs w:val="24"/>
        </w:rPr>
        <w:t>[insert any other recoverable economic losses for which there is sufficient evidence]</w:t>
      </w:r>
      <w:r w:rsidRPr="00E71646">
        <w:rPr>
          <w:rFonts w:eastAsia="Times New Roman"/>
          <w:b/>
          <w:sz w:val="24"/>
          <w:szCs w:val="24"/>
        </w:rPr>
        <w:t>).</w:t>
      </w:r>
      <w:proofErr w:type="gramEnd"/>
    </w:p>
    <w:p w14:paraId="65FFCE7C" w14:textId="77777777" w:rsidR="00E71646" w:rsidRDefault="00E71646" w:rsidP="00E71646">
      <w:pPr>
        <w:jc w:val="center"/>
        <w:rPr>
          <w:rFonts w:eastAsia="Times New Roman"/>
          <w:sz w:val="24"/>
          <w:szCs w:val="24"/>
        </w:rPr>
      </w:pPr>
    </w:p>
    <w:p w14:paraId="21A16508" w14:textId="77777777" w:rsidR="00E71646" w:rsidRPr="0054263B" w:rsidRDefault="00E71646" w:rsidP="00E71646">
      <w:pPr>
        <w:keepNext/>
        <w:spacing w:after="240"/>
        <w:jc w:val="center"/>
        <w:rPr>
          <w:rFonts w:eastAsia="Times New Roman"/>
          <w:b/>
          <w:sz w:val="24"/>
          <w:szCs w:val="24"/>
        </w:rPr>
      </w:pPr>
      <w:r w:rsidRPr="0054263B">
        <w:rPr>
          <w:rFonts w:eastAsia="Times New Roman"/>
          <w:b/>
          <w:sz w:val="24"/>
          <w:szCs w:val="24"/>
        </w:rPr>
        <w:t>Notes on Use</w:t>
      </w:r>
    </w:p>
    <w:p w14:paraId="47ADB2A8" w14:textId="3A9BBED2" w:rsidR="00E71646" w:rsidRPr="00E71646" w:rsidRDefault="00E71646" w:rsidP="00E71646">
      <w:pPr>
        <w:spacing w:after="240"/>
        <w:ind w:firstLine="720"/>
        <w:rPr>
          <w:rFonts w:eastAsia="Times New Roman"/>
          <w:sz w:val="24"/>
          <w:szCs w:val="24"/>
        </w:rPr>
      </w:pPr>
      <w:r w:rsidRPr="00E71646">
        <w:rPr>
          <w:rFonts w:eastAsia="Times New Roman"/>
          <w:sz w:val="24"/>
          <w:szCs w:val="24"/>
        </w:rPr>
        <w:t xml:space="preserve">1. The amount of damages </w:t>
      </w:r>
      <w:r w:rsidR="00EB5935">
        <w:rPr>
          <w:rFonts w:eastAsia="Times New Roman"/>
          <w:sz w:val="24"/>
          <w:szCs w:val="24"/>
        </w:rPr>
        <w:t>sought</w:t>
      </w:r>
      <w:r w:rsidRPr="00E71646">
        <w:rPr>
          <w:rFonts w:eastAsia="Times New Roman"/>
          <w:sz w:val="24"/>
          <w:szCs w:val="24"/>
        </w:rPr>
        <w:t xml:space="preserve"> should not be stated in this instruction or in the statement of the case. </w:t>
      </w:r>
      <w:proofErr w:type="gramStart"/>
      <w:r w:rsidRPr="00E71646">
        <w:rPr>
          <w:rFonts w:eastAsia="Times New Roman"/>
          <w:b/>
          <w:sz w:val="24"/>
          <w:szCs w:val="24"/>
        </w:rPr>
        <w:t>Rodrigue v. Hausman</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 xml:space="preserve">33 </w:t>
      </w:r>
      <w:r w:rsidR="00E71BCE">
        <w:rPr>
          <w:rFonts w:eastAsia="Times New Roman"/>
          <w:sz w:val="24"/>
          <w:szCs w:val="24"/>
        </w:rPr>
        <w:t>Colo. App.</w:t>
      </w:r>
      <w:r w:rsidRPr="00E71646">
        <w:rPr>
          <w:rFonts w:eastAsia="Times New Roman"/>
          <w:sz w:val="24"/>
          <w:szCs w:val="24"/>
        </w:rPr>
        <w:t xml:space="preserve"> 305, 519 P.2d 1216 (1974).</w:t>
      </w:r>
      <w:proofErr w:type="gramEnd"/>
    </w:p>
    <w:p w14:paraId="6DABAD32"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2. This instruction should be used in conjunction with Instruction 26:1.</w:t>
      </w:r>
    </w:p>
    <w:p w14:paraId="6E205305" w14:textId="77777777" w:rsidR="00E71646" w:rsidRPr="00E71646" w:rsidRDefault="00E71646" w:rsidP="00E71646">
      <w:pPr>
        <w:spacing w:after="240"/>
        <w:ind w:firstLine="720"/>
        <w:rPr>
          <w:rFonts w:eastAsia="Times New Roman"/>
          <w:sz w:val="24"/>
          <w:szCs w:val="24"/>
        </w:rPr>
      </w:pPr>
      <w:r w:rsidRPr="00E71646">
        <w:rPr>
          <w:rFonts w:eastAsia="Times New Roman"/>
          <w:sz w:val="24"/>
          <w:szCs w:val="24"/>
        </w:rPr>
        <w:t>3. Only those parenthesized numbered paragraphs and lettered subparagraphs should be given as are appropriate in light of the evidence in the case.</w:t>
      </w:r>
    </w:p>
    <w:p w14:paraId="691DCA65" w14:textId="77777777" w:rsidR="00E71646" w:rsidRPr="0054263B" w:rsidRDefault="00E71646" w:rsidP="00E71646">
      <w:pPr>
        <w:keepNext/>
        <w:spacing w:after="240"/>
        <w:jc w:val="center"/>
        <w:rPr>
          <w:rFonts w:eastAsia="Times New Roman"/>
          <w:b/>
          <w:sz w:val="24"/>
          <w:szCs w:val="24"/>
        </w:rPr>
      </w:pPr>
      <w:r>
        <w:rPr>
          <w:rFonts w:eastAsia="Times New Roman"/>
          <w:b/>
          <w:sz w:val="24"/>
          <w:szCs w:val="24"/>
        </w:rPr>
        <w:t>Source and Authority</w:t>
      </w:r>
    </w:p>
    <w:p w14:paraId="7CE2434A" w14:textId="25A0FF32" w:rsidR="00E71646" w:rsidRPr="00E71646" w:rsidRDefault="00E71646" w:rsidP="00460071">
      <w:pPr>
        <w:spacing w:after="240"/>
        <w:ind w:firstLine="720"/>
        <w:rPr>
          <w:rFonts w:eastAsia="Times New Roman"/>
          <w:sz w:val="24"/>
          <w:szCs w:val="24"/>
        </w:rPr>
      </w:pPr>
      <w:r w:rsidRPr="00E71646">
        <w:rPr>
          <w:rFonts w:eastAsia="Times New Roman"/>
          <w:sz w:val="24"/>
          <w:szCs w:val="24"/>
        </w:rPr>
        <w:t xml:space="preserve">1. This instruction </w:t>
      </w:r>
      <w:r w:rsidR="00C93313">
        <w:rPr>
          <w:rFonts w:eastAsia="Times New Roman"/>
          <w:sz w:val="24"/>
          <w:szCs w:val="24"/>
        </w:rPr>
        <w:t>is</w:t>
      </w:r>
      <w:r w:rsidRPr="00E71646">
        <w:rPr>
          <w:rFonts w:eastAsia="Times New Roman"/>
          <w:sz w:val="24"/>
          <w:szCs w:val="24"/>
        </w:rPr>
        <w:t xml:space="preserve"> supported by </w:t>
      </w:r>
      <w:r w:rsidR="00C93313" w:rsidRPr="00E71646">
        <w:rPr>
          <w:rFonts w:eastAsia="Times New Roman"/>
          <w:b/>
          <w:sz w:val="24"/>
          <w:szCs w:val="24"/>
        </w:rPr>
        <w:t>Buder v. Sartore</w:t>
      </w:r>
      <w:r w:rsidR="00C93313" w:rsidRPr="00E71646">
        <w:rPr>
          <w:rFonts w:eastAsia="Times New Roman"/>
          <w:sz w:val="24"/>
          <w:szCs w:val="24"/>
        </w:rPr>
        <w:t>, 774 P.2d 1383 (Colo. 1989) (subparagraphs a, b, and c)</w:t>
      </w:r>
      <w:r w:rsidR="00C93313">
        <w:rPr>
          <w:rFonts w:eastAsia="Times New Roman"/>
          <w:sz w:val="24"/>
          <w:szCs w:val="24"/>
        </w:rPr>
        <w:t xml:space="preserve">; </w:t>
      </w:r>
      <w:r w:rsidR="00C93313" w:rsidRPr="00E71646">
        <w:rPr>
          <w:rFonts w:eastAsia="Times New Roman"/>
          <w:b/>
          <w:sz w:val="24"/>
          <w:szCs w:val="24"/>
        </w:rPr>
        <w:t>Rupert v. Clayton Brokerage Co.</w:t>
      </w:r>
      <w:r w:rsidR="00C93313" w:rsidRPr="00E71646">
        <w:rPr>
          <w:rFonts w:eastAsia="Times New Roman"/>
          <w:sz w:val="24"/>
          <w:szCs w:val="24"/>
        </w:rPr>
        <w:t>, 737 P.2d 1106 (Colo. 1987)</w:t>
      </w:r>
      <w:r w:rsidR="00B27F5C">
        <w:rPr>
          <w:rFonts w:eastAsia="Times New Roman"/>
          <w:sz w:val="24"/>
          <w:szCs w:val="24"/>
        </w:rPr>
        <w:t xml:space="preserve"> (subparagraph b); </w:t>
      </w:r>
      <w:r w:rsidR="00C93313" w:rsidRPr="00E71646">
        <w:rPr>
          <w:rFonts w:eastAsia="Times New Roman"/>
          <w:b/>
          <w:sz w:val="24"/>
          <w:szCs w:val="24"/>
        </w:rPr>
        <w:t>Elijah v. Fender</w:t>
      </w:r>
      <w:r w:rsidR="00C93313" w:rsidRPr="00E71646">
        <w:rPr>
          <w:rFonts w:eastAsia="Times New Roman"/>
          <w:sz w:val="24"/>
          <w:szCs w:val="24"/>
        </w:rPr>
        <w:t>, 674 P.2d 946 (Colo. 1984)</w:t>
      </w:r>
      <w:r w:rsidR="00C93313">
        <w:rPr>
          <w:rFonts w:eastAsia="Times New Roman"/>
          <w:sz w:val="24"/>
          <w:szCs w:val="24"/>
        </w:rPr>
        <w:t xml:space="preserve"> (subparagraph</w:t>
      </w:r>
      <w:r w:rsidR="00BD51DC">
        <w:rPr>
          <w:rFonts w:eastAsia="Times New Roman"/>
          <w:sz w:val="24"/>
          <w:szCs w:val="24"/>
        </w:rPr>
        <w:t>s</w:t>
      </w:r>
      <w:r w:rsidR="00C93313">
        <w:rPr>
          <w:rFonts w:eastAsia="Times New Roman"/>
          <w:sz w:val="24"/>
          <w:szCs w:val="24"/>
        </w:rPr>
        <w:t xml:space="preserve"> </w:t>
      </w:r>
      <w:r w:rsidR="00BD51DC">
        <w:rPr>
          <w:rFonts w:eastAsia="Times New Roman"/>
          <w:sz w:val="24"/>
          <w:szCs w:val="24"/>
        </w:rPr>
        <w:t xml:space="preserve">b and </w:t>
      </w:r>
      <w:r w:rsidR="00C93313">
        <w:rPr>
          <w:rFonts w:eastAsia="Times New Roman"/>
          <w:sz w:val="24"/>
          <w:szCs w:val="24"/>
        </w:rPr>
        <w:t xml:space="preserve">d); </w:t>
      </w:r>
      <w:r w:rsidRPr="00E71646">
        <w:rPr>
          <w:rFonts w:eastAsia="Times New Roman"/>
          <w:b/>
          <w:sz w:val="24"/>
          <w:szCs w:val="24"/>
        </w:rPr>
        <w:t>McKinney v. Christmas</w:t>
      </w:r>
      <w:r w:rsidRPr="00E71646">
        <w:rPr>
          <w:rFonts w:eastAsia="Times New Roman"/>
          <w:sz w:val="24"/>
          <w:szCs w:val="24"/>
        </w:rPr>
        <w:t xml:space="preserve">, 143 Colo. 361, 353 P.2d 373 (1960); </w:t>
      </w:r>
      <w:r w:rsidRPr="00E71646">
        <w:rPr>
          <w:rFonts w:eastAsia="Times New Roman"/>
          <w:b/>
          <w:sz w:val="24"/>
          <w:szCs w:val="24"/>
        </w:rPr>
        <w:t xml:space="preserve">Murphy v. Central Bank &amp; </w:t>
      </w:r>
      <w:r w:rsidRPr="00E71646">
        <w:rPr>
          <w:rFonts w:eastAsia="Times New Roman"/>
          <w:b/>
          <w:sz w:val="24"/>
          <w:szCs w:val="24"/>
        </w:rPr>
        <w:lastRenderedPageBreak/>
        <w:t>Trust Co.</w:t>
      </w:r>
      <w:r w:rsidRPr="00E71646">
        <w:rPr>
          <w:rFonts w:eastAsia="Times New Roman"/>
          <w:sz w:val="24"/>
          <w:szCs w:val="24"/>
        </w:rPr>
        <w:t>, 699 P.2d 13 (</w:t>
      </w:r>
      <w:r w:rsidR="00E71BCE">
        <w:rPr>
          <w:rFonts w:eastAsia="Times New Roman"/>
          <w:sz w:val="24"/>
          <w:szCs w:val="24"/>
        </w:rPr>
        <w:t>Colo. App.</w:t>
      </w:r>
      <w:r w:rsidRPr="00E71646">
        <w:rPr>
          <w:rFonts w:eastAsia="Times New Roman"/>
          <w:sz w:val="24"/>
          <w:szCs w:val="24"/>
        </w:rPr>
        <w:t xml:space="preserve"> 1985); </w:t>
      </w:r>
      <w:r w:rsidRPr="00E71646">
        <w:rPr>
          <w:rFonts w:eastAsia="Times New Roman"/>
          <w:b/>
          <w:sz w:val="24"/>
          <w:szCs w:val="24"/>
        </w:rPr>
        <w:t>Commercial Union Ins</w:t>
      </w:r>
      <w:r w:rsidR="00D64B6D">
        <w:rPr>
          <w:rFonts w:eastAsia="Times New Roman"/>
          <w:b/>
          <w:sz w:val="24"/>
          <w:szCs w:val="24"/>
        </w:rPr>
        <w:t>urance</w:t>
      </w:r>
      <w:r w:rsidRPr="00E71646">
        <w:rPr>
          <w:rFonts w:eastAsia="Times New Roman"/>
          <w:b/>
          <w:sz w:val="24"/>
          <w:szCs w:val="24"/>
        </w:rPr>
        <w:t xml:space="preserve"> Co.</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698 P.2d 1388 (</w:t>
      </w:r>
      <w:r w:rsidR="00E71BCE">
        <w:rPr>
          <w:rFonts w:eastAsia="Times New Roman"/>
          <w:sz w:val="24"/>
          <w:szCs w:val="24"/>
        </w:rPr>
        <w:t>Colo. App.</w:t>
      </w:r>
      <w:r w:rsidRPr="00E71646">
        <w:rPr>
          <w:rFonts w:eastAsia="Times New Roman"/>
          <w:sz w:val="24"/>
          <w:szCs w:val="24"/>
        </w:rPr>
        <w:t xml:space="preserve"> 1985)</w:t>
      </w:r>
      <w:r w:rsidR="00D64B6D">
        <w:rPr>
          <w:rFonts w:eastAsia="Times New Roman"/>
          <w:sz w:val="24"/>
          <w:szCs w:val="24"/>
        </w:rPr>
        <w:t xml:space="preserve"> (subparagraph d)</w:t>
      </w:r>
      <w:r w:rsidRPr="00E71646">
        <w:rPr>
          <w:rFonts w:eastAsia="Times New Roman"/>
          <w:sz w:val="24"/>
          <w:szCs w:val="24"/>
        </w:rPr>
        <w:t xml:space="preserve">, </w:t>
      </w:r>
      <w:r w:rsidRPr="00E71646">
        <w:rPr>
          <w:rFonts w:eastAsia="Times New Roman"/>
          <w:i/>
          <w:sz w:val="24"/>
          <w:szCs w:val="24"/>
        </w:rPr>
        <w:t>aff’d on other grounds</w:t>
      </w:r>
      <w:r w:rsidRPr="00E71646">
        <w:rPr>
          <w:rFonts w:eastAsia="Times New Roman"/>
          <w:sz w:val="24"/>
          <w:szCs w:val="24"/>
        </w:rPr>
        <w:t>,</w:t>
      </w:r>
      <w:r w:rsidRPr="00E71646">
        <w:rPr>
          <w:rFonts w:eastAsia="Times New Roman"/>
          <w:i/>
          <w:sz w:val="24"/>
          <w:szCs w:val="24"/>
        </w:rPr>
        <w:t xml:space="preserve"> </w:t>
      </w:r>
      <w:r w:rsidRPr="00E71646">
        <w:rPr>
          <w:rFonts w:eastAsia="Times New Roman"/>
          <w:sz w:val="24"/>
          <w:szCs w:val="24"/>
        </w:rPr>
        <w:t>739 P.2d 239 (Colo. 1987)</w:t>
      </w:r>
      <w:r w:rsidR="00D64B6D">
        <w:rPr>
          <w:rFonts w:eastAsia="Times New Roman"/>
          <w:sz w:val="24"/>
          <w:szCs w:val="24"/>
        </w:rPr>
        <w:t>;</w:t>
      </w:r>
      <w:r w:rsidRPr="00E71646">
        <w:rPr>
          <w:rFonts w:eastAsia="Times New Roman"/>
          <w:sz w:val="24"/>
          <w:szCs w:val="24"/>
        </w:rPr>
        <w:t xml:space="preserve"> </w:t>
      </w:r>
      <w:r w:rsidRPr="00E71646">
        <w:rPr>
          <w:rFonts w:eastAsia="Times New Roman"/>
          <w:b/>
          <w:sz w:val="24"/>
          <w:szCs w:val="24"/>
        </w:rPr>
        <w:t>White v. Brock</w:t>
      </w:r>
      <w:r w:rsidRPr="00E71646">
        <w:rPr>
          <w:rFonts w:eastAsia="Times New Roman"/>
          <w:sz w:val="24"/>
          <w:szCs w:val="24"/>
        </w:rPr>
        <w:t xml:space="preserve">, 41 </w:t>
      </w:r>
      <w:r w:rsidR="00E71BCE">
        <w:rPr>
          <w:rFonts w:eastAsia="Times New Roman"/>
          <w:sz w:val="24"/>
          <w:szCs w:val="24"/>
        </w:rPr>
        <w:t>Colo. App.</w:t>
      </w:r>
      <w:r w:rsidRPr="00E71646">
        <w:rPr>
          <w:rFonts w:eastAsia="Times New Roman"/>
          <w:sz w:val="24"/>
          <w:szCs w:val="24"/>
        </w:rPr>
        <w:t xml:space="preserve"> 156, 584 P.2d 1224 (1978); </w:t>
      </w:r>
      <w:r w:rsidR="00401A31" w:rsidRPr="00E71646">
        <w:rPr>
          <w:rFonts w:eastAsia="Times New Roman"/>
          <w:b/>
          <w:sz w:val="24"/>
          <w:szCs w:val="24"/>
        </w:rPr>
        <w:t>Lestoque v. M. R. Mansfield Realty, Inc.</w:t>
      </w:r>
      <w:r w:rsidR="00401A31" w:rsidRPr="00E71646">
        <w:rPr>
          <w:rFonts w:eastAsia="Times New Roman"/>
          <w:sz w:val="24"/>
          <w:szCs w:val="24"/>
        </w:rPr>
        <w:t xml:space="preserve">, 36 </w:t>
      </w:r>
      <w:r w:rsidR="00401A31">
        <w:rPr>
          <w:rFonts w:eastAsia="Times New Roman"/>
          <w:sz w:val="24"/>
          <w:szCs w:val="24"/>
        </w:rPr>
        <w:t>Colo. App.</w:t>
      </w:r>
      <w:r w:rsidR="00401A31" w:rsidRPr="00E71646">
        <w:rPr>
          <w:rFonts w:eastAsia="Times New Roman"/>
          <w:sz w:val="24"/>
          <w:szCs w:val="24"/>
        </w:rPr>
        <w:t xml:space="preserve"> 32, 536 P.2d 1146 (1975); </w:t>
      </w:r>
      <w:r w:rsidR="00401A31">
        <w:rPr>
          <w:rFonts w:eastAsia="Times New Roman"/>
          <w:sz w:val="24"/>
          <w:szCs w:val="24"/>
        </w:rPr>
        <w:t xml:space="preserve">and </w:t>
      </w:r>
      <w:r w:rsidRPr="00E71646">
        <w:rPr>
          <w:rFonts w:eastAsia="Times New Roman"/>
          <w:smallCaps/>
          <w:sz w:val="24"/>
          <w:szCs w:val="24"/>
        </w:rPr>
        <w:t>Restatement (Second) of Agency</w:t>
      </w:r>
      <w:r w:rsidRPr="00E71646">
        <w:rPr>
          <w:rFonts w:eastAsia="Times New Roman"/>
          <w:sz w:val="24"/>
          <w:szCs w:val="24"/>
        </w:rPr>
        <w:t xml:space="preserve"> § 401 (1958).</w:t>
      </w:r>
      <w:r w:rsidR="00401A31">
        <w:rPr>
          <w:rFonts w:eastAsia="Times New Roman"/>
          <w:sz w:val="24"/>
          <w:szCs w:val="24"/>
        </w:rPr>
        <w:t xml:space="preserve"> </w:t>
      </w:r>
      <w:r w:rsidR="00401A31" w:rsidRPr="00401A31">
        <w:rPr>
          <w:rFonts w:eastAsia="Times New Roman"/>
          <w:i/>
          <w:sz w:val="24"/>
          <w:szCs w:val="24"/>
        </w:rPr>
        <w:t>See also</w:t>
      </w:r>
      <w:r w:rsidR="00B27F5C" w:rsidRPr="00B27F5C">
        <w:rPr>
          <w:rFonts w:eastAsia="Times New Roman"/>
          <w:b/>
          <w:sz w:val="24"/>
          <w:szCs w:val="24"/>
        </w:rPr>
        <w:t xml:space="preserve"> </w:t>
      </w:r>
      <w:r w:rsidR="00B27F5C" w:rsidRPr="00E71646">
        <w:rPr>
          <w:rFonts w:eastAsia="Times New Roman"/>
          <w:b/>
          <w:sz w:val="24"/>
          <w:szCs w:val="24"/>
        </w:rPr>
        <w:t>Paine, Webber, Jackson &amp; Curtis, Inc. v. Adams</w:t>
      </w:r>
      <w:r w:rsidR="00B27F5C" w:rsidRPr="00E71646">
        <w:rPr>
          <w:rFonts w:eastAsia="Times New Roman"/>
          <w:sz w:val="24"/>
          <w:szCs w:val="24"/>
        </w:rPr>
        <w:t>, 718 P.2d 508</w:t>
      </w:r>
      <w:r w:rsidR="00B27F5C">
        <w:rPr>
          <w:rFonts w:eastAsia="Times New Roman"/>
          <w:sz w:val="24"/>
          <w:szCs w:val="24"/>
        </w:rPr>
        <w:t xml:space="preserve"> (Colo. 1986)</w:t>
      </w:r>
      <w:r w:rsidRPr="00E71646">
        <w:rPr>
          <w:rFonts w:eastAsia="Times New Roman"/>
          <w:sz w:val="24"/>
          <w:szCs w:val="24"/>
        </w:rPr>
        <w:t xml:space="preserve">; </w:t>
      </w:r>
      <w:r w:rsidRPr="00E71646">
        <w:rPr>
          <w:rFonts w:eastAsia="Times New Roman"/>
          <w:b/>
          <w:sz w:val="24"/>
          <w:szCs w:val="24"/>
        </w:rPr>
        <w:t>Life Care Ctrs</w:t>
      </w:r>
      <w:r w:rsidR="006E0424">
        <w:rPr>
          <w:rFonts w:eastAsia="Times New Roman"/>
          <w:b/>
          <w:sz w:val="24"/>
          <w:szCs w:val="24"/>
        </w:rPr>
        <w:t>.</w:t>
      </w:r>
      <w:r w:rsidRPr="00E71646">
        <w:rPr>
          <w:rFonts w:eastAsia="Times New Roman"/>
          <w:b/>
          <w:sz w:val="24"/>
          <w:szCs w:val="24"/>
        </w:rPr>
        <w:t xml:space="preserve"> of Am</w:t>
      </w:r>
      <w:r w:rsidR="006E0424">
        <w:rPr>
          <w:rFonts w:eastAsia="Times New Roman"/>
          <w:b/>
          <w:sz w:val="24"/>
          <w:szCs w:val="24"/>
        </w:rPr>
        <w:t>.</w:t>
      </w:r>
      <w:r w:rsidRPr="00E71646">
        <w:rPr>
          <w:rFonts w:eastAsia="Times New Roman"/>
          <w:b/>
          <w:sz w:val="24"/>
          <w:szCs w:val="24"/>
        </w:rPr>
        <w:t>, Inc. v. E</w:t>
      </w:r>
      <w:r w:rsidR="006E0424">
        <w:rPr>
          <w:rFonts w:eastAsia="Times New Roman"/>
          <w:b/>
          <w:sz w:val="24"/>
          <w:szCs w:val="24"/>
        </w:rPr>
        <w:t>.</w:t>
      </w:r>
      <w:r w:rsidRPr="00E71646">
        <w:rPr>
          <w:rFonts w:eastAsia="Times New Roman"/>
          <w:b/>
          <w:sz w:val="24"/>
          <w:szCs w:val="24"/>
        </w:rPr>
        <w:t xml:space="preserve"> Hampden Assocs</w:t>
      </w:r>
      <w:r w:rsidR="006E0424">
        <w:rPr>
          <w:rFonts w:eastAsia="Times New Roman"/>
          <w:b/>
          <w:sz w:val="24"/>
          <w:szCs w:val="24"/>
        </w:rPr>
        <w:t>.</w:t>
      </w:r>
      <w:r w:rsidRPr="00E71646">
        <w:rPr>
          <w:rFonts w:eastAsia="Times New Roman"/>
          <w:b/>
          <w:sz w:val="24"/>
          <w:szCs w:val="24"/>
        </w:rPr>
        <w:t xml:space="preserve"> Ltd</w:t>
      </w:r>
      <w:r w:rsidR="006E0424">
        <w:rPr>
          <w:rFonts w:eastAsia="Times New Roman"/>
          <w:b/>
          <w:sz w:val="24"/>
          <w:szCs w:val="24"/>
        </w:rPr>
        <w:t>.</w:t>
      </w:r>
      <w:r w:rsidRPr="00E71646">
        <w:rPr>
          <w:rFonts w:eastAsia="Times New Roman"/>
          <w:b/>
          <w:sz w:val="24"/>
          <w:szCs w:val="24"/>
        </w:rPr>
        <w:t xml:space="preserve"> P</w:t>
      </w:r>
      <w:r w:rsidR="006E0424">
        <w:rPr>
          <w:rFonts w:eastAsia="Times New Roman"/>
          <w:b/>
          <w:sz w:val="24"/>
          <w:szCs w:val="24"/>
        </w:rPr>
        <w:t>’</w:t>
      </w:r>
      <w:r w:rsidRPr="00E71646">
        <w:rPr>
          <w:rFonts w:eastAsia="Times New Roman"/>
          <w:b/>
          <w:sz w:val="24"/>
          <w:szCs w:val="24"/>
        </w:rPr>
        <w:t>ship</w:t>
      </w:r>
      <w:r w:rsidRPr="00E71646">
        <w:rPr>
          <w:rFonts w:eastAsia="Times New Roman"/>
          <w:sz w:val="24"/>
          <w:szCs w:val="24"/>
        </w:rPr>
        <w:t>,</w:t>
      </w:r>
      <w:r w:rsidRPr="00E71646">
        <w:rPr>
          <w:rFonts w:eastAsia="Times New Roman"/>
          <w:b/>
          <w:sz w:val="24"/>
          <w:szCs w:val="24"/>
        </w:rPr>
        <w:t xml:space="preserve"> </w:t>
      </w:r>
      <w:r w:rsidRPr="00E71646">
        <w:rPr>
          <w:rFonts w:eastAsia="Times New Roman"/>
          <w:sz w:val="24"/>
          <w:szCs w:val="24"/>
        </w:rPr>
        <w:t>903 P.2d 1180 (</w:t>
      </w:r>
      <w:r w:rsidR="00E71BCE">
        <w:rPr>
          <w:rFonts w:eastAsia="Times New Roman"/>
          <w:sz w:val="24"/>
          <w:szCs w:val="24"/>
        </w:rPr>
        <w:t>Colo. App.</w:t>
      </w:r>
      <w:r w:rsidRPr="00E71646">
        <w:rPr>
          <w:rFonts w:eastAsia="Times New Roman"/>
          <w:sz w:val="24"/>
          <w:szCs w:val="24"/>
        </w:rPr>
        <w:t xml:space="preserve"> 1995) (loss of future profits); </w:t>
      </w:r>
      <w:r w:rsidRPr="00E71646">
        <w:rPr>
          <w:rFonts w:eastAsia="Times New Roman"/>
          <w:b/>
          <w:sz w:val="24"/>
          <w:szCs w:val="24"/>
        </w:rPr>
        <w:t>Graphic Directions, Inc. v. Bush</w:t>
      </w:r>
      <w:r w:rsidRPr="00E71646">
        <w:rPr>
          <w:rFonts w:eastAsia="Times New Roman"/>
          <w:sz w:val="24"/>
          <w:szCs w:val="24"/>
        </w:rPr>
        <w:t>, 862 P.2d 1020 (</w:t>
      </w:r>
      <w:r w:rsidR="00E71BCE">
        <w:rPr>
          <w:rFonts w:eastAsia="Times New Roman"/>
          <w:sz w:val="24"/>
          <w:szCs w:val="24"/>
        </w:rPr>
        <w:t>Colo. App.</w:t>
      </w:r>
      <w:r w:rsidR="006E0424">
        <w:rPr>
          <w:rFonts w:eastAsia="Times New Roman"/>
          <w:sz w:val="24"/>
          <w:szCs w:val="24"/>
        </w:rPr>
        <w:t xml:space="preserve"> </w:t>
      </w:r>
      <w:r w:rsidRPr="00E71646">
        <w:rPr>
          <w:rFonts w:eastAsia="Times New Roman"/>
          <w:sz w:val="24"/>
          <w:szCs w:val="24"/>
        </w:rPr>
        <w:t>1993) (evidence insufficient to sustain award of damages for lost profits).</w:t>
      </w:r>
    </w:p>
    <w:p w14:paraId="0F3C567C" w14:textId="55E859FB" w:rsidR="00E71646" w:rsidRPr="00E71646" w:rsidRDefault="008244DF" w:rsidP="00E71646">
      <w:pPr>
        <w:spacing w:after="240"/>
        <w:ind w:firstLine="720"/>
        <w:rPr>
          <w:rFonts w:eastAsia="Times New Roman"/>
          <w:sz w:val="24"/>
          <w:szCs w:val="24"/>
        </w:rPr>
      </w:pPr>
      <w:r>
        <w:rPr>
          <w:rFonts w:eastAsia="Times New Roman"/>
          <w:sz w:val="24"/>
          <w:szCs w:val="24"/>
        </w:rPr>
        <w:t>2</w:t>
      </w:r>
      <w:r w:rsidR="00E71646" w:rsidRPr="00E71646">
        <w:rPr>
          <w:rFonts w:eastAsia="Times New Roman"/>
          <w:sz w:val="24"/>
          <w:szCs w:val="24"/>
        </w:rPr>
        <w:t xml:space="preserve">. For other cases discussing damages for breach of a fiduciary duty, see </w:t>
      </w:r>
      <w:r w:rsidR="00E71646" w:rsidRPr="00E71646">
        <w:rPr>
          <w:rFonts w:eastAsia="Times New Roman"/>
          <w:b/>
          <w:sz w:val="24"/>
          <w:szCs w:val="24"/>
        </w:rPr>
        <w:t>Genova v. Longs Peak Emergency Physicians, P.C.</w:t>
      </w:r>
      <w:r w:rsidR="00E71646" w:rsidRPr="00E71646">
        <w:rPr>
          <w:rFonts w:eastAsia="Times New Roman"/>
          <w:sz w:val="24"/>
          <w:szCs w:val="24"/>
        </w:rPr>
        <w:t>, 72 P.3d 454 (</w:t>
      </w:r>
      <w:r w:rsidR="00E71BCE">
        <w:rPr>
          <w:rFonts w:eastAsia="Times New Roman"/>
          <w:sz w:val="24"/>
          <w:szCs w:val="24"/>
        </w:rPr>
        <w:t>Colo. App.</w:t>
      </w:r>
      <w:r w:rsidR="00E71646" w:rsidRPr="00E71646">
        <w:rPr>
          <w:rFonts w:eastAsia="Times New Roman"/>
          <w:sz w:val="24"/>
          <w:szCs w:val="24"/>
        </w:rPr>
        <w:t xml:space="preserve"> 2003) (where the only kind of economic damages that plaintiff could have sustained as a result of defendants’ breach of fiduciary duty were damages for loss of future earnings, trial court did not err in refusing to instruct on damages for loss of assets or property); </w:t>
      </w:r>
      <w:r w:rsidR="00E71646" w:rsidRPr="00E71646">
        <w:rPr>
          <w:rFonts w:eastAsia="Times New Roman"/>
          <w:b/>
          <w:sz w:val="24"/>
          <w:szCs w:val="24"/>
        </w:rPr>
        <w:t>T-A-L-L, Inc. v. Moore &amp; Co.</w:t>
      </w:r>
      <w:r w:rsidR="00E71646" w:rsidRPr="00E71646">
        <w:rPr>
          <w:rFonts w:eastAsia="Times New Roman"/>
          <w:sz w:val="24"/>
          <w:szCs w:val="24"/>
        </w:rPr>
        <w:t>,</w:t>
      </w:r>
      <w:r w:rsidR="00E71646" w:rsidRPr="00E71646">
        <w:rPr>
          <w:rFonts w:eastAsia="Times New Roman"/>
          <w:b/>
          <w:sz w:val="24"/>
          <w:szCs w:val="24"/>
        </w:rPr>
        <w:t xml:space="preserve"> </w:t>
      </w:r>
      <w:r w:rsidR="00E71646" w:rsidRPr="00E71646">
        <w:rPr>
          <w:rFonts w:eastAsia="Times New Roman"/>
          <w:sz w:val="24"/>
          <w:szCs w:val="24"/>
        </w:rPr>
        <w:t>765 P.2d 1039 (</w:t>
      </w:r>
      <w:r w:rsidR="00E71BCE">
        <w:rPr>
          <w:rFonts w:eastAsia="Times New Roman"/>
          <w:sz w:val="24"/>
          <w:szCs w:val="24"/>
        </w:rPr>
        <w:t>Colo. App.</w:t>
      </w:r>
      <w:r w:rsidR="00E71646" w:rsidRPr="00E71646">
        <w:rPr>
          <w:rFonts w:eastAsia="Times New Roman"/>
          <w:sz w:val="24"/>
          <w:szCs w:val="24"/>
        </w:rPr>
        <w:t xml:space="preserve"> 1988)</w:t>
      </w:r>
      <w:r w:rsidR="008D1BC7">
        <w:rPr>
          <w:rFonts w:eastAsia="Times New Roman"/>
          <w:sz w:val="24"/>
          <w:szCs w:val="24"/>
        </w:rPr>
        <w:t xml:space="preserve"> </w:t>
      </w:r>
      <w:r w:rsidR="008D1BC7" w:rsidRPr="00E71646">
        <w:rPr>
          <w:rFonts w:eastAsia="Times New Roman"/>
          <w:sz w:val="24"/>
          <w:szCs w:val="24"/>
        </w:rPr>
        <w:t>(seller entitled to return, on theory of unjust enrichment, of commission paid real estate broker who had breached duty of loyalty)</w:t>
      </w:r>
      <w:r w:rsidR="00E71646" w:rsidRPr="00E71646">
        <w:rPr>
          <w:rFonts w:eastAsia="Times New Roman"/>
          <w:sz w:val="24"/>
          <w:szCs w:val="24"/>
        </w:rPr>
        <w:t xml:space="preserve">, </w:t>
      </w:r>
      <w:r w:rsidR="00E71646" w:rsidRPr="00E71646">
        <w:rPr>
          <w:rFonts w:eastAsia="Times New Roman"/>
          <w:i/>
          <w:sz w:val="24"/>
          <w:szCs w:val="24"/>
        </w:rPr>
        <w:t>aff’d in part</w:t>
      </w:r>
      <w:r w:rsidR="008D1BC7">
        <w:rPr>
          <w:rFonts w:eastAsia="Times New Roman"/>
          <w:i/>
          <w:sz w:val="24"/>
          <w:szCs w:val="24"/>
        </w:rPr>
        <w:t>,</w:t>
      </w:r>
      <w:r w:rsidR="00583F4A">
        <w:rPr>
          <w:rFonts w:eastAsia="Times New Roman"/>
          <w:i/>
          <w:sz w:val="24"/>
          <w:szCs w:val="24"/>
        </w:rPr>
        <w:t xml:space="preserve"> </w:t>
      </w:r>
      <w:r w:rsidR="00E71646" w:rsidRPr="00E71646">
        <w:rPr>
          <w:rFonts w:eastAsia="Times New Roman"/>
          <w:i/>
          <w:sz w:val="24"/>
          <w:szCs w:val="24"/>
        </w:rPr>
        <w:t>rev’d in part on other grounds</w:t>
      </w:r>
      <w:r w:rsidR="00E71646" w:rsidRPr="00E71646">
        <w:rPr>
          <w:rFonts w:eastAsia="Times New Roman"/>
          <w:sz w:val="24"/>
          <w:szCs w:val="24"/>
        </w:rPr>
        <w:t xml:space="preserve">, 792 P.2d 794 (Colo. 1990); </w:t>
      </w:r>
      <w:r w:rsidR="00E71646" w:rsidRPr="00E71646">
        <w:rPr>
          <w:rFonts w:eastAsia="Times New Roman"/>
          <w:b/>
          <w:sz w:val="24"/>
          <w:szCs w:val="24"/>
        </w:rPr>
        <w:t>Collie v. Becknell</w:t>
      </w:r>
      <w:r w:rsidR="00E71646" w:rsidRPr="00E71646">
        <w:rPr>
          <w:rFonts w:eastAsia="Times New Roman"/>
          <w:sz w:val="24"/>
          <w:szCs w:val="24"/>
        </w:rPr>
        <w:t>, 762 P.2d 727 (</w:t>
      </w:r>
      <w:r w:rsidR="00E71BCE">
        <w:rPr>
          <w:rFonts w:eastAsia="Times New Roman"/>
          <w:sz w:val="24"/>
          <w:szCs w:val="24"/>
        </w:rPr>
        <w:t>Colo. App.</w:t>
      </w:r>
      <w:r w:rsidR="00E71646" w:rsidRPr="00E71646">
        <w:rPr>
          <w:rFonts w:eastAsia="Times New Roman"/>
          <w:sz w:val="24"/>
          <w:szCs w:val="24"/>
        </w:rPr>
        <w:t xml:space="preserve"> 1988).</w:t>
      </w:r>
    </w:p>
    <w:p w14:paraId="18CE9C68" w14:textId="7BD0FABC" w:rsidR="00E71646" w:rsidRPr="00E71646" w:rsidRDefault="008244DF" w:rsidP="00E71646">
      <w:pPr>
        <w:spacing w:after="240"/>
        <w:ind w:firstLine="720"/>
        <w:rPr>
          <w:rFonts w:eastAsia="Times New Roman"/>
          <w:sz w:val="24"/>
          <w:szCs w:val="24"/>
        </w:rPr>
      </w:pPr>
      <w:r>
        <w:rPr>
          <w:rFonts w:eastAsia="Times New Roman"/>
          <w:sz w:val="24"/>
          <w:szCs w:val="24"/>
        </w:rPr>
        <w:t>3</w:t>
      </w:r>
      <w:r w:rsidR="00E71646" w:rsidRPr="00E71646">
        <w:rPr>
          <w:rFonts w:eastAsia="Times New Roman"/>
          <w:sz w:val="24"/>
          <w:szCs w:val="24"/>
        </w:rPr>
        <w:t xml:space="preserve">. When otherwise appropriate to the evidence in the case, punitive damages may also be recoverable in a case based on a claim for relief for breach of a fiduciary duty. </w:t>
      </w:r>
      <w:proofErr w:type="gramStart"/>
      <w:r w:rsidR="00E71646" w:rsidRPr="00E71646">
        <w:rPr>
          <w:rFonts w:eastAsia="Times New Roman"/>
          <w:b/>
          <w:sz w:val="24"/>
          <w:szCs w:val="24"/>
        </w:rPr>
        <w:t>Mahoney Mktg. Corp. v. Sentry Builders</w:t>
      </w:r>
      <w:r w:rsidR="00E71646" w:rsidRPr="00E71646">
        <w:rPr>
          <w:rFonts w:eastAsia="Times New Roman"/>
          <w:sz w:val="24"/>
          <w:szCs w:val="24"/>
        </w:rPr>
        <w:t>, 697 P.2d 1139 (</w:t>
      </w:r>
      <w:r w:rsidR="00E71BCE">
        <w:rPr>
          <w:rFonts w:eastAsia="Times New Roman"/>
          <w:sz w:val="24"/>
          <w:szCs w:val="24"/>
        </w:rPr>
        <w:t>Colo. App.</w:t>
      </w:r>
      <w:r w:rsidR="00E71646" w:rsidRPr="00E71646">
        <w:rPr>
          <w:rFonts w:eastAsia="Times New Roman"/>
          <w:sz w:val="24"/>
          <w:szCs w:val="24"/>
        </w:rPr>
        <w:t xml:space="preserve"> 1985); </w:t>
      </w:r>
      <w:r w:rsidR="00E71646" w:rsidRPr="00E71646">
        <w:rPr>
          <w:rFonts w:eastAsia="Times New Roman"/>
          <w:b/>
          <w:sz w:val="24"/>
          <w:szCs w:val="24"/>
        </w:rPr>
        <w:t>White v. Brock</w:t>
      </w:r>
      <w:r w:rsidR="00E71646" w:rsidRPr="00E71646">
        <w:rPr>
          <w:rFonts w:eastAsia="Times New Roman"/>
          <w:sz w:val="24"/>
          <w:szCs w:val="24"/>
        </w:rPr>
        <w:t xml:space="preserve">, 41 </w:t>
      </w:r>
      <w:r w:rsidR="00E71BCE">
        <w:rPr>
          <w:rFonts w:eastAsia="Times New Roman"/>
          <w:sz w:val="24"/>
          <w:szCs w:val="24"/>
        </w:rPr>
        <w:t>Colo. App.</w:t>
      </w:r>
      <w:r w:rsidR="00E71646" w:rsidRPr="00E71646">
        <w:rPr>
          <w:rFonts w:eastAsia="Times New Roman"/>
          <w:sz w:val="24"/>
          <w:szCs w:val="24"/>
        </w:rPr>
        <w:t xml:space="preserve"> 156, 584 P.2d 1224 (1978).</w:t>
      </w:r>
      <w:proofErr w:type="gramEnd"/>
      <w:r w:rsidR="00E71646" w:rsidRPr="00E71646">
        <w:rPr>
          <w:rFonts w:eastAsia="Times New Roman"/>
          <w:sz w:val="24"/>
          <w:szCs w:val="24"/>
        </w:rPr>
        <w:t xml:space="preserve"> </w:t>
      </w:r>
      <w:r w:rsidR="00E71646" w:rsidRPr="00E71646">
        <w:rPr>
          <w:rFonts w:eastAsia="Times New Roman"/>
          <w:i/>
          <w:sz w:val="24"/>
          <w:szCs w:val="24"/>
        </w:rPr>
        <w:t xml:space="preserve">But see </w:t>
      </w:r>
      <w:r w:rsidR="00E71646" w:rsidRPr="00E71646">
        <w:rPr>
          <w:rFonts w:eastAsia="Times New Roman"/>
          <w:b/>
          <w:sz w:val="24"/>
          <w:szCs w:val="24"/>
        </w:rPr>
        <w:t>Kaitz v. Dist</w:t>
      </w:r>
      <w:r w:rsidR="00674DF1">
        <w:rPr>
          <w:rFonts w:eastAsia="Times New Roman"/>
          <w:b/>
          <w:sz w:val="24"/>
          <w:szCs w:val="24"/>
        </w:rPr>
        <w:t>.</w:t>
      </w:r>
      <w:r w:rsidR="00E71646" w:rsidRPr="00E71646">
        <w:rPr>
          <w:rFonts w:eastAsia="Times New Roman"/>
          <w:b/>
          <w:sz w:val="24"/>
          <w:szCs w:val="24"/>
        </w:rPr>
        <w:t xml:space="preserve"> Court</w:t>
      </w:r>
      <w:r w:rsidR="00E71646" w:rsidRPr="00E71646">
        <w:rPr>
          <w:rFonts w:eastAsia="Times New Roman"/>
          <w:sz w:val="24"/>
          <w:szCs w:val="24"/>
        </w:rPr>
        <w:t>, 650 P.2d 553 (Colo. 1982) (punitive damages not recoverable when plaintiff’s claim is equitable rather than legal).</w:t>
      </w:r>
    </w:p>
    <w:p w14:paraId="4952EE97" w14:textId="185631B9" w:rsidR="00E71646" w:rsidRPr="00E71646" w:rsidRDefault="008244DF" w:rsidP="00E71646">
      <w:pPr>
        <w:spacing w:after="240"/>
        <w:ind w:firstLine="720"/>
        <w:rPr>
          <w:rFonts w:eastAsia="Times New Roman"/>
          <w:sz w:val="24"/>
          <w:szCs w:val="24"/>
        </w:rPr>
      </w:pPr>
      <w:r>
        <w:rPr>
          <w:rFonts w:eastAsia="Times New Roman"/>
          <w:sz w:val="24"/>
          <w:szCs w:val="24"/>
        </w:rPr>
        <w:t>4</w:t>
      </w:r>
      <w:r w:rsidR="00E71646" w:rsidRPr="00E71646">
        <w:rPr>
          <w:rFonts w:eastAsia="Times New Roman"/>
          <w:sz w:val="24"/>
          <w:szCs w:val="24"/>
        </w:rPr>
        <w:t xml:space="preserve">. Attorney fees may be recovered as an exception to the “American Rule” only in breach of trust actions or breach of fiduciary duty actions that are closely analogous to breach of trust actions. </w:t>
      </w:r>
      <w:r w:rsidR="00E71646" w:rsidRPr="00E71646">
        <w:rPr>
          <w:rFonts w:eastAsia="Times New Roman"/>
          <w:i/>
          <w:sz w:val="24"/>
          <w:szCs w:val="24"/>
        </w:rPr>
        <w:t xml:space="preserve">See </w:t>
      </w:r>
      <w:r w:rsidR="00E71646" w:rsidRPr="00E71646">
        <w:rPr>
          <w:rFonts w:eastAsia="Times New Roman"/>
          <w:b/>
          <w:sz w:val="24"/>
          <w:szCs w:val="24"/>
        </w:rPr>
        <w:t>Interest of Delluomo v. Cedarblade</w:t>
      </w:r>
      <w:r w:rsidR="00E71646" w:rsidRPr="00E71646">
        <w:rPr>
          <w:rFonts w:eastAsia="Times New Roman"/>
          <w:sz w:val="24"/>
          <w:szCs w:val="24"/>
        </w:rPr>
        <w:t xml:space="preserve">, 2014 COA 43, </w:t>
      </w:r>
      <w:r w:rsidR="00674DF1">
        <w:rPr>
          <w:rFonts w:eastAsia="Times New Roman"/>
          <w:sz w:val="24"/>
          <w:szCs w:val="24"/>
        </w:rPr>
        <w:t xml:space="preserve">¶ 9, </w:t>
      </w:r>
      <w:r w:rsidR="00E71646" w:rsidRPr="00E71646">
        <w:rPr>
          <w:rFonts w:eastAsia="Times New Roman"/>
          <w:sz w:val="24"/>
          <w:szCs w:val="24"/>
        </w:rPr>
        <w:t xml:space="preserve">328 P.3d 291; </w:t>
      </w:r>
      <w:r w:rsidR="00E71646" w:rsidRPr="00E71646">
        <w:rPr>
          <w:rFonts w:eastAsia="Times New Roman"/>
          <w:i/>
          <w:sz w:val="24"/>
          <w:szCs w:val="24"/>
        </w:rPr>
        <w:t xml:space="preserve">see also </w:t>
      </w:r>
      <w:r w:rsidR="00E71646" w:rsidRPr="00E71646">
        <w:rPr>
          <w:rFonts w:eastAsia="Times New Roman"/>
          <w:b/>
          <w:sz w:val="24"/>
          <w:szCs w:val="24"/>
        </w:rPr>
        <w:t>Taylor v. Taylor</w:t>
      </w:r>
      <w:r w:rsidR="00E71646" w:rsidRPr="00E71646">
        <w:rPr>
          <w:rFonts w:eastAsia="Times New Roman"/>
          <w:sz w:val="24"/>
          <w:szCs w:val="24"/>
        </w:rPr>
        <w:t>, 2016 COA 100, ¶¶ 32-35</w:t>
      </w:r>
      <w:r w:rsidR="00460071">
        <w:rPr>
          <w:rFonts w:eastAsia="Times New Roman"/>
          <w:sz w:val="24"/>
          <w:szCs w:val="24"/>
        </w:rPr>
        <w:t>, 381 P.3d 428</w:t>
      </w:r>
      <w:r w:rsidR="00E71646" w:rsidRPr="00E71646">
        <w:rPr>
          <w:rFonts w:eastAsia="Times New Roman"/>
          <w:sz w:val="24"/>
          <w:szCs w:val="24"/>
        </w:rPr>
        <w:t xml:space="preserve"> (holding that an award of attorney fees to settlor’s children against trustee was proper under breach of trust exception to American Rule in accordance with </w:t>
      </w:r>
      <w:r w:rsidR="00E71646" w:rsidRPr="00E71646">
        <w:rPr>
          <w:rFonts w:eastAsia="Times New Roman"/>
          <w:b/>
          <w:sz w:val="24"/>
          <w:szCs w:val="24"/>
        </w:rPr>
        <w:t>Delluomo</w:t>
      </w:r>
      <w:r w:rsidR="00E71646" w:rsidRPr="00E71646">
        <w:rPr>
          <w:rFonts w:eastAsia="Times New Roman"/>
          <w:sz w:val="24"/>
          <w:szCs w:val="24"/>
        </w:rPr>
        <w:t xml:space="preserve"> where jury determined that defendant had breached a fiduciary duty to settlor, the defendant was a trustee, and trustee and his siblings stood to personally gain from his breach of fiduciary duty). </w:t>
      </w:r>
      <w:r w:rsidR="00E71646" w:rsidRPr="00E71646">
        <w:rPr>
          <w:rFonts w:eastAsia="Times New Roman"/>
          <w:sz w:val="24"/>
          <w:szCs w:val="24"/>
        </w:rPr>
        <w:tab/>
      </w:r>
    </w:p>
    <w:p w14:paraId="0D97E229" w14:textId="3DBE473F" w:rsidR="00E71646" w:rsidRPr="00E71646" w:rsidRDefault="008244DF" w:rsidP="00E71646">
      <w:pPr>
        <w:spacing w:after="240"/>
        <w:ind w:firstLine="720"/>
        <w:rPr>
          <w:rFonts w:eastAsia="Times New Roman"/>
          <w:sz w:val="24"/>
          <w:szCs w:val="24"/>
        </w:rPr>
      </w:pPr>
      <w:r>
        <w:rPr>
          <w:rFonts w:eastAsia="Times New Roman"/>
          <w:sz w:val="24"/>
          <w:szCs w:val="24"/>
        </w:rPr>
        <w:t>5</w:t>
      </w:r>
      <w:r w:rsidR="00E71646" w:rsidRPr="00E71646">
        <w:rPr>
          <w:rFonts w:eastAsia="Times New Roman"/>
          <w:sz w:val="24"/>
          <w:szCs w:val="24"/>
        </w:rPr>
        <w:t xml:space="preserve">. Comparative negligence is not available as a defense to an intentional tort claim. </w:t>
      </w:r>
      <w:proofErr w:type="gramStart"/>
      <w:r w:rsidR="00E71646" w:rsidRPr="00E71646">
        <w:rPr>
          <w:rFonts w:eastAsia="Times New Roman"/>
          <w:b/>
          <w:sz w:val="24"/>
          <w:szCs w:val="24"/>
        </w:rPr>
        <w:t>Carman v. Heber</w:t>
      </w:r>
      <w:r w:rsidR="00E71646" w:rsidRPr="00E71646">
        <w:rPr>
          <w:rFonts w:eastAsia="Times New Roman"/>
          <w:sz w:val="24"/>
          <w:szCs w:val="24"/>
        </w:rPr>
        <w:t xml:space="preserve">, 43 </w:t>
      </w:r>
      <w:r w:rsidR="00E71BCE">
        <w:rPr>
          <w:rFonts w:eastAsia="Times New Roman"/>
          <w:sz w:val="24"/>
          <w:szCs w:val="24"/>
        </w:rPr>
        <w:t>Colo. App.</w:t>
      </w:r>
      <w:r w:rsidR="00E71646" w:rsidRPr="00E71646">
        <w:rPr>
          <w:rFonts w:eastAsia="Times New Roman"/>
          <w:sz w:val="24"/>
          <w:szCs w:val="24"/>
        </w:rPr>
        <w:t xml:space="preserve"> 5, 601 P.2d 646 (1979).</w:t>
      </w:r>
      <w:proofErr w:type="gramEnd"/>
      <w:r w:rsidR="00E71646" w:rsidRPr="00E71646">
        <w:rPr>
          <w:rFonts w:eastAsia="Times New Roman"/>
          <w:sz w:val="24"/>
          <w:szCs w:val="24"/>
        </w:rPr>
        <w:t xml:space="preserve"> </w:t>
      </w:r>
      <w:r w:rsidR="00E71646" w:rsidRPr="00E71646">
        <w:rPr>
          <w:rFonts w:eastAsia="Times New Roman"/>
          <w:i/>
          <w:sz w:val="24"/>
          <w:szCs w:val="24"/>
        </w:rPr>
        <w:t xml:space="preserve">See also </w:t>
      </w:r>
      <w:r w:rsidR="00E71646" w:rsidRPr="00E71646">
        <w:rPr>
          <w:rFonts w:eastAsia="Times New Roman"/>
          <w:b/>
          <w:sz w:val="24"/>
          <w:szCs w:val="24"/>
        </w:rPr>
        <w:t>Winkler v. Rocky Mountain Conference of the United Methodist Church</w:t>
      </w:r>
      <w:r w:rsidR="00E71646" w:rsidRPr="00E71646">
        <w:rPr>
          <w:rFonts w:eastAsia="Times New Roman"/>
          <w:sz w:val="24"/>
          <w:szCs w:val="24"/>
        </w:rPr>
        <w:t>, 923 P.2d 152 (</w:t>
      </w:r>
      <w:r w:rsidR="00E71BCE">
        <w:rPr>
          <w:rFonts w:eastAsia="Times New Roman"/>
          <w:sz w:val="24"/>
          <w:szCs w:val="24"/>
        </w:rPr>
        <w:t>Colo. App.</w:t>
      </w:r>
      <w:r w:rsidR="00E71646" w:rsidRPr="00E71646">
        <w:rPr>
          <w:rFonts w:eastAsia="Times New Roman"/>
          <w:sz w:val="24"/>
          <w:szCs w:val="24"/>
        </w:rPr>
        <w:t xml:space="preserve"> 1995) (holding that trial court did not err in failing to instruct the jury on comparative negligence with respect to plaintiff’s claim for breach of fiduciary duty because even assuming that comparative negligence principles may apply to a claim for breach of fiduciary duty there was no evidence which would support a finding that plaintiff was at fault or had knowledge of the danger to which she was exposed, consented to that danger, and assumed the risk); </w:t>
      </w:r>
      <w:r w:rsidR="00E71646" w:rsidRPr="00E71646">
        <w:rPr>
          <w:rFonts w:eastAsia="Times New Roman"/>
          <w:b/>
          <w:sz w:val="24"/>
          <w:szCs w:val="24"/>
        </w:rPr>
        <w:t>Van Schaack v. Van Schaack Holdings, Ltd.</w:t>
      </w:r>
      <w:r w:rsidR="00E71646" w:rsidRPr="00E71646">
        <w:rPr>
          <w:rFonts w:eastAsia="Times New Roman"/>
          <w:sz w:val="24"/>
          <w:szCs w:val="24"/>
        </w:rPr>
        <w:t>, 856 P.2d 15 (</w:t>
      </w:r>
      <w:r w:rsidR="00E71BCE">
        <w:rPr>
          <w:rFonts w:eastAsia="Times New Roman"/>
          <w:sz w:val="24"/>
          <w:szCs w:val="24"/>
        </w:rPr>
        <w:t>Colo. App.</w:t>
      </w:r>
      <w:r w:rsidR="00E71646" w:rsidRPr="00E71646">
        <w:rPr>
          <w:rFonts w:eastAsia="Times New Roman"/>
          <w:sz w:val="24"/>
          <w:szCs w:val="24"/>
        </w:rPr>
        <w:t xml:space="preserve"> 1992) (trial court did not err in refusing to instruct the jury on comparative negligence in conjunction with plaintiff’s breach of fiduciary duty claim because plaintiff’s actions could not have affected the jury’s determination as to whether defendants had breached their fiduciary duty to her as a shareholder).</w:t>
      </w:r>
      <w:r w:rsidR="00E71646" w:rsidRPr="00E71646">
        <w:rPr>
          <w:rFonts w:eastAsia="Times New Roman"/>
          <w:b/>
          <w:sz w:val="24"/>
          <w:szCs w:val="24"/>
        </w:rPr>
        <w:t xml:space="preserve"> </w:t>
      </w:r>
    </w:p>
    <w:p w14:paraId="16CC076E" w14:textId="36EF155C" w:rsidR="00E71646" w:rsidRPr="00E71646" w:rsidRDefault="008244DF" w:rsidP="00E71646">
      <w:pPr>
        <w:spacing w:after="240"/>
        <w:ind w:firstLine="720"/>
        <w:rPr>
          <w:rFonts w:eastAsia="Times New Roman"/>
          <w:sz w:val="24"/>
          <w:szCs w:val="24"/>
        </w:rPr>
      </w:pPr>
      <w:r>
        <w:rPr>
          <w:rFonts w:eastAsia="Times New Roman"/>
          <w:sz w:val="24"/>
          <w:szCs w:val="24"/>
        </w:rPr>
        <w:lastRenderedPageBreak/>
        <w:t>6</w:t>
      </w:r>
      <w:r w:rsidR="00E71646" w:rsidRPr="00E71646">
        <w:rPr>
          <w:rFonts w:eastAsia="Times New Roman"/>
          <w:sz w:val="24"/>
          <w:szCs w:val="24"/>
        </w:rPr>
        <w:t xml:space="preserve">. When a fiduciary duty arises from a contract, the economic loss rule applies, such that a breach of a fiduciary duty cannot serve as the basis of a tort claim seeking additional compensation for an alleged failure to perform a contractual obligation. </w:t>
      </w:r>
      <w:r w:rsidR="00E71646" w:rsidRPr="00E71646">
        <w:rPr>
          <w:rFonts w:eastAsia="Times New Roman"/>
          <w:b/>
          <w:sz w:val="24"/>
          <w:szCs w:val="24"/>
        </w:rPr>
        <w:t>Casey v. Colo</w:t>
      </w:r>
      <w:r w:rsidR="00674DF1">
        <w:rPr>
          <w:rFonts w:eastAsia="Times New Roman"/>
          <w:b/>
          <w:sz w:val="24"/>
          <w:szCs w:val="24"/>
        </w:rPr>
        <w:t>.</w:t>
      </w:r>
      <w:r w:rsidR="00E71646" w:rsidRPr="00E71646">
        <w:rPr>
          <w:rFonts w:eastAsia="Times New Roman"/>
          <w:b/>
          <w:sz w:val="24"/>
          <w:szCs w:val="24"/>
        </w:rPr>
        <w:t xml:space="preserve"> Higher Educ. Ins. Benefits All</w:t>
      </w:r>
      <w:r w:rsidR="00674DF1">
        <w:rPr>
          <w:rFonts w:eastAsia="Times New Roman"/>
          <w:b/>
          <w:sz w:val="24"/>
          <w:szCs w:val="24"/>
        </w:rPr>
        <w:t>.</w:t>
      </w:r>
      <w:r w:rsidR="00E71646" w:rsidRPr="00E71646">
        <w:rPr>
          <w:rFonts w:eastAsia="Times New Roman"/>
          <w:b/>
          <w:sz w:val="24"/>
          <w:szCs w:val="24"/>
        </w:rPr>
        <w:t xml:space="preserve"> Tr</w:t>
      </w:r>
      <w:r w:rsidR="00674DF1">
        <w:rPr>
          <w:rFonts w:eastAsia="Times New Roman"/>
          <w:b/>
          <w:sz w:val="24"/>
          <w:szCs w:val="24"/>
        </w:rPr>
        <w:t>.</w:t>
      </w:r>
      <w:r w:rsidR="00E71646" w:rsidRPr="00E71646">
        <w:rPr>
          <w:rFonts w:eastAsia="Times New Roman"/>
          <w:sz w:val="24"/>
          <w:szCs w:val="24"/>
        </w:rPr>
        <w:t>, 2012 COA 134,</w:t>
      </w:r>
      <w:r w:rsidR="00855DB9">
        <w:rPr>
          <w:rFonts w:eastAsia="Times New Roman"/>
          <w:sz w:val="24"/>
          <w:szCs w:val="24"/>
        </w:rPr>
        <w:t xml:space="preserve"> ¶ 30, 310 P.3d 196</w:t>
      </w:r>
      <w:r w:rsidR="00E71646" w:rsidRPr="00E71646">
        <w:rPr>
          <w:rFonts w:eastAsia="Times New Roman"/>
          <w:sz w:val="24"/>
          <w:szCs w:val="24"/>
        </w:rPr>
        <w:t xml:space="preserve">; </w:t>
      </w:r>
      <w:proofErr w:type="gramStart"/>
      <w:r w:rsidR="00E71646" w:rsidRPr="00E71646">
        <w:rPr>
          <w:rFonts w:eastAsia="Times New Roman"/>
          <w:b/>
          <w:sz w:val="24"/>
          <w:szCs w:val="24"/>
        </w:rPr>
        <w:t>A</w:t>
      </w:r>
      <w:proofErr w:type="gramEnd"/>
      <w:r w:rsidR="00E71646" w:rsidRPr="00E71646">
        <w:rPr>
          <w:rFonts w:eastAsia="Times New Roman"/>
          <w:b/>
          <w:sz w:val="24"/>
          <w:szCs w:val="24"/>
        </w:rPr>
        <w:t xml:space="preserve"> Good Time Rental, LLC v. </w:t>
      </w:r>
      <w:proofErr w:type="gramStart"/>
      <w:r w:rsidR="00E71646" w:rsidRPr="00E71646">
        <w:rPr>
          <w:rFonts w:eastAsia="Times New Roman"/>
          <w:b/>
          <w:sz w:val="24"/>
          <w:szCs w:val="24"/>
        </w:rPr>
        <w:t>First Am. Title Agency, Inc.</w:t>
      </w:r>
      <w:r w:rsidR="00E71646" w:rsidRPr="00E71646">
        <w:rPr>
          <w:rFonts w:eastAsia="Times New Roman"/>
          <w:sz w:val="24"/>
          <w:szCs w:val="24"/>
        </w:rPr>
        <w:t>, 259 P.3d 534 (</w:t>
      </w:r>
      <w:r w:rsidR="00E71BCE">
        <w:rPr>
          <w:rFonts w:eastAsia="Times New Roman"/>
          <w:sz w:val="24"/>
          <w:szCs w:val="24"/>
        </w:rPr>
        <w:t>Colo. App.</w:t>
      </w:r>
      <w:r w:rsidR="00E71646" w:rsidRPr="00E71646">
        <w:rPr>
          <w:rFonts w:eastAsia="Times New Roman"/>
          <w:sz w:val="24"/>
          <w:szCs w:val="24"/>
        </w:rPr>
        <w:t xml:space="preserve"> 2011).</w:t>
      </w:r>
      <w:proofErr w:type="gramEnd"/>
    </w:p>
    <w:p w14:paraId="2C45B3D8" w14:textId="68F288B2" w:rsidR="00E41870" w:rsidRPr="00EC29A6" w:rsidRDefault="008244DF" w:rsidP="00370240">
      <w:pPr>
        <w:spacing w:after="240"/>
        <w:ind w:firstLine="720"/>
        <w:rPr>
          <w:rFonts w:eastAsia="Times New Roman"/>
          <w:sz w:val="24"/>
          <w:szCs w:val="24"/>
        </w:rPr>
      </w:pPr>
      <w:r>
        <w:rPr>
          <w:rFonts w:eastAsia="Times New Roman"/>
          <w:sz w:val="24"/>
          <w:szCs w:val="24"/>
        </w:rPr>
        <w:t>7</w:t>
      </w:r>
      <w:r w:rsidR="00E71646" w:rsidRPr="00E71646">
        <w:rPr>
          <w:rFonts w:eastAsia="Times New Roman"/>
          <w:sz w:val="24"/>
          <w:szCs w:val="24"/>
        </w:rPr>
        <w:t xml:space="preserve">. The general rule is that an employee is not entitled to any compensation for services performed during a period in which he engaged in activities constituting a breach of his duty of loyalty, even though part of those services may have been properly performed. The employee is, however, entitled to compensation for services properly performed during periods in which no such breach occurred. </w:t>
      </w:r>
      <w:proofErr w:type="gramStart"/>
      <w:r w:rsidR="00E71646" w:rsidRPr="00E71646">
        <w:rPr>
          <w:rFonts w:eastAsia="Times New Roman"/>
          <w:b/>
          <w:sz w:val="24"/>
          <w:szCs w:val="24"/>
        </w:rPr>
        <w:t>Koontz v. Rosener</w:t>
      </w:r>
      <w:r w:rsidR="00E71646" w:rsidRPr="00E71646">
        <w:rPr>
          <w:rFonts w:eastAsia="Times New Roman"/>
          <w:sz w:val="24"/>
          <w:szCs w:val="24"/>
        </w:rPr>
        <w:t>, 787 P.2d 192 (</w:t>
      </w:r>
      <w:r w:rsidR="00E71BCE">
        <w:rPr>
          <w:rFonts w:eastAsia="Times New Roman"/>
          <w:sz w:val="24"/>
          <w:szCs w:val="24"/>
        </w:rPr>
        <w:t>Colo. App.</w:t>
      </w:r>
      <w:r w:rsidR="00E71646" w:rsidRPr="00E71646">
        <w:rPr>
          <w:rFonts w:eastAsia="Times New Roman"/>
          <w:sz w:val="24"/>
          <w:szCs w:val="24"/>
        </w:rPr>
        <w:t xml:space="preserve"> 1989).</w:t>
      </w:r>
      <w:proofErr w:type="gramEnd"/>
    </w:p>
    <w:sectPr w:rsidR="00E41870" w:rsidRPr="00EC29A6"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B808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808CB" w16cid:durableId="257841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6B931" w14:textId="77777777" w:rsidR="00514DC0" w:rsidRDefault="00514DC0" w:rsidP="0054263B">
      <w:r>
        <w:separator/>
      </w:r>
    </w:p>
    <w:p w14:paraId="4A5B666A" w14:textId="77777777" w:rsidR="00514DC0" w:rsidRDefault="00514DC0"/>
  </w:endnote>
  <w:endnote w:type="continuationSeparator" w:id="0">
    <w:p w14:paraId="2FE7F9F8" w14:textId="77777777" w:rsidR="00514DC0" w:rsidRDefault="00514DC0" w:rsidP="0054263B">
      <w:r>
        <w:continuationSeparator/>
      </w:r>
    </w:p>
    <w:p w14:paraId="716D6C31" w14:textId="77777777" w:rsidR="00514DC0" w:rsidRDefault="00514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7145569" w14:textId="77777777" w:rsidR="00460071" w:rsidRDefault="00460071">
        <w:pPr>
          <w:pStyle w:val="Footer"/>
          <w:jc w:val="center"/>
        </w:pPr>
        <w:r>
          <w:fldChar w:fldCharType="begin"/>
        </w:r>
        <w:r>
          <w:instrText xml:space="preserve"> PAGE   \* MERGEFORMAT </w:instrText>
        </w:r>
        <w:r>
          <w:fldChar w:fldCharType="separate"/>
        </w:r>
        <w:r w:rsidR="00C1697F">
          <w:rPr>
            <w:noProof/>
          </w:rPr>
          <w:t>4</w:t>
        </w:r>
        <w:r>
          <w:rPr>
            <w:noProof/>
          </w:rPr>
          <w:fldChar w:fldCharType="end"/>
        </w:r>
      </w:p>
    </w:sdtContent>
  </w:sdt>
  <w:p w14:paraId="421D70D7" w14:textId="77777777" w:rsidR="00460071" w:rsidRDefault="00460071">
    <w:pPr>
      <w:pStyle w:val="Footer"/>
    </w:pPr>
  </w:p>
  <w:p w14:paraId="7E7EBDD2" w14:textId="77777777" w:rsidR="00460071" w:rsidRDefault="00460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C6496" w14:textId="77777777" w:rsidR="00514DC0" w:rsidRDefault="00514DC0" w:rsidP="0054263B">
      <w:r>
        <w:separator/>
      </w:r>
    </w:p>
    <w:p w14:paraId="336B75AE" w14:textId="77777777" w:rsidR="00514DC0" w:rsidRDefault="00514DC0"/>
  </w:footnote>
  <w:footnote w:type="continuationSeparator" w:id="0">
    <w:p w14:paraId="3F1DF187" w14:textId="77777777" w:rsidR="00514DC0" w:rsidRDefault="00514DC0" w:rsidP="0054263B">
      <w:r>
        <w:continuationSeparator/>
      </w:r>
    </w:p>
    <w:p w14:paraId="7AC79C7C" w14:textId="77777777" w:rsidR="00514DC0" w:rsidRDefault="00514D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10538"/>
    <w:rsid w:val="00020613"/>
    <w:rsid w:val="00020CF1"/>
    <w:rsid w:val="000224AF"/>
    <w:rsid w:val="00037111"/>
    <w:rsid w:val="000532E3"/>
    <w:rsid w:val="0006367C"/>
    <w:rsid w:val="00074558"/>
    <w:rsid w:val="000824C8"/>
    <w:rsid w:val="00085495"/>
    <w:rsid w:val="000921F1"/>
    <w:rsid w:val="0009462F"/>
    <w:rsid w:val="000962C8"/>
    <w:rsid w:val="000A040F"/>
    <w:rsid w:val="000B1B7A"/>
    <w:rsid w:val="000C204E"/>
    <w:rsid w:val="000C4A14"/>
    <w:rsid w:val="000C503A"/>
    <w:rsid w:val="000C6F97"/>
    <w:rsid w:val="000D4856"/>
    <w:rsid w:val="000F205C"/>
    <w:rsid w:val="000F57B1"/>
    <w:rsid w:val="001007E7"/>
    <w:rsid w:val="00101A07"/>
    <w:rsid w:val="00107079"/>
    <w:rsid w:val="00111652"/>
    <w:rsid w:val="001117D9"/>
    <w:rsid w:val="00112C8E"/>
    <w:rsid w:val="00112FF9"/>
    <w:rsid w:val="001134B3"/>
    <w:rsid w:val="00116A3D"/>
    <w:rsid w:val="00125209"/>
    <w:rsid w:val="00126B7A"/>
    <w:rsid w:val="001300D4"/>
    <w:rsid w:val="001303C5"/>
    <w:rsid w:val="00143A15"/>
    <w:rsid w:val="00144917"/>
    <w:rsid w:val="001561D5"/>
    <w:rsid w:val="001608FF"/>
    <w:rsid w:val="001671A9"/>
    <w:rsid w:val="00171705"/>
    <w:rsid w:val="00172674"/>
    <w:rsid w:val="00174BB5"/>
    <w:rsid w:val="0018302F"/>
    <w:rsid w:val="0018388B"/>
    <w:rsid w:val="00184D62"/>
    <w:rsid w:val="001903CB"/>
    <w:rsid w:val="001913B1"/>
    <w:rsid w:val="00191498"/>
    <w:rsid w:val="00191C86"/>
    <w:rsid w:val="00195972"/>
    <w:rsid w:val="0019684F"/>
    <w:rsid w:val="001A2648"/>
    <w:rsid w:val="001A688B"/>
    <w:rsid w:val="001C0DF5"/>
    <w:rsid w:val="001C3753"/>
    <w:rsid w:val="001D31A6"/>
    <w:rsid w:val="001D4027"/>
    <w:rsid w:val="001D5BE2"/>
    <w:rsid w:val="001E0F3B"/>
    <w:rsid w:val="001E1DB5"/>
    <w:rsid w:val="001F0193"/>
    <w:rsid w:val="00200BA5"/>
    <w:rsid w:val="00202B81"/>
    <w:rsid w:val="00204ADA"/>
    <w:rsid w:val="002065D8"/>
    <w:rsid w:val="0021368F"/>
    <w:rsid w:val="0021730E"/>
    <w:rsid w:val="00217435"/>
    <w:rsid w:val="0022134E"/>
    <w:rsid w:val="00223286"/>
    <w:rsid w:val="00226E36"/>
    <w:rsid w:val="00227D3A"/>
    <w:rsid w:val="00231BC4"/>
    <w:rsid w:val="00232C53"/>
    <w:rsid w:val="0024003A"/>
    <w:rsid w:val="0024062B"/>
    <w:rsid w:val="0024597C"/>
    <w:rsid w:val="00254258"/>
    <w:rsid w:val="002547C3"/>
    <w:rsid w:val="002654B4"/>
    <w:rsid w:val="00265D86"/>
    <w:rsid w:val="00267805"/>
    <w:rsid w:val="00273777"/>
    <w:rsid w:val="0027486C"/>
    <w:rsid w:val="0028301A"/>
    <w:rsid w:val="00290935"/>
    <w:rsid w:val="00293941"/>
    <w:rsid w:val="00293F7E"/>
    <w:rsid w:val="00295B39"/>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4106"/>
    <w:rsid w:val="00335934"/>
    <w:rsid w:val="00336CE4"/>
    <w:rsid w:val="00345533"/>
    <w:rsid w:val="00352111"/>
    <w:rsid w:val="00352433"/>
    <w:rsid w:val="00352696"/>
    <w:rsid w:val="00353044"/>
    <w:rsid w:val="00353A1E"/>
    <w:rsid w:val="003613FE"/>
    <w:rsid w:val="00370240"/>
    <w:rsid w:val="00382177"/>
    <w:rsid w:val="003837B6"/>
    <w:rsid w:val="00392F02"/>
    <w:rsid w:val="003937B8"/>
    <w:rsid w:val="00397288"/>
    <w:rsid w:val="003A2F1C"/>
    <w:rsid w:val="003A5A75"/>
    <w:rsid w:val="003B5ABE"/>
    <w:rsid w:val="003D027F"/>
    <w:rsid w:val="003D1B54"/>
    <w:rsid w:val="003D370E"/>
    <w:rsid w:val="003D4518"/>
    <w:rsid w:val="003E472A"/>
    <w:rsid w:val="003E5B38"/>
    <w:rsid w:val="003E7402"/>
    <w:rsid w:val="003F108C"/>
    <w:rsid w:val="003F6E89"/>
    <w:rsid w:val="00401A31"/>
    <w:rsid w:val="00402C7C"/>
    <w:rsid w:val="00407AAB"/>
    <w:rsid w:val="004324EA"/>
    <w:rsid w:val="00433162"/>
    <w:rsid w:val="00434371"/>
    <w:rsid w:val="004425AA"/>
    <w:rsid w:val="00456038"/>
    <w:rsid w:val="00456B2B"/>
    <w:rsid w:val="00460071"/>
    <w:rsid w:val="00467B80"/>
    <w:rsid w:val="0047120C"/>
    <w:rsid w:val="00471618"/>
    <w:rsid w:val="0047374D"/>
    <w:rsid w:val="00473B65"/>
    <w:rsid w:val="00474B1B"/>
    <w:rsid w:val="0048541F"/>
    <w:rsid w:val="00485635"/>
    <w:rsid w:val="0049313F"/>
    <w:rsid w:val="00496096"/>
    <w:rsid w:val="004A1210"/>
    <w:rsid w:val="004A32E6"/>
    <w:rsid w:val="004B4969"/>
    <w:rsid w:val="004B753E"/>
    <w:rsid w:val="004C1A04"/>
    <w:rsid w:val="004C62F9"/>
    <w:rsid w:val="004C723A"/>
    <w:rsid w:val="004C73F5"/>
    <w:rsid w:val="004D2C99"/>
    <w:rsid w:val="004D57DB"/>
    <w:rsid w:val="004E0408"/>
    <w:rsid w:val="004E7EF1"/>
    <w:rsid w:val="004F003D"/>
    <w:rsid w:val="00502D97"/>
    <w:rsid w:val="005065E6"/>
    <w:rsid w:val="0051385E"/>
    <w:rsid w:val="00514DC0"/>
    <w:rsid w:val="00516447"/>
    <w:rsid w:val="0052537F"/>
    <w:rsid w:val="00527A18"/>
    <w:rsid w:val="00531F87"/>
    <w:rsid w:val="0053544D"/>
    <w:rsid w:val="0054263B"/>
    <w:rsid w:val="00547D97"/>
    <w:rsid w:val="00550AFD"/>
    <w:rsid w:val="005575D0"/>
    <w:rsid w:val="00557FCC"/>
    <w:rsid w:val="005626B2"/>
    <w:rsid w:val="005648EF"/>
    <w:rsid w:val="00564FCD"/>
    <w:rsid w:val="00576EAD"/>
    <w:rsid w:val="0057771F"/>
    <w:rsid w:val="00583F4A"/>
    <w:rsid w:val="00596900"/>
    <w:rsid w:val="005A22A6"/>
    <w:rsid w:val="005B27FE"/>
    <w:rsid w:val="005B3A78"/>
    <w:rsid w:val="005C56C9"/>
    <w:rsid w:val="005C5CCB"/>
    <w:rsid w:val="005D1AD3"/>
    <w:rsid w:val="005D3156"/>
    <w:rsid w:val="005E712D"/>
    <w:rsid w:val="005F1017"/>
    <w:rsid w:val="005F19FD"/>
    <w:rsid w:val="005F5A94"/>
    <w:rsid w:val="00604F03"/>
    <w:rsid w:val="006050B3"/>
    <w:rsid w:val="006053F6"/>
    <w:rsid w:val="006272FE"/>
    <w:rsid w:val="00631BFF"/>
    <w:rsid w:val="00642649"/>
    <w:rsid w:val="00647CC5"/>
    <w:rsid w:val="00651A64"/>
    <w:rsid w:val="0066100E"/>
    <w:rsid w:val="00661D05"/>
    <w:rsid w:val="00674DF1"/>
    <w:rsid w:val="00675252"/>
    <w:rsid w:val="00675BD1"/>
    <w:rsid w:val="00682B93"/>
    <w:rsid w:val="0068336D"/>
    <w:rsid w:val="00683FA1"/>
    <w:rsid w:val="00685E76"/>
    <w:rsid w:val="00687304"/>
    <w:rsid w:val="00697DF2"/>
    <w:rsid w:val="006A0C6E"/>
    <w:rsid w:val="006A47FD"/>
    <w:rsid w:val="006A5E1B"/>
    <w:rsid w:val="006A74B6"/>
    <w:rsid w:val="006A7F32"/>
    <w:rsid w:val="006B2457"/>
    <w:rsid w:val="006B26D7"/>
    <w:rsid w:val="006B27DF"/>
    <w:rsid w:val="006B6CF1"/>
    <w:rsid w:val="006D00EC"/>
    <w:rsid w:val="006D531A"/>
    <w:rsid w:val="006D5A11"/>
    <w:rsid w:val="006E0424"/>
    <w:rsid w:val="006E0D06"/>
    <w:rsid w:val="006E0FB3"/>
    <w:rsid w:val="006E3575"/>
    <w:rsid w:val="006E62F0"/>
    <w:rsid w:val="006F2964"/>
    <w:rsid w:val="006F7581"/>
    <w:rsid w:val="006F7DC0"/>
    <w:rsid w:val="00702B5A"/>
    <w:rsid w:val="0070752A"/>
    <w:rsid w:val="007119D8"/>
    <w:rsid w:val="0071225B"/>
    <w:rsid w:val="00712E33"/>
    <w:rsid w:val="00713866"/>
    <w:rsid w:val="007216DA"/>
    <w:rsid w:val="00724230"/>
    <w:rsid w:val="00726E21"/>
    <w:rsid w:val="007340B5"/>
    <w:rsid w:val="00734FF0"/>
    <w:rsid w:val="00742DFC"/>
    <w:rsid w:val="0074300C"/>
    <w:rsid w:val="007532AB"/>
    <w:rsid w:val="00766F81"/>
    <w:rsid w:val="00770FFC"/>
    <w:rsid w:val="00776F3F"/>
    <w:rsid w:val="00787065"/>
    <w:rsid w:val="00792028"/>
    <w:rsid w:val="007A1E8C"/>
    <w:rsid w:val="007A2BD1"/>
    <w:rsid w:val="007A3A0E"/>
    <w:rsid w:val="007A56C2"/>
    <w:rsid w:val="007A612E"/>
    <w:rsid w:val="007B1633"/>
    <w:rsid w:val="007C42D5"/>
    <w:rsid w:val="007C4B23"/>
    <w:rsid w:val="007D168F"/>
    <w:rsid w:val="007D198E"/>
    <w:rsid w:val="007D2BCE"/>
    <w:rsid w:val="007D39CC"/>
    <w:rsid w:val="007E1675"/>
    <w:rsid w:val="007F40A8"/>
    <w:rsid w:val="007F4AB1"/>
    <w:rsid w:val="007F7129"/>
    <w:rsid w:val="00801691"/>
    <w:rsid w:val="00806282"/>
    <w:rsid w:val="00806F39"/>
    <w:rsid w:val="00813A6B"/>
    <w:rsid w:val="0082168C"/>
    <w:rsid w:val="008244DF"/>
    <w:rsid w:val="00827ADB"/>
    <w:rsid w:val="0083254A"/>
    <w:rsid w:val="0083264A"/>
    <w:rsid w:val="00832DB4"/>
    <w:rsid w:val="0083763B"/>
    <w:rsid w:val="00837F81"/>
    <w:rsid w:val="00845F81"/>
    <w:rsid w:val="00850A48"/>
    <w:rsid w:val="00853ECF"/>
    <w:rsid w:val="008551ED"/>
    <w:rsid w:val="008557E1"/>
    <w:rsid w:val="00855DB9"/>
    <w:rsid w:val="008641A3"/>
    <w:rsid w:val="0086735A"/>
    <w:rsid w:val="008703EF"/>
    <w:rsid w:val="00875064"/>
    <w:rsid w:val="008812A8"/>
    <w:rsid w:val="00881431"/>
    <w:rsid w:val="008859AF"/>
    <w:rsid w:val="00895065"/>
    <w:rsid w:val="008A0D33"/>
    <w:rsid w:val="008A1099"/>
    <w:rsid w:val="008A475A"/>
    <w:rsid w:val="008A6339"/>
    <w:rsid w:val="008A637B"/>
    <w:rsid w:val="008B1617"/>
    <w:rsid w:val="008B5859"/>
    <w:rsid w:val="008B7480"/>
    <w:rsid w:val="008C1739"/>
    <w:rsid w:val="008C79FC"/>
    <w:rsid w:val="008D1BC7"/>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603E5"/>
    <w:rsid w:val="009611F0"/>
    <w:rsid w:val="009725D8"/>
    <w:rsid w:val="00973884"/>
    <w:rsid w:val="0098626C"/>
    <w:rsid w:val="009902F2"/>
    <w:rsid w:val="009904A6"/>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041D"/>
    <w:rsid w:val="009F581C"/>
    <w:rsid w:val="00A005E6"/>
    <w:rsid w:val="00A038A6"/>
    <w:rsid w:val="00A06ED6"/>
    <w:rsid w:val="00A10F3D"/>
    <w:rsid w:val="00A110C7"/>
    <w:rsid w:val="00A24EA1"/>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3D51"/>
    <w:rsid w:val="00AC78F7"/>
    <w:rsid w:val="00AD4B56"/>
    <w:rsid w:val="00AD61CD"/>
    <w:rsid w:val="00AF1706"/>
    <w:rsid w:val="00AF40E1"/>
    <w:rsid w:val="00AF7D47"/>
    <w:rsid w:val="00B0264D"/>
    <w:rsid w:val="00B041F7"/>
    <w:rsid w:val="00B120C8"/>
    <w:rsid w:val="00B134C5"/>
    <w:rsid w:val="00B27F5C"/>
    <w:rsid w:val="00B328BA"/>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9C4"/>
    <w:rsid w:val="00BA7563"/>
    <w:rsid w:val="00BB28E0"/>
    <w:rsid w:val="00BB344E"/>
    <w:rsid w:val="00BB436B"/>
    <w:rsid w:val="00BC49BF"/>
    <w:rsid w:val="00BC60AE"/>
    <w:rsid w:val="00BC65EF"/>
    <w:rsid w:val="00BC789A"/>
    <w:rsid w:val="00BD51DC"/>
    <w:rsid w:val="00BE2B09"/>
    <w:rsid w:val="00BE654D"/>
    <w:rsid w:val="00BE6634"/>
    <w:rsid w:val="00BF333D"/>
    <w:rsid w:val="00BF5DF3"/>
    <w:rsid w:val="00C161A1"/>
    <w:rsid w:val="00C1697F"/>
    <w:rsid w:val="00C21D93"/>
    <w:rsid w:val="00C225C9"/>
    <w:rsid w:val="00C26751"/>
    <w:rsid w:val="00C40968"/>
    <w:rsid w:val="00C473A2"/>
    <w:rsid w:val="00C60E95"/>
    <w:rsid w:val="00C610EC"/>
    <w:rsid w:val="00C724B6"/>
    <w:rsid w:val="00C84E71"/>
    <w:rsid w:val="00C87463"/>
    <w:rsid w:val="00C8797B"/>
    <w:rsid w:val="00C901D7"/>
    <w:rsid w:val="00C93313"/>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2A2F"/>
    <w:rsid w:val="00CE593D"/>
    <w:rsid w:val="00CF07F1"/>
    <w:rsid w:val="00CF76E9"/>
    <w:rsid w:val="00CF79FC"/>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4B6D"/>
    <w:rsid w:val="00D66858"/>
    <w:rsid w:val="00D72662"/>
    <w:rsid w:val="00D767EB"/>
    <w:rsid w:val="00D77CFE"/>
    <w:rsid w:val="00D8125F"/>
    <w:rsid w:val="00D90E67"/>
    <w:rsid w:val="00D9448D"/>
    <w:rsid w:val="00DA1796"/>
    <w:rsid w:val="00DA2814"/>
    <w:rsid w:val="00DB2C90"/>
    <w:rsid w:val="00DC0393"/>
    <w:rsid w:val="00DC2F89"/>
    <w:rsid w:val="00DC63A9"/>
    <w:rsid w:val="00DC66A6"/>
    <w:rsid w:val="00DC7533"/>
    <w:rsid w:val="00DD77BF"/>
    <w:rsid w:val="00DE2930"/>
    <w:rsid w:val="00DF2CB7"/>
    <w:rsid w:val="00DF3BF1"/>
    <w:rsid w:val="00DF7595"/>
    <w:rsid w:val="00E007F8"/>
    <w:rsid w:val="00E04221"/>
    <w:rsid w:val="00E0552C"/>
    <w:rsid w:val="00E058BA"/>
    <w:rsid w:val="00E111AA"/>
    <w:rsid w:val="00E172C8"/>
    <w:rsid w:val="00E21120"/>
    <w:rsid w:val="00E24E10"/>
    <w:rsid w:val="00E2724A"/>
    <w:rsid w:val="00E30D4B"/>
    <w:rsid w:val="00E372EA"/>
    <w:rsid w:val="00E41870"/>
    <w:rsid w:val="00E50187"/>
    <w:rsid w:val="00E55147"/>
    <w:rsid w:val="00E551EB"/>
    <w:rsid w:val="00E57F5F"/>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5935"/>
    <w:rsid w:val="00EB6247"/>
    <w:rsid w:val="00EC16F4"/>
    <w:rsid w:val="00EC17E3"/>
    <w:rsid w:val="00EC29A6"/>
    <w:rsid w:val="00EC3919"/>
    <w:rsid w:val="00EC7C98"/>
    <w:rsid w:val="00ED32E8"/>
    <w:rsid w:val="00ED5E52"/>
    <w:rsid w:val="00ED7176"/>
    <w:rsid w:val="00ED75EA"/>
    <w:rsid w:val="00EE26F9"/>
    <w:rsid w:val="00EE51DF"/>
    <w:rsid w:val="00EF4043"/>
    <w:rsid w:val="00F00661"/>
    <w:rsid w:val="00F022D4"/>
    <w:rsid w:val="00F062A4"/>
    <w:rsid w:val="00F32AA4"/>
    <w:rsid w:val="00F573CF"/>
    <w:rsid w:val="00F57A2B"/>
    <w:rsid w:val="00F60050"/>
    <w:rsid w:val="00F64213"/>
    <w:rsid w:val="00F658E5"/>
    <w:rsid w:val="00F764F4"/>
    <w:rsid w:val="00F82676"/>
    <w:rsid w:val="00F8277D"/>
    <w:rsid w:val="00F86F49"/>
    <w:rsid w:val="00F9124B"/>
    <w:rsid w:val="00F94DD6"/>
    <w:rsid w:val="00FA333E"/>
    <w:rsid w:val="00FA53D7"/>
    <w:rsid w:val="00FA7B76"/>
    <w:rsid w:val="00FC1E82"/>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1A2B3-DADD-40BF-A0FF-79F40282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5720</Words>
  <Characters>32609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2022-01-12T17:02:00Z</dcterms:created>
  <dcterms:modified xsi:type="dcterms:W3CDTF">2022-01-12T17:02:00Z</dcterms:modified>
</cp:coreProperties>
</file>