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41CC" w:rsidRPr="00914128" w:rsidRDefault="0068336D" w:rsidP="00914128">
      <w:pPr>
        <w:pStyle w:val="Heading1"/>
      </w:pPr>
      <w:bookmarkStart w:id="0" w:name="_GoBack"/>
      <w:bookmarkEnd w:id="0"/>
      <w:r>
        <w:t xml:space="preserve">CHAPTER </w:t>
      </w:r>
      <w:r w:rsidR="006053F6">
        <w:t>21</w:t>
      </w:r>
    </w:p>
    <w:p w:rsidR="00EC7C98" w:rsidRPr="00914128" w:rsidRDefault="006053F6" w:rsidP="00914128">
      <w:pPr>
        <w:pStyle w:val="Heading1"/>
      </w:pPr>
      <w:r w:rsidRPr="006053F6">
        <w:t>FALSE IMPRISONMENT OR ARREST</w:t>
      </w:r>
    </w:p>
    <w:p w:rsidR="0022134E" w:rsidRPr="009B6746" w:rsidRDefault="0022134E" w:rsidP="00F658E5">
      <w:pPr>
        <w:pStyle w:val="Heading1"/>
        <w:keepNext/>
        <w:jc w:val="left"/>
        <w:rPr>
          <w:b w:val="0"/>
        </w:rPr>
      </w:pPr>
      <w:r w:rsidRPr="009B6746">
        <w:rPr>
          <w:b w:val="0"/>
        </w:rPr>
        <w:t xml:space="preserve">A. </w:t>
      </w:r>
      <w:r w:rsidR="006053F6" w:rsidRPr="006053F6">
        <w:rPr>
          <w:b w:val="0"/>
        </w:rPr>
        <w:t>LIABILITY</w:t>
      </w:r>
    </w:p>
    <w:p w:rsidR="00EC7C98" w:rsidRDefault="003C3CD2" w:rsidP="00914128">
      <w:pPr>
        <w:pStyle w:val="ToC"/>
      </w:pPr>
      <w:hyperlink w:anchor="a21_01" w:history="1">
        <w:r w:rsidR="00BC60AE" w:rsidRPr="00BC60AE">
          <w:rPr>
            <w:rStyle w:val="Hyperlink"/>
          </w:rPr>
          <w:t>21:1</w:t>
        </w:r>
      </w:hyperlink>
      <w:r w:rsidR="00BC60AE" w:rsidRPr="00BC60AE">
        <w:tab/>
        <w:t xml:space="preserve">Elements </w:t>
      </w:r>
      <w:r w:rsidR="00BC60AE">
        <w:t xml:space="preserve">of </w:t>
      </w:r>
      <w:r w:rsidR="00BC60AE" w:rsidRPr="00BC60AE">
        <w:t>Liability</w:t>
      </w:r>
    </w:p>
    <w:p w:rsidR="00BC60AE" w:rsidRDefault="003C3CD2" w:rsidP="00914128">
      <w:pPr>
        <w:pStyle w:val="ToC"/>
      </w:pPr>
      <w:hyperlink w:anchor="a21_02" w:history="1">
        <w:r w:rsidR="00BC60AE" w:rsidRPr="00BC60AE">
          <w:rPr>
            <w:rStyle w:val="Hyperlink"/>
          </w:rPr>
          <w:t>21:2</w:t>
        </w:r>
      </w:hyperlink>
      <w:r w:rsidR="00BC60AE" w:rsidRPr="00BC60AE">
        <w:t xml:space="preserve"> </w:t>
      </w:r>
      <w:r w:rsidR="00BC60AE" w:rsidRPr="00BC60AE">
        <w:tab/>
        <w:t xml:space="preserve">Restriction </w:t>
      </w:r>
      <w:r w:rsidR="00BC60AE">
        <w:t xml:space="preserve">of </w:t>
      </w:r>
      <w:r w:rsidR="00BC60AE" w:rsidRPr="00BC60AE">
        <w:t xml:space="preserve">Freedom </w:t>
      </w:r>
      <w:r w:rsidR="00BC60AE">
        <w:t xml:space="preserve">of </w:t>
      </w:r>
      <w:r w:rsidR="00BC60AE" w:rsidRPr="00BC60AE">
        <w:t>Movement — Defined</w:t>
      </w:r>
    </w:p>
    <w:p w:rsidR="00BC60AE" w:rsidRDefault="003C3CD2" w:rsidP="00914128">
      <w:pPr>
        <w:pStyle w:val="ToC"/>
      </w:pPr>
      <w:hyperlink w:anchor="a21_03" w:history="1">
        <w:r w:rsidR="00BC60AE" w:rsidRPr="00BC60AE">
          <w:rPr>
            <w:rStyle w:val="Hyperlink"/>
          </w:rPr>
          <w:t>21:3</w:t>
        </w:r>
      </w:hyperlink>
      <w:r w:rsidR="00BC60AE" w:rsidRPr="00BC60AE">
        <w:t xml:space="preserve"> </w:t>
      </w:r>
      <w:r w:rsidR="00BC60AE" w:rsidRPr="00BC60AE">
        <w:tab/>
        <w:t>Intent — Defined</w:t>
      </w:r>
    </w:p>
    <w:p w:rsidR="00BC60AE" w:rsidRDefault="003C3CD2" w:rsidP="00914128">
      <w:pPr>
        <w:pStyle w:val="ToC"/>
      </w:pPr>
      <w:hyperlink w:anchor="a21_04" w:history="1">
        <w:r w:rsidR="00BC60AE" w:rsidRPr="00BC60AE">
          <w:rPr>
            <w:rStyle w:val="Hyperlink"/>
          </w:rPr>
          <w:t>21:4</w:t>
        </w:r>
      </w:hyperlink>
      <w:r w:rsidR="00BC60AE" w:rsidRPr="00BC60AE">
        <w:t xml:space="preserve"> </w:t>
      </w:r>
      <w:r w:rsidR="00BC60AE" w:rsidRPr="00BC60AE">
        <w:tab/>
        <w:t xml:space="preserve">Intent </w:t>
      </w:r>
      <w:r w:rsidR="00BC60AE">
        <w:t xml:space="preserve">to </w:t>
      </w:r>
      <w:r w:rsidR="00BC60AE" w:rsidRPr="00BC60AE">
        <w:t xml:space="preserve">Restrict </w:t>
      </w:r>
      <w:r w:rsidR="00BC60AE">
        <w:t>b</w:t>
      </w:r>
      <w:r w:rsidR="00BC60AE" w:rsidRPr="00BC60AE">
        <w:t xml:space="preserve">y Failure </w:t>
      </w:r>
      <w:r w:rsidR="00BC60AE">
        <w:t xml:space="preserve">to </w:t>
      </w:r>
      <w:r w:rsidR="00BC60AE" w:rsidRPr="00BC60AE">
        <w:t>Release</w:t>
      </w:r>
    </w:p>
    <w:p w:rsidR="00BC60AE" w:rsidRDefault="003C3CD2" w:rsidP="00914128">
      <w:pPr>
        <w:pStyle w:val="ToC"/>
      </w:pPr>
      <w:hyperlink w:anchor="a21_05" w:history="1">
        <w:r w:rsidR="00BC60AE" w:rsidRPr="00BC60AE">
          <w:rPr>
            <w:rStyle w:val="Hyperlink"/>
          </w:rPr>
          <w:t>21:5</w:t>
        </w:r>
      </w:hyperlink>
      <w:r w:rsidR="00BC60AE" w:rsidRPr="00BC60AE">
        <w:t xml:space="preserve"> </w:t>
      </w:r>
      <w:r w:rsidR="00BC60AE" w:rsidRPr="00BC60AE">
        <w:tab/>
        <w:t xml:space="preserve">Actual </w:t>
      </w:r>
      <w:r w:rsidR="00BC60AE">
        <w:t xml:space="preserve">or </w:t>
      </w:r>
      <w:r w:rsidR="00BC60AE" w:rsidRPr="00BC60AE">
        <w:t>Nominal Damages</w:t>
      </w:r>
    </w:p>
    <w:p w:rsidR="002B5FCF" w:rsidRDefault="002B5FCF" w:rsidP="002B5FCF">
      <w:pPr>
        <w:pStyle w:val="ToC"/>
      </w:pPr>
    </w:p>
    <w:p w:rsidR="002B5FCF" w:rsidRPr="009B6746" w:rsidRDefault="002B5FCF" w:rsidP="002B5FCF">
      <w:pPr>
        <w:pStyle w:val="Heading1"/>
        <w:keepNext/>
        <w:jc w:val="left"/>
        <w:rPr>
          <w:b w:val="0"/>
        </w:rPr>
      </w:pPr>
      <w:r>
        <w:rPr>
          <w:b w:val="0"/>
        </w:rPr>
        <w:t>B</w:t>
      </w:r>
      <w:r w:rsidRPr="00973884">
        <w:rPr>
          <w:b w:val="0"/>
        </w:rPr>
        <w:t xml:space="preserve">. </w:t>
      </w:r>
      <w:r w:rsidR="006053F6" w:rsidRPr="006053F6">
        <w:rPr>
          <w:b w:val="0"/>
        </w:rPr>
        <w:t>AFFIRMATIVE DEFENSES</w:t>
      </w:r>
    </w:p>
    <w:p w:rsidR="002B5FCF" w:rsidRDefault="003C3CD2" w:rsidP="002B5FCF">
      <w:pPr>
        <w:pStyle w:val="ToC"/>
      </w:pPr>
      <w:hyperlink w:anchor="a21_06" w:history="1">
        <w:r w:rsidR="00BC60AE" w:rsidRPr="00BC60AE">
          <w:rPr>
            <w:rStyle w:val="Hyperlink"/>
          </w:rPr>
          <w:t>21:6</w:t>
        </w:r>
      </w:hyperlink>
      <w:r w:rsidR="00BC60AE" w:rsidRPr="00BC60AE">
        <w:t xml:space="preserve"> </w:t>
      </w:r>
      <w:r w:rsidR="00BC60AE" w:rsidRPr="00BC60AE">
        <w:tab/>
        <w:t>Consent</w:t>
      </w:r>
    </w:p>
    <w:p w:rsidR="00BC60AE" w:rsidRDefault="003C3CD2" w:rsidP="002B5FCF">
      <w:pPr>
        <w:pStyle w:val="ToC"/>
      </w:pPr>
      <w:hyperlink w:anchor="a21_07" w:history="1">
        <w:r w:rsidR="00BC60AE" w:rsidRPr="00BC60AE">
          <w:rPr>
            <w:rStyle w:val="Hyperlink"/>
          </w:rPr>
          <w:t>21:7</w:t>
        </w:r>
      </w:hyperlink>
      <w:r w:rsidR="00BC60AE" w:rsidRPr="00BC60AE">
        <w:t xml:space="preserve"> </w:t>
      </w:r>
      <w:r w:rsidR="00BC60AE" w:rsidRPr="00BC60AE">
        <w:tab/>
        <w:t xml:space="preserve">Statutory Privilege </w:t>
      </w:r>
      <w:r w:rsidR="00BC60AE">
        <w:t xml:space="preserve">to </w:t>
      </w:r>
      <w:r w:rsidR="00BC60AE" w:rsidRPr="00BC60AE">
        <w:t xml:space="preserve">Detain </w:t>
      </w:r>
      <w:r w:rsidR="00BC60AE">
        <w:t>f</w:t>
      </w:r>
      <w:r w:rsidR="00BC60AE" w:rsidRPr="00BC60AE">
        <w:t>or Investigation</w:t>
      </w:r>
    </w:p>
    <w:p w:rsidR="00BC60AE" w:rsidRDefault="003C3CD2" w:rsidP="002B5FCF">
      <w:pPr>
        <w:pStyle w:val="ToC"/>
      </w:pPr>
      <w:hyperlink w:anchor="a21_08" w:history="1">
        <w:r w:rsidR="00BC60AE" w:rsidRPr="00BC60AE">
          <w:rPr>
            <w:rStyle w:val="Hyperlink"/>
          </w:rPr>
          <w:t>21:8</w:t>
        </w:r>
      </w:hyperlink>
      <w:r w:rsidR="00BC60AE" w:rsidRPr="00BC60AE">
        <w:t xml:space="preserve"> </w:t>
      </w:r>
      <w:r w:rsidR="00BC60AE" w:rsidRPr="00BC60AE">
        <w:tab/>
        <w:t xml:space="preserve">Common-Law Privilege </w:t>
      </w:r>
      <w:r w:rsidR="00BC60AE">
        <w:t xml:space="preserve">to </w:t>
      </w:r>
      <w:r w:rsidR="00BC60AE" w:rsidRPr="00BC60AE">
        <w:t xml:space="preserve">Detain </w:t>
      </w:r>
      <w:r w:rsidR="00BC60AE">
        <w:t>f</w:t>
      </w:r>
      <w:r w:rsidR="00BC60AE" w:rsidRPr="00BC60AE">
        <w:t>or Investigation</w:t>
      </w:r>
    </w:p>
    <w:p w:rsidR="00BC60AE" w:rsidRDefault="003C3CD2" w:rsidP="002B5FCF">
      <w:pPr>
        <w:pStyle w:val="ToC"/>
      </w:pPr>
      <w:hyperlink w:anchor="a21_09" w:history="1">
        <w:r w:rsidR="00BC60AE" w:rsidRPr="00BC60AE">
          <w:rPr>
            <w:rStyle w:val="Hyperlink"/>
          </w:rPr>
          <w:t>21:9</w:t>
        </w:r>
      </w:hyperlink>
      <w:r w:rsidR="00BC60AE" w:rsidRPr="00BC60AE">
        <w:t xml:space="preserve"> </w:t>
      </w:r>
      <w:r w:rsidR="00BC60AE" w:rsidRPr="00BC60AE">
        <w:tab/>
        <w:t xml:space="preserve">Privilege </w:t>
      </w:r>
      <w:r w:rsidR="00BC60AE">
        <w:t xml:space="preserve">to </w:t>
      </w:r>
      <w:r w:rsidR="00BC60AE" w:rsidRPr="00BC60AE">
        <w:t xml:space="preserve">Defend Person </w:t>
      </w:r>
      <w:r w:rsidR="00BC60AE">
        <w:t xml:space="preserve">or </w:t>
      </w:r>
      <w:r w:rsidR="00BC60AE" w:rsidRPr="00BC60AE">
        <w:t>Property</w:t>
      </w:r>
    </w:p>
    <w:p w:rsidR="00BC60AE" w:rsidRDefault="003C3CD2" w:rsidP="002B5FCF">
      <w:pPr>
        <w:pStyle w:val="ToC"/>
      </w:pPr>
      <w:hyperlink w:anchor="a21_10" w:history="1">
        <w:r w:rsidR="00BC60AE" w:rsidRPr="00BC60AE">
          <w:rPr>
            <w:rStyle w:val="Hyperlink"/>
          </w:rPr>
          <w:t>21:10</w:t>
        </w:r>
      </w:hyperlink>
      <w:r w:rsidR="00BC60AE" w:rsidRPr="00BC60AE">
        <w:t xml:space="preserve"> </w:t>
      </w:r>
      <w:r w:rsidR="00BC60AE" w:rsidRPr="00BC60AE">
        <w:tab/>
        <w:t xml:space="preserve">Privilege </w:t>
      </w:r>
      <w:r w:rsidR="00BC60AE">
        <w:t xml:space="preserve">of </w:t>
      </w:r>
      <w:r w:rsidR="00BC60AE" w:rsidRPr="00BC60AE">
        <w:t xml:space="preserve">Any Person </w:t>
      </w:r>
      <w:r w:rsidR="00BC60AE">
        <w:t xml:space="preserve">to </w:t>
      </w:r>
      <w:r w:rsidR="00BC60AE" w:rsidRPr="00BC60AE">
        <w:t>Arrest Without</w:t>
      </w:r>
      <w:r w:rsidR="00BC60AE">
        <w:t xml:space="preserve"> a </w:t>
      </w:r>
      <w:r w:rsidR="00BC60AE" w:rsidRPr="00BC60AE">
        <w:t>Warrant</w:t>
      </w:r>
    </w:p>
    <w:p w:rsidR="00BC60AE" w:rsidRDefault="003C3CD2" w:rsidP="002B5FCF">
      <w:pPr>
        <w:pStyle w:val="ToC"/>
      </w:pPr>
      <w:hyperlink w:anchor="a21_11" w:history="1">
        <w:r w:rsidR="00BC60AE" w:rsidRPr="00BC60AE">
          <w:rPr>
            <w:rStyle w:val="Hyperlink"/>
          </w:rPr>
          <w:t>21:11</w:t>
        </w:r>
      </w:hyperlink>
      <w:r w:rsidR="00BC60AE" w:rsidRPr="00BC60AE">
        <w:t xml:space="preserve"> </w:t>
      </w:r>
      <w:r w:rsidR="00BC60AE" w:rsidRPr="00BC60AE">
        <w:tab/>
        <w:t xml:space="preserve">Privilege </w:t>
      </w:r>
      <w:r w:rsidR="00BC60AE">
        <w:t xml:space="preserve">of </w:t>
      </w:r>
      <w:r w:rsidR="00BC60AE" w:rsidRPr="00BC60AE">
        <w:t xml:space="preserve">Peace Officer </w:t>
      </w:r>
      <w:r w:rsidR="00BC60AE">
        <w:t xml:space="preserve">to </w:t>
      </w:r>
      <w:r w:rsidR="00BC60AE" w:rsidRPr="00BC60AE">
        <w:t>Arrest Without</w:t>
      </w:r>
      <w:r w:rsidR="00BC60AE">
        <w:t xml:space="preserve"> a </w:t>
      </w:r>
      <w:r w:rsidR="00BC60AE" w:rsidRPr="00BC60AE">
        <w:t>Warrant</w:t>
      </w:r>
    </w:p>
    <w:p w:rsidR="00BC60AE" w:rsidRDefault="003C3CD2" w:rsidP="002B5FCF">
      <w:pPr>
        <w:pStyle w:val="ToC"/>
      </w:pPr>
      <w:hyperlink w:anchor="a21_12" w:history="1">
        <w:r w:rsidR="00BC60AE" w:rsidRPr="00BC60AE">
          <w:rPr>
            <w:rStyle w:val="Hyperlink"/>
          </w:rPr>
          <w:t>21:12</w:t>
        </w:r>
      </w:hyperlink>
      <w:r w:rsidR="00BC60AE" w:rsidRPr="00BC60AE">
        <w:t xml:space="preserve"> </w:t>
      </w:r>
      <w:r w:rsidR="00BC60AE" w:rsidRPr="00BC60AE">
        <w:tab/>
        <w:t>Arrest — Defined</w:t>
      </w:r>
    </w:p>
    <w:p w:rsidR="00BC60AE" w:rsidRDefault="003C3CD2" w:rsidP="002B5FCF">
      <w:pPr>
        <w:pStyle w:val="ToC"/>
      </w:pPr>
      <w:hyperlink w:anchor="a21_13" w:history="1">
        <w:r w:rsidR="00BC60AE" w:rsidRPr="00BC60AE">
          <w:rPr>
            <w:rStyle w:val="Hyperlink"/>
          </w:rPr>
          <w:t>21:13</w:t>
        </w:r>
      </w:hyperlink>
      <w:r w:rsidR="00BC60AE" w:rsidRPr="00BC60AE">
        <w:t xml:space="preserve"> </w:t>
      </w:r>
      <w:r w:rsidR="00BC60AE" w:rsidRPr="00BC60AE">
        <w:tab/>
        <w:t xml:space="preserve">Reasonable Grounds </w:t>
      </w:r>
      <w:r w:rsidR="00BC60AE">
        <w:t>f</w:t>
      </w:r>
      <w:r w:rsidR="00BC60AE" w:rsidRPr="00BC60AE">
        <w:t xml:space="preserve">or Believing </w:t>
      </w:r>
      <w:r w:rsidR="00BC60AE">
        <w:t>a</w:t>
      </w:r>
      <w:r w:rsidR="00BC60AE" w:rsidRPr="00BC60AE">
        <w:t xml:space="preserve">nd Probable Cause </w:t>
      </w:r>
      <w:r w:rsidR="00BC60AE">
        <w:t xml:space="preserve">to </w:t>
      </w:r>
      <w:r w:rsidR="00BC60AE" w:rsidRPr="00BC60AE">
        <w:t>Believe — Defined</w:t>
      </w:r>
    </w:p>
    <w:p w:rsidR="00BC60AE" w:rsidRDefault="003C3CD2" w:rsidP="002B5FCF">
      <w:pPr>
        <w:pStyle w:val="ToC"/>
      </w:pPr>
      <w:hyperlink w:anchor="a21_14" w:history="1">
        <w:r w:rsidR="00BC60AE" w:rsidRPr="00BC60AE">
          <w:rPr>
            <w:rStyle w:val="Hyperlink"/>
          </w:rPr>
          <w:t>21:14</w:t>
        </w:r>
      </w:hyperlink>
      <w:r w:rsidR="00BC60AE" w:rsidRPr="00BC60AE">
        <w:t xml:space="preserve"> </w:t>
      </w:r>
      <w:r w:rsidR="00BC60AE" w:rsidRPr="00BC60AE">
        <w:tab/>
        <w:t>Fresh Pursuit — Defined</w:t>
      </w:r>
    </w:p>
    <w:p w:rsidR="00BC60AE" w:rsidRDefault="003C3CD2" w:rsidP="002B5FCF">
      <w:pPr>
        <w:pStyle w:val="ToC"/>
      </w:pPr>
      <w:hyperlink w:anchor="a21_15" w:history="1">
        <w:r w:rsidR="00BC60AE" w:rsidRPr="00BC60AE">
          <w:rPr>
            <w:rStyle w:val="Hyperlink"/>
          </w:rPr>
          <w:t>21:15</w:t>
        </w:r>
      </w:hyperlink>
      <w:r w:rsidR="00BC60AE" w:rsidRPr="00BC60AE">
        <w:t xml:space="preserve"> </w:t>
      </w:r>
      <w:r w:rsidR="00BC60AE" w:rsidRPr="00BC60AE">
        <w:tab/>
        <w:t xml:space="preserve">Privilege </w:t>
      </w:r>
      <w:r w:rsidR="00BC60AE">
        <w:t xml:space="preserve">to </w:t>
      </w:r>
      <w:r w:rsidR="00BC60AE" w:rsidRPr="00BC60AE">
        <w:t xml:space="preserve">Arrest </w:t>
      </w:r>
      <w:r w:rsidR="00BC60AE">
        <w:t>w</w:t>
      </w:r>
      <w:r w:rsidR="00BC60AE" w:rsidRPr="00BC60AE">
        <w:t>ith</w:t>
      </w:r>
      <w:r w:rsidR="00BC60AE">
        <w:t xml:space="preserve"> a </w:t>
      </w:r>
      <w:r w:rsidR="00BC60AE" w:rsidRPr="00BC60AE">
        <w:t>Warrant</w:t>
      </w:r>
    </w:p>
    <w:p w:rsidR="00BC60AE" w:rsidRDefault="003C3CD2" w:rsidP="002B5FCF">
      <w:pPr>
        <w:pStyle w:val="ToC"/>
      </w:pPr>
      <w:hyperlink w:anchor="a21_16" w:history="1">
        <w:r w:rsidR="00BC60AE" w:rsidRPr="00BC60AE">
          <w:rPr>
            <w:rStyle w:val="Hyperlink"/>
          </w:rPr>
          <w:t>21:16</w:t>
        </w:r>
      </w:hyperlink>
      <w:r w:rsidR="00BC60AE" w:rsidRPr="00BC60AE">
        <w:t xml:space="preserve"> </w:t>
      </w:r>
      <w:r w:rsidR="00BC60AE" w:rsidRPr="00BC60AE">
        <w:tab/>
        <w:t xml:space="preserve">Indication </w:t>
      </w:r>
      <w:r w:rsidR="00BC60AE">
        <w:t xml:space="preserve">of </w:t>
      </w:r>
      <w:r w:rsidR="00BC60AE" w:rsidRPr="00BC60AE">
        <w:t xml:space="preserve">Intent </w:t>
      </w:r>
      <w:r w:rsidR="00BC60AE">
        <w:t xml:space="preserve">to </w:t>
      </w:r>
      <w:r w:rsidR="00BC60AE" w:rsidRPr="00BC60AE">
        <w:t>Arrest — When Excused</w:t>
      </w:r>
    </w:p>
    <w:p w:rsidR="00BC60AE" w:rsidRDefault="003C3CD2" w:rsidP="002B5FCF">
      <w:pPr>
        <w:pStyle w:val="ToC"/>
      </w:pPr>
      <w:hyperlink w:anchor="a21_17" w:history="1">
        <w:r w:rsidR="00BC60AE" w:rsidRPr="00BC60AE">
          <w:rPr>
            <w:rStyle w:val="Hyperlink"/>
          </w:rPr>
          <w:t>21:17</w:t>
        </w:r>
      </w:hyperlink>
      <w:r w:rsidR="00BC60AE" w:rsidRPr="00BC60AE">
        <w:t xml:space="preserve"> </w:t>
      </w:r>
      <w:r w:rsidR="00BC60AE" w:rsidRPr="00BC60AE">
        <w:tab/>
        <w:t xml:space="preserve">Valid Warrant </w:t>
      </w:r>
      <w:r w:rsidR="00BC60AE">
        <w:t xml:space="preserve">or </w:t>
      </w:r>
      <w:r w:rsidR="00BC60AE" w:rsidRPr="00BC60AE">
        <w:t xml:space="preserve">Warrant Fair </w:t>
      </w:r>
      <w:r w:rsidR="00BC60AE">
        <w:t>o</w:t>
      </w:r>
      <w:r w:rsidR="00BC60AE" w:rsidRPr="00BC60AE">
        <w:t>n Its Face — Defined</w:t>
      </w:r>
    </w:p>
    <w:p w:rsidR="00BC60AE" w:rsidRDefault="003C3CD2" w:rsidP="002B5FCF">
      <w:pPr>
        <w:pStyle w:val="ToC"/>
      </w:pPr>
      <w:hyperlink w:anchor="a21_18" w:history="1">
        <w:r w:rsidR="00BC60AE" w:rsidRPr="00BC60AE">
          <w:rPr>
            <w:rStyle w:val="Hyperlink"/>
          </w:rPr>
          <w:t>21:18</w:t>
        </w:r>
      </w:hyperlink>
      <w:r w:rsidR="00BC60AE" w:rsidRPr="00BC60AE">
        <w:t xml:space="preserve"> </w:t>
      </w:r>
      <w:r w:rsidR="00BC60AE" w:rsidRPr="00BC60AE">
        <w:tab/>
        <w:t xml:space="preserve">Guilt </w:t>
      </w:r>
      <w:r w:rsidR="00BC60AE">
        <w:t xml:space="preserve">of </w:t>
      </w:r>
      <w:r w:rsidR="00BC60AE" w:rsidRPr="00BC60AE">
        <w:t>Person Arrested</w:t>
      </w:r>
    </w:p>
    <w:p w:rsidR="00BC60AE" w:rsidRDefault="003C3CD2" w:rsidP="002B5FCF">
      <w:pPr>
        <w:pStyle w:val="ToC"/>
      </w:pPr>
      <w:hyperlink w:anchor="a21_19" w:history="1">
        <w:r w:rsidR="00BC60AE" w:rsidRPr="00BC60AE">
          <w:rPr>
            <w:rStyle w:val="Hyperlink"/>
          </w:rPr>
          <w:t>21:19</w:t>
        </w:r>
      </w:hyperlink>
      <w:r w:rsidR="00BC60AE" w:rsidRPr="00BC60AE">
        <w:t xml:space="preserve"> </w:t>
      </w:r>
      <w:r w:rsidR="00BC60AE" w:rsidRPr="00BC60AE">
        <w:tab/>
        <w:t xml:space="preserve">Abuse </w:t>
      </w:r>
      <w:r w:rsidR="00BC60AE">
        <w:t xml:space="preserve">of a </w:t>
      </w:r>
      <w:r w:rsidR="00BC60AE" w:rsidRPr="00BC60AE">
        <w:t xml:space="preserve">Privilege </w:t>
      </w:r>
      <w:r w:rsidR="00BC60AE">
        <w:t xml:space="preserve">to </w:t>
      </w:r>
      <w:r w:rsidR="00BC60AE" w:rsidRPr="00BC60AE">
        <w:t>Arrest</w:t>
      </w:r>
    </w:p>
    <w:p w:rsidR="00352111" w:rsidRPr="00352111" w:rsidRDefault="00352111">
      <w:pPr>
        <w:rPr>
          <w:rFonts w:eastAsia="Times New Roman"/>
          <w:sz w:val="24"/>
          <w:szCs w:val="24"/>
        </w:rPr>
      </w:pPr>
      <w:r w:rsidRPr="00352111">
        <w:rPr>
          <w:rFonts w:eastAsia="Times New Roman"/>
          <w:sz w:val="24"/>
          <w:szCs w:val="24"/>
        </w:rPr>
        <w:br w:type="page"/>
      </w:r>
    </w:p>
    <w:p w:rsidR="009E3DA4" w:rsidRDefault="002547C3" w:rsidP="009E3DA4">
      <w:pPr>
        <w:spacing w:after="240"/>
        <w:jc w:val="center"/>
        <w:rPr>
          <w:rFonts w:eastAsia="Times New Roman"/>
          <w:b/>
          <w:sz w:val="24"/>
          <w:szCs w:val="24"/>
        </w:rPr>
      </w:pPr>
      <w:r w:rsidRPr="002547C3">
        <w:rPr>
          <w:rFonts w:eastAsia="Times New Roman"/>
          <w:b/>
          <w:sz w:val="24"/>
          <w:szCs w:val="24"/>
        </w:rPr>
        <w:lastRenderedPageBreak/>
        <w:t xml:space="preserve">A. </w:t>
      </w:r>
      <w:r w:rsidR="006053F6" w:rsidRPr="006053F6">
        <w:rPr>
          <w:rFonts w:eastAsia="Times New Roman"/>
          <w:b/>
          <w:sz w:val="24"/>
          <w:szCs w:val="24"/>
        </w:rPr>
        <w:t>LIABILITY</w:t>
      </w:r>
    </w:p>
    <w:p w:rsidR="009E3DA4" w:rsidRPr="009E3DA4" w:rsidRDefault="006053F6" w:rsidP="00CC0502">
      <w:pPr>
        <w:spacing w:after="240"/>
        <w:ind w:left="720" w:hanging="720"/>
        <w:rPr>
          <w:rFonts w:eastAsia="Times New Roman"/>
          <w:b/>
          <w:sz w:val="24"/>
          <w:szCs w:val="24"/>
        </w:rPr>
      </w:pPr>
      <w:bookmarkStart w:id="1" w:name="a21_01"/>
      <w:bookmarkEnd w:id="1"/>
      <w:r w:rsidRPr="006053F6">
        <w:rPr>
          <w:rFonts w:eastAsia="Times New Roman"/>
          <w:b/>
          <w:sz w:val="24"/>
          <w:szCs w:val="24"/>
        </w:rPr>
        <w:t xml:space="preserve">21:1 </w:t>
      </w:r>
      <w:r w:rsidRPr="006053F6">
        <w:rPr>
          <w:rFonts w:eastAsia="Times New Roman"/>
          <w:b/>
          <w:sz w:val="24"/>
          <w:szCs w:val="24"/>
        </w:rPr>
        <w:tab/>
        <w:t>ELEMENTS OF LIABILITY</w:t>
      </w:r>
    </w:p>
    <w:p w:rsidR="006053F6" w:rsidRPr="006053F6" w:rsidRDefault="006053F6" w:rsidP="006053F6">
      <w:pPr>
        <w:spacing w:after="240"/>
        <w:ind w:firstLine="720"/>
        <w:rPr>
          <w:rFonts w:eastAsia="Times New Roman"/>
          <w:b/>
          <w:sz w:val="24"/>
          <w:szCs w:val="24"/>
        </w:rPr>
      </w:pPr>
      <w:r w:rsidRPr="006053F6">
        <w:rPr>
          <w:rFonts w:eastAsia="Times New Roman"/>
          <w:b/>
          <w:sz w:val="24"/>
          <w:szCs w:val="24"/>
        </w:rPr>
        <w:t xml:space="preserve">For the plaintiff, </w:t>
      </w:r>
      <w:r w:rsidRPr="006053F6">
        <w:rPr>
          <w:rFonts w:eastAsia="Times New Roman"/>
          <w:i/>
          <w:sz w:val="24"/>
          <w:szCs w:val="24"/>
        </w:rPr>
        <w:t>(name)</w:t>
      </w:r>
      <w:r w:rsidRPr="006053F6">
        <w:rPr>
          <w:rFonts w:eastAsia="Times New Roman"/>
          <w:b/>
          <w:sz w:val="24"/>
          <w:szCs w:val="24"/>
        </w:rPr>
        <w:t xml:space="preserve">, to recover from the defendant, </w:t>
      </w:r>
      <w:r w:rsidRPr="006053F6">
        <w:rPr>
          <w:rFonts w:eastAsia="Times New Roman"/>
          <w:i/>
          <w:sz w:val="24"/>
          <w:szCs w:val="24"/>
        </w:rPr>
        <w:t>(name)</w:t>
      </w:r>
      <w:r w:rsidRPr="006053F6">
        <w:rPr>
          <w:rFonts w:eastAsia="Times New Roman"/>
          <w:b/>
          <w:sz w:val="24"/>
          <w:szCs w:val="24"/>
        </w:rPr>
        <w:t>, on (his) (her) claim of (false imprisonment) (false arrest), you must find all of the following have been proved by a preponderance of the evidence:</w:t>
      </w:r>
    </w:p>
    <w:p w:rsidR="006053F6" w:rsidRPr="006053F6" w:rsidRDefault="006053F6" w:rsidP="006053F6">
      <w:pPr>
        <w:spacing w:after="240"/>
        <w:ind w:firstLine="720"/>
        <w:rPr>
          <w:rFonts w:eastAsia="Times New Roman"/>
          <w:b/>
          <w:sz w:val="24"/>
          <w:szCs w:val="24"/>
        </w:rPr>
      </w:pPr>
      <w:r w:rsidRPr="006053F6">
        <w:rPr>
          <w:rFonts w:eastAsia="Times New Roman"/>
          <w:b/>
          <w:sz w:val="24"/>
          <w:szCs w:val="24"/>
        </w:rPr>
        <w:t>1. The defendant intended to restrict the plaintiff’s freedom of movement;</w:t>
      </w:r>
    </w:p>
    <w:p w:rsidR="006053F6" w:rsidRPr="006053F6" w:rsidRDefault="006053F6" w:rsidP="006053F6">
      <w:pPr>
        <w:spacing w:after="240"/>
        <w:ind w:firstLine="720"/>
        <w:rPr>
          <w:rFonts w:eastAsia="Times New Roman"/>
          <w:b/>
          <w:sz w:val="24"/>
          <w:szCs w:val="24"/>
        </w:rPr>
      </w:pPr>
      <w:r w:rsidRPr="006053F6">
        <w:rPr>
          <w:rFonts w:eastAsia="Times New Roman"/>
          <w:b/>
          <w:sz w:val="24"/>
          <w:szCs w:val="24"/>
        </w:rPr>
        <w:t>2. The defendant, directly or indirectly, restricted the plaintiff’s freedom of movement for a period of time, no matter how short; and</w:t>
      </w:r>
    </w:p>
    <w:p w:rsidR="006053F6" w:rsidRPr="006053F6" w:rsidRDefault="006053F6" w:rsidP="006053F6">
      <w:pPr>
        <w:spacing w:after="240"/>
        <w:ind w:firstLine="720"/>
        <w:rPr>
          <w:rFonts w:eastAsia="Times New Roman"/>
          <w:b/>
          <w:sz w:val="24"/>
          <w:szCs w:val="24"/>
        </w:rPr>
      </w:pPr>
      <w:r w:rsidRPr="006053F6">
        <w:rPr>
          <w:rFonts w:eastAsia="Times New Roman"/>
          <w:b/>
          <w:sz w:val="24"/>
          <w:szCs w:val="24"/>
        </w:rPr>
        <w:t>3. The plaintiff was aware that (his) (her) freedom of movement was restricted.</w:t>
      </w:r>
    </w:p>
    <w:p w:rsidR="006053F6" w:rsidRPr="006053F6" w:rsidRDefault="006053F6" w:rsidP="006053F6">
      <w:pPr>
        <w:spacing w:after="240"/>
        <w:ind w:firstLine="720"/>
        <w:rPr>
          <w:rFonts w:eastAsia="Times New Roman"/>
          <w:b/>
          <w:sz w:val="24"/>
          <w:szCs w:val="24"/>
        </w:rPr>
      </w:pPr>
      <w:r w:rsidRPr="006053F6">
        <w:rPr>
          <w:rFonts w:eastAsia="Times New Roman"/>
          <w:b/>
          <w:sz w:val="24"/>
          <w:szCs w:val="24"/>
        </w:rPr>
        <w:t xml:space="preserve">If you find that any one or more of these </w:t>
      </w:r>
      <w:r w:rsidRPr="006053F6">
        <w:rPr>
          <w:rFonts w:eastAsia="Times New Roman"/>
          <w:i/>
          <w:sz w:val="24"/>
          <w:szCs w:val="24"/>
        </w:rPr>
        <w:t xml:space="preserve">(number) </w:t>
      </w:r>
      <w:r w:rsidRPr="006053F6">
        <w:rPr>
          <w:rFonts w:eastAsia="Times New Roman"/>
          <w:b/>
          <w:sz w:val="24"/>
          <w:szCs w:val="24"/>
        </w:rPr>
        <w:t>statements has not been proved, then your verdict must be for the defendant.</w:t>
      </w:r>
    </w:p>
    <w:p w:rsidR="006053F6" w:rsidRPr="006053F6" w:rsidRDefault="006053F6" w:rsidP="006053F6">
      <w:pPr>
        <w:spacing w:after="240"/>
        <w:ind w:firstLine="720"/>
        <w:rPr>
          <w:rFonts w:eastAsia="Times New Roman"/>
          <w:b/>
          <w:sz w:val="24"/>
          <w:szCs w:val="24"/>
        </w:rPr>
      </w:pPr>
      <w:r w:rsidRPr="006053F6">
        <w:rPr>
          <w:rFonts w:eastAsia="Times New Roman"/>
          <w:b/>
          <w:sz w:val="24"/>
          <w:szCs w:val="24"/>
        </w:rPr>
        <w:t xml:space="preserve">On the other hand, if you find that all of these </w:t>
      </w:r>
      <w:r w:rsidRPr="006053F6">
        <w:rPr>
          <w:rFonts w:eastAsia="Times New Roman"/>
          <w:i/>
          <w:sz w:val="24"/>
          <w:szCs w:val="24"/>
        </w:rPr>
        <w:t>(number)</w:t>
      </w:r>
      <w:r w:rsidRPr="006053F6">
        <w:rPr>
          <w:rFonts w:eastAsia="Times New Roman"/>
          <w:b/>
          <w:sz w:val="24"/>
          <w:szCs w:val="24"/>
        </w:rPr>
        <w:t xml:space="preserve"> statements have been proved (then your verdict must be for the plaintiff) (then you must consider the defendant’s affirmative defense(s) of </w:t>
      </w:r>
      <w:r w:rsidRPr="006053F6">
        <w:rPr>
          <w:rFonts w:eastAsia="Times New Roman"/>
          <w:i/>
          <w:sz w:val="24"/>
          <w:szCs w:val="24"/>
        </w:rPr>
        <w:t>[insert any affirmative defense that would be a complete defense to plaintiff’s claim]</w:t>
      </w:r>
      <w:r w:rsidRPr="006053F6">
        <w:rPr>
          <w:rFonts w:eastAsia="Times New Roman"/>
          <w:b/>
          <w:sz w:val="24"/>
          <w:szCs w:val="24"/>
        </w:rPr>
        <w:t>).</w:t>
      </w:r>
    </w:p>
    <w:p w:rsidR="006053F6" w:rsidRPr="006053F6" w:rsidRDefault="006053F6" w:rsidP="006053F6">
      <w:pPr>
        <w:spacing w:after="240"/>
        <w:ind w:firstLine="720"/>
        <w:rPr>
          <w:rFonts w:eastAsia="Times New Roman"/>
          <w:b/>
          <w:sz w:val="24"/>
          <w:szCs w:val="24"/>
        </w:rPr>
      </w:pPr>
      <w:r w:rsidRPr="006053F6">
        <w:rPr>
          <w:rFonts w:eastAsia="Times New Roman"/>
          <w:b/>
          <w:sz w:val="24"/>
          <w:szCs w:val="24"/>
        </w:rPr>
        <w:t>If you find that (this affirmative defense has) (any one or more of these affirmative defenses have) been proved by a preponderance of the evidence, then your verdict must be for the defendant.</w:t>
      </w:r>
    </w:p>
    <w:p w:rsidR="006053F6" w:rsidRPr="006053F6" w:rsidRDefault="006053F6" w:rsidP="006053F6">
      <w:pPr>
        <w:spacing w:after="240"/>
        <w:ind w:firstLine="720"/>
        <w:rPr>
          <w:rFonts w:eastAsia="Times New Roman"/>
          <w:b/>
          <w:sz w:val="24"/>
          <w:szCs w:val="24"/>
        </w:rPr>
      </w:pPr>
      <w:r w:rsidRPr="006053F6">
        <w:rPr>
          <w:rFonts w:eastAsia="Times New Roman"/>
          <w:b/>
          <w:sz w:val="24"/>
          <w:szCs w:val="24"/>
        </w:rPr>
        <w:t xml:space="preserve">In determining whether the affirmative defense of privilege </w:t>
      </w:r>
      <w:r w:rsidRPr="006053F6">
        <w:rPr>
          <w:rFonts w:eastAsia="Times New Roman"/>
          <w:i/>
          <w:sz w:val="24"/>
          <w:szCs w:val="24"/>
        </w:rPr>
        <w:t>[describe privilege]</w:t>
      </w:r>
      <w:r w:rsidRPr="006053F6">
        <w:rPr>
          <w:rFonts w:eastAsia="Times New Roman"/>
          <w:b/>
          <w:sz w:val="24"/>
          <w:szCs w:val="24"/>
        </w:rPr>
        <w:t xml:space="preserve"> has been proved, you must also determine whether the defendant abused that privilege as explained in Instruction No. </w:t>
      </w:r>
      <w:r w:rsidRPr="006053F6">
        <w:rPr>
          <w:rFonts w:eastAsia="Times New Roman"/>
          <w:i/>
          <w:sz w:val="24"/>
          <w:szCs w:val="24"/>
        </w:rPr>
        <w:t>[insert instruction number that corresponds with Instruction 21:19]</w:t>
      </w:r>
      <w:r w:rsidRPr="006053F6">
        <w:rPr>
          <w:rFonts w:eastAsia="Times New Roman"/>
          <w:b/>
          <w:sz w:val="24"/>
          <w:szCs w:val="24"/>
        </w:rPr>
        <w:t>.</w:t>
      </w:r>
    </w:p>
    <w:p w:rsidR="006053F6" w:rsidRPr="006053F6" w:rsidRDefault="006053F6" w:rsidP="006053F6">
      <w:pPr>
        <w:spacing w:after="240"/>
        <w:ind w:firstLine="720"/>
        <w:rPr>
          <w:rFonts w:eastAsia="Times New Roman"/>
          <w:b/>
          <w:sz w:val="24"/>
          <w:szCs w:val="24"/>
        </w:rPr>
      </w:pPr>
      <w:r w:rsidRPr="006053F6">
        <w:rPr>
          <w:rFonts w:eastAsia="Times New Roman"/>
          <w:b/>
          <w:sz w:val="24"/>
          <w:szCs w:val="24"/>
        </w:rPr>
        <w:t>However, if you find that (this affirmative defense has not) (none of these affirmative defenses have) been proved by a preponderance of the evidence, then your verdict must be for the plaintiff.</w:t>
      </w:r>
    </w:p>
    <w:p w:rsidR="00832DB4" w:rsidRDefault="00832DB4" w:rsidP="0054263B">
      <w:pPr>
        <w:jc w:val="center"/>
        <w:rPr>
          <w:rFonts w:eastAsia="Times New Roman"/>
          <w:sz w:val="24"/>
          <w:szCs w:val="24"/>
        </w:rPr>
      </w:pPr>
    </w:p>
    <w:p w:rsidR="0054263B" w:rsidRPr="0054263B" w:rsidRDefault="0054263B" w:rsidP="00BE654D">
      <w:pPr>
        <w:keepNext/>
        <w:spacing w:after="240"/>
        <w:jc w:val="center"/>
        <w:rPr>
          <w:rFonts w:eastAsia="Times New Roman"/>
          <w:b/>
          <w:sz w:val="24"/>
          <w:szCs w:val="24"/>
        </w:rPr>
      </w:pPr>
      <w:r w:rsidRPr="0054263B">
        <w:rPr>
          <w:rFonts w:eastAsia="Times New Roman"/>
          <w:b/>
          <w:sz w:val="24"/>
          <w:szCs w:val="24"/>
        </w:rPr>
        <w:t>Notes on Use</w:t>
      </w:r>
    </w:p>
    <w:p w:rsidR="006053F6" w:rsidRPr="006053F6" w:rsidRDefault="006053F6" w:rsidP="006053F6">
      <w:pPr>
        <w:spacing w:after="240"/>
        <w:ind w:firstLine="720"/>
        <w:rPr>
          <w:rFonts w:eastAsia="Times New Roman"/>
          <w:sz w:val="24"/>
          <w:szCs w:val="24"/>
        </w:rPr>
      </w:pPr>
      <w:r w:rsidRPr="006053F6">
        <w:rPr>
          <w:rFonts w:eastAsia="Times New Roman"/>
          <w:sz w:val="24"/>
          <w:szCs w:val="24"/>
        </w:rPr>
        <w:t>1. Omit any numbered paragraphs, the facts of which are not in dispute.</w:t>
      </w:r>
    </w:p>
    <w:p w:rsidR="006053F6" w:rsidRPr="006053F6" w:rsidRDefault="006053F6" w:rsidP="006053F6">
      <w:pPr>
        <w:spacing w:after="240"/>
        <w:ind w:firstLine="720"/>
        <w:rPr>
          <w:rFonts w:eastAsia="Times New Roman"/>
          <w:sz w:val="24"/>
          <w:szCs w:val="24"/>
        </w:rPr>
      </w:pPr>
      <w:r w:rsidRPr="006053F6">
        <w:rPr>
          <w:rFonts w:eastAsia="Times New Roman"/>
          <w:sz w:val="24"/>
          <w:szCs w:val="24"/>
        </w:rPr>
        <w:t>2. In cases involving multiple defendants or designated nonparties where the pro rata liability statute, § 13-21-111.5, C.R.S., is applicable, see the Notes on Use to Instruction 4:20.</w:t>
      </w:r>
    </w:p>
    <w:p w:rsidR="006053F6" w:rsidRPr="006053F6" w:rsidRDefault="006053F6" w:rsidP="006053F6">
      <w:pPr>
        <w:spacing w:after="240"/>
        <w:ind w:firstLine="720"/>
        <w:rPr>
          <w:rFonts w:eastAsia="Times New Roman"/>
          <w:sz w:val="24"/>
          <w:szCs w:val="24"/>
        </w:rPr>
      </w:pPr>
      <w:r w:rsidRPr="006053F6">
        <w:rPr>
          <w:rFonts w:eastAsia="Times New Roman"/>
          <w:sz w:val="24"/>
          <w:szCs w:val="24"/>
        </w:rPr>
        <w:t>3. Use whichever parenthesized phrase, “false imprisonment” or “false arrest,” is more appropriate.</w:t>
      </w:r>
    </w:p>
    <w:p w:rsidR="006053F6" w:rsidRPr="006053F6" w:rsidRDefault="006053F6" w:rsidP="006053F6">
      <w:pPr>
        <w:spacing w:after="240"/>
        <w:ind w:firstLine="720"/>
        <w:rPr>
          <w:rFonts w:eastAsia="Times New Roman"/>
          <w:sz w:val="24"/>
          <w:szCs w:val="24"/>
        </w:rPr>
      </w:pPr>
      <w:r w:rsidRPr="006053F6">
        <w:rPr>
          <w:rFonts w:eastAsia="Times New Roman"/>
          <w:sz w:val="24"/>
          <w:szCs w:val="24"/>
        </w:rPr>
        <w:lastRenderedPageBreak/>
        <w:t xml:space="preserve">4. Omit the last three paragraphs if the defendant has put no affirmative defense in issue or there is insufficient evidence to support any defense. Omit the clause dealing with abuse of a privilege to arrest unless (1) the affirmative defense is that of a privilege to arrest and (2) there is sufficient evidence of abuse of such privilege to warrant giving this portion of the instruction. </w:t>
      </w:r>
      <w:r w:rsidRPr="006053F6">
        <w:rPr>
          <w:rFonts w:eastAsia="Times New Roman"/>
          <w:i/>
          <w:sz w:val="24"/>
          <w:szCs w:val="24"/>
        </w:rPr>
        <w:t>See</w:t>
      </w:r>
      <w:r w:rsidRPr="006053F6">
        <w:rPr>
          <w:rFonts w:eastAsia="Times New Roman"/>
          <w:sz w:val="24"/>
          <w:szCs w:val="24"/>
        </w:rPr>
        <w:t xml:space="preserve"> Instruction 21:19.</w:t>
      </w:r>
    </w:p>
    <w:p w:rsidR="006053F6" w:rsidRPr="006053F6" w:rsidRDefault="006053F6" w:rsidP="006053F6">
      <w:pPr>
        <w:spacing w:after="240"/>
        <w:ind w:firstLine="720"/>
        <w:rPr>
          <w:rFonts w:eastAsia="Times New Roman"/>
          <w:sz w:val="24"/>
          <w:szCs w:val="24"/>
        </w:rPr>
      </w:pPr>
      <w:r w:rsidRPr="006053F6">
        <w:rPr>
          <w:rFonts w:eastAsia="Times New Roman"/>
          <w:sz w:val="24"/>
          <w:szCs w:val="24"/>
        </w:rPr>
        <w:t>5. Other appropriate instructions defining the terms used in this instruction, for example, Instruction 21:2, defining restriction on freedom of movement, must also be given with this instruction.</w:t>
      </w:r>
    </w:p>
    <w:p w:rsidR="006053F6" w:rsidRPr="006053F6" w:rsidRDefault="006053F6" w:rsidP="006053F6">
      <w:pPr>
        <w:spacing w:after="240"/>
        <w:ind w:firstLine="720"/>
        <w:rPr>
          <w:rFonts w:eastAsia="Times New Roman"/>
          <w:sz w:val="24"/>
          <w:szCs w:val="24"/>
        </w:rPr>
      </w:pPr>
      <w:r w:rsidRPr="006053F6">
        <w:rPr>
          <w:rFonts w:eastAsia="Times New Roman"/>
          <w:sz w:val="24"/>
          <w:szCs w:val="24"/>
        </w:rPr>
        <w:t xml:space="preserve">6. Though mitigation of damages is an affirmative defense, </w:t>
      </w:r>
      <w:r w:rsidRPr="006053F6">
        <w:rPr>
          <w:rFonts w:eastAsia="Times New Roman"/>
          <w:i/>
          <w:sz w:val="24"/>
          <w:szCs w:val="24"/>
        </w:rPr>
        <w:t>see</w:t>
      </w:r>
      <w:r w:rsidRPr="006053F6">
        <w:rPr>
          <w:rFonts w:eastAsia="Times New Roman"/>
          <w:sz w:val="24"/>
          <w:szCs w:val="24"/>
        </w:rPr>
        <w:t xml:space="preserve"> Instruction 5:2), it is rarely a complete defense. For this reason, mitigation should not be identified as an affirmative defense in the concluding paragraphs of this instruction. Instead, if supported by sufficient evidence, Instruction 5:2 should be given along with the actual damages instruction appropriate to the claim and the evidence in the case.</w:t>
      </w:r>
    </w:p>
    <w:p w:rsidR="00352111" w:rsidRPr="0054263B" w:rsidRDefault="00352111" w:rsidP="00875064">
      <w:pPr>
        <w:keepNext/>
        <w:spacing w:after="240"/>
        <w:jc w:val="center"/>
        <w:rPr>
          <w:rFonts w:eastAsia="Times New Roman"/>
          <w:b/>
          <w:sz w:val="24"/>
          <w:szCs w:val="24"/>
        </w:rPr>
      </w:pPr>
      <w:r>
        <w:rPr>
          <w:rFonts w:eastAsia="Times New Roman"/>
          <w:b/>
          <w:sz w:val="24"/>
          <w:szCs w:val="24"/>
        </w:rPr>
        <w:t>Source and Authority</w:t>
      </w:r>
    </w:p>
    <w:p w:rsidR="006053F6" w:rsidRPr="006053F6" w:rsidRDefault="006053F6" w:rsidP="006053F6">
      <w:pPr>
        <w:spacing w:after="240"/>
        <w:ind w:firstLine="720"/>
        <w:rPr>
          <w:rFonts w:eastAsia="Times New Roman"/>
          <w:sz w:val="24"/>
          <w:szCs w:val="24"/>
        </w:rPr>
      </w:pPr>
      <w:r w:rsidRPr="006053F6">
        <w:rPr>
          <w:rFonts w:eastAsia="Times New Roman"/>
          <w:sz w:val="24"/>
          <w:szCs w:val="24"/>
        </w:rPr>
        <w:t xml:space="preserve">1. This instruction is supported by </w:t>
      </w:r>
      <w:r w:rsidRPr="006053F6">
        <w:rPr>
          <w:rFonts w:eastAsia="Times New Roman"/>
          <w:smallCaps/>
          <w:sz w:val="24"/>
          <w:szCs w:val="24"/>
        </w:rPr>
        <w:t>Restatement (Second) of Torts</w:t>
      </w:r>
      <w:r w:rsidRPr="006053F6">
        <w:rPr>
          <w:rFonts w:eastAsia="Times New Roman"/>
          <w:sz w:val="24"/>
          <w:szCs w:val="24"/>
        </w:rPr>
        <w:t xml:space="preserve"> § 35 (false imprisonment) and § 41 (confinement by false arrest) (1965); </w:t>
      </w:r>
      <w:r w:rsidRPr="006053F6">
        <w:rPr>
          <w:rFonts w:eastAsia="Times New Roman"/>
          <w:smallCaps/>
          <w:sz w:val="24"/>
          <w:szCs w:val="24"/>
        </w:rPr>
        <w:t>W. Page Keeton et al., Prosser and Keeton on the Law of Torts</w:t>
      </w:r>
      <w:r w:rsidRPr="006053F6">
        <w:rPr>
          <w:rFonts w:eastAsia="Times New Roman"/>
          <w:sz w:val="24"/>
          <w:szCs w:val="24"/>
        </w:rPr>
        <w:t xml:space="preserve"> § 11 (5th ed. 1984); and 1 </w:t>
      </w:r>
      <w:r w:rsidRPr="006053F6">
        <w:rPr>
          <w:rFonts w:eastAsia="Times New Roman"/>
          <w:smallCaps/>
          <w:sz w:val="24"/>
          <w:szCs w:val="24"/>
        </w:rPr>
        <w:t>F. Harper et al., Harper, James, and Gray on Torts</w:t>
      </w:r>
      <w:r w:rsidRPr="006053F6">
        <w:rPr>
          <w:rFonts w:eastAsia="Times New Roman"/>
          <w:sz w:val="24"/>
          <w:szCs w:val="24"/>
        </w:rPr>
        <w:t xml:space="preserve"> §§ 3.7, 3.8 (3d ed. 2006). </w:t>
      </w:r>
      <w:r w:rsidRPr="006053F6">
        <w:rPr>
          <w:rFonts w:eastAsia="Times New Roman"/>
          <w:i/>
          <w:sz w:val="24"/>
          <w:szCs w:val="24"/>
        </w:rPr>
        <w:t>See also</w:t>
      </w:r>
      <w:r w:rsidRPr="006053F6">
        <w:rPr>
          <w:rFonts w:eastAsia="Times New Roman"/>
          <w:sz w:val="24"/>
          <w:szCs w:val="24"/>
        </w:rPr>
        <w:t xml:space="preserve"> </w:t>
      </w:r>
      <w:r w:rsidRPr="006053F6">
        <w:rPr>
          <w:rFonts w:eastAsia="Times New Roman"/>
          <w:b/>
          <w:sz w:val="24"/>
          <w:szCs w:val="24"/>
        </w:rPr>
        <w:t>Blackman v. Rifkin</w:t>
      </w:r>
      <w:r w:rsidRPr="006053F6">
        <w:rPr>
          <w:rFonts w:eastAsia="Times New Roman"/>
          <w:sz w:val="24"/>
          <w:szCs w:val="24"/>
        </w:rPr>
        <w:t>, 759 P.2d 54 (Colo. App. 1988).</w:t>
      </w:r>
    </w:p>
    <w:p w:rsidR="006053F6" w:rsidRPr="006053F6" w:rsidRDefault="006053F6" w:rsidP="006053F6">
      <w:pPr>
        <w:spacing w:after="240"/>
        <w:ind w:firstLine="720"/>
        <w:rPr>
          <w:rFonts w:eastAsia="Times New Roman"/>
          <w:i/>
          <w:sz w:val="24"/>
          <w:szCs w:val="24"/>
        </w:rPr>
      </w:pPr>
      <w:r w:rsidRPr="006053F6">
        <w:rPr>
          <w:rFonts w:eastAsia="Times New Roman"/>
          <w:sz w:val="24"/>
          <w:szCs w:val="24"/>
        </w:rPr>
        <w:t>2. In</w:t>
      </w:r>
      <w:r w:rsidRPr="006053F6">
        <w:rPr>
          <w:rFonts w:eastAsia="Times New Roman"/>
          <w:i/>
          <w:sz w:val="24"/>
          <w:szCs w:val="24"/>
        </w:rPr>
        <w:t xml:space="preserve"> </w:t>
      </w:r>
      <w:r w:rsidRPr="006053F6">
        <w:rPr>
          <w:rFonts w:eastAsia="Times New Roman"/>
          <w:b/>
          <w:sz w:val="24"/>
          <w:szCs w:val="24"/>
        </w:rPr>
        <w:t>Union Pacific Railroad v. Dennis</w:t>
      </w:r>
      <w:r w:rsidRPr="006053F6">
        <w:rPr>
          <w:rFonts w:eastAsia="Times New Roman"/>
          <w:sz w:val="24"/>
          <w:szCs w:val="24"/>
        </w:rPr>
        <w:t xml:space="preserve">, 73 Colo. 66, 213 P. 332 (1923), there is a statement that the plaintiff, in order to prove a false arrest, must prove the arrest was without legal justification. However, in </w:t>
      </w:r>
      <w:r w:rsidRPr="006053F6">
        <w:rPr>
          <w:rFonts w:eastAsia="Times New Roman"/>
          <w:b/>
          <w:sz w:val="24"/>
          <w:szCs w:val="24"/>
        </w:rPr>
        <w:t>Crews-Beggs Dry Goods Co. v. Bayle</w:t>
      </w:r>
      <w:r w:rsidRPr="006053F6">
        <w:rPr>
          <w:rFonts w:eastAsia="Times New Roman"/>
          <w:sz w:val="24"/>
          <w:szCs w:val="24"/>
        </w:rPr>
        <w:t xml:space="preserve">, 97 Colo. 568, 51 P.2d 1026 (1935), legal justification is treated as a matter of affirmative defense. </w:t>
      </w:r>
      <w:r w:rsidRPr="006053F6">
        <w:rPr>
          <w:rFonts w:eastAsia="Times New Roman"/>
          <w:i/>
          <w:sz w:val="24"/>
          <w:szCs w:val="24"/>
        </w:rPr>
        <w:t xml:space="preserve">Accord </w:t>
      </w:r>
      <w:r w:rsidRPr="006053F6">
        <w:rPr>
          <w:rFonts w:eastAsia="Times New Roman"/>
          <w:smallCaps/>
          <w:sz w:val="24"/>
          <w:szCs w:val="24"/>
        </w:rPr>
        <w:t>Restatement</w:t>
      </w:r>
      <w:r w:rsidRPr="006053F6">
        <w:rPr>
          <w:rFonts w:eastAsia="Times New Roman"/>
          <w:sz w:val="24"/>
          <w:szCs w:val="24"/>
        </w:rPr>
        <w:t xml:space="preserve"> § 118; </w:t>
      </w:r>
      <w:r w:rsidRPr="006053F6">
        <w:rPr>
          <w:rFonts w:eastAsia="Times New Roman"/>
          <w:smallCaps/>
          <w:sz w:val="24"/>
          <w:szCs w:val="24"/>
        </w:rPr>
        <w:t>Prosser and Keeton on the Law of Torts</w:t>
      </w:r>
      <w:r w:rsidRPr="006053F6">
        <w:rPr>
          <w:rFonts w:eastAsia="Times New Roman"/>
          <w:sz w:val="24"/>
          <w:szCs w:val="24"/>
        </w:rPr>
        <w:t xml:space="preserve">, </w:t>
      </w:r>
      <w:r w:rsidRPr="006053F6">
        <w:rPr>
          <w:rFonts w:eastAsia="Times New Roman"/>
          <w:i/>
          <w:sz w:val="24"/>
          <w:szCs w:val="24"/>
        </w:rPr>
        <w:t>supra</w:t>
      </w:r>
      <w:r w:rsidRPr="006053F6">
        <w:rPr>
          <w:rFonts w:eastAsia="Times New Roman"/>
          <w:sz w:val="24"/>
          <w:szCs w:val="24"/>
        </w:rPr>
        <w:t xml:space="preserve">, § 11, at 53; </w:t>
      </w:r>
      <w:r w:rsidRPr="006053F6">
        <w:rPr>
          <w:rFonts w:eastAsia="Times New Roman"/>
          <w:i/>
          <w:sz w:val="24"/>
          <w:szCs w:val="24"/>
        </w:rPr>
        <w:t>see also</w:t>
      </w:r>
      <w:r w:rsidRPr="006053F6">
        <w:rPr>
          <w:rFonts w:eastAsia="Times New Roman"/>
          <w:sz w:val="24"/>
          <w:szCs w:val="24"/>
        </w:rPr>
        <w:t xml:space="preserve"> </w:t>
      </w:r>
      <w:r w:rsidRPr="006053F6">
        <w:rPr>
          <w:rFonts w:eastAsia="Times New Roman"/>
          <w:b/>
          <w:sz w:val="24"/>
          <w:szCs w:val="24"/>
        </w:rPr>
        <w:t>Goodboe v. Gabriella</w:t>
      </w:r>
      <w:r w:rsidRPr="006053F6">
        <w:rPr>
          <w:rFonts w:eastAsia="Times New Roman"/>
          <w:sz w:val="24"/>
          <w:szCs w:val="24"/>
        </w:rPr>
        <w:t xml:space="preserve">, 663 P.2d 1051 (Colo. App. 1983) (citing and discussing this instruction with approval, noting in particular that since a justified detention is a matter of affirmative defense, the plaintiff need not prove as a necessary element of liability that the detention was “unlawful”). </w:t>
      </w:r>
      <w:r w:rsidRPr="006053F6">
        <w:rPr>
          <w:rFonts w:eastAsia="Times New Roman"/>
          <w:i/>
          <w:sz w:val="24"/>
          <w:szCs w:val="24"/>
        </w:rPr>
        <w:t xml:space="preserve">But see </w:t>
      </w:r>
      <w:r w:rsidRPr="006053F6">
        <w:rPr>
          <w:rFonts w:eastAsia="Times New Roman"/>
          <w:b/>
          <w:sz w:val="24"/>
          <w:szCs w:val="24"/>
        </w:rPr>
        <w:t>Rose v. City &amp; Cty. of Denver</w:t>
      </w:r>
      <w:r w:rsidRPr="006053F6">
        <w:rPr>
          <w:rFonts w:eastAsia="Times New Roman"/>
          <w:sz w:val="24"/>
          <w:szCs w:val="24"/>
        </w:rPr>
        <w:t>, 990 P.2d 1120 (Colo. App. 1999) (the court concluded as a matter of law that officer had probable cause to arrest plaintiff).</w:t>
      </w:r>
    </w:p>
    <w:p w:rsidR="006053F6" w:rsidRPr="006053F6" w:rsidRDefault="006053F6" w:rsidP="006053F6">
      <w:pPr>
        <w:spacing w:after="240"/>
        <w:ind w:firstLine="720"/>
        <w:rPr>
          <w:rFonts w:eastAsia="Times New Roman"/>
          <w:sz w:val="24"/>
          <w:szCs w:val="24"/>
        </w:rPr>
      </w:pPr>
      <w:r w:rsidRPr="006053F6">
        <w:rPr>
          <w:rFonts w:eastAsia="Times New Roman"/>
          <w:sz w:val="24"/>
          <w:szCs w:val="24"/>
        </w:rPr>
        <w:t xml:space="preserve">3. One may be liable for a false arrest or imprisonment, though his or her conduct, for example, as an instigator, was only an indirect cause of the false arrest or imprisonment. </w:t>
      </w:r>
      <w:r w:rsidRPr="006053F6">
        <w:rPr>
          <w:rFonts w:eastAsia="Times New Roman"/>
          <w:smallCaps/>
          <w:sz w:val="24"/>
          <w:szCs w:val="24"/>
        </w:rPr>
        <w:t>Restatement</w:t>
      </w:r>
      <w:r w:rsidRPr="006053F6">
        <w:rPr>
          <w:rFonts w:eastAsia="Times New Roman"/>
          <w:sz w:val="24"/>
          <w:szCs w:val="24"/>
        </w:rPr>
        <w:t xml:space="preserve"> § 45A; </w:t>
      </w:r>
      <w:r w:rsidRPr="006053F6">
        <w:rPr>
          <w:rFonts w:eastAsia="Times New Roman"/>
          <w:i/>
          <w:sz w:val="24"/>
          <w:szCs w:val="24"/>
        </w:rPr>
        <w:t>see also</w:t>
      </w:r>
      <w:r w:rsidRPr="006053F6">
        <w:rPr>
          <w:rFonts w:eastAsia="Times New Roman"/>
          <w:sz w:val="24"/>
          <w:szCs w:val="24"/>
        </w:rPr>
        <w:t xml:space="preserve"> Notes on Use and Source and Authority to Instruction 21:3.</w:t>
      </w:r>
    </w:p>
    <w:p w:rsidR="00D705AC" w:rsidRPr="004F003D" w:rsidRDefault="00D705AC" w:rsidP="00D705AC">
      <w:pPr>
        <w:spacing w:after="240"/>
        <w:ind w:firstLine="720"/>
        <w:rPr>
          <w:rFonts w:eastAsia="Times New Roman"/>
          <w:sz w:val="24"/>
          <w:szCs w:val="24"/>
        </w:rPr>
      </w:pPr>
      <w:r>
        <w:rPr>
          <w:rFonts w:eastAsia="Times New Roman"/>
          <w:sz w:val="24"/>
          <w:szCs w:val="24"/>
        </w:rPr>
        <w:t xml:space="preserve">4. The Colorado Governmental Immunity Act waives governmental immunity for the operation of a jail only for injuries due to negligence. </w:t>
      </w:r>
      <w:r w:rsidRPr="00662A92">
        <w:rPr>
          <w:rFonts w:eastAsia="Times New Roman"/>
          <w:b/>
          <w:bCs/>
          <w:sz w:val="24"/>
          <w:szCs w:val="24"/>
        </w:rPr>
        <w:t>Cisneros v. Elder</w:t>
      </w:r>
      <w:r>
        <w:rPr>
          <w:rFonts w:eastAsia="Times New Roman"/>
          <w:sz w:val="24"/>
          <w:szCs w:val="24"/>
        </w:rPr>
        <w:t>, 2020 COA 163M, ¶</w:t>
      </w:r>
      <w:r w:rsidR="000671D2">
        <w:rPr>
          <w:rFonts w:eastAsia="Times New Roman"/>
          <w:sz w:val="24"/>
          <w:szCs w:val="24"/>
        </w:rPr>
        <w:t xml:space="preserve"> 22, 490 P.3d 985</w:t>
      </w:r>
      <w:r w:rsidR="00EB3536">
        <w:rPr>
          <w:rFonts w:eastAsia="Times New Roman"/>
          <w:sz w:val="24"/>
          <w:szCs w:val="24"/>
        </w:rPr>
        <w:t>, 988</w:t>
      </w:r>
      <w:r>
        <w:rPr>
          <w:rFonts w:eastAsia="Times New Roman"/>
          <w:sz w:val="24"/>
          <w:szCs w:val="24"/>
        </w:rPr>
        <w:t xml:space="preserve"> (“Because sovereign immunity for the operation of a jail is waived only when an inmate’s injury is the result of negligence, we must conclude that the waiver of immunity under section 24-10-106(1.5)(b) does not apply to injuries caused by intentional torts.”)</w:t>
      </w:r>
      <w:r w:rsidR="00A65981">
        <w:rPr>
          <w:rFonts w:eastAsia="Times New Roman"/>
          <w:sz w:val="24"/>
          <w:szCs w:val="24"/>
        </w:rPr>
        <w:t xml:space="preserve"> (</w:t>
      </w:r>
      <w:r w:rsidR="00A65981" w:rsidRPr="00A65981">
        <w:rPr>
          <w:rFonts w:eastAsia="Times New Roman"/>
          <w:i/>
          <w:sz w:val="24"/>
          <w:szCs w:val="24"/>
        </w:rPr>
        <w:t>cert. granted</w:t>
      </w:r>
      <w:r w:rsidR="00A65981">
        <w:rPr>
          <w:rFonts w:eastAsia="Times New Roman"/>
          <w:sz w:val="24"/>
          <w:szCs w:val="24"/>
        </w:rPr>
        <w:t xml:space="preserve"> May 24, 2021)</w:t>
      </w:r>
      <w:r w:rsidR="000671D2">
        <w:rPr>
          <w:rFonts w:eastAsia="Times New Roman"/>
          <w:sz w:val="24"/>
          <w:szCs w:val="24"/>
        </w:rPr>
        <w:t>.</w:t>
      </w:r>
    </w:p>
    <w:p w:rsidR="000671D2" w:rsidRDefault="000671D2">
      <w:pPr>
        <w:rPr>
          <w:rFonts w:eastAsia="Times New Roman"/>
          <w:sz w:val="24"/>
          <w:szCs w:val="24"/>
        </w:rPr>
      </w:pPr>
      <w:r>
        <w:rPr>
          <w:rFonts w:eastAsia="Times New Roman"/>
          <w:sz w:val="24"/>
          <w:szCs w:val="24"/>
        </w:rPr>
        <w:br w:type="page"/>
      </w:r>
    </w:p>
    <w:p w:rsidR="00502D97" w:rsidRPr="009E3DA4" w:rsidRDefault="00502D97" w:rsidP="00502D97">
      <w:pPr>
        <w:spacing w:after="240"/>
        <w:ind w:left="720" w:hanging="720"/>
        <w:rPr>
          <w:rFonts w:eastAsia="Times New Roman"/>
          <w:b/>
          <w:sz w:val="24"/>
          <w:szCs w:val="24"/>
        </w:rPr>
      </w:pPr>
      <w:bookmarkStart w:id="2" w:name="a21_02"/>
      <w:bookmarkEnd w:id="2"/>
      <w:r w:rsidRPr="00502D97">
        <w:rPr>
          <w:rFonts w:eastAsia="Times New Roman"/>
          <w:b/>
          <w:sz w:val="24"/>
          <w:szCs w:val="24"/>
        </w:rPr>
        <w:lastRenderedPageBreak/>
        <w:t xml:space="preserve">21:2 </w:t>
      </w:r>
      <w:r w:rsidRPr="00502D97">
        <w:rPr>
          <w:rFonts w:eastAsia="Times New Roman"/>
          <w:b/>
          <w:sz w:val="24"/>
          <w:szCs w:val="24"/>
        </w:rPr>
        <w:tab/>
        <w:t>RESTRICTION OF FREEDOM OF MOVEMENT — DEFINED</w:t>
      </w:r>
    </w:p>
    <w:p w:rsidR="00502D97" w:rsidRPr="00502D97" w:rsidRDefault="00502D97" w:rsidP="00502D97">
      <w:pPr>
        <w:spacing w:after="240"/>
        <w:ind w:firstLine="720"/>
        <w:rPr>
          <w:rFonts w:eastAsia="Times New Roman"/>
          <w:b/>
          <w:sz w:val="24"/>
          <w:szCs w:val="24"/>
        </w:rPr>
      </w:pPr>
      <w:r w:rsidRPr="00502D97">
        <w:rPr>
          <w:rFonts w:eastAsia="Times New Roman"/>
          <w:b/>
          <w:sz w:val="24"/>
          <w:szCs w:val="24"/>
        </w:rPr>
        <w:t>A person’s freedom of movement has been restricted when:</w:t>
      </w:r>
    </w:p>
    <w:p w:rsidR="00502D97" w:rsidRPr="00502D97" w:rsidRDefault="00502D97" w:rsidP="00502D97">
      <w:pPr>
        <w:spacing w:after="240"/>
        <w:ind w:firstLine="720"/>
        <w:rPr>
          <w:rFonts w:eastAsia="Times New Roman"/>
          <w:b/>
          <w:sz w:val="24"/>
          <w:szCs w:val="24"/>
        </w:rPr>
      </w:pPr>
      <w:r w:rsidRPr="00502D97">
        <w:rPr>
          <w:rFonts w:eastAsia="Times New Roman"/>
          <w:b/>
          <w:sz w:val="24"/>
          <w:szCs w:val="24"/>
        </w:rPr>
        <w:t>(1. A person’s freedom of movement is actually limited, or he or she believes that it has been limited to a certain area by physical barriers and does not know of any way to escape without causing an unreasonable risk of harm to him or herself or to property.)</w:t>
      </w:r>
    </w:p>
    <w:p w:rsidR="00502D97" w:rsidRPr="00502D97" w:rsidRDefault="00502D97" w:rsidP="00502D97">
      <w:pPr>
        <w:spacing w:after="240"/>
        <w:ind w:firstLine="720"/>
        <w:rPr>
          <w:rFonts w:eastAsia="Times New Roman"/>
          <w:b/>
          <w:sz w:val="24"/>
          <w:szCs w:val="24"/>
        </w:rPr>
      </w:pPr>
      <w:r w:rsidRPr="00502D97">
        <w:rPr>
          <w:rFonts w:eastAsia="Times New Roman"/>
          <w:b/>
          <w:sz w:val="24"/>
          <w:szCs w:val="24"/>
        </w:rPr>
        <w:t>(2. The person is restrained by physical force, however slight, which overpowered the person or to which the person submitted.)</w:t>
      </w:r>
    </w:p>
    <w:p w:rsidR="00502D97" w:rsidRPr="00502D97" w:rsidRDefault="00502D97" w:rsidP="00502D97">
      <w:pPr>
        <w:spacing w:after="240"/>
        <w:ind w:firstLine="720"/>
        <w:rPr>
          <w:rFonts w:eastAsia="Times New Roman"/>
          <w:b/>
          <w:sz w:val="24"/>
          <w:szCs w:val="24"/>
        </w:rPr>
      </w:pPr>
      <w:r w:rsidRPr="00502D97">
        <w:rPr>
          <w:rFonts w:eastAsia="Times New Roman"/>
          <w:b/>
          <w:sz w:val="24"/>
          <w:szCs w:val="24"/>
        </w:rPr>
        <w:t>(3. The person complies with actual or apparent threats that he or she or a member of his or her family will be immediately harmed if he or she moves beyond or refuses to go to a certain area.)</w:t>
      </w:r>
    </w:p>
    <w:p w:rsidR="00502D97" w:rsidRPr="00502D97" w:rsidRDefault="00502D97" w:rsidP="00502D97">
      <w:pPr>
        <w:spacing w:after="240"/>
        <w:ind w:firstLine="720"/>
        <w:rPr>
          <w:rFonts w:eastAsia="Times New Roman"/>
          <w:b/>
          <w:sz w:val="24"/>
          <w:szCs w:val="24"/>
        </w:rPr>
      </w:pPr>
      <w:r w:rsidRPr="00502D97">
        <w:rPr>
          <w:rFonts w:eastAsia="Times New Roman"/>
          <w:b/>
          <w:sz w:val="24"/>
          <w:szCs w:val="24"/>
        </w:rPr>
        <w:t>(4. The person complies with actual or apparent threats that his or her property will be damaged or destroyed if he or she refuses to move past or to a certain area.)</w:t>
      </w:r>
    </w:p>
    <w:p w:rsidR="00502D97" w:rsidRPr="00502D97" w:rsidRDefault="00502D97" w:rsidP="00502D97">
      <w:pPr>
        <w:spacing w:after="240"/>
        <w:ind w:firstLine="720"/>
        <w:rPr>
          <w:rFonts w:eastAsia="Times New Roman"/>
          <w:b/>
          <w:sz w:val="24"/>
          <w:szCs w:val="24"/>
        </w:rPr>
      </w:pPr>
      <w:r w:rsidRPr="00502D97">
        <w:rPr>
          <w:rFonts w:eastAsia="Times New Roman"/>
          <w:b/>
          <w:sz w:val="24"/>
          <w:szCs w:val="24"/>
        </w:rPr>
        <w:t>(5. The person submits to another who states that he or she has the legal authority to [arrest the person] [take that person into custody].)</w:t>
      </w:r>
    </w:p>
    <w:p w:rsidR="00502D97" w:rsidRPr="00502D97" w:rsidRDefault="00502D97" w:rsidP="00502D97">
      <w:pPr>
        <w:spacing w:after="240"/>
        <w:ind w:firstLine="720"/>
        <w:rPr>
          <w:rFonts w:eastAsia="Times New Roman"/>
          <w:b/>
          <w:sz w:val="24"/>
          <w:szCs w:val="24"/>
        </w:rPr>
      </w:pPr>
      <w:r w:rsidRPr="00502D97">
        <w:rPr>
          <w:rFonts w:eastAsia="Times New Roman"/>
          <w:b/>
          <w:sz w:val="24"/>
          <w:szCs w:val="24"/>
        </w:rPr>
        <w:t xml:space="preserve">(6. The person is stopped and prevented from leaving by another under circumstances that caused the person to reasonably believe that if he or she tried to leave, he or she would be immediately subjected to social disgrace or to </w:t>
      </w:r>
      <w:r w:rsidRPr="00502D97">
        <w:rPr>
          <w:rFonts w:eastAsia="Times New Roman"/>
          <w:i/>
          <w:sz w:val="24"/>
          <w:szCs w:val="24"/>
        </w:rPr>
        <w:t>[describe any sufficiently severe economic sanction, e.g., loss of job, with which the evidence shows the plaintiff may have been threatened]</w:t>
      </w:r>
      <w:r w:rsidRPr="00502D97">
        <w:rPr>
          <w:rFonts w:eastAsia="Times New Roman"/>
          <w:b/>
          <w:sz w:val="24"/>
          <w:szCs w:val="24"/>
        </w:rPr>
        <w:t>).</w:t>
      </w:r>
    </w:p>
    <w:p w:rsidR="00502D97" w:rsidRDefault="00502D97" w:rsidP="00502D97">
      <w:pPr>
        <w:jc w:val="center"/>
        <w:rPr>
          <w:rFonts w:eastAsia="Times New Roman"/>
          <w:sz w:val="24"/>
          <w:szCs w:val="24"/>
        </w:rPr>
      </w:pPr>
    </w:p>
    <w:p w:rsidR="00502D97" w:rsidRPr="0054263B" w:rsidRDefault="00502D97" w:rsidP="00502D97">
      <w:pPr>
        <w:keepNext/>
        <w:spacing w:after="240"/>
        <w:jc w:val="center"/>
        <w:rPr>
          <w:rFonts w:eastAsia="Times New Roman"/>
          <w:b/>
          <w:sz w:val="24"/>
          <w:szCs w:val="24"/>
        </w:rPr>
      </w:pPr>
      <w:r w:rsidRPr="0054263B">
        <w:rPr>
          <w:rFonts w:eastAsia="Times New Roman"/>
          <w:b/>
          <w:sz w:val="24"/>
          <w:szCs w:val="24"/>
        </w:rPr>
        <w:t>Notes on Use</w:t>
      </w:r>
    </w:p>
    <w:p w:rsidR="00502D97" w:rsidRPr="00502D97" w:rsidRDefault="00502D97" w:rsidP="00502D97">
      <w:pPr>
        <w:spacing w:after="240"/>
        <w:ind w:firstLine="720"/>
        <w:rPr>
          <w:rFonts w:eastAsia="Times New Roman"/>
          <w:sz w:val="24"/>
          <w:szCs w:val="24"/>
        </w:rPr>
      </w:pPr>
      <w:r w:rsidRPr="00502D97">
        <w:rPr>
          <w:rFonts w:eastAsia="Times New Roman"/>
          <w:sz w:val="24"/>
          <w:szCs w:val="24"/>
        </w:rPr>
        <w:t>1. Use whichever parenthesized paragraph or paragraphs (and bracketed portions thereof) are appropriate. When more than one numbered paragraph is used, the paragraphs should be clearly stated as alternatives.</w:t>
      </w:r>
    </w:p>
    <w:p w:rsidR="00502D97" w:rsidRPr="00502D97" w:rsidRDefault="00502D97" w:rsidP="00502D97">
      <w:pPr>
        <w:spacing w:after="240"/>
        <w:ind w:firstLine="720"/>
        <w:rPr>
          <w:rFonts w:eastAsia="Times New Roman"/>
          <w:sz w:val="24"/>
          <w:szCs w:val="24"/>
        </w:rPr>
      </w:pPr>
      <w:r w:rsidRPr="00502D97">
        <w:rPr>
          <w:rFonts w:eastAsia="Times New Roman"/>
          <w:sz w:val="24"/>
          <w:szCs w:val="24"/>
        </w:rPr>
        <w:t>2. This instruction is intended to cover most, but not necessarily all, of the situations which may give rise to a sufficient detention, restraint or confinement to support a claim for false imprisonment or arrest. If the circumstances of a particular case are unique, a more appropriate instruction should be substituted.</w:t>
      </w:r>
    </w:p>
    <w:p w:rsidR="00502D97" w:rsidRPr="00502D97" w:rsidRDefault="00502D97" w:rsidP="00502D97">
      <w:pPr>
        <w:spacing w:after="240"/>
        <w:ind w:firstLine="720"/>
        <w:rPr>
          <w:rFonts w:eastAsia="Times New Roman"/>
          <w:sz w:val="24"/>
          <w:szCs w:val="24"/>
        </w:rPr>
      </w:pPr>
      <w:r w:rsidRPr="00502D97">
        <w:rPr>
          <w:rFonts w:eastAsia="Times New Roman"/>
          <w:sz w:val="24"/>
          <w:szCs w:val="24"/>
        </w:rPr>
        <w:t xml:space="preserve">3. Numbered paragraph 1: When a person’s freedom of movement has been restricted in one or more directions, but other avenues are open to the person — for example, when a highway is blocked — the person’s freedom of movement has not been restricted sufficiently to constitute the tort of false imprisonment. </w:t>
      </w:r>
      <w:r w:rsidRPr="00502D97">
        <w:rPr>
          <w:rFonts w:eastAsia="Times New Roman"/>
          <w:smallCaps/>
          <w:sz w:val="24"/>
          <w:szCs w:val="24"/>
        </w:rPr>
        <w:t>Restatement (Second) of Torts</w:t>
      </w:r>
      <w:r w:rsidRPr="00502D97">
        <w:rPr>
          <w:rFonts w:eastAsia="Times New Roman"/>
          <w:sz w:val="24"/>
          <w:szCs w:val="24"/>
        </w:rPr>
        <w:t xml:space="preserve"> § 36 cmt. d (1965).</w:t>
      </w:r>
    </w:p>
    <w:p w:rsidR="00502D97" w:rsidRPr="00502D97" w:rsidRDefault="00502D97" w:rsidP="00502D97">
      <w:pPr>
        <w:spacing w:after="240"/>
        <w:ind w:firstLine="720"/>
        <w:rPr>
          <w:rFonts w:eastAsia="Times New Roman"/>
          <w:sz w:val="24"/>
          <w:szCs w:val="24"/>
        </w:rPr>
      </w:pPr>
      <w:r w:rsidRPr="00502D97">
        <w:rPr>
          <w:rFonts w:eastAsia="Times New Roman"/>
          <w:sz w:val="24"/>
          <w:szCs w:val="24"/>
        </w:rPr>
        <w:t>4. Numbered paragraphs 3 and 4: Sound policy may justify in particular cases extending the scope of either of these clauses to include threats against the person or property of others than those named, for example, close friends or customers in a store. In such cases, the instruction should be modified accordingly.</w:t>
      </w:r>
    </w:p>
    <w:p w:rsidR="00502D97" w:rsidRPr="00502D97" w:rsidRDefault="00502D97" w:rsidP="00502D97">
      <w:pPr>
        <w:spacing w:after="240"/>
        <w:ind w:firstLine="720"/>
        <w:rPr>
          <w:rFonts w:eastAsia="Times New Roman"/>
          <w:sz w:val="24"/>
          <w:szCs w:val="24"/>
        </w:rPr>
      </w:pPr>
      <w:r w:rsidRPr="00502D97">
        <w:rPr>
          <w:rFonts w:eastAsia="Times New Roman"/>
          <w:sz w:val="24"/>
          <w:szCs w:val="24"/>
        </w:rPr>
        <w:lastRenderedPageBreak/>
        <w:t>5. Numbered paragraph 5: In most cases, the word “custody” need not be defined. However, if that is not the case, an appropriate instruction should be given. Also, in most cases, the legal authority asserted will be that of arrest. However, in some cases it may not, for example, the recapture of an escaped mental incompetent who has been confined to an institution.</w:t>
      </w:r>
    </w:p>
    <w:p w:rsidR="00502D97" w:rsidRPr="00502D97" w:rsidRDefault="00502D97" w:rsidP="00502D97">
      <w:pPr>
        <w:spacing w:after="240"/>
        <w:ind w:firstLine="720"/>
        <w:rPr>
          <w:rFonts w:eastAsia="Times New Roman"/>
          <w:sz w:val="24"/>
          <w:szCs w:val="24"/>
        </w:rPr>
      </w:pPr>
      <w:r w:rsidRPr="00502D97">
        <w:rPr>
          <w:rFonts w:eastAsia="Times New Roman"/>
          <w:sz w:val="24"/>
          <w:szCs w:val="24"/>
        </w:rPr>
        <w:t xml:space="preserve">6. Numbered paragraph 6: There appears to be little authority for this form of restriction. To the extent it has been recognized, it would appear that the social disgrace or economic sanction which is impliedly or expressly threatened must have been sufficient to constitute duress. </w:t>
      </w:r>
      <w:r w:rsidRPr="00502D97">
        <w:rPr>
          <w:rFonts w:eastAsia="Times New Roman"/>
          <w:i/>
          <w:sz w:val="24"/>
          <w:szCs w:val="24"/>
        </w:rPr>
        <w:t xml:space="preserve">See </w:t>
      </w:r>
      <w:r w:rsidRPr="00502D97">
        <w:rPr>
          <w:rFonts w:eastAsia="Times New Roman"/>
          <w:smallCaps/>
          <w:sz w:val="24"/>
          <w:szCs w:val="24"/>
        </w:rPr>
        <w:t>Restatement</w:t>
      </w:r>
      <w:r w:rsidRPr="00502D97">
        <w:rPr>
          <w:rFonts w:eastAsia="Times New Roman"/>
          <w:sz w:val="24"/>
          <w:szCs w:val="24"/>
        </w:rPr>
        <w:t xml:space="preserve"> § 40A; </w:t>
      </w:r>
      <w:r w:rsidRPr="00502D97">
        <w:rPr>
          <w:rFonts w:eastAsia="Times New Roman"/>
          <w:smallCaps/>
          <w:sz w:val="24"/>
          <w:szCs w:val="24"/>
        </w:rPr>
        <w:t>W. Page Keeton et al., Prosser and Keeton on the Law of Torts</w:t>
      </w:r>
      <w:r w:rsidRPr="00502D97">
        <w:rPr>
          <w:rFonts w:eastAsia="Times New Roman"/>
          <w:sz w:val="24"/>
          <w:szCs w:val="24"/>
        </w:rPr>
        <w:t xml:space="preserve"> § 11, at 50 (5th ed. 1984).</w:t>
      </w:r>
    </w:p>
    <w:p w:rsidR="00502D97" w:rsidRPr="0054263B" w:rsidRDefault="00502D97" w:rsidP="00502D97">
      <w:pPr>
        <w:keepNext/>
        <w:spacing w:after="240"/>
        <w:jc w:val="center"/>
        <w:rPr>
          <w:rFonts w:eastAsia="Times New Roman"/>
          <w:b/>
          <w:sz w:val="24"/>
          <w:szCs w:val="24"/>
        </w:rPr>
      </w:pPr>
      <w:r>
        <w:rPr>
          <w:rFonts w:eastAsia="Times New Roman"/>
          <w:b/>
          <w:sz w:val="24"/>
          <w:szCs w:val="24"/>
        </w:rPr>
        <w:t>Source and Authority</w:t>
      </w:r>
    </w:p>
    <w:p w:rsidR="001D04E0" w:rsidRPr="004F003D" w:rsidRDefault="004F003D" w:rsidP="004F003D">
      <w:pPr>
        <w:spacing w:after="240"/>
        <w:ind w:firstLine="720"/>
        <w:rPr>
          <w:rFonts w:eastAsia="Times New Roman"/>
          <w:sz w:val="24"/>
          <w:szCs w:val="24"/>
        </w:rPr>
      </w:pPr>
      <w:r w:rsidRPr="004F003D">
        <w:rPr>
          <w:rFonts w:eastAsia="Times New Roman"/>
          <w:sz w:val="24"/>
          <w:szCs w:val="24"/>
        </w:rPr>
        <w:t xml:space="preserve">This instruction is supported by </w:t>
      </w:r>
      <w:r w:rsidRPr="004F003D">
        <w:rPr>
          <w:rFonts w:eastAsia="Times New Roman"/>
          <w:b/>
          <w:sz w:val="24"/>
          <w:szCs w:val="24"/>
        </w:rPr>
        <w:t>McDonald v. Lakewood Country Club</w:t>
      </w:r>
      <w:r w:rsidRPr="004F003D">
        <w:rPr>
          <w:rFonts w:eastAsia="Times New Roman"/>
          <w:sz w:val="24"/>
          <w:szCs w:val="24"/>
        </w:rPr>
        <w:t xml:space="preserve">, 170 Colo. 355, 461 P.2d 437 (1969) (supporting paragraphs 2 and 3 and involving restraint imposed by force or threat of force); </w:t>
      </w:r>
      <w:r w:rsidRPr="004F003D">
        <w:rPr>
          <w:rFonts w:eastAsia="Times New Roman"/>
          <w:b/>
          <w:sz w:val="24"/>
          <w:szCs w:val="24"/>
        </w:rPr>
        <w:t>Crews-Beggs Dry Goods Co. v. Bayle</w:t>
      </w:r>
      <w:r w:rsidRPr="004F003D">
        <w:rPr>
          <w:rFonts w:eastAsia="Times New Roman"/>
          <w:sz w:val="24"/>
          <w:szCs w:val="24"/>
        </w:rPr>
        <w:t xml:space="preserve">, 97 Colo. 568, 51 P.2d 1026 (1935) (supporting paragraph 2 and involving restraint by only slight force to which plaintiff submitted because any restraint by force or fear constitutes false imprisonment); </w:t>
      </w:r>
      <w:r w:rsidRPr="004F003D">
        <w:rPr>
          <w:rFonts w:eastAsia="Times New Roman"/>
          <w:b/>
          <w:sz w:val="24"/>
          <w:szCs w:val="24"/>
        </w:rPr>
        <w:t>Union Pacific Railroad v. Dennis</w:t>
      </w:r>
      <w:r w:rsidRPr="004F003D">
        <w:rPr>
          <w:rFonts w:eastAsia="Times New Roman"/>
          <w:sz w:val="24"/>
          <w:szCs w:val="24"/>
        </w:rPr>
        <w:t xml:space="preserve">, 73 Colo. 66, 213 P. 332 (1923) (paragraph 5); </w:t>
      </w:r>
      <w:r w:rsidRPr="004F003D">
        <w:rPr>
          <w:rFonts w:eastAsia="Times New Roman"/>
          <w:b/>
          <w:sz w:val="24"/>
          <w:szCs w:val="24"/>
        </w:rPr>
        <w:t>Kettelhut v. Edwards</w:t>
      </w:r>
      <w:r w:rsidRPr="004F003D">
        <w:rPr>
          <w:rFonts w:eastAsia="Times New Roman"/>
          <w:sz w:val="24"/>
          <w:szCs w:val="24"/>
        </w:rPr>
        <w:t xml:space="preserve">, 65 Colo. 506, 177 P. 961 (1919) (paragraph 5); </w:t>
      </w:r>
      <w:r w:rsidRPr="00172700">
        <w:rPr>
          <w:rFonts w:eastAsia="Times New Roman"/>
          <w:smallCaps/>
          <w:sz w:val="24"/>
          <w:szCs w:val="24"/>
        </w:rPr>
        <w:t>Restatement</w:t>
      </w:r>
      <w:r w:rsidRPr="004F003D">
        <w:rPr>
          <w:rFonts w:eastAsia="Times New Roman"/>
          <w:sz w:val="24"/>
          <w:szCs w:val="24"/>
        </w:rPr>
        <w:t xml:space="preserve"> §§ 36-38 (paragraph 1); </w:t>
      </w:r>
      <w:r w:rsidRPr="004F003D">
        <w:rPr>
          <w:rFonts w:eastAsia="Times New Roman"/>
          <w:smallCaps/>
          <w:sz w:val="24"/>
          <w:szCs w:val="24"/>
        </w:rPr>
        <w:t>Restatement</w:t>
      </w:r>
      <w:r w:rsidRPr="004F003D">
        <w:rPr>
          <w:rFonts w:eastAsia="Times New Roman"/>
          <w:sz w:val="24"/>
          <w:szCs w:val="24"/>
        </w:rPr>
        <w:t xml:space="preserve"> § 39 (paragraph 2); </w:t>
      </w:r>
      <w:r w:rsidRPr="004F003D">
        <w:rPr>
          <w:rFonts w:eastAsia="Times New Roman"/>
          <w:smallCaps/>
          <w:sz w:val="24"/>
          <w:szCs w:val="24"/>
        </w:rPr>
        <w:t>Restatement</w:t>
      </w:r>
      <w:r w:rsidRPr="004F003D">
        <w:rPr>
          <w:rFonts w:eastAsia="Times New Roman"/>
          <w:sz w:val="24"/>
          <w:szCs w:val="24"/>
        </w:rPr>
        <w:t xml:space="preserve"> § 40 (paragraph 3); </w:t>
      </w:r>
      <w:r w:rsidRPr="004F003D">
        <w:rPr>
          <w:rFonts w:eastAsia="Times New Roman"/>
          <w:smallCaps/>
          <w:sz w:val="24"/>
          <w:szCs w:val="24"/>
        </w:rPr>
        <w:t>Restatement</w:t>
      </w:r>
      <w:r w:rsidRPr="004F003D">
        <w:rPr>
          <w:rFonts w:eastAsia="Times New Roman"/>
          <w:sz w:val="24"/>
          <w:szCs w:val="24"/>
        </w:rPr>
        <w:t xml:space="preserve"> § 40A cmt. a (paragraphs 3 and 4); </w:t>
      </w:r>
      <w:r w:rsidRPr="004F003D">
        <w:rPr>
          <w:rFonts w:eastAsia="Times New Roman"/>
          <w:smallCaps/>
          <w:sz w:val="24"/>
          <w:szCs w:val="24"/>
        </w:rPr>
        <w:t>Restatement</w:t>
      </w:r>
      <w:r w:rsidRPr="004F003D">
        <w:rPr>
          <w:rFonts w:eastAsia="Times New Roman"/>
          <w:sz w:val="24"/>
          <w:szCs w:val="24"/>
        </w:rPr>
        <w:t xml:space="preserve"> § 41 (paragraph 5); </w:t>
      </w:r>
      <w:r w:rsidRPr="004F003D">
        <w:rPr>
          <w:rFonts w:eastAsia="Times New Roman"/>
          <w:smallCaps/>
          <w:sz w:val="24"/>
          <w:szCs w:val="24"/>
        </w:rPr>
        <w:t>Prosser and Keeton on the Law of Torts</w:t>
      </w:r>
      <w:r w:rsidRPr="004F003D">
        <w:rPr>
          <w:rFonts w:eastAsia="Times New Roman"/>
          <w:sz w:val="24"/>
          <w:szCs w:val="24"/>
        </w:rPr>
        <w:t xml:space="preserve">, </w:t>
      </w:r>
      <w:r w:rsidRPr="004F003D">
        <w:rPr>
          <w:rFonts w:eastAsia="Times New Roman"/>
          <w:i/>
          <w:sz w:val="24"/>
          <w:szCs w:val="24"/>
        </w:rPr>
        <w:t>supra</w:t>
      </w:r>
      <w:r w:rsidRPr="004F003D">
        <w:rPr>
          <w:rFonts w:eastAsia="Times New Roman"/>
          <w:sz w:val="24"/>
          <w:szCs w:val="24"/>
        </w:rPr>
        <w:t xml:space="preserve">, § 11, at 49-51; and 1 F. </w:t>
      </w:r>
      <w:r w:rsidRPr="004F003D">
        <w:rPr>
          <w:rFonts w:eastAsia="Times New Roman"/>
          <w:smallCaps/>
          <w:sz w:val="24"/>
          <w:szCs w:val="24"/>
        </w:rPr>
        <w:t>Harper et al. Harper, James, and Gray on Torts</w:t>
      </w:r>
      <w:r w:rsidRPr="004F003D">
        <w:rPr>
          <w:rFonts w:eastAsia="Times New Roman"/>
          <w:sz w:val="24"/>
          <w:szCs w:val="24"/>
        </w:rPr>
        <w:t xml:space="preserve"> § 3.8 (3d ed. 2006). </w:t>
      </w:r>
      <w:r w:rsidRPr="004F003D">
        <w:rPr>
          <w:rFonts w:eastAsia="Times New Roman"/>
          <w:i/>
          <w:sz w:val="24"/>
          <w:szCs w:val="24"/>
        </w:rPr>
        <w:t>See also</w:t>
      </w:r>
      <w:r w:rsidRPr="004F003D">
        <w:rPr>
          <w:rFonts w:eastAsia="Times New Roman"/>
          <w:sz w:val="24"/>
          <w:szCs w:val="24"/>
        </w:rPr>
        <w:t xml:space="preserve"> </w:t>
      </w:r>
      <w:r w:rsidRPr="004F003D">
        <w:rPr>
          <w:rFonts w:eastAsia="Times New Roman"/>
          <w:b/>
          <w:sz w:val="24"/>
          <w:szCs w:val="24"/>
        </w:rPr>
        <w:t>Havens v. Hardesty</w:t>
      </w:r>
      <w:r w:rsidRPr="004F003D">
        <w:rPr>
          <w:rFonts w:eastAsia="Times New Roman"/>
          <w:sz w:val="24"/>
          <w:szCs w:val="24"/>
        </w:rPr>
        <w:t>, 43 Colo. App. 162, 600 P.2d 116 (1979) (lawyer held liable for false arrest even though he was acting in good faith for his client and arrest of plaintiff was result of “mistaken identity”).</w:t>
      </w:r>
    </w:p>
    <w:p w:rsidR="004F003D" w:rsidRDefault="004F003D">
      <w:pPr>
        <w:rPr>
          <w:rFonts w:eastAsia="Times New Roman"/>
          <w:sz w:val="24"/>
          <w:szCs w:val="24"/>
        </w:rPr>
      </w:pPr>
      <w:r>
        <w:rPr>
          <w:rFonts w:eastAsia="Times New Roman"/>
          <w:sz w:val="24"/>
          <w:szCs w:val="24"/>
        </w:rPr>
        <w:br w:type="page"/>
      </w:r>
    </w:p>
    <w:p w:rsidR="004F003D" w:rsidRPr="009E3DA4" w:rsidRDefault="004F003D" w:rsidP="004F003D">
      <w:pPr>
        <w:spacing w:after="240"/>
        <w:ind w:left="720" w:hanging="720"/>
        <w:rPr>
          <w:rFonts w:eastAsia="Times New Roman"/>
          <w:b/>
          <w:sz w:val="24"/>
          <w:szCs w:val="24"/>
        </w:rPr>
      </w:pPr>
      <w:bookmarkStart w:id="3" w:name="a21_03"/>
      <w:bookmarkEnd w:id="3"/>
      <w:r w:rsidRPr="004F003D">
        <w:rPr>
          <w:rFonts w:eastAsia="Times New Roman"/>
          <w:b/>
          <w:sz w:val="24"/>
          <w:szCs w:val="24"/>
        </w:rPr>
        <w:lastRenderedPageBreak/>
        <w:t xml:space="preserve">21:3 </w:t>
      </w:r>
      <w:r w:rsidRPr="004F003D">
        <w:rPr>
          <w:rFonts w:eastAsia="Times New Roman"/>
          <w:b/>
          <w:sz w:val="24"/>
          <w:szCs w:val="24"/>
        </w:rPr>
        <w:tab/>
        <w:t>INTENT — DEFINED</w:t>
      </w:r>
    </w:p>
    <w:p w:rsidR="004F003D" w:rsidRPr="004F003D" w:rsidRDefault="004F003D" w:rsidP="004F003D">
      <w:pPr>
        <w:spacing w:after="240"/>
        <w:ind w:firstLine="720"/>
        <w:rPr>
          <w:rFonts w:eastAsia="Times New Roman"/>
          <w:b/>
          <w:sz w:val="24"/>
          <w:szCs w:val="24"/>
        </w:rPr>
      </w:pPr>
      <w:r w:rsidRPr="004F003D">
        <w:rPr>
          <w:rFonts w:eastAsia="Times New Roman"/>
          <w:b/>
          <w:sz w:val="24"/>
          <w:szCs w:val="24"/>
        </w:rPr>
        <w:t>A person intends to restrict freedom of movement if he or she acts for the purpose of restricting another’s freedom of movement or acts with knowledge that a restriction will probably result. This intent exists even if a person acts without malice or ill will or acts under a mistaken belief that he or she is privileged to restrict the other’s freedom of movement.</w:t>
      </w:r>
    </w:p>
    <w:p w:rsidR="004F003D" w:rsidRDefault="004F003D" w:rsidP="004F003D">
      <w:pPr>
        <w:jc w:val="center"/>
        <w:rPr>
          <w:rFonts w:eastAsia="Times New Roman"/>
          <w:sz w:val="24"/>
          <w:szCs w:val="24"/>
        </w:rPr>
      </w:pPr>
    </w:p>
    <w:p w:rsidR="004F003D" w:rsidRPr="0054263B" w:rsidRDefault="004F003D" w:rsidP="004F003D">
      <w:pPr>
        <w:keepNext/>
        <w:spacing w:after="240"/>
        <w:jc w:val="center"/>
        <w:rPr>
          <w:rFonts w:eastAsia="Times New Roman"/>
          <w:b/>
          <w:sz w:val="24"/>
          <w:szCs w:val="24"/>
        </w:rPr>
      </w:pPr>
      <w:r w:rsidRPr="0054263B">
        <w:rPr>
          <w:rFonts w:eastAsia="Times New Roman"/>
          <w:b/>
          <w:sz w:val="24"/>
          <w:szCs w:val="24"/>
        </w:rPr>
        <w:t>Notes on Use</w:t>
      </w:r>
    </w:p>
    <w:p w:rsidR="004F003D" w:rsidRPr="004F003D" w:rsidRDefault="004F003D" w:rsidP="004F003D">
      <w:pPr>
        <w:spacing w:after="240"/>
        <w:ind w:firstLine="720"/>
        <w:rPr>
          <w:rFonts w:eastAsia="Times New Roman"/>
          <w:sz w:val="24"/>
          <w:szCs w:val="24"/>
        </w:rPr>
      </w:pPr>
      <w:r w:rsidRPr="004F003D">
        <w:rPr>
          <w:rFonts w:eastAsia="Times New Roman"/>
          <w:sz w:val="24"/>
          <w:szCs w:val="24"/>
        </w:rPr>
        <w:t>Instruction 21:4 should be used rather than this instruction when there is sufficient evidence that the claimed false imprisonment was a result of the defendant’s refusal or failure to release the plaintiff from a confinement, which the defendant was under a duty to do.</w:t>
      </w:r>
    </w:p>
    <w:p w:rsidR="004F003D" w:rsidRPr="0054263B" w:rsidRDefault="004F003D" w:rsidP="004F003D">
      <w:pPr>
        <w:keepNext/>
        <w:spacing w:after="240"/>
        <w:jc w:val="center"/>
        <w:rPr>
          <w:rFonts w:eastAsia="Times New Roman"/>
          <w:b/>
          <w:sz w:val="24"/>
          <w:szCs w:val="24"/>
        </w:rPr>
      </w:pPr>
      <w:r>
        <w:rPr>
          <w:rFonts w:eastAsia="Times New Roman"/>
          <w:b/>
          <w:sz w:val="24"/>
          <w:szCs w:val="24"/>
        </w:rPr>
        <w:t>Source and Authority</w:t>
      </w:r>
    </w:p>
    <w:p w:rsidR="004F003D" w:rsidRPr="004F003D" w:rsidRDefault="004F003D" w:rsidP="004F003D">
      <w:pPr>
        <w:spacing w:after="240"/>
        <w:ind w:firstLine="720"/>
        <w:rPr>
          <w:rFonts w:eastAsia="Times New Roman"/>
          <w:sz w:val="24"/>
          <w:szCs w:val="24"/>
        </w:rPr>
      </w:pPr>
      <w:r w:rsidRPr="004F003D">
        <w:rPr>
          <w:rFonts w:eastAsia="Times New Roman"/>
          <w:sz w:val="24"/>
          <w:szCs w:val="24"/>
        </w:rPr>
        <w:t xml:space="preserve">1. This instruction is supported by </w:t>
      </w:r>
      <w:r w:rsidRPr="004F003D">
        <w:rPr>
          <w:rFonts w:eastAsia="Times New Roman"/>
          <w:smallCaps/>
          <w:sz w:val="24"/>
          <w:szCs w:val="24"/>
        </w:rPr>
        <w:t>Restatement (Second) of Torts</w:t>
      </w:r>
      <w:r w:rsidRPr="004F003D">
        <w:rPr>
          <w:rFonts w:eastAsia="Times New Roman"/>
          <w:sz w:val="24"/>
          <w:szCs w:val="24"/>
        </w:rPr>
        <w:t xml:space="preserve"> §§ 37, 43-44 (1965); 1 </w:t>
      </w:r>
      <w:r w:rsidRPr="004F003D">
        <w:rPr>
          <w:rFonts w:eastAsia="Times New Roman"/>
          <w:smallCaps/>
          <w:sz w:val="24"/>
          <w:szCs w:val="24"/>
        </w:rPr>
        <w:t>F. Harper et al., Harper, James, and Gray on Torts</w:t>
      </w:r>
      <w:r w:rsidRPr="004F003D">
        <w:rPr>
          <w:rFonts w:eastAsia="Times New Roman"/>
          <w:sz w:val="24"/>
          <w:szCs w:val="24"/>
        </w:rPr>
        <w:t xml:space="preserve"> § 3.7 (3d ed. 2006); and </w:t>
      </w:r>
      <w:r w:rsidRPr="004F003D">
        <w:rPr>
          <w:rFonts w:eastAsia="Times New Roman"/>
          <w:smallCaps/>
          <w:sz w:val="24"/>
          <w:szCs w:val="24"/>
        </w:rPr>
        <w:t>W. Page Keeton et al., Prosser and Keeton on the Law of Torts</w:t>
      </w:r>
      <w:r w:rsidRPr="004F003D">
        <w:rPr>
          <w:rFonts w:eastAsia="Times New Roman"/>
          <w:sz w:val="24"/>
          <w:szCs w:val="24"/>
        </w:rPr>
        <w:t xml:space="preserve"> § 11, at 52-53 (5th ed. 1984).</w:t>
      </w:r>
    </w:p>
    <w:p w:rsidR="004F003D" w:rsidRPr="004F003D" w:rsidRDefault="004F003D" w:rsidP="004F003D">
      <w:pPr>
        <w:spacing w:after="240"/>
        <w:ind w:firstLine="720"/>
        <w:rPr>
          <w:rFonts w:eastAsia="Times New Roman"/>
          <w:sz w:val="24"/>
          <w:szCs w:val="24"/>
        </w:rPr>
      </w:pPr>
      <w:r w:rsidRPr="004F003D">
        <w:rPr>
          <w:rFonts w:eastAsia="Times New Roman"/>
          <w:sz w:val="24"/>
          <w:szCs w:val="24"/>
        </w:rPr>
        <w:t xml:space="preserve">2. If the restriction of one’s freedom of movement is caused by negligent or even reckless conduct on the part of the defendant, it is not sufficient to create the intent necessary for false imprisonment or arrest. </w:t>
      </w:r>
      <w:r w:rsidRPr="004F003D">
        <w:rPr>
          <w:rFonts w:eastAsia="Times New Roman"/>
          <w:smallCaps/>
          <w:sz w:val="24"/>
          <w:szCs w:val="24"/>
        </w:rPr>
        <w:t>Harper, James, and Gray on Torts</w:t>
      </w:r>
      <w:r w:rsidRPr="004F003D">
        <w:rPr>
          <w:rFonts w:eastAsia="Times New Roman"/>
          <w:sz w:val="24"/>
          <w:szCs w:val="24"/>
        </w:rPr>
        <w:t xml:space="preserve">, </w:t>
      </w:r>
      <w:r w:rsidRPr="004F003D">
        <w:rPr>
          <w:rFonts w:eastAsia="Times New Roman"/>
          <w:i/>
          <w:sz w:val="24"/>
          <w:szCs w:val="24"/>
        </w:rPr>
        <w:t>supra</w:t>
      </w:r>
      <w:r w:rsidRPr="004F003D">
        <w:rPr>
          <w:rFonts w:eastAsia="Times New Roman"/>
          <w:sz w:val="24"/>
          <w:szCs w:val="24"/>
        </w:rPr>
        <w:t>, § 3.7, at 333-34.</w:t>
      </w:r>
    </w:p>
    <w:p w:rsidR="004F003D" w:rsidRPr="004F003D" w:rsidRDefault="004F003D" w:rsidP="004F003D">
      <w:pPr>
        <w:spacing w:after="240"/>
        <w:ind w:firstLine="720"/>
        <w:rPr>
          <w:rFonts w:eastAsia="Times New Roman"/>
          <w:sz w:val="24"/>
          <w:szCs w:val="24"/>
        </w:rPr>
      </w:pPr>
      <w:r w:rsidRPr="004F003D">
        <w:rPr>
          <w:rFonts w:eastAsia="Times New Roman"/>
          <w:sz w:val="24"/>
          <w:szCs w:val="24"/>
        </w:rPr>
        <w:t xml:space="preserve">3. The most common occurrences where the defendant would have knowledge that a restriction would probably result from the defendant’s act is where the defendant directs a peace officer to arrest the plaintiff and the arrest is not privileged, or where the defendant assists a third person who is not a peace officer to make an arrest which the third person is not privileged to make. </w:t>
      </w:r>
      <w:r w:rsidRPr="004F003D">
        <w:rPr>
          <w:rFonts w:eastAsia="Times New Roman"/>
          <w:i/>
          <w:sz w:val="24"/>
          <w:szCs w:val="24"/>
        </w:rPr>
        <w:t>See, e.g.</w:t>
      </w:r>
      <w:r w:rsidRPr="004F003D">
        <w:rPr>
          <w:rFonts w:eastAsia="Times New Roman"/>
          <w:sz w:val="24"/>
          <w:szCs w:val="24"/>
        </w:rPr>
        <w:t xml:space="preserve">, </w:t>
      </w:r>
      <w:r w:rsidRPr="004F003D">
        <w:rPr>
          <w:rFonts w:eastAsia="Times New Roman"/>
          <w:b/>
          <w:sz w:val="24"/>
          <w:szCs w:val="24"/>
        </w:rPr>
        <w:t>Grimes v. Greenblatt</w:t>
      </w:r>
      <w:r w:rsidRPr="004F003D">
        <w:rPr>
          <w:rFonts w:eastAsia="Times New Roman"/>
          <w:sz w:val="24"/>
          <w:szCs w:val="24"/>
        </w:rPr>
        <w:t xml:space="preserve">, 47 Colo. 495, 107 P. 1111 (1910) (defendant instigated or ratified unlawful arrest by police officer); </w:t>
      </w:r>
      <w:r w:rsidRPr="004F003D">
        <w:rPr>
          <w:rFonts w:eastAsia="Times New Roman"/>
          <w:b/>
          <w:sz w:val="24"/>
          <w:szCs w:val="24"/>
        </w:rPr>
        <w:t>Harris v. McReynolds</w:t>
      </w:r>
      <w:r w:rsidRPr="004F003D">
        <w:rPr>
          <w:rFonts w:eastAsia="Times New Roman"/>
          <w:sz w:val="24"/>
          <w:szCs w:val="24"/>
        </w:rPr>
        <w:t>,</w:t>
      </w:r>
      <w:r w:rsidRPr="004F003D">
        <w:rPr>
          <w:rFonts w:eastAsia="Times New Roman"/>
          <w:b/>
          <w:sz w:val="24"/>
          <w:szCs w:val="24"/>
        </w:rPr>
        <w:t xml:space="preserve"> </w:t>
      </w:r>
      <w:r w:rsidRPr="004F003D">
        <w:rPr>
          <w:rFonts w:eastAsia="Times New Roman"/>
          <w:sz w:val="24"/>
          <w:szCs w:val="24"/>
        </w:rPr>
        <w:t>10 Colo. App. 532, 51 P. 1016 (1898) (defendant directed police officer to make arrest).</w:t>
      </w:r>
    </w:p>
    <w:p w:rsidR="004F003D" w:rsidRDefault="004F003D">
      <w:pPr>
        <w:rPr>
          <w:rFonts w:eastAsia="Times New Roman"/>
          <w:sz w:val="24"/>
          <w:szCs w:val="24"/>
        </w:rPr>
      </w:pPr>
      <w:r>
        <w:rPr>
          <w:rFonts w:eastAsia="Times New Roman"/>
          <w:sz w:val="24"/>
          <w:szCs w:val="24"/>
        </w:rPr>
        <w:br w:type="page"/>
      </w:r>
    </w:p>
    <w:p w:rsidR="004F003D" w:rsidRPr="009E3DA4" w:rsidRDefault="00020CF1" w:rsidP="004F003D">
      <w:pPr>
        <w:spacing w:after="240"/>
        <w:ind w:left="720" w:hanging="720"/>
        <w:rPr>
          <w:rFonts w:eastAsia="Times New Roman"/>
          <w:b/>
          <w:sz w:val="24"/>
          <w:szCs w:val="24"/>
        </w:rPr>
      </w:pPr>
      <w:bookmarkStart w:id="4" w:name="a21_04"/>
      <w:bookmarkEnd w:id="4"/>
      <w:r w:rsidRPr="00020CF1">
        <w:rPr>
          <w:rFonts w:eastAsia="Times New Roman"/>
          <w:b/>
          <w:sz w:val="24"/>
          <w:szCs w:val="24"/>
        </w:rPr>
        <w:t xml:space="preserve">21:4 </w:t>
      </w:r>
      <w:r w:rsidRPr="00020CF1">
        <w:rPr>
          <w:rFonts w:eastAsia="Times New Roman"/>
          <w:b/>
          <w:sz w:val="24"/>
          <w:szCs w:val="24"/>
        </w:rPr>
        <w:tab/>
        <w:t>INTENT TO RESTRICT BY FAILURE TO RELEASE</w:t>
      </w:r>
    </w:p>
    <w:p w:rsidR="00020CF1" w:rsidRPr="00020CF1" w:rsidRDefault="00020CF1" w:rsidP="00020CF1">
      <w:pPr>
        <w:spacing w:after="240"/>
        <w:ind w:firstLine="720"/>
        <w:rPr>
          <w:rFonts w:eastAsia="Times New Roman"/>
          <w:b/>
          <w:sz w:val="24"/>
          <w:szCs w:val="24"/>
        </w:rPr>
      </w:pPr>
      <w:r w:rsidRPr="00020CF1">
        <w:rPr>
          <w:rFonts w:eastAsia="Times New Roman"/>
          <w:b/>
          <w:sz w:val="24"/>
          <w:szCs w:val="24"/>
        </w:rPr>
        <w:t>A person intends to restrict the freedom of movement of another if:</w:t>
      </w:r>
    </w:p>
    <w:p w:rsidR="00020CF1" w:rsidRPr="00020CF1" w:rsidRDefault="00020CF1" w:rsidP="00020CF1">
      <w:pPr>
        <w:spacing w:after="240"/>
        <w:ind w:firstLine="720"/>
        <w:rPr>
          <w:rFonts w:eastAsia="Times New Roman"/>
          <w:b/>
          <w:sz w:val="24"/>
          <w:szCs w:val="24"/>
        </w:rPr>
      </w:pPr>
      <w:r w:rsidRPr="00020CF1">
        <w:rPr>
          <w:rFonts w:eastAsia="Times New Roman"/>
          <w:b/>
          <w:sz w:val="24"/>
          <w:szCs w:val="24"/>
        </w:rPr>
        <w:t>1. That person knows the other is confined to fixed physical boundaries;</w:t>
      </w:r>
    </w:p>
    <w:p w:rsidR="00020CF1" w:rsidRPr="00020CF1" w:rsidRDefault="00020CF1" w:rsidP="00020CF1">
      <w:pPr>
        <w:spacing w:after="240"/>
        <w:ind w:firstLine="720"/>
        <w:rPr>
          <w:rFonts w:eastAsia="Times New Roman"/>
          <w:b/>
          <w:sz w:val="24"/>
          <w:szCs w:val="24"/>
        </w:rPr>
      </w:pPr>
      <w:r w:rsidRPr="00020CF1">
        <w:rPr>
          <w:rFonts w:eastAsia="Times New Roman"/>
          <w:b/>
          <w:sz w:val="24"/>
          <w:szCs w:val="24"/>
        </w:rPr>
        <w:t>2. That person is under a legal duty (to release the other) (to provide the other a reasonable means of release from the place of confinement); and</w:t>
      </w:r>
    </w:p>
    <w:p w:rsidR="00020CF1" w:rsidRPr="00020CF1" w:rsidRDefault="00020CF1" w:rsidP="00020CF1">
      <w:pPr>
        <w:spacing w:after="240"/>
        <w:ind w:firstLine="720"/>
        <w:rPr>
          <w:rFonts w:eastAsia="Times New Roman"/>
          <w:b/>
          <w:sz w:val="24"/>
          <w:szCs w:val="24"/>
        </w:rPr>
      </w:pPr>
      <w:r w:rsidRPr="00020CF1">
        <w:rPr>
          <w:rFonts w:eastAsia="Times New Roman"/>
          <w:b/>
          <w:sz w:val="24"/>
          <w:szCs w:val="24"/>
        </w:rPr>
        <w:t>3. That person refuses or knowingly fails to perform that duty for the purpose of continuing the confinement of the other.</w:t>
      </w:r>
    </w:p>
    <w:p w:rsidR="004F003D" w:rsidRDefault="004F003D" w:rsidP="004F003D">
      <w:pPr>
        <w:jc w:val="center"/>
        <w:rPr>
          <w:rFonts w:eastAsia="Times New Roman"/>
          <w:sz w:val="24"/>
          <w:szCs w:val="24"/>
        </w:rPr>
      </w:pPr>
    </w:p>
    <w:p w:rsidR="004F003D" w:rsidRPr="0054263B" w:rsidRDefault="004F003D" w:rsidP="004F003D">
      <w:pPr>
        <w:keepNext/>
        <w:spacing w:after="240"/>
        <w:jc w:val="center"/>
        <w:rPr>
          <w:rFonts w:eastAsia="Times New Roman"/>
          <w:b/>
          <w:sz w:val="24"/>
          <w:szCs w:val="24"/>
        </w:rPr>
      </w:pPr>
      <w:r w:rsidRPr="0054263B">
        <w:rPr>
          <w:rFonts w:eastAsia="Times New Roman"/>
          <w:b/>
          <w:sz w:val="24"/>
          <w:szCs w:val="24"/>
        </w:rPr>
        <w:t>Notes on Use</w:t>
      </w:r>
    </w:p>
    <w:p w:rsidR="00020CF1" w:rsidRPr="00020CF1" w:rsidRDefault="00020CF1" w:rsidP="00020CF1">
      <w:pPr>
        <w:spacing w:after="240"/>
        <w:ind w:firstLine="720"/>
        <w:rPr>
          <w:rFonts w:eastAsia="Times New Roman"/>
          <w:sz w:val="24"/>
          <w:szCs w:val="24"/>
        </w:rPr>
      </w:pPr>
      <w:r w:rsidRPr="00020CF1">
        <w:rPr>
          <w:rFonts w:eastAsia="Times New Roman"/>
          <w:sz w:val="24"/>
          <w:szCs w:val="24"/>
        </w:rPr>
        <w:t>1. Use whichever parenthesized words are appropriate.</w:t>
      </w:r>
    </w:p>
    <w:p w:rsidR="00020CF1" w:rsidRPr="00020CF1" w:rsidRDefault="00020CF1" w:rsidP="00020CF1">
      <w:pPr>
        <w:spacing w:after="240"/>
        <w:ind w:firstLine="720"/>
        <w:rPr>
          <w:rFonts w:eastAsia="Times New Roman"/>
          <w:sz w:val="24"/>
          <w:szCs w:val="24"/>
        </w:rPr>
      </w:pPr>
      <w:r w:rsidRPr="00020CF1">
        <w:rPr>
          <w:rFonts w:eastAsia="Times New Roman"/>
          <w:sz w:val="24"/>
          <w:szCs w:val="24"/>
        </w:rPr>
        <w:t>2. This instruction is meant to cover the situations where the defendant has refused to release the plaintiff at the termination of a lawful confinement in jail, or where the plaintiff voluntarily entered into a confinement upon the assurance of the defendant that the defendant would release the plaintiff and the defendant thereafter refused to do so.</w:t>
      </w:r>
    </w:p>
    <w:p w:rsidR="00020CF1" w:rsidRPr="00020CF1" w:rsidRDefault="00020CF1" w:rsidP="00020CF1">
      <w:pPr>
        <w:spacing w:after="240"/>
        <w:ind w:firstLine="720"/>
        <w:rPr>
          <w:rFonts w:eastAsia="Times New Roman"/>
          <w:sz w:val="24"/>
          <w:szCs w:val="24"/>
        </w:rPr>
      </w:pPr>
      <w:r w:rsidRPr="00020CF1">
        <w:rPr>
          <w:rFonts w:eastAsia="Times New Roman"/>
          <w:sz w:val="24"/>
          <w:szCs w:val="24"/>
        </w:rPr>
        <w:t xml:space="preserve">3. If there is a dispute as to whether a legal duty existed, an additional instruction should be given. Such an instruction might read: “A legal duty existed if </w:t>
      </w:r>
      <w:r w:rsidRPr="00020CF1">
        <w:rPr>
          <w:rFonts w:eastAsia="Times New Roman"/>
          <w:i/>
          <w:sz w:val="24"/>
          <w:szCs w:val="24"/>
        </w:rPr>
        <w:t>(insert the basis for the claimed legal duty, for example, a contract between the plaintiff and the defendant, or a duty created by statute or common law)</w:t>
      </w:r>
      <w:r w:rsidRPr="00020CF1">
        <w:rPr>
          <w:rFonts w:eastAsia="Times New Roman"/>
          <w:sz w:val="24"/>
          <w:szCs w:val="24"/>
        </w:rPr>
        <w:t>.”</w:t>
      </w:r>
    </w:p>
    <w:p w:rsidR="004F003D" w:rsidRPr="0054263B" w:rsidRDefault="004F003D" w:rsidP="004F003D">
      <w:pPr>
        <w:keepNext/>
        <w:spacing w:after="240"/>
        <w:jc w:val="center"/>
        <w:rPr>
          <w:rFonts w:eastAsia="Times New Roman"/>
          <w:b/>
          <w:sz w:val="24"/>
          <w:szCs w:val="24"/>
        </w:rPr>
      </w:pPr>
      <w:r>
        <w:rPr>
          <w:rFonts w:eastAsia="Times New Roman"/>
          <w:b/>
          <w:sz w:val="24"/>
          <w:szCs w:val="24"/>
        </w:rPr>
        <w:t>Source and Authority</w:t>
      </w:r>
    </w:p>
    <w:p w:rsidR="00020CF1" w:rsidRPr="00020CF1" w:rsidRDefault="00020CF1" w:rsidP="00020CF1">
      <w:pPr>
        <w:spacing w:after="240"/>
        <w:ind w:firstLine="720"/>
        <w:rPr>
          <w:rFonts w:eastAsia="Times New Roman"/>
          <w:sz w:val="24"/>
          <w:szCs w:val="24"/>
        </w:rPr>
      </w:pPr>
      <w:r w:rsidRPr="00020CF1">
        <w:rPr>
          <w:rFonts w:eastAsia="Times New Roman"/>
          <w:sz w:val="24"/>
          <w:szCs w:val="24"/>
        </w:rPr>
        <w:t xml:space="preserve">This instruction is supported by </w:t>
      </w:r>
      <w:r w:rsidRPr="00020CF1">
        <w:rPr>
          <w:rFonts w:eastAsia="Times New Roman"/>
          <w:smallCaps/>
          <w:sz w:val="24"/>
          <w:szCs w:val="24"/>
        </w:rPr>
        <w:t>Restatement (Second) of Torts</w:t>
      </w:r>
      <w:r w:rsidRPr="00020CF1">
        <w:rPr>
          <w:rFonts w:eastAsia="Times New Roman"/>
          <w:sz w:val="24"/>
          <w:szCs w:val="24"/>
        </w:rPr>
        <w:t xml:space="preserve"> § 45 (1965); </w:t>
      </w:r>
      <w:r w:rsidRPr="00020CF1">
        <w:rPr>
          <w:rFonts w:eastAsia="Times New Roman"/>
          <w:smallCaps/>
          <w:sz w:val="24"/>
          <w:szCs w:val="24"/>
        </w:rPr>
        <w:t>W. Page Keeton et al., Prosser and Keeton on the Law of Torts</w:t>
      </w:r>
      <w:r w:rsidRPr="00020CF1">
        <w:rPr>
          <w:rFonts w:eastAsia="Times New Roman"/>
          <w:sz w:val="24"/>
          <w:szCs w:val="24"/>
        </w:rPr>
        <w:t xml:space="preserve"> § 11, at 51-52 (5th ed. 1984); and 1 </w:t>
      </w:r>
      <w:r w:rsidRPr="00020CF1">
        <w:rPr>
          <w:rFonts w:eastAsia="Times New Roman"/>
          <w:smallCaps/>
          <w:sz w:val="24"/>
          <w:szCs w:val="24"/>
        </w:rPr>
        <w:t>F. Harper et al., Harper, James, and Gray on Torts</w:t>
      </w:r>
      <w:r w:rsidRPr="00020CF1">
        <w:rPr>
          <w:rFonts w:eastAsia="Times New Roman"/>
          <w:sz w:val="24"/>
          <w:szCs w:val="24"/>
        </w:rPr>
        <w:t xml:space="preserve"> § 3.8, at 335-38 (3d ed. 2006).</w:t>
      </w:r>
    </w:p>
    <w:p w:rsidR="0009462F" w:rsidRDefault="0009462F">
      <w:pPr>
        <w:rPr>
          <w:rFonts w:eastAsia="Times New Roman"/>
          <w:sz w:val="24"/>
          <w:szCs w:val="24"/>
        </w:rPr>
      </w:pPr>
      <w:r>
        <w:rPr>
          <w:rFonts w:eastAsia="Times New Roman"/>
          <w:sz w:val="24"/>
          <w:szCs w:val="24"/>
        </w:rPr>
        <w:br w:type="page"/>
      </w:r>
    </w:p>
    <w:p w:rsidR="0009462F" w:rsidRPr="009E3DA4" w:rsidRDefault="0009462F" w:rsidP="0009462F">
      <w:pPr>
        <w:spacing w:after="240"/>
        <w:ind w:left="720" w:hanging="720"/>
        <w:rPr>
          <w:rFonts w:eastAsia="Times New Roman"/>
          <w:b/>
          <w:sz w:val="24"/>
          <w:szCs w:val="24"/>
        </w:rPr>
      </w:pPr>
      <w:bookmarkStart w:id="5" w:name="a21_05"/>
      <w:bookmarkEnd w:id="5"/>
      <w:r w:rsidRPr="0009462F">
        <w:rPr>
          <w:rFonts w:eastAsia="Times New Roman"/>
          <w:b/>
          <w:sz w:val="24"/>
          <w:szCs w:val="24"/>
        </w:rPr>
        <w:t xml:space="preserve">21:5 </w:t>
      </w:r>
      <w:r w:rsidRPr="0009462F">
        <w:rPr>
          <w:rFonts w:eastAsia="Times New Roman"/>
          <w:b/>
          <w:sz w:val="24"/>
          <w:szCs w:val="24"/>
        </w:rPr>
        <w:tab/>
        <w:t>ACTUAL OR NOMINAL DAMAGES</w:t>
      </w:r>
    </w:p>
    <w:p w:rsidR="0009462F" w:rsidRPr="0009462F" w:rsidRDefault="0009462F" w:rsidP="0009462F">
      <w:pPr>
        <w:spacing w:after="240"/>
        <w:ind w:firstLine="720"/>
        <w:rPr>
          <w:rFonts w:eastAsia="Times New Roman"/>
          <w:b/>
          <w:sz w:val="24"/>
          <w:szCs w:val="24"/>
        </w:rPr>
      </w:pPr>
      <w:r w:rsidRPr="0009462F">
        <w:rPr>
          <w:rFonts w:eastAsia="Times New Roman"/>
          <w:b/>
          <w:sz w:val="24"/>
          <w:szCs w:val="24"/>
        </w:rPr>
        <w:t xml:space="preserve">Plaintiff, </w:t>
      </w:r>
      <w:r w:rsidRPr="0009462F">
        <w:rPr>
          <w:rFonts w:eastAsia="Times New Roman"/>
          <w:i/>
          <w:sz w:val="24"/>
          <w:szCs w:val="24"/>
        </w:rPr>
        <w:t>(name)</w:t>
      </w:r>
      <w:r w:rsidRPr="0009462F">
        <w:rPr>
          <w:rFonts w:eastAsia="Times New Roman"/>
          <w:b/>
          <w:sz w:val="24"/>
          <w:szCs w:val="24"/>
        </w:rPr>
        <w:t xml:space="preserve">, has the burden of proving, by a preponderance of the evidence, the nature and extent of (his) (her) damages. If you find in favor of the plaintiff, you must determine the total dollar amount of the plaintiff’s damages, if any, that were caused by the </w:t>
      </w:r>
      <w:r w:rsidRPr="0009462F">
        <w:rPr>
          <w:rFonts w:eastAsia="Times New Roman"/>
          <w:i/>
          <w:sz w:val="24"/>
          <w:szCs w:val="24"/>
        </w:rPr>
        <w:t>(insert appropriate description, e.g., “false imprisonment” or “arrest”)</w:t>
      </w:r>
      <w:r w:rsidRPr="0009462F">
        <w:rPr>
          <w:rFonts w:eastAsia="Times New Roman"/>
          <w:b/>
          <w:sz w:val="24"/>
          <w:szCs w:val="24"/>
        </w:rPr>
        <w:t xml:space="preserve"> of the plaintiff by defendant(s), </w:t>
      </w:r>
      <w:r w:rsidRPr="0009462F">
        <w:rPr>
          <w:rFonts w:eastAsia="Times New Roman"/>
          <w:i/>
          <w:sz w:val="24"/>
          <w:szCs w:val="24"/>
        </w:rPr>
        <w:t>(name[s])</w:t>
      </w:r>
      <w:r w:rsidRPr="0009462F">
        <w:rPr>
          <w:rFonts w:eastAsia="Times New Roman"/>
          <w:b/>
          <w:sz w:val="24"/>
          <w:szCs w:val="24"/>
        </w:rPr>
        <w:t xml:space="preserve">, (and the </w:t>
      </w:r>
      <w:r w:rsidRPr="0009462F">
        <w:rPr>
          <w:rFonts w:eastAsia="Times New Roman"/>
          <w:i/>
          <w:sz w:val="24"/>
          <w:szCs w:val="24"/>
        </w:rPr>
        <w:t>[insert appropriate description, e.g., “negligence”]</w:t>
      </w:r>
      <w:r w:rsidRPr="0009462F">
        <w:rPr>
          <w:rFonts w:eastAsia="Times New Roman"/>
          <w:b/>
          <w:sz w:val="24"/>
          <w:szCs w:val="24"/>
        </w:rPr>
        <w:t>, if any, of any designated nonparties).</w:t>
      </w:r>
    </w:p>
    <w:p w:rsidR="0009462F" w:rsidRPr="0009462F" w:rsidRDefault="0009462F" w:rsidP="0009462F">
      <w:pPr>
        <w:spacing w:after="240"/>
        <w:ind w:firstLine="720"/>
        <w:rPr>
          <w:rFonts w:eastAsia="Times New Roman"/>
          <w:b/>
          <w:sz w:val="24"/>
          <w:szCs w:val="24"/>
        </w:rPr>
      </w:pPr>
      <w:r w:rsidRPr="0009462F">
        <w:rPr>
          <w:rFonts w:eastAsia="Times New Roman"/>
          <w:b/>
          <w:sz w:val="24"/>
          <w:szCs w:val="24"/>
        </w:rPr>
        <w:t>In determining these damages, you shall consider the following:</w:t>
      </w:r>
    </w:p>
    <w:p w:rsidR="0009462F" w:rsidRPr="0009462F" w:rsidRDefault="0009462F" w:rsidP="0009462F">
      <w:pPr>
        <w:spacing w:after="240"/>
        <w:ind w:firstLine="720"/>
        <w:rPr>
          <w:rFonts w:eastAsia="Times New Roman"/>
          <w:b/>
          <w:sz w:val="24"/>
          <w:szCs w:val="24"/>
        </w:rPr>
      </w:pPr>
      <w:r w:rsidRPr="0009462F">
        <w:rPr>
          <w:rFonts w:eastAsia="Times New Roman"/>
          <w:b/>
          <w:sz w:val="24"/>
          <w:szCs w:val="24"/>
        </w:rPr>
        <w:t xml:space="preserve">1. Any noneconomic losses or injuries the plaintiff has had to the present time or that the plaintiff will probably have in the future, including: physical and mental pain and suffering, inconvenience, emotional stress, fear, anxiety, embarrassment, humiliation, impairment of the quality of life, and </w:t>
      </w:r>
      <w:r w:rsidRPr="0009462F">
        <w:rPr>
          <w:rFonts w:eastAsia="Times New Roman"/>
          <w:i/>
          <w:sz w:val="24"/>
          <w:szCs w:val="24"/>
        </w:rPr>
        <w:t>[insert any other recoverable noneconomic losses for which there is sufficient evidence].</w:t>
      </w:r>
      <w:r w:rsidRPr="0009462F">
        <w:rPr>
          <w:rFonts w:eastAsia="Times New Roman"/>
          <w:b/>
          <w:sz w:val="24"/>
          <w:szCs w:val="24"/>
        </w:rPr>
        <w:t xml:space="preserve"> (In considering damages in this category, you shall not include actual damages for [physical impairment] [or] [disfigurement], because these damages, if any, are to be considered in a separate category.)</w:t>
      </w:r>
    </w:p>
    <w:p w:rsidR="0009462F" w:rsidRPr="0009462F" w:rsidRDefault="0009462F" w:rsidP="0009462F">
      <w:pPr>
        <w:spacing w:after="240"/>
        <w:ind w:firstLine="720"/>
        <w:rPr>
          <w:rFonts w:eastAsia="Times New Roman"/>
          <w:b/>
          <w:sz w:val="24"/>
          <w:szCs w:val="24"/>
        </w:rPr>
      </w:pPr>
      <w:r w:rsidRPr="0009462F">
        <w:rPr>
          <w:rFonts w:eastAsia="Times New Roman"/>
          <w:b/>
          <w:sz w:val="24"/>
          <w:szCs w:val="24"/>
        </w:rPr>
        <w:t xml:space="preserve">2. Any economic losses or injuries which plaintiff has had to the present time or which plaintiff will probably have in the future, including: loss of earnings or income or damage to (his) (her) ability to earn money in the future; impairment of earning capacity; (reasonable and necessary) medical, hospital, and other expenses, and </w:t>
      </w:r>
      <w:r w:rsidRPr="0009462F">
        <w:rPr>
          <w:rFonts w:eastAsia="Times New Roman"/>
          <w:i/>
          <w:sz w:val="24"/>
          <w:szCs w:val="24"/>
        </w:rPr>
        <w:t>[insert any other recoverable economic losses for which there is sufficient evidence].</w:t>
      </w:r>
      <w:r w:rsidRPr="0009462F">
        <w:rPr>
          <w:rFonts w:eastAsia="Times New Roman"/>
          <w:b/>
          <w:sz w:val="24"/>
          <w:szCs w:val="24"/>
        </w:rPr>
        <w:t xml:space="preserve"> (In considering damages in this category, you shall not include actual damages for [physical impairment] [or] [disfigurement], since these damages, if any, are to be considered in a separate category.)</w:t>
      </w:r>
    </w:p>
    <w:p w:rsidR="0009462F" w:rsidRPr="0009462F" w:rsidRDefault="0009462F" w:rsidP="0009462F">
      <w:pPr>
        <w:spacing w:after="240"/>
        <w:ind w:firstLine="720"/>
        <w:rPr>
          <w:rFonts w:eastAsia="Times New Roman"/>
          <w:b/>
          <w:sz w:val="24"/>
          <w:szCs w:val="24"/>
        </w:rPr>
      </w:pPr>
      <w:r w:rsidRPr="0009462F">
        <w:rPr>
          <w:rFonts w:eastAsia="Times New Roman"/>
          <w:b/>
          <w:sz w:val="24"/>
          <w:szCs w:val="24"/>
        </w:rPr>
        <w:t>(3. Any [physical impairment] [or] [disfigurement]. In considering damages in this category, you shall not include damages again for losses or injuries already determined in either numbered paragraph 1 or 2 above.)</w:t>
      </w:r>
    </w:p>
    <w:p w:rsidR="0009462F" w:rsidRPr="0009462F" w:rsidRDefault="0009462F" w:rsidP="0009462F">
      <w:pPr>
        <w:spacing w:after="240"/>
        <w:ind w:firstLine="720"/>
        <w:rPr>
          <w:rFonts w:eastAsia="Times New Roman"/>
          <w:b/>
          <w:sz w:val="24"/>
          <w:szCs w:val="24"/>
        </w:rPr>
      </w:pPr>
      <w:r w:rsidRPr="0009462F">
        <w:rPr>
          <w:rFonts w:eastAsia="Times New Roman"/>
          <w:b/>
          <w:sz w:val="24"/>
          <w:szCs w:val="24"/>
        </w:rPr>
        <w:t>If you find in favor of the plaintiff, but do not find any actual damages, you shall award (him) (her) nominal damages of one dollar.</w:t>
      </w:r>
    </w:p>
    <w:p w:rsidR="0009462F" w:rsidRDefault="0009462F" w:rsidP="0009462F">
      <w:pPr>
        <w:jc w:val="center"/>
        <w:rPr>
          <w:rFonts w:eastAsia="Times New Roman"/>
          <w:sz w:val="24"/>
          <w:szCs w:val="24"/>
        </w:rPr>
      </w:pPr>
    </w:p>
    <w:p w:rsidR="0009462F" w:rsidRPr="0054263B" w:rsidRDefault="0009462F" w:rsidP="0009462F">
      <w:pPr>
        <w:keepNext/>
        <w:spacing w:after="240"/>
        <w:jc w:val="center"/>
        <w:rPr>
          <w:rFonts w:eastAsia="Times New Roman"/>
          <w:b/>
          <w:sz w:val="24"/>
          <w:szCs w:val="24"/>
        </w:rPr>
      </w:pPr>
      <w:r w:rsidRPr="0054263B">
        <w:rPr>
          <w:rFonts w:eastAsia="Times New Roman"/>
          <w:b/>
          <w:sz w:val="24"/>
          <w:szCs w:val="24"/>
        </w:rPr>
        <w:t>Notes on Use</w:t>
      </w:r>
    </w:p>
    <w:p w:rsidR="0009462F" w:rsidRPr="0009462F" w:rsidRDefault="0009462F" w:rsidP="0009462F">
      <w:pPr>
        <w:spacing w:after="240"/>
        <w:ind w:firstLine="720"/>
        <w:rPr>
          <w:rFonts w:eastAsia="Times New Roman"/>
          <w:sz w:val="24"/>
          <w:szCs w:val="24"/>
        </w:rPr>
      </w:pPr>
      <w:r w:rsidRPr="0009462F">
        <w:rPr>
          <w:rFonts w:eastAsia="Times New Roman"/>
          <w:sz w:val="24"/>
          <w:szCs w:val="24"/>
        </w:rPr>
        <w:t>1. Use only those numbered parenthesized paragraphs or portions that are appropriate to the evidence in the case.</w:t>
      </w:r>
    </w:p>
    <w:p w:rsidR="0009462F" w:rsidRPr="0009462F" w:rsidRDefault="0009462F" w:rsidP="0009462F">
      <w:pPr>
        <w:spacing w:after="240"/>
        <w:ind w:firstLine="720"/>
        <w:rPr>
          <w:rFonts w:eastAsia="Times New Roman"/>
          <w:sz w:val="24"/>
          <w:szCs w:val="24"/>
        </w:rPr>
      </w:pPr>
      <w:r w:rsidRPr="0009462F">
        <w:rPr>
          <w:rFonts w:eastAsia="Times New Roman"/>
          <w:sz w:val="24"/>
          <w:szCs w:val="24"/>
        </w:rPr>
        <w:t xml:space="preserve">2. Comparative negligence is not a defense to an intentional tort claim. </w:t>
      </w:r>
      <w:r w:rsidRPr="0009462F">
        <w:rPr>
          <w:rFonts w:eastAsia="Times New Roman"/>
          <w:b/>
          <w:sz w:val="24"/>
          <w:szCs w:val="24"/>
        </w:rPr>
        <w:t>Carman v. Heber</w:t>
      </w:r>
      <w:r w:rsidRPr="0009462F">
        <w:rPr>
          <w:rFonts w:eastAsia="Times New Roman"/>
          <w:sz w:val="24"/>
          <w:szCs w:val="24"/>
        </w:rPr>
        <w:t>,</w:t>
      </w:r>
      <w:r w:rsidRPr="0009462F">
        <w:rPr>
          <w:rFonts w:eastAsia="Times New Roman"/>
          <w:b/>
          <w:sz w:val="24"/>
          <w:szCs w:val="24"/>
        </w:rPr>
        <w:t xml:space="preserve"> </w:t>
      </w:r>
      <w:r w:rsidRPr="0009462F">
        <w:rPr>
          <w:rFonts w:eastAsia="Times New Roman"/>
          <w:sz w:val="24"/>
          <w:szCs w:val="24"/>
        </w:rPr>
        <w:t>43 Colo. App. 5, 601 P.2d 646 (1979). Therefore, the first paragraph of this instruction varies from the comparable damage instructions in “simple” negligence cases by eliminating any reference to plaintiff’s own negligence.</w:t>
      </w:r>
    </w:p>
    <w:p w:rsidR="0009462F" w:rsidRPr="0009462F" w:rsidRDefault="0009462F" w:rsidP="0009462F">
      <w:pPr>
        <w:spacing w:after="240"/>
        <w:ind w:firstLine="720"/>
        <w:rPr>
          <w:rFonts w:eastAsia="Times New Roman"/>
          <w:sz w:val="24"/>
          <w:szCs w:val="24"/>
        </w:rPr>
      </w:pPr>
      <w:r w:rsidRPr="0009462F">
        <w:rPr>
          <w:rFonts w:eastAsia="Times New Roman"/>
          <w:sz w:val="24"/>
          <w:szCs w:val="24"/>
        </w:rPr>
        <w:t xml:space="preserve">3. Where the original arrest was privileged but subsequently abused by a failure to take the plaintiff promptly before a proper magistrate, </w:t>
      </w:r>
      <w:r w:rsidRPr="0009462F">
        <w:rPr>
          <w:rFonts w:eastAsia="Times New Roman"/>
          <w:i/>
          <w:sz w:val="24"/>
          <w:szCs w:val="24"/>
        </w:rPr>
        <w:t>see</w:t>
      </w:r>
      <w:r w:rsidRPr="0009462F">
        <w:rPr>
          <w:rFonts w:eastAsia="Times New Roman"/>
          <w:sz w:val="24"/>
          <w:szCs w:val="24"/>
        </w:rPr>
        <w:t xml:space="preserve"> numbered paragraph 2 of Instruction 21:19, there is a split of authority on the question whether the defendant is liable for damages for the entire period of detention or only for that portion of time which constituted the unreasonable delay. </w:t>
      </w:r>
      <w:r w:rsidRPr="0009462F">
        <w:rPr>
          <w:rFonts w:eastAsia="Times New Roman"/>
          <w:smallCaps/>
          <w:sz w:val="24"/>
          <w:szCs w:val="24"/>
        </w:rPr>
        <w:t>W. Page Keeton et al., Prosser and Keeton on the Law of Torts</w:t>
      </w:r>
      <w:r w:rsidRPr="0009462F">
        <w:rPr>
          <w:rFonts w:eastAsia="Times New Roman"/>
          <w:sz w:val="24"/>
          <w:szCs w:val="24"/>
        </w:rPr>
        <w:t xml:space="preserve"> § 25, at 150-52 (5th ed. 1984). If it is determined in these cases that under the proper law the arrest should not be viewed as being false </w:t>
      </w:r>
      <w:r w:rsidRPr="0009462F">
        <w:rPr>
          <w:rFonts w:eastAsia="Times New Roman"/>
          <w:i/>
          <w:sz w:val="24"/>
          <w:szCs w:val="24"/>
        </w:rPr>
        <w:t>ab initio</w:t>
      </w:r>
      <w:r w:rsidRPr="0009462F">
        <w:rPr>
          <w:rFonts w:eastAsia="Times New Roman"/>
          <w:sz w:val="24"/>
          <w:szCs w:val="24"/>
        </w:rPr>
        <w:t>, then this instruction, when given in such cases, should be appropriately modified.</w:t>
      </w:r>
    </w:p>
    <w:p w:rsidR="0009462F" w:rsidRPr="0009462F" w:rsidRDefault="0009462F" w:rsidP="0009462F">
      <w:pPr>
        <w:spacing w:after="240"/>
        <w:ind w:firstLine="720"/>
        <w:rPr>
          <w:rFonts w:eastAsia="Times New Roman"/>
          <w:sz w:val="24"/>
          <w:szCs w:val="24"/>
        </w:rPr>
      </w:pPr>
      <w:r w:rsidRPr="0009462F">
        <w:rPr>
          <w:rFonts w:eastAsia="Times New Roman"/>
          <w:sz w:val="24"/>
          <w:szCs w:val="24"/>
        </w:rPr>
        <w:t xml:space="preserve">4. In some cases, an appropriate instruction relating to causation may need to be given with this instruction. </w:t>
      </w:r>
      <w:r w:rsidRPr="0009462F">
        <w:rPr>
          <w:rFonts w:eastAsia="Times New Roman"/>
          <w:i/>
          <w:sz w:val="24"/>
          <w:szCs w:val="24"/>
        </w:rPr>
        <w:t>See</w:t>
      </w:r>
      <w:r w:rsidRPr="0009462F">
        <w:rPr>
          <w:rFonts w:eastAsia="Times New Roman"/>
          <w:sz w:val="24"/>
          <w:szCs w:val="24"/>
        </w:rPr>
        <w:t xml:space="preserve"> Instructions 9:18-9:21.</w:t>
      </w:r>
    </w:p>
    <w:p w:rsidR="0009462F" w:rsidRPr="0054263B" w:rsidRDefault="0009462F" w:rsidP="0009462F">
      <w:pPr>
        <w:keepNext/>
        <w:spacing w:after="240"/>
        <w:jc w:val="center"/>
        <w:rPr>
          <w:rFonts w:eastAsia="Times New Roman"/>
          <w:b/>
          <w:sz w:val="24"/>
          <w:szCs w:val="24"/>
        </w:rPr>
      </w:pPr>
      <w:r>
        <w:rPr>
          <w:rFonts w:eastAsia="Times New Roman"/>
          <w:b/>
          <w:sz w:val="24"/>
          <w:szCs w:val="24"/>
        </w:rPr>
        <w:t>Source and Authority</w:t>
      </w:r>
    </w:p>
    <w:p w:rsidR="00E372EA" w:rsidRPr="00E372EA" w:rsidRDefault="00E372EA" w:rsidP="00E372EA">
      <w:pPr>
        <w:spacing w:after="240"/>
        <w:ind w:firstLine="720"/>
        <w:rPr>
          <w:rFonts w:eastAsia="Times New Roman"/>
          <w:sz w:val="24"/>
          <w:szCs w:val="24"/>
        </w:rPr>
      </w:pPr>
      <w:r w:rsidRPr="00E372EA">
        <w:rPr>
          <w:rFonts w:eastAsia="Times New Roman"/>
          <w:sz w:val="24"/>
          <w:szCs w:val="24"/>
        </w:rPr>
        <w:t xml:space="preserve">This instruction is supported by </w:t>
      </w:r>
      <w:r w:rsidRPr="00E372EA">
        <w:rPr>
          <w:rFonts w:eastAsia="Times New Roman"/>
          <w:b/>
          <w:sz w:val="24"/>
          <w:szCs w:val="24"/>
        </w:rPr>
        <w:t>Union Pacific Railroad v. Dennis</w:t>
      </w:r>
      <w:r w:rsidRPr="00E372EA">
        <w:rPr>
          <w:rFonts w:eastAsia="Times New Roman"/>
          <w:sz w:val="24"/>
          <w:szCs w:val="24"/>
        </w:rPr>
        <w:t xml:space="preserve">, 73 Colo. 66, 213 P. 332 (1923) (approving damages for medical and other expenses, lost wages, physical pain and suffering, humiliation, and injured reputation); and </w:t>
      </w:r>
      <w:r w:rsidRPr="00E372EA">
        <w:rPr>
          <w:rFonts w:eastAsia="Times New Roman"/>
          <w:smallCaps/>
          <w:sz w:val="24"/>
          <w:szCs w:val="24"/>
        </w:rPr>
        <w:t>Prosser and Keeton on the Law of Torts</w:t>
      </w:r>
      <w:r w:rsidRPr="00E372EA">
        <w:rPr>
          <w:rFonts w:eastAsia="Times New Roman"/>
          <w:sz w:val="24"/>
          <w:szCs w:val="24"/>
        </w:rPr>
        <w:t xml:space="preserve">, </w:t>
      </w:r>
      <w:r w:rsidRPr="00E372EA">
        <w:rPr>
          <w:rFonts w:eastAsia="Times New Roman"/>
          <w:i/>
          <w:sz w:val="24"/>
          <w:szCs w:val="24"/>
        </w:rPr>
        <w:t>supra</w:t>
      </w:r>
      <w:r w:rsidRPr="00E372EA">
        <w:rPr>
          <w:rFonts w:eastAsia="Times New Roman"/>
          <w:sz w:val="24"/>
          <w:szCs w:val="24"/>
        </w:rPr>
        <w:t>, § 11, at 48-49.</w:t>
      </w:r>
    </w:p>
    <w:p w:rsidR="00E372EA" w:rsidRDefault="00E372EA">
      <w:pPr>
        <w:rPr>
          <w:rFonts w:eastAsia="Times New Roman"/>
          <w:sz w:val="24"/>
          <w:szCs w:val="24"/>
        </w:rPr>
      </w:pPr>
      <w:r>
        <w:rPr>
          <w:rFonts w:eastAsia="Times New Roman"/>
          <w:sz w:val="24"/>
          <w:szCs w:val="24"/>
        </w:rPr>
        <w:br w:type="page"/>
      </w:r>
    </w:p>
    <w:p w:rsidR="00E372EA" w:rsidRDefault="00E372EA" w:rsidP="00E372EA">
      <w:pPr>
        <w:spacing w:after="240"/>
        <w:jc w:val="center"/>
        <w:rPr>
          <w:rFonts w:eastAsia="Times New Roman"/>
          <w:b/>
          <w:sz w:val="24"/>
          <w:szCs w:val="24"/>
        </w:rPr>
      </w:pPr>
      <w:r w:rsidRPr="00E372EA">
        <w:rPr>
          <w:rFonts w:eastAsia="Times New Roman"/>
          <w:b/>
          <w:sz w:val="24"/>
          <w:szCs w:val="24"/>
        </w:rPr>
        <w:t>B. AFFIRMATIVE DEFENSES</w:t>
      </w:r>
    </w:p>
    <w:p w:rsidR="00E372EA" w:rsidRPr="009E3DA4" w:rsidRDefault="00E372EA" w:rsidP="00E372EA">
      <w:pPr>
        <w:spacing w:after="240"/>
        <w:ind w:left="720" w:hanging="720"/>
        <w:rPr>
          <w:rFonts w:eastAsia="Times New Roman"/>
          <w:b/>
          <w:sz w:val="24"/>
          <w:szCs w:val="24"/>
        </w:rPr>
      </w:pPr>
      <w:bookmarkStart w:id="6" w:name="a21_06"/>
      <w:bookmarkEnd w:id="6"/>
      <w:r w:rsidRPr="00E372EA">
        <w:rPr>
          <w:rFonts w:eastAsia="Times New Roman"/>
          <w:b/>
          <w:sz w:val="24"/>
          <w:szCs w:val="24"/>
        </w:rPr>
        <w:t xml:space="preserve">21:6 </w:t>
      </w:r>
      <w:r w:rsidRPr="00E372EA">
        <w:rPr>
          <w:rFonts w:eastAsia="Times New Roman"/>
          <w:b/>
          <w:sz w:val="24"/>
          <w:szCs w:val="24"/>
        </w:rPr>
        <w:tab/>
        <w:t>CONSENT</w:t>
      </w:r>
    </w:p>
    <w:p w:rsidR="00E372EA" w:rsidRPr="00E372EA" w:rsidRDefault="00E372EA" w:rsidP="00E372EA">
      <w:pPr>
        <w:spacing w:after="240"/>
        <w:ind w:firstLine="720"/>
        <w:rPr>
          <w:rFonts w:eastAsia="Times New Roman"/>
          <w:b/>
          <w:sz w:val="24"/>
          <w:szCs w:val="24"/>
        </w:rPr>
      </w:pPr>
      <w:r w:rsidRPr="00E372EA">
        <w:rPr>
          <w:rFonts w:eastAsia="Times New Roman"/>
          <w:b/>
          <w:sz w:val="24"/>
          <w:szCs w:val="24"/>
        </w:rPr>
        <w:t xml:space="preserve">The defendant, </w:t>
      </w:r>
      <w:r w:rsidRPr="00E372EA">
        <w:rPr>
          <w:rFonts w:eastAsia="Times New Roman"/>
          <w:i/>
          <w:sz w:val="24"/>
          <w:szCs w:val="24"/>
        </w:rPr>
        <w:t>(name)</w:t>
      </w:r>
      <w:r w:rsidRPr="00E372EA">
        <w:rPr>
          <w:rFonts w:eastAsia="Times New Roman"/>
          <w:b/>
          <w:sz w:val="24"/>
          <w:szCs w:val="24"/>
        </w:rPr>
        <w:t xml:space="preserve">, is not legally responsible to the plaintiff, </w:t>
      </w:r>
      <w:r w:rsidRPr="00E372EA">
        <w:rPr>
          <w:rFonts w:eastAsia="Times New Roman"/>
          <w:i/>
          <w:sz w:val="24"/>
          <w:szCs w:val="24"/>
        </w:rPr>
        <w:t>(name)</w:t>
      </w:r>
      <w:r w:rsidRPr="00E372EA">
        <w:rPr>
          <w:rFonts w:eastAsia="Times New Roman"/>
          <w:b/>
          <w:sz w:val="24"/>
          <w:szCs w:val="24"/>
        </w:rPr>
        <w:t>, on (his) (her) claim of (false imprisonment) (false arrest) if the affirmative defense of consent is proved. This defense is proved if you find that the plaintiff, with full knowledge that (his) (her) freedom of movement was to be restricted, willingly submitted to the restriction.</w:t>
      </w:r>
    </w:p>
    <w:p w:rsidR="00E372EA" w:rsidRPr="00E372EA" w:rsidRDefault="00E372EA" w:rsidP="00E372EA">
      <w:pPr>
        <w:spacing w:after="240"/>
        <w:ind w:firstLine="720"/>
        <w:rPr>
          <w:rFonts w:eastAsia="Times New Roman"/>
          <w:b/>
          <w:sz w:val="24"/>
          <w:szCs w:val="24"/>
        </w:rPr>
      </w:pPr>
      <w:r w:rsidRPr="00E372EA">
        <w:rPr>
          <w:rFonts w:eastAsia="Times New Roman"/>
          <w:b/>
          <w:sz w:val="24"/>
          <w:szCs w:val="24"/>
        </w:rPr>
        <w:t>However, one does not willingly consent to a restriction of his or her freedom of movement by expressly or impliedly agreeing to submit him or herself to the control or direction of another when that submission has been obtained by</w:t>
      </w:r>
    </w:p>
    <w:p w:rsidR="00E372EA" w:rsidRPr="00E372EA" w:rsidRDefault="00E372EA" w:rsidP="00E372EA">
      <w:pPr>
        <w:spacing w:after="240"/>
        <w:ind w:firstLine="720"/>
        <w:rPr>
          <w:rFonts w:eastAsia="Times New Roman"/>
          <w:b/>
          <w:sz w:val="24"/>
          <w:szCs w:val="24"/>
        </w:rPr>
      </w:pPr>
      <w:r w:rsidRPr="00E372EA">
        <w:rPr>
          <w:rFonts w:eastAsia="Times New Roman"/>
          <w:b/>
          <w:sz w:val="24"/>
          <w:szCs w:val="24"/>
        </w:rPr>
        <w:t>(1. [An arrest] [A taking of the person into custody] that the person submitting believes is valid [or if in doubt as to its validity, nevertheless submits]).</w:t>
      </w:r>
    </w:p>
    <w:p w:rsidR="00E372EA" w:rsidRPr="00E372EA" w:rsidRDefault="00E372EA" w:rsidP="00E372EA">
      <w:pPr>
        <w:spacing w:after="240"/>
        <w:ind w:firstLine="720"/>
        <w:rPr>
          <w:rFonts w:eastAsia="Times New Roman"/>
          <w:b/>
          <w:sz w:val="24"/>
          <w:szCs w:val="24"/>
        </w:rPr>
      </w:pPr>
      <w:r w:rsidRPr="00E372EA">
        <w:rPr>
          <w:rFonts w:eastAsia="Times New Roman"/>
          <w:b/>
          <w:sz w:val="24"/>
          <w:szCs w:val="24"/>
        </w:rPr>
        <w:t>(2. Exerting any physical force, or making any actual or apparent threats of physic</w:t>
      </w:r>
      <w:r w:rsidR="0032367C">
        <w:rPr>
          <w:rFonts w:eastAsia="Times New Roman"/>
          <w:b/>
          <w:sz w:val="24"/>
          <w:szCs w:val="24"/>
        </w:rPr>
        <w:t>a</w:t>
      </w:r>
      <w:r w:rsidRPr="00E372EA">
        <w:rPr>
          <w:rFonts w:eastAsia="Times New Roman"/>
          <w:b/>
          <w:sz w:val="24"/>
          <w:szCs w:val="24"/>
        </w:rPr>
        <w:t>l harm to the person submitting or to any member of his or her family).</w:t>
      </w:r>
    </w:p>
    <w:p w:rsidR="00E372EA" w:rsidRPr="00E372EA" w:rsidRDefault="00E372EA" w:rsidP="00E372EA">
      <w:pPr>
        <w:spacing w:after="240"/>
        <w:ind w:firstLine="720"/>
        <w:rPr>
          <w:rFonts w:eastAsia="Times New Roman"/>
          <w:b/>
          <w:sz w:val="24"/>
          <w:szCs w:val="24"/>
        </w:rPr>
      </w:pPr>
    </w:p>
    <w:p w:rsidR="00E372EA" w:rsidRPr="00E372EA" w:rsidRDefault="00E372EA" w:rsidP="00E372EA">
      <w:pPr>
        <w:spacing w:after="240"/>
        <w:ind w:firstLine="720"/>
        <w:rPr>
          <w:rFonts w:eastAsia="Times New Roman"/>
          <w:b/>
          <w:sz w:val="24"/>
          <w:szCs w:val="24"/>
        </w:rPr>
      </w:pPr>
      <w:r w:rsidRPr="00E372EA">
        <w:rPr>
          <w:rFonts w:eastAsia="Times New Roman"/>
          <w:b/>
          <w:sz w:val="24"/>
          <w:szCs w:val="24"/>
        </w:rPr>
        <w:t>(3. Making any actual or apparent threats of physical harm to, or loss of, property of the person submitting).</w:t>
      </w:r>
    </w:p>
    <w:p w:rsidR="00E372EA" w:rsidRDefault="00E372EA" w:rsidP="00E372EA">
      <w:pPr>
        <w:jc w:val="center"/>
        <w:rPr>
          <w:rFonts w:eastAsia="Times New Roman"/>
          <w:sz w:val="24"/>
          <w:szCs w:val="24"/>
        </w:rPr>
      </w:pPr>
    </w:p>
    <w:p w:rsidR="00E372EA" w:rsidRPr="0054263B" w:rsidRDefault="00E372EA" w:rsidP="00E372EA">
      <w:pPr>
        <w:keepNext/>
        <w:spacing w:after="240"/>
        <w:jc w:val="center"/>
        <w:rPr>
          <w:rFonts w:eastAsia="Times New Roman"/>
          <w:b/>
          <w:sz w:val="24"/>
          <w:szCs w:val="24"/>
        </w:rPr>
      </w:pPr>
      <w:r w:rsidRPr="0054263B">
        <w:rPr>
          <w:rFonts w:eastAsia="Times New Roman"/>
          <w:b/>
          <w:sz w:val="24"/>
          <w:szCs w:val="24"/>
        </w:rPr>
        <w:t>Notes on Use</w:t>
      </w:r>
    </w:p>
    <w:p w:rsidR="00E372EA" w:rsidRPr="00E372EA" w:rsidRDefault="00E372EA" w:rsidP="00E372EA">
      <w:pPr>
        <w:spacing w:after="240"/>
        <w:ind w:firstLine="720"/>
        <w:rPr>
          <w:rFonts w:eastAsia="Times New Roman"/>
          <w:sz w:val="24"/>
          <w:szCs w:val="24"/>
        </w:rPr>
      </w:pPr>
      <w:r w:rsidRPr="00E372EA">
        <w:rPr>
          <w:rFonts w:eastAsia="Times New Roman"/>
          <w:sz w:val="24"/>
          <w:szCs w:val="24"/>
        </w:rPr>
        <w:t>1. Use whichever numbered parenthesized paragraph or paragraphs (and bracketed portions thereof) as are appropriate. When more than one numbered paragraph is used, the paragraphs should be clearly stated as alternatives.</w:t>
      </w:r>
    </w:p>
    <w:p w:rsidR="00E372EA" w:rsidRPr="00E372EA" w:rsidRDefault="00E372EA" w:rsidP="00E372EA">
      <w:pPr>
        <w:spacing w:after="240"/>
        <w:ind w:firstLine="720"/>
        <w:rPr>
          <w:rFonts w:eastAsia="Times New Roman"/>
          <w:sz w:val="24"/>
          <w:szCs w:val="24"/>
        </w:rPr>
      </w:pPr>
      <w:r w:rsidRPr="00E372EA">
        <w:rPr>
          <w:rFonts w:eastAsia="Times New Roman"/>
          <w:sz w:val="24"/>
          <w:szCs w:val="24"/>
        </w:rPr>
        <w:t>2. In the first unnumbered paragraph, use whichever phrase, “false imprisonment” or “false arrest,” is more appropriate.</w:t>
      </w:r>
    </w:p>
    <w:p w:rsidR="00E372EA" w:rsidRPr="00E372EA" w:rsidRDefault="00E372EA" w:rsidP="00E372EA">
      <w:pPr>
        <w:spacing w:after="240"/>
        <w:ind w:firstLine="720"/>
        <w:rPr>
          <w:rFonts w:eastAsia="Times New Roman"/>
          <w:sz w:val="24"/>
          <w:szCs w:val="24"/>
        </w:rPr>
      </w:pPr>
      <w:r w:rsidRPr="00E372EA">
        <w:rPr>
          <w:rFonts w:eastAsia="Times New Roman"/>
          <w:sz w:val="24"/>
          <w:szCs w:val="24"/>
        </w:rPr>
        <w:t>3. If there is a dispute as to whether the defendant restricted the plaintiff’s freedom of movement, this instruction must be appropriately modified.</w:t>
      </w:r>
    </w:p>
    <w:p w:rsidR="00E372EA" w:rsidRPr="00E372EA" w:rsidRDefault="00E372EA" w:rsidP="00E372EA">
      <w:pPr>
        <w:spacing w:after="240"/>
        <w:ind w:firstLine="720"/>
        <w:rPr>
          <w:rFonts w:eastAsia="Times New Roman"/>
          <w:sz w:val="24"/>
          <w:szCs w:val="24"/>
        </w:rPr>
      </w:pPr>
      <w:r w:rsidRPr="00E372EA">
        <w:rPr>
          <w:rFonts w:eastAsia="Times New Roman"/>
          <w:sz w:val="24"/>
          <w:szCs w:val="24"/>
        </w:rPr>
        <w:t xml:space="preserve">4. Implied consent based on emergency has been recognized as an affirmative defense to the tort of false imprisonment. </w:t>
      </w:r>
      <w:r w:rsidRPr="00E372EA">
        <w:rPr>
          <w:rFonts w:eastAsia="Times New Roman"/>
          <w:b/>
          <w:sz w:val="24"/>
          <w:szCs w:val="24"/>
        </w:rPr>
        <w:t>Blackman v. Rifkin</w:t>
      </w:r>
      <w:r w:rsidRPr="00E372EA">
        <w:rPr>
          <w:rFonts w:eastAsia="Times New Roman"/>
          <w:sz w:val="24"/>
          <w:szCs w:val="24"/>
        </w:rPr>
        <w:t>, 759 P.2d 54 (Colo. App. 1988). Consequently, when supported by sufficient evidence, Instruction 15:9, appropriately modified, may be given in lieu of, or, if appropriate, in addition to, this instruction.</w:t>
      </w:r>
    </w:p>
    <w:p w:rsidR="00E372EA" w:rsidRPr="0054263B" w:rsidRDefault="00E372EA" w:rsidP="00E372EA">
      <w:pPr>
        <w:keepNext/>
        <w:spacing w:after="240"/>
        <w:jc w:val="center"/>
        <w:rPr>
          <w:rFonts w:eastAsia="Times New Roman"/>
          <w:b/>
          <w:sz w:val="24"/>
          <w:szCs w:val="24"/>
        </w:rPr>
      </w:pPr>
      <w:r>
        <w:rPr>
          <w:rFonts w:eastAsia="Times New Roman"/>
          <w:b/>
          <w:sz w:val="24"/>
          <w:szCs w:val="24"/>
        </w:rPr>
        <w:t>Source and Authority</w:t>
      </w:r>
    </w:p>
    <w:p w:rsidR="00E372EA" w:rsidRPr="00E372EA" w:rsidRDefault="00E372EA" w:rsidP="00E372EA">
      <w:pPr>
        <w:spacing w:after="240"/>
        <w:ind w:firstLine="720"/>
        <w:rPr>
          <w:rFonts w:eastAsia="Times New Roman"/>
          <w:sz w:val="24"/>
          <w:szCs w:val="24"/>
        </w:rPr>
      </w:pPr>
      <w:r w:rsidRPr="00E372EA">
        <w:rPr>
          <w:rFonts w:eastAsia="Times New Roman"/>
          <w:sz w:val="24"/>
          <w:szCs w:val="24"/>
        </w:rPr>
        <w:t xml:space="preserve">1. This instruction is supported by </w:t>
      </w:r>
      <w:r w:rsidRPr="00E372EA">
        <w:rPr>
          <w:rFonts w:eastAsia="Times New Roman"/>
          <w:smallCaps/>
          <w:sz w:val="24"/>
          <w:szCs w:val="24"/>
        </w:rPr>
        <w:t>W. Page Keeton et al., Prosser and Keeton on the Law of Torts</w:t>
      </w:r>
      <w:r w:rsidRPr="00E372EA">
        <w:rPr>
          <w:rFonts w:eastAsia="Times New Roman"/>
          <w:sz w:val="24"/>
          <w:szCs w:val="24"/>
        </w:rPr>
        <w:t xml:space="preserve"> § 11, at 49-51 (5th ed. 1984); and 1 </w:t>
      </w:r>
      <w:r w:rsidRPr="00E372EA">
        <w:rPr>
          <w:rFonts w:eastAsia="Times New Roman"/>
          <w:smallCaps/>
          <w:sz w:val="24"/>
          <w:szCs w:val="24"/>
        </w:rPr>
        <w:t>F. Harper et al., Harper, James, and Gray on Torts</w:t>
      </w:r>
      <w:r w:rsidRPr="00E372EA">
        <w:rPr>
          <w:rFonts w:eastAsia="Times New Roman"/>
          <w:sz w:val="24"/>
          <w:szCs w:val="24"/>
        </w:rPr>
        <w:t xml:space="preserve"> §§ 3.8, 3.10 (3d ed. 2006). </w:t>
      </w:r>
      <w:r w:rsidRPr="00E372EA">
        <w:rPr>
          <w:rFonts w:eastAsia="Times New Roman"/>
          <w:i/>
          <w:sz w:val="24"/>
          <w:szCs w:val="24"/>
        </w:rPr>
        <w:t>See also</w:t>
      </w:r>
      <w:r w:rsidRPr="00E372EA">
        <w:rPr>
          <w:rFonts w:eastAsia="Times New Roman"/>
          <w:sz w:val="24"/>
          <w:szCs w:val="24"/>
        </w:rPr>
        <w:t xml:space="preserve"> </w:t>
      </w:r>
      <w:r w:rsidRPr="00E372EA">
        <w:rPr>
          <w:rFonts w:eastAsia="Times New Roman"/>
          <w:b/>
          <w:sz w:val="24"/>
          <w:szCs w:val="24"/>
        </w:rPr>
        <w:t>People v. Diaz</w:t>
      </w:r>
      <w:r w:rsidRPr="00E372EA">
        <w:rPr>
          <w:rFonts w:eastAsia="Times New Roman"/>
          <w:sz w:val="24"/>
          <w:szCs w:val="24"/>
        </w:rPr>
        <w:t>, 793 P.2d 1181 (Colo. 1990) (consent is voluntary when it is the product of free and unconstrained choice and not the result of force, threat, or promise).</w:t>
      </w:r>
    </w:p>
    <w:p w:rsidR="00642649" w:rsidRDefault="00E372EA" w:rsidP="006053F6">
      <w:pPr>
        <w:spacing w:after="240"/>
        <w:ind w:firstLine="720"/>
        <w:rPr>
          <w:rFonts w:eastAsia="Times New Roman"/>
          <w:sz w:val="24"/>
          <w:szCs w:val="24"/>
        </w:rPr>
      </w:pPr>
      <w:r w:rsidRPr="00E372EA">
        <w:rPr>
          <w:rFonts w:eastAsia="Times New Roman"/>
          <w:sz w:val="24"/>
          <w:szCs w:val="24"/>
        </w:rPr>
        <w:t xml:space="preserve">2. Submitting to a claim of lawful authority does not constitute consent. </w:t>
      </w:r>
      <w:r w:rsidRPr="00E372EA">
        <w:rPr>
          <w:rFonts w:eastAsia="Times New Roman"/>
          <w:b/>
          <w:sz w:val="24"/>
          <w:szCs w:val="24"/>
        </w:rPr>
        <w:t>Kaupp v. Texas</w:t>
      </w:r>
      <w:r w:rsidRPr="00E372EA">
        <w:rPr>
          <w:rFonts w:eastAsia="Times New Roman"/>
          <w:sz w:val="24"/>
          <w:szCs w:val="24"/>
        </w:rPr>
        <w:t>, 538 U.S. 626 (2003) (seventeen-year-old defendant’s failure to struggle and response of “okay” to statement of police officer did not constitute consent where defendant was awakened in his bedroom by three police officers at three o’clock in the morning and taken from his home in handcuffs for questioning).</w:t>
      </w:r>
    </w:p>
    <w:p w:rsidR="00E372EA" w:rsidRDefault="00E372EA">
      <w:pPr>
        <w:rPr>
          <w:rFonts w:eastAsia="Times New Roman"/>
          <w:sz w:val="24"/>
          <w:szCs w:val="24"/>
        </w:rPr>
      </w:pPr>
      <w:r>
        <w:rPr>
          <w:rFonts w:eastAsia="Times New Roman"/>
          <w:sz w:val="24"/>
          <w:szCs w:val="24"/>
        </w:rPr>
        <w:br w:type="page"/>
      </w:r>
    </w:p>
    <w:p w:rsidR="00E372EA" w:rsidRPr="009E3DA4" w:rsidRDefault="00E372EA" w:rsidP="00E372EA">
      <w:pPr>
        <w:spacing w:after="240"/>
        <w:ind w:left="720" w:hanging="720"/>
        <w:rPr>
          <w:rFonts w:eastAsia="Times New Roman"/>
          <w:b/>
          <w:sz w:val="24"/>
          <w:szCs w:val="24"/>
        </w:rPr>
      </w:pPr>
      <w:bookmarkStart w:id="7" w:name="a21_07"/>
      <w:bookmarkEnd w:id="7"/>
      <w:r w:rsidRPr="00E372EA">
        <w:rPr>
          <w:rFonts w:eastAsia="Times New Roman"/>
          <w:b/>
          <w:sz w:val="24"/>
          <w:szCs w:val="24"/>
        </w:rPr>
        <w:t xml:space="preserve">21:7 </w:t>
      </w:r>
      <w:r w:rsidRPr="00E372EA">
        <w:rPr>
          <w:rFonts w:eastAsia="Times New Roman"/>
          <w:b/>
          <w:sz w:val="24"/>
          <w:szCs w:val="24"/>
        </w:rPr>
        <w:tab/>
        <w:t>STATUTORY PRIVILEGE TO DETAIN FOR INVESTIGATION</w:t>
      </w:r>
    </w:p>
    <w:p w:rsidR="00E372EA" w:rsidRPr="00E372EA" w:rsidRDefault="00E372EA" w:rsidP="00E372EA">
      <w:pPr>
        <w:spacing w:after="240"/>
        <w:ind w:firstLine="720"/>
        <w:rPr>
          <w:rFonts w:eastAsia="Times New Roman"/>
          <w:b/>
          <w:sz w:val="24"/>
          <w:szCs w:val="24"/>
        </w:rPr>
      </w:pPr>
      <w:r w:rsidRPr="00E372EA">
        <w:rPr>
          <w:rFonts w:eastAsia="Times New Roman"/>
          <w:b/>
          <w:sz w:val="24"/>
          <w:szCs w:val="24"/>
        </w:rPr>
        <w:t xml:space="preserve">The defendant, </w:t>
      </w:r>
      <w:r w:rsidRPr="00E372EA">
        <w:rPr>
          <w:rFonts w:eastAsia="Times New Roman"/>
          <w:i/>
          <w:sz w:val="24"/>
          <w:szCs w:val="24"/>
        </w:rPr>
        <w:t>(name)</w:t>
      </w:r>
      <w:r w:rsidRPr="00E372EA">
        <w:rPr>
          <w:rFonts w:eastAsia="Times New Roman"/>
          <w:b/>
          <w:sz w:val="24"/>
          <w:szCs w:val="24"/>
        </w:rPr>
        <w:t xml:space="preserve">, is not legally responsible to the plaintiff, </w:t>
      </w:r>
      <w:r w:rsidRPr="00E372EA">
        <w:rPr>
          <w:rFonts w:eastAsia="Times New Roman"/>
          <w:i/>
          <w:sz w:val="24"/>
          <w:szCs w:val="24"/>
        </w:rPr>
        <w:t>(name)</w:t>
      </w:r>
      <w:r w:rsidRPr="00E372EA">
        <w:rPr>
          <w:rFonts w:eastAsia="Times New Roman"/>
          <w:b/>
          <w:sz w:val="24"/>
          <w:szCs w:val="24"/>
        </w:rPr>
        <w:t>, on (his) (her) claim of (false imprisonment) (false arrest) if the affirmative defense of a privilege to detain for investigation is proved. This defense is proved if you find all of the following:</w:t>
      </w:r>
    </w:p>
    <w:p w:rsidR="00E372EA" w:rsidRPr="00E372EA" w:rsidRDefault="00E372EA" w:rsidP="00E372EA">
      <w:pPr>
        <w:spacing w:after="240"/>
        <w:ind w:firstLine="720"/>
        <w:rPr>
          <w:rFonts w:eastAsia="Times New Roman"/>
          <w:b/>
          <w:sz w:val="24"/>
          <w:szCs w:val="24"/>
        </w:rPr>
      </w:pPr>
      <w:r w:rsidRPr="00E372EA">
        <w:rPr>
          <w:rFonts w:eastAsia="Times New Roman"/>
          <w:b/>
          <w:sz w:val="24"/>
          <w:szCs w:val="24"/>
        </w:rPr>
        <w:t>1. The defendant was a peace officer, or an owner or employee of a (store) (business establishment selling merchandise);</w:t>
      </w:r>
    </w:p>
    <w:p w:rsidR="00E372EA" w:rsidRPr="00E372EA" w:rsidRDefault="00E372EA" w:rsidP="00E372EA">
      <w:pPr>
        <w:spacing w:after="240"/>
        <w:ind w:firstLine="720"/>
        <w:rPr>
          <w:rFonts w:eastAsia="Times New Roman"/>
          <w:b/>
          <w:sz w:val="24"/>
          <w:szCs w:val="24"/>
        </w:rPr>
      </w:pPr>
      <w:r w:rsidRPr="00E372EA">
        <w:rPr>
          <w:rFonts w:eastAsia="Times New Roman"/>
          <w:b/>
          <w:sz w:val="24"/>
          <w:szCs w:val="24"/>
        </w:rPr>
        <w:t>2. The defendant acted in good faith and had probable cause based upon reasonable grounds to believe that the plaintiff:</w:t>
      </w:r>
    </w:p>
    <w:p w:rsidR="00E372EA" w:rsidRPr="00E372EA" w:rsidRDefault="00E372EA" w:rsidP="00E372EA">
      <w:pPr>
        <w:spacing w:after="240"/>
        <w:ind w:left="720"/>
        <w:rPr>
          <w:rFonts w:eastAsia="Times New Roman"/>
          <w:b/>
          <w:sz w:val="24"/>
          <w:szCs w:val="24"/>
        </w:rPr>
      </w:pPr>
      <w:r w:rsidRPr="00E372EA">
        <w:rPr>
          <w:rFonts w:eastAsia="Times New Roman"/>
          <w:b/>
          <w:sz w:val="24"/>
          <w:szCs w:val="24"/>
        </w:rPr>
        <w:t>a. Triggered an alarm or a theft detection device, or</w:t>
      </w:r>
    </w:p>
    <w:p w:rsidR="00E372EA" w:rsidRPr="00E372EA" w:rsidRDefault="00E372EA" w:rsidP="00E372EA">
      <w:pPr>
        <w:spacing w:after="240"/>
        <w:ind w:left="720"/>
        <w:rPr>
          <w:rFonts w:eastAsia="Times New Roman"/>
          <w:b/>
          <w:sz w:val="24"/>
          <w:szCs w:val="24"/>
        </w:rPr>
      </w:pPr>
      <w:r w:rsidRPr="00E372EA">
        <w:rPr>
          <w:rFonts w:eastAsia="Times New Roman"/>
          <w:b/>
          <w:sz w:val="24"/>
          <w:szCs w:val="24"/>
        </w:rPr>
        <w:t>b. Concealed upon (his) (her) person any unpurchased goods, wares, or merchandise held or owned by the store or business establishment selling merchandise, or</w:t>
      </w:r>
    </w:p>
    <w:p w:rsidR="00E372EA" w:rsidRPr="00E372EA" w:rsidRDefault="00E372EA" w:rsidP="00E372EA">
      <w:pPr>
        <w:spacing w:after="240"/>
        <w:ind w:left="720"/>
        <w:rPr>
          <w:rFonts w:eastAsia="Times New Roman"/>
          <w:b/>
          <w:sz w:val="24"/>
          <w:szCs w:val="24"/>
        </w:rPr>
      </w:pPr>
      <w:r w:rsidRPr="00E372EA">
        <w:rPr>
          <w:rFonts w:eastAsia="Times New Roman"/>
          <w:b/>
          <w:sz w:val="24"/>
          <w:szCs w:val="24"/>
        </w:rPr>
        <w:t>c. Otherwise carried away any unpurchased goods, wares, or merchandise held or owned by the store or business establishment selling merchandise;</w:t>
      </w:r>
    </w:p>
    <w:p w:rsidR="00E372EA" w:rsidRPr="00E372EA" w:rsidRDefault="00E372EA" w:rsidP="00E372EA">
      <w:pPr>
        <w:spacing w:after="240"/>
        <w:ind w:firstLine="720"/>
        <w:rPr>
          <w:rFonts w:eastAsia="Times New Roman"/>
          <w:b/>
          <w:sz w:val="24"/>
          <w:szCs w:val="24"/>
        </w:rPr>
      </w:pPr>
      <w:r w:rsidRPr="00E372EA">
        <w:rPr>
          <w:rFonts w:eastAsia="Times New Roman"/>
          <w:b/>
          <w:sz w:val="24"/>
          <w:szCs w:val="24"/>
        </w:rPr>
        <w:t>3. The defendant detained and questioned the plaintiff in a reasonable manner for the purpose of determining whether the plaintiff committed theft.</w:t>
      </w:r>
    </w:p>
    <w:p w:rsidR="00E372EA" w:rsidRDefault="00E372EA" w:rsidP="00E372EA">
      <w:pPr>
        <w:jc w:val="center"/>
        <w:rPr>
          <w:rFonts w:eastAsia="Times New Roman"/>
          <w:sz w:val="24"/>
          <w:szCs w:val="24"/>
        </w:rPr>
      </w:pPr>
    </w:p>
    <w:p w:rsidR="00E372EA" w:rsidRPr="0054263B" w:rsidRDefault="00E372EA" w:rsidP="00E372EA">
      <w:pPr>
        <w:keepNext/>
        <w:spacing w:after="240"/>
        <w:jc w:val="center"/>
        <w:rPr>
          <w:rFonts w:eastAsia="Times New Roman"/>
          <w:b/>
          <w:sz w:val="24"/>
          <w:szCs w:val="24"/>
        </w:rPr>
      </w:pPr>
      <w:r w:rsidRPr="0054263B">
        <w:rPr>
          <w:rFonts w:eastAsia="Times New Roman"/>
          <w:b/>
          <w:sz w:val="24"/>
          <w:szCs w:val="24"/>
        </w:rPr>
        <w:t>Notes on Use</w:t>
      </w:r>
    </w:p>
    <w:p w:rsidR="00E372EA" w:rsidRPr="00E372EA" w:rsidRDefault="00E372EA" w:rsidP="00E372EA">
      <w:pPr>
        <w:spacing w:after="240"/>
        <w:ind w:firstLine="720"/>
        <w:rPr>
          <w:rFonts w:eastAsia="Times New Roman"/>
          <w:sz w:val="24"/>
          <w:szCs w:val="24"/>
        </w:rPr>
      </w:pPr>
      <w:r w:rsidRPr="00E372EA">
        <w:rPr>
          <w:rFonts w:eastAsia="Times New Roman"/>
          <w:sz w:val="24"/>
          <w:szCs w:val="24"/>
        </w:rPr>
        <w:t>1. Use whichever parenthesized words are appropriate.</w:t>
      </w:r>
    </w:p>
    <w:p w:rsidR="00E372EA" w:rsidRPr="00E372EA" w:rsidRDefault="00E372EA" w:rsidP="00E372EA">
      <w:pPr>
        <w:spacing w:after="240"/>
        <w:ind w:firstLine="720"/>
        <w:rPr>
          <w:rFonts w:eastAsia="Times New Roman"/>
          <w:sz w:val="24"/>
          <w:szCs w:val="24"/>
        </w:rPr>
      </w:pPr>
      <w:r w:rsidRPr="00E372EA">
        <w:rPr>
          <w:rFonts w:eastAsia="Times New Roman"/>
          <w:sz w:val="24"/>
          <w:szCs w:val="24"/>
        </w:rPr>
        <w:t>2. Omit any numbered paragraphs, the facts of which are not in dispute.</w:t>
      </w:r>
    </w:p>
    <w:p w:rsidR="00E372EA" w:rsidRPr="00E372EA" w:rsidRDefault="00E372EA" w:rsidP="00E372EA">
      <w:pPr>
        <w:spacing w:after="240"/>
        <w:ind w:firstLine="720"/>
        <w:rPr>
          <w:rFonts w:eastAsia="Times New Roman"/>
          <w:sz w:val="24"/>
          <w:szCs w:val="24"/>
        </w:rPr>
      </w:pPr>
      <w:r w:rsidRPr="00E372EA">
        <w:rPr>
          <w:rFonts w:eastAsia="Times New Roman"/>
          <w:sz w:val="24"/>
          <w:szCs w:val="24"/>
        </w:rPr>
        <w:t xml:space="preserve">3. When this instruction is given, another instruction defining “theft” should also be given. </w:t>
      </w:r>
      <w:r w:rsidRPr="00E372EA">
        <w:rPr>
          <w:rFonts w:eastAsia="Times New Roman"/>
          <w:i/>
          <w:sz w:val="24"/>
          <w:szCs w:val="24"/>
        </w:rPr>
        <w:t xml:space="preserve">See </w:t>
      </w:r>
      <w:r w:rsidRPr="00E372EA">
        <w:rPr>
          <w:rFonts w:eastAsia="Times New Roman"/>
          <w:sz w:val="24"/>
          <w:szCs w:val="24"/>
        </w:rPr>
        <w:t>§ 18-4-401, C.R.S. For the appropriate definition of “peace officer,” see sections 16-2.5-101 to -151, C.R.S., and for “concealment,” see section 18-4-406, C.R.S.</w:t>
      </w:r>
    </w:p>
    <w:p w:rsidR="00E372EA" w:rsidRPr="00E372EA" w:rsidRDefault="00E372EA" w:rsidP="00E372EA">
      <w:pPr>
        <w:spacing w:after="240"/>
        <w:ind w:firstLine="720"/>
        <w:rPr>
          <w:rFonts w:eastAsia="Times New Roman"/>
          <w:sz w:val="24"/>
          <w:szCs w:val="24"/>
        </w:rPr>
      </w:pPr>
      <w:r w:rsidRPr="00E372EA">
        <w:rPr>
          <w:rFonts w:eastAsia="Times New Roman"/>
          <w:sz w:val="24"/>
          <w:szCs w:val="24"/>
        </w:rPr>
        <w:t>4. If there is a dispute as to whether the defendant detained or questioned the plaintiff at all, numbered paragraphs 3 and 4 of this instruction must be appropriately modified.</w:t>
      </w:r>
    </w:p>
    <w:p w:rsidR="00E372EA" w:rsidRPr="00E372EA" w:rsidRDefault="00E372EA" w:rsidP="00E372EA">
      <w:pPr>
        <w:spacing w:after="240"/>
        <w:ind w:firstLine="720"/>
        <w:rPr>
          <w:rFonts w:eastAsia="Times New Roman"/>
          <w:sz w:val="24"/>
          <w:szCs w:val="24"/>
        </w:rPr>
      </w:pPr>
      <w:r w:rsidRPr="00E372EA">
        <w:rPr>
          <w:rFonts w:eastAsia="Times New Roman"/>
          <w:sz w:val="24"/>
          <w:szCs w:val="24"/>
        </w:rPr>
        <w:t>5. “Theft detection device” is defined by § 18-4-417(2)(b), C.R.S. The court should determine whether the device at issue qualifies as a theft detection device under the statute. If it does not, then subparagraph 2a of this instruction should be deleted.</w:t>
      </w:r>
    </w:p>
    <w:p w:rsidR="00E372EA" w:rsidRPr="00E372EA" w:rsidRDefault="00E372EA" w:rsidP="00E372EA">
      <w:pPr>
        <w:spacing w:after="240"/>
        <w:ind w:firstLine="720"/>
        <w:rPr>
          <w:rFonts w:eastAsia="Times New Roman"/>
          <w:sz w:val="24"/>
          <w:szCs w:val="24"/>
        </w:rPr>
      </w:pPr>
      <w:r w:rsidRPr="00E372EA">
        <w:rPr>
          <w:rFonts w:eastAsia="Times New Roman"/>
          <w:sz w:val="24"/>
          <w:szCs w:val="24"/>
        </w:rPr>
        <w:t xml:space="preserve">6. In </w:t>
      </w:r>
      <w:r w:rsidRPr="00E372EA">
        <w:rPr>
          <w:rFonts w:eastAsia="Times New Roman"/>
          <w:b/>
          <w:sz w:val="24"/>
          <w:szCs w:val="24"/>
        </w:rPr>
        <w:t>Gonzales v. Harris</w:t>
      </w:r>
      <w:r w:rsidRPr="00E372EA">
        <w:rPr>
          <w:rFonts w:eastAsia="Times New Roman"/>
          <w:sz w:val="24"/>
          <w:szCs w:val="24"/>
        </w:rPr>
        <w:t>, 34 Colo. App. 282, 528 P.2d 259 (1974)</w:t>
      </w:r>
      <w:r w:rsidRPr="00E372EA">
        <w:rPr>
          <w:rFonts w:eastAsia="Times New Roman"/>
          <w:i/>
          <w:sz w:val="24"/>
          <w:szCs w:val="24"/>
        </w:rPr>
        <w:t xml:space="preserve"> rev’d on other grounds</w:t>
      </w:r>
      <w:r w:rsidRPr="00E372EA">
        <w:rPr>
          <w:rFonts w:eastAsia="Times New Roman"/>
          <w:sz w:val="24"/>
          <w:szCs w:val="24"/>
        </w:rPr>
        <w:t xml:space="preserve">, 189 Colo. 518, 542 P.2d 842 (1975), the court construed section 18-4-407, C.R.S., in conjunction with section 18-4-406, which defines “concealment” for purposes of making concealment prima facie evidence of intent to commit theft, and held: (1) the “concealment” could be on the person of the plaintiff or elsewhere, whether on or off the premises; (2) the person could be detained under the statute (if other conditions were met) while a search was being made of the premises; and (3) to this extent the statutory privilege codified and was broader than the common-law privilege. </w:t>
      </w:r>
      <w:r w:rsidRPr="00E372EA">
        <w:rPr>
          <w:rFonts w:eastAsia="Times New Roman"/>
          <w:i/>
          <w:sz w:val="24"/>
          <w:szCs w:val="24"/>
        </w:rPr>
        <w:t>See</w:t>
      </w:r>
      <w:r w:rsidRPr="00E372EA">
        <w:rPr>
          <w:rFonts w:eastAsia="Times New Roman"/>
          <w:sz w:val="24"/>
          <w:szCs w:val="24"/>
        </w:rPr>
        <w:t xml:space="preserve"> Source and Authority to Instruction 21:8.</w:t>
      </w:r>
    </w:p>
    <w:p w:rsidR="00E372EA" w:rsidRPr="00E372EA" w:rsidRDefault="00E372EA" w:rsidP="00E372EA">
      <w:pPr>
        <w:spacing w:after="240"/>
        <w:ind w:firstLine="720"/>
        <w:rPr>
          <w:rFonts w:eastAsia="Times New Roman"/>
          <w:sz w:val="24"/>
          <w:szCs w:val="24"/>
        </w:rPr>
      </w:pPr>
      <w:r w:rsidRPr="00E372EA">
        <w:rPr>
          <w:rFonts w:eastAsia="Times New Roman"/>
          <w:sz w:val="24"/>
          <w:szCs w:val="24"/>
        </w:rPr>
        <w:t xml:space="preserve">7. In some circumstances different from those involved in </w:t>
      </w:r>
      <w:r w:rsidRPr="00E372EA">
        <w:rPr>
          <w:rFonts w:eastAsia="Times New Roman"/>
          <w:b/>
          <w:sz w:val="24"/>
          <w:szCs w:val="24"/>
        </w:rPr>
        <w:t>Gonzales</w:t>
      </w:r>
      <w:r w:rsidRPr="00E372EA">
        <w:rPr>
          <w:rFonts w:eastAsia="Times New Roman"/>
          <w:sz w:val="24"/>
          <w:szCs w:val="24"/>
        </w:rPr>
        <w:t>, the defendant may wish to rely as well on the common-law privilege set out in Instruction 21:8, for example, a case involving a drug store serving food as well as selling goods, and the plaintiff was detained both for investigation of payment for food service as well as payment for goods. In such circumstances, if both instructions are given, each must be appropriately modified in order to identify the privileges and to make it clear to the jury that they are distinct, separate privileges.</w:t>
      </w:r>
    </w:p>
    <w:p w:rsidR="00E372EA" w:rsidRPr="00E372EA" w:rsidRDefault="00E372EA" w:rsidP="00E372EA">
      <w:pPr>
        <w:spacing w:after="240"/>
        <w:ind w:firstLine="720"/>
        <w:rPr>
          <w:rFonts w:eastAsia="Times New Roman"/>
          <w:sz w:val="24"/>
          <w:szCs w:val="24"/>
        </w:rPr>
      </w:pPr>
      <w:r w:rsidRPr="00E372EA">
        <w:rPr>
          <w:rFonts w:eastAsia="Times New Roman"/>
          <w:sz w:val="24"/>
          <w:szCs w:val="24"/>
        </w:rPr>
        <w:t>8. Similarly, under section 16-3-103(1), C.R.S., a peace officer has a broader statutory privilege to “stop any person who he reasonably suspects is committing, has committed, or is about to commit a crime and . . . require him to give his name and address, identification if available, and an explanation of his actions. . . . The stopping shall not constitute an arrest.” In certain cases, a defendant may seek to rely on this statutory privilege as well, and produce sufficient evidence for this privilege as well as the privilege set out in this instruction or in Instruction 21:8. In such circumstances, if instructions covering more than one privilege are given, each must be appropriately modified in order to identify it and to make it clear to the jury that they are distinct, separate privileges.</w:t>
      </w:r>
    </w:p>
    <w:p w:rsidR="00E372EA" w:rsidRPr="00E372EA" w:rsidRDefault="00E372EA" w:rsidP="00E372EA">
      <w:pPr>
        <w:spacing w:after="240"/>
        <w:ind w:firstLine="720"/>
        <w:rPr>
          <w:rFonts w:eastAsia="Times New Roman"/>
          <w:sz w:val="24"/>
          <w:szCs w:val="24"/>
        </w:rPr>
      </w:pPr>
      <w:r w:rsidRPr="00E372EA">
        <w:rPr>
          <w:rFonts w:eastAsia="Times New Roman"/>
          <w:sz w:val="24"/>
          <w:szCs w:val="24"/>
        </w:rPr>
        <w:t>9. For modifications that may be required in this instruction when a child is detained, see section 19-2-502, C.R.S.</w:t>
      </w:r>
    </w:p>
    <w:p w:rsidR="00E372EA" w:rsidRPr="00E372EA" w:rsidRDefault="00E372EA" w:rsidP="00E372EA">
      <w:pPr>
        <w:spacing w:after="240"/>
        <w:ind w:firstLine="720"/>
        <w:rPr>
          <w:rFonts w:eastAsia="Times New Roman"/>
          <w:sz w:val="24"/>
          <w:szCs w:val="24"/>
        </w:rPr>
      </w:pPr>
      <w:r w:rsidRPr="00E372EA">
        <w:rPr>
          <w:rFonts w:eastAsia="Times New Roman"/>
          <w:sz w:val="24"/>
          <w:szCs w:val="24"/>
        </w:rPr>
        <w:t>10. Under section 18-4-407, the privilege set out in this instruction would appear to apply whether the plaintiff is an employee, a customer, or some other person.</w:t>
      </w:r>
    </w:p>
    <w:p w:rsidR="00E372EA" w:rsidRPr="0054263B" w:rsidRDefault="00E372EA" w:rsidP="00E372EA">
      <w:pPr>
        <w:keepNext/>
        <w:spacing w:after="240"/>
        <w:jc w:val="center"/>
        <w:rPr>
          <w:rFonts w:eastAsia="Times New Roman"/>
          <w:b/>
          <w:sz w:val="24"/>
          <w:szCs w:val="24"/>
        </w:rPr>
      </w:pPr>
      <w:r>
        <w:rPr>
          <w:rFonts w:eastAsia="Times New Roman"/>
          <w:b/>
          <w:sz w:val="24"/>
          <w:szCs w:val="24"/>
        </w:rPr>
        <w:t>Source and Authority</w:t>
      </w:r>
    </w:p>
    <w:p w:rsidR="00E372EA" w:rsidRPr="00E372EA" w:rsidRDefault="00E372EA" w:rsidP="00E372EA">
      <w:pPr>
        <w:spacing w:after="240"/>
        <w:ind w:firstLine="720"/>
        <w:rPr>
          <w:rFonts w:eastAsia="Times New Roman"/>
          <w:sz w:val="24"/>
          <w:szCs w:val="24"/>
        </w:rPr>
      </w:pPr>
      <w:r w:rsidRPr="00E372EA">
        <w:rPr>
          <w:rFonts w:eastAsia="Times New Roman"/>
          <w:sz w:val="24"/>
          <w:szCs w:val="24"/>
        </w:rPr>
        <w:t>This instruction is supported by the statutory privilege conferred by section 18-4-407. In</w:t>
      </w:r>
      <w:r w:rsidRPr="00E372EA">
        <w:rPr>
          <w:rFonts w:eastAsia="Times New Roman"/>
          <w:b/>
          <w:sz w:val="24"/>
          <w:szCs w:val="24"/>
        </w:rPr>
        <w:t xml:space="preserve"> J.S. Dillon &amp; Sons Stores Co. v. Carrington</w:t>
      </w:r>
      <w:r w:rsidRPr="00E372EA">
        <w:rPr>
          <w:rFonts w:eastAsia="Times New Roman"/>
          <w:sz w:val="24"/>
          <w:szCs w:val="24"/>
        </w:rPr>
        <w:t xml:space="preserve">, 169 Colo. 242, 455 P.2d 201 (1969), the court, interpreting the statute as it was worded prior to its amendment in 1967, held that in order to rely on the statutory privilege, the defendant was not required to prove the plaintiff had, in fact, committed the crime of shoplifting. </w:t>
      </w:r>
      <w:r w:rsidRPr="00E372EA">
        <w:rPr>
          <w:rFonts w:eastAsia="Times New Roman"/>
          <w:i/>
          <w:sz w:val="24"/>
          <w:szCs w:val="24"/>
        </w:rPr>
        <w:t xml:space="preserve">See also </w:t>
      </w:r>
      <w:r w:rsidRPr="00E372EA">
        <w:rPr>
          <w:rFonts w:eastAsia="Times New Roman"/>
          <w:b/>
          <w:sz w:val="24"/>
          <w:szCs w:val="24"/>
        </w:rPr>
        <w:t>Gonzales</w:t>
      </w:r>
      <w:r w:rsidRPr="00E372EA">
        <w:rPr>
          <w:rFonts w:eastAsia="Times New Roman"/>
          <w:sz w:val="24"/>
          <w:szCs w:val="24"/>
        </w:rPr>
        <w:t>, 34 Colo. App. at 288-89, 528 P.2d at 263 (decided after the 1967 amendment).</w:t>
      </w:r>
    </w:p>
    <w:p w:rsidR="00E372EA" w:rsidRDefault="00E372EA">
      <w:pPr>
        <w:rPr>
          <w:rFonts w:eastAsia="Times New Roman"/>
          <w:sz w:val="24"/>
          <w:szCs w:val="24"/>
        </w:rPr>
      </w:pPr>
      <w:r>
        <w:rPr>
          <w:rFonts w:eastAsia="Times New Roman"/>
          <w:sz w:val="24"/>
          <w:szCs w:val="24"/>
        </w:rPr>
        <w:br w:type="page"/>
      </w:r>
    </w:p>
    <w:p w:rsidR="00E372EA" w:rsidRPr="009E3DA4" w:rsidRDefault="00290935" w:rsidP="00E372EA">
      <w:pPr>
        <w:spacing w:after="240"/>
        <w:ind w:left="720" w:hanging="720"/>
        <w:rPr>
          <w:rFonts w:eastAsia="Times New Roman"/>
          <w:b/>
          <w:sz w:val="24"/>
          <w:szCs w:val="24"/>
        </w:rPr>
      </w:pPr>
      <w:bookmarkStart w:id="8" w:name="a21_08"/>
      <w:bookmarkEnd w:id="8"/>
      <w:r w:rsidRPr="00290935">
        <w:rPr>
          <w:rFonts w:eastAsia="Times New Roman"/>
          <w:b/>
          <w:sz w:val="24"/>
          <w:szCs w:val="24"/>
        </w:rPr>
        <w:t xml:space="preserve">21:8 </w:t>
      </w:r>
      <w:r w:rsidRPr="00290935">
        <w:rPr>
          <w:rFonts w:eastAsia="Times New Roman"/>
          <w:b/>
          <w:sz w:val="24"/>
          <w:szCs w:val="24"/>
        </w:rPr>
        <w:tab/>
        <w:t>COMMON-LAW PRIVILEGE TO DETAIN FOR INVESTIGATION</w:t>
      </w:r>
    </w:p>
    <w:p w:rsidR="00290935" w:rsidRPr="00290935" w:rsidRDefault="00290935" w:rsidP="00290935">
      <w:pPr>
        <w:spacing w:after="240"/>
        <w:ind w:firstLine="720"/>
        <w:rPr>
          <w:rFonts w:eastAsia="Times New Roman"/>
          <w:b/>
          <w:sz w:val="24"/>
          <w:szCs w:val="24"/>
        </w:rPr>
      </w:pPr>
      <w:r w:rsidRPr="00290935">
        <w:rPr>
          <w:rFonts w:eastAsia="Times New Roman"/>
          <w:b/>
          <w:sz w:val="24"/>
          <w:szCs w:val="24"/>
        </w:rPr>
        <w:t xml:space="preserve">The defendant, </w:t>
      </w:r>
      <w:r w:rsidRPr="00290935">
        <w:rPr>
          <w:rFonts w:eastAsia="Times New Roman"/>
          <w:i/>
          <w:sz w:val="24"/>
          <w:szCs w:val="24"/>
        </w:rPr>
        <w:t>(name)</w:t>
      </w:r>
      <w:r w:rsidRPr="00290935">
        <w:rPr>
          <w:rFonts w:eastAsia="Times New Roman"/>
          <w:b/>
          <w:sz w:val="24"/>
          <w:szCs w:val="24"/>
        </w:rPr>
        <w:t xml:space="preserve">, is not legally responsible to the plaintiff, </w:t>
      </w:r>
      <w:r w:rsidRPr="00290935">
        <w:rPr>
          <w:rFonts w:eastAsia="Times New Roman"/>
          <w:i/>
          <w:sz w:val="24"/>
          <w:szCs w:val="24"/>
        </w:rPr>
        <w:t>(name)</w:t>
      </w:r>
      <w:r w:rsidRPr="00290935">
        <w:rPr>
          <w:rFonts w:eastAsia="Times New Roman"/>
          <w:b/>
          <w:sz w:val="24"/>
          <w:szCs w:val="24"/>
        </w:rPr>
        <w:t>, on (his) (her) claim of (false imprisonment) (false arrest) if the affirmative defense of a privilege to detain for investigation is proved. This defense is proved if you find all of the following:</w:t>
      </w:r>
    </w:p>
    <w:p w:rsidR="00290935" w:rsidRPr="00290935" w:rsidRDefault="00290935" w:rsidP="00290935">
      <w:pPr>
        <w:spacing w:after="240"/>
        <w:ind w:firstLine="720"/>
        <w:rPr>
          <w:rFonts w:eastAsia="Times New Roman"/>
          <w:b/>
          <w:sz w:val="24"/>
          <w:szCs w:val="24"/>
        </w:rPr>
      </w:pPr>
      <w:r w:rsidRPr="00290935">
        <w:rPr>
          <w:rFonts w:eastAsia="Times New Roman"/>
          <w:b/>
          <w:sz w:val="24"/>
          <w:szCs w:val="24"/>
        </w:rPr>
        <w:t>1. The defendant was (the owner, agent or employee of a business) (a peace or police officer);</w:t>
      </w:r>
    </w:p>
    <w:p w:rsidR="00290935" w:rsidRPr="00290935" w:rsidRDefault="00290935" w:rsidP="00290935">
      <w:pPr>
        <w:spacing w:after="240"/>
        <w:ind w:firstLine="720"/>
        <w:rPr>
          <w:rFonts w:eastAsia="Times New Roman"/>
          <w:b/>
          <w:sz w:val="24"/>
          <w:szCs w:val="24"/>
        </w:rPr>
      </w:pPr>
      <w:r w:rsidRPr="00290935">
        <w:rPr>
          <w:rFonts w:eastAsia="Times New Roman"/>
          <w:b/>
          <w:sz w:val="24"/>
          <w:szCs w:val="24"/>
        </w:rPr>
        <w:t>2. The defendant believed and had reasonable grounds to believe the plaintiff had wrongfully (taken items) (secured services) from (the defendant’s business premises) (a business establishment) or had failed to make arrangements for the payment of (the items the plaintiff had received) (the services which had been rendered to the plaintiff);</w:t>
      </w:r>
    </w:p>
    <w:p w:rsidR="00290935" w:rsidRPr="00290935" w:rsidRDefault="00290935" w:rsidP="00290935">
      <w:pPr>
        <w:spacing w:after="240"/>
        <w:ind w:firstLine="720"/>
        <w:rPr>
          <w:rFonts w:eastAsia="Times New Roman"/>
          <w:b/>
          <w:sz w:val="24"/>
          <w:szCs w:val="24"/>
        </w:rPr>
      </w:pPr>
      <w:r w:rsidRPr="00290935">
        <w:rPr>
          <w:rFonts w:eastAsia="Times New Roman"/>
          <w:b/>
          <w:sz w:val="24"/>
          <w:szCs w:val="24"/>
        </w:rPr>
        <w:t>3. The defendant detained the plaintiff solely for the purpose of questioning the plaintiff about the matter;</w:t>
      </w:r>
    </w:p>
    <w:p w:rsidR="00290935" w:rsidRPr="00290935" w:rsidRDefault="00290935" w:rsidP="00290935">
      <w:pPr>
        <w:spacing w:after="240"/>
        <w:ind w:firstLine="720"/>
        <w:rPr>
          <w:rFonts w:eastAsia="Times New Roman"/>
          <w:b/>
          <w:sz w:val="24"/>
          <w:szCs w:val="24"/>
        </w:rPr>
      </w:pPr>
      <w:r w:rsidRPr="00290935">
        <w:rPr>
          <w:rFonts w:eastAsia="Times New Roman"/>
          <w:b/>
          <w:sz w:val="24"/>
          <w:szCs w:val="24"/>
        </w:rPr>
        <w:t>4. The defendant questioned the plaintiff in a reasonable manner and only for a reasonable period of time; and</w:t>
      </w:r>
    </w:p>
    <w:p w:rsidR="00290935" w:rsidRPr="00290935" w:rsidRDefault="00290935" w:rsidP="00290935">
      <w:pPr>
        <w:spacing w:after="240"/>
        <w:ind w:firstLine="720"/>
        <w:rPr>
          <w:rFonts w:eastAsia="Times New Roman"/>
          <w:b/>
          <w:sz w:val="24"/>
          <w:szCs w:val="24"/>
        </w:rPr>
      </w:pPr>
      <w:r w:rsidRPr="00290935">
        <w:rPr>
          <w:rFonts w:eastAsia="Times New Roman"/>
          <w:b/>
          <w:sz w:val="24"/>
          <w:szCs w:val="24"/>
        </w:rPr>
        <w:t>5. The plaintiff was in the place of business or had just left and was in the immediate vicinity.</w:t>
      </w:r>
    </w:p>
    <w:p w:rsidR="00E372EA" w:rsidRDefault="00E372EA" w:rsidP="00E372EA">
      <w:pPr>
        <w:jc w:val="center"/>
        <w:rPr>
          <w:rFonts w:eastAsia="Times New Roman"/>
          <w:sz w:val="24"/>
          <w:szCs w:val="24"/>
        </w:rPr>
      </w:pPr>
    </w:p>
    <w:p w:rsidR="00E372EA" w:rsidRPr="0054263B" w:rsidRDefault="00E372EA" w:rsidP="00E372EA">
      <w:pPr>
        <w:keepNext/>
        <w:spacing w:after="240"/>
        <w:jc w:val="center"/>
        <w:rPr>
          <w:rFonts w:eastAsia="Times New Roman"/>
          <w:b/>
          <w:sz w:val="24"/>
          <w:szCs w:val="24"/>
        </w:rPr>
      </w:pPr>
      <w:r w:rsidRPr="0054263B">
        <w:rPr>
          <w:rFonts w:eastAsia="Times New Roman"/>
          <w:b/>
          <w:sz w:val="24"/>
          <w:szCs w:val="24"/>
        </w:rPr>
        <w:t>Notes on Use</w:t>
      </w:r>
    </w:p>
    <w:p w:rsidR="00290935" w:rsidRPr="00290935" w:rsidRDefault="00290935" w:rsidP="00290935">
      <w:pPr>
        <w:spacing w:after="240"/>
        <w:ind w:firstLine="720"/>
        <w:rPr>
          <w:rFonts w:eastAsia="Times New Roman"/>
          <w:sz w:val="24"/>
          <w:szCs w:val="24"/>
        </w:rPr>
      </w:pPr>
      <w:r w:rsidRPr="00290935">
        <w:rPr>
          <w:rFonts w:eastAsia="Times New Roman"/>
          <w:sz w:val="24"/>
          <w:szCs w:val="24"/>
        </w:rPr>
        <w:t>1. Notes 7 and 8 of the Notes on Use to Instruction 21:7 are also applicable to this instruction. This instruction is intended to cover those circumstances in which the statutory privilege set out in Instruction 21:7 would not be applicable, for example, because of the nature of the establishment or the property involved.</w:t>
      </w:r>
    </w:p>
    <w:p w:rsidR="00290935" w:rsidRPr="00290935" w:rsidRDefault="00290935" w:rsidP="00290935">
      <w:pPr>
        <w:spacing w:after="240"/>
        <w:ind w:firstLine="720"/>
        <w:rPr>
          <w:rFonts w:eastAsia="Times New Roman"/>
          <w:sz w:val="24"/>
          <w:szCs w:val="24"/>
        </w:rPr>
      </w:pPr>
      <w:r w:rsidRPr="00290935">
        <w:rPr>
          <w:rFonts w:eastAsia="Times New Roman"/>
          <w:sz w:val="24"/>
          <w:szCs w:val="24"/>
        </w:rPr>
        <w:t>2. Use whichever parenthesized words are appropriate.</w:t>
      </w:r>
    </w:p>
    <w:p w:rsidR="00290935" w:rsidRPr="00290935" w:rsidRDefault="00290935" w:rsidP="00290935">
      <w:pPr>
        <w:spacing w:after="240"/>
        <w:ind w:firstLine="720"/>
        <w:rPr>
          <w:rFonts w:eastAsia="Times New Roman"/>
          <w:sz w:val="24"/>
          <w:szCs w:val="24"/>
        </w:rPr>
      </w:pPr>
      <w:r w:rsidRPr="00290935">
        <w:rPr>
          <w:rFonts w:eastAsia="Times New Roman"/>
          <w:sz w:val="24"/>
          <w:szCs w:val="24"/>
        </w:rPr>
        <w:t>3. Omit any numbered paragraphs, the facts of which are not in dispute.</w:t>
      </w:r>
    </w:p>
    <w:p w:rsidR="00290935" w:rsidRPr="00290935" w:rsidRDefault="00290935" w:rsidP="00290935">
      <w:pPr>
        <w:spacing w:after="240"/>
        <w:ind w:firstLine="720"/>
        <w:rPr>
          <w:rFonts w:eastAsia="Times New Roman"/>
          <w:sz w:val="24"/>
          <w:szCs w:val="24"/>
        </w:rPr>
      </w:pPr>
      <w:r w:rsidRPr="00290935">
        <w:rPr>
          <w:rFonts w:eastAsia="Times New Roman"/>
          <w:sz w:val="24"/>
          <w:szCs w:val="24"/>
        </w:rPr>
        <w:t>4. When this instruction is given, another instruction defining “wrongfully” may be required. “Wrongfully” would include tortious as well as criminal conduct. For the appropriate definition of “peace or police officer,” see sections 16-2.5-101 to -151, C.R.S.</w:t>
      </w:r>
    </w:p>
    <w:p w:rsidR="00290935" w:rsidRPr="00290935" w:rsidRDefault="00290935" w:rsidP="00290935">
      <w:pPr>
        <w:spacing w:after="240"/>
        <w:ind w:firstLine="720"/>
        <w:rPr>
          <w:rFonts w:eastAsia="Times New Roman"/>
          <w:sz w:val="24"/>
          <w:szCs w:val="24"/>
        </w:rPr>
      </w:pPr>
      <w:r w:rsidRPr="00290935">
        <w:rPr>
          <w:rFonts w:eastAsia="Times New Roman"/>
          <w:sz w:val="24"/>
          <w:szCs w:val="24"/>
        </w:rPr>
        <w:t>5. This instruction does not apply where the detention is in the form of a purported arrest or a taking of the plaintiff into custody. In such circumstances, however, Instruction 21:10 or Instruction 21:11 may be applicable.</w:t>
      </w:r>
    </w:p>
    <w:p w:rsidR="00290935" w:rsidRPr="00290935" w:rsidRDefault="00290935" w:rsidP="00290935">
      <w:pPr>
        <w:spacing w:after="240"/>
        <w:ind w:firstLine="720"/>
        <w:rPr>
          <w:rFonts w:eastAsia="Times New Roman"/>
          <w:sz w:val="24"/>
          <w:szCs w:val="24"/>
        </w:rPr>
      </w:pPr>
      <w:r w:rsidRPr="00290935">
        <w:rPr>
          <w:rFonts w:eastAsia="Times New Roman"/>
          <w:sz w:val="24"/>
          <w:szCs w:val="24"/>
        </w:rPr>
        <w:t>6. This instruction applies whether the plaintiff is an employee, customer, or some other third person.</w:t>
      </w:r>
    </w:p>
    <w:p w:rsidR="00290935" w:rsidRPr="00290935" w:rsidRDefault="00290935" w:rsidP="00290935">
      <w:pPr>
        <w:spacing w:after="240"/>
        <w:ind w:firstLine="720"/>
        <w:rPr>
          <w:rFonts w:eastAsia="Times New Roman"/>
          <w:sz w:val="24"/>
          <w:szCs w:val="24"/>
        </w:rPr>
      </w:pPr>
      <w:r w:rsidRPr="00290935">
        <w:rPr>
          <w:rFonts w:eastAsia="Times New Roman"/>
          <w:sz w:val="24"/>
          <w:szCs w:val="24"/>
        </w:rPr>
        <w:t>7. If there is a dispute as to whether the defendant detained or questioned the plaintiff, numbered paragraph 3 or 4, or both, must be appropriately modified.</w:t>
      </w:r>
    </w:p>
    <w:p w:rsidR="00E372EA" w:rsidRPr="0054263B" w:rsidRDefault="00E372EA" w:rsidP="00E372EA">
      <w:pPr>
        <w:keepNext/>
        <w:spacing w:after="240"/>
        <w:jc w:val="center"/>
        <w:rPr>
          <w:rFonts w:eastAsia="Times New Roman"/>
          <w:b/>
          <w:sz w:val="24"/>
          <w:szCs w:val="24"/>
        </w:rPr>
      </w:pPr>
      <w:r>
        <w:rPr>
          <w:rFonts w:eastAsia="Times New Roman"/>
          <w:b/>
          <w:sz w:val="24"/>
          <w:szCs w:val="24"/>
        </w:rPr>
        <w:t>Source and Authority</w:t>
      </w:r>
    </w:p>
    <w:p w:rsidR="00290935" w:rsidRPr="00290935" w:rsidRDefault="00290935" w:rsidP="00290935">
      <w:pPr>
        <w:spacing w:after="240"/>
        <w:ind w:firstLine="720"/>
        <w:rPr>
          <w:rFonts w:eastAsia="Times New Roman"/>
          <w:sz w:val="24"/>
          <w:szCs w:val="24"/>
        </w:rPr>
      </w:pPr>
      <w:r w:rsidRPr="00290935">
        <w:rPr>
          <w:rFonts w:eastAsia="Times New Roman"/>
          <w:sz w:val="24"/>
          <w:szCs w:val="24"/>
        </w:rPr>
        <w:t xml:space="preserve">1. This instruction is based on </w:t>
      </w:r>
      <w:r w:rsidRPr="00290935">
        <w:rPr>
          <w:rFonts w:eastAsia="Times New Roman"/>
          <w:smallCaps/>
          <w:sz w:val="24"/>
          <w:szCs w:val="24"/>
        </w:rPr>
        <w:t>Restatement (Second) of Torts</w:t>
      </w:r>
      <w:r w:rsidRPr="00290935">
        <w:rPr>
          <w:rFonts w:eastAsia="Times New Roman"/>
          <w:sz w:val="24"/>
          <w:szCs w:val="24"/>
        </w:rPr>
        <w:t xml:space="preserve"> § 120A (1965); </w:t>
      </w:r>
      <w:r w:rsidRPr="00290935">
        <w:rPr>
          <w:rFonts w:eastAsia="Times New Roman"/>
          <w:smallCaps/>
          <w:sz w:val="24"/>
          <w:szCs w:val="24"/>
        </w:rPr>
        <w:t>W. Page Keeton et al., Prosser and Keeton on the Law of Torts</w:t>
      </w:r>
      <w:r w:rsidRPr="00290935">
        <w:rPr>
          <w:rFonts w:eastAsia="Times New Roman"/>
          <w:sz w:val="24"/>
          <w:szCs w:val="24"/>
        </w:rPr>
        <w:t xml:space="preserve"> § 22, at 141-42 (5th ed. 1984); and 1 </w:t>
      </w:r>
      <w:r w:rsidRPr="00290935">
        <w:rPr>
          <w:rFonts w:eastAsia="Times New Roman"/>
          <w:smallCaps/>
          <w:sz w:val="24"/>
          <w:szCs w:val="24"/>
        </w:rPr>
        <w:t>F. Harper et al., Harper, James, and Gray on Torts</w:t>
      </w:r>
      <w:r w:rsidRPr="00290935">
        <w:rPr>
          <w:rFonts w:eastAsia="Times New Roman"/>
          <w:sz w:val="24"/>
          <w:szCs w:val="24"/>
        </w:rPr>
        <w:t xml:space="preserve"> § 3.14 (3d ed. 2006).</w:t>
      </w:r>
    </w:p>
    <w:p w:rsidR="00290935" w:rsidRPr="00290935" w:rsidRDefault="00290935" w:rsidP="00290935">
      <w:pPr>
        <w:spacing w:after="240"/>
        <w:ind w:firstLine="720"/>
        <w:rPr>
          <w:rFonts w:eastAsia="Times New Roman"/>
          <w:sz w:val="24"/>
          <w:szCs w:val="24"/>
        </w:rPr>
      </w:pPr>
      <w:r w:rsidRPr="00290935">
        <w:rPr>
          <w:rFonts w:eastAsia="Times New Roman"/>
          <w:sz w:val="24"/>
          <w:szCs w:val="24"/>
        </w:rPr>
        <w:t xml:space="preserve">2. In </w:t>
      </w:r>
      <w:r w:rsidRPr="00290935">
        <w:rPr>
          <w:rFonts w:eastAsia="Times New Roman"/>
          <w:b/>
          <w:sz w:val="24"/>
          <w:szCs w:val="24"/>
        </w:rPr>
        <w:t>Crews-Beggs Dry Goods Co. v. Bayle</w:t>
      </w:r>
      <w:r w:rsidRPr="00290935">
        <w:rPr>
          <w:rFonts w:eastAsia="Times New Roman"/>
          <w:sz w:val="24"/>
          <w:szCs w:val="24"/>
        </w:rPr>
        <w:t>, 97 Colo. 568, 51 P.2d 1026 (1935), the facts were such that the defendant might have been able to raise the privilege set out in this instruction. The defendant, however, did not, and the court held that, without a showing of justification, the defendant’s conduct in temporarily detaining a customer suspected of shoplifting constituted a false imprisonment.</w:t>
      </w:r>
    </w:p>
    <w:p w:rsidR="00290935" w:rsidRPr="00290935" w:rsidRDefault="00290935" w:rsidP="00290935">
      <w:pPr>
        <w:spacing w:after="240"/>
        <w:ind w:firstLine="720"/>
        <w:rPr>
          <w:rFonts w:eastAsia="Times New Roman"/>
          <w:sz w:val="24"/>
          <w:szCs w:val="24"/>
        </w:rPr>
      </w:pPr>
      <w:r w:rsidRPr="00290935">
        <w:rPr>
          <w:rFonts w:eastAsia="Times New Roman"/>
          <w:sz w:val="24"/>
          <w:szCs w:val="24"/>
        </w:rPr>
        <w:t>3. As to when a police officer may properly detain a person for investigative purposes generally, see the cases cited in paragraph 7 of the Source and Authority to Instruction 21:11.</w:t>
      </w:r>
    </w:p>
    <w:p w:rsidR="00290935" w:rsidRDefault="00290935">
      <w:pPr>
        <w:rPr>
          <w:rFonts w:eastAsia="Times New Roman"/>
          <w:sz w:val="24"/>
          <w:szCs w:val="24"/>
        </w:rPr>
      </w:pPr>
      <w:r>
        <w:rPr>
          <w:rFonts w:eastAsia="Times New Roman"/>
          <w:sz w:val="24"/>
          <w:szCs w:val="24"/>
        </w:rPr>
        <w:br w:type="page"/>
      </w:r>
    </w:p>
    <w:p w:rsidR="00290935" w:rsidRPr="009E3DA4" w:rsidRDefault="00FE1F3D" w:rsidP="00290935">
      <w:pPr>
        <w:spacing w:after="240"/>
        <w:ind w:left="720" w:hanging="720"/>
        <w:rPr>
          <w:rFonts w:eastAsia="Times New Roman"/>
          <w:b/>
          <w:sz w:val="24"/>
          <w:szCs w:val="24"/>
        </w:rPr>
      </w:pPr>
      <w:bookmarkStart w:id="9" w:name="a21_09"/>
      <w:bookmarkEnd w:id="9"/>
      <w:r w:rsidRPr="00FE1F3D">
        <w:rPr>
          <w:rFonts w:eastAsia="Times New Roman"/>
          <w:b/>
          <w:sz w:val="24"/>
          <w:szCs w:val="24"/>
        </w:rPr>
        <w:t xml:space="preserve">21:9 </w:t>
      </w:r>
      <w:r w:rsidRPr="00FE1F3D">
        <w:rPr>
          <w:rFonts w:eastAsia="Times New Roman"/>
          <w:b/>
          <w:sz w:val="24"/>
          <w:szCs w:val="24"/>
        </w:rPr>
        <w:tab/>
        <w:t>PRIVILEGE TO DEFEND PERSON OR PROPERTY</w:t>
      </w:r>
    </w:p>
    <w:p w:rsidR="00FE1F3D" w:rsidRPr="00FE1F3D" w:rsidRDefault="00FE1F3D" w:rsidP="00FE1F3D">
      <w:pPr>
        <w:spacing w:after="240"/>
        <w:ind w:firstLine="720"/>
        <w:rPr>
          <w:rFonts w:eastAsia="Times New Roman"/>
          <w:b/>
          <w:sz w:val="24"/>
          <w:szCs w:val="24"/>
        </w:rPr>
      </w:pPr>
      <w:r w:rsidRPr="00FE1F3D">
        <w:rPr>
          <w:rFonts w:eastAsia="Times New Roman"/>
          <w:b/>
          <w:sz w:val="24"/>
          <w:szCs w:val="24"/>
        </w:rPr>
        <w:t xml:space="preserve">The defendant, </w:t>
      </w:r>
      <w:r w:rsidRPr="00FE1F3D">
        <w:rPr>
          <w:rFonts w:eastAsia="Times New Roman"/>
          <w:i/>
          <w:sz w:val="24"/>
          <w:szCs w:val="24"/>
        </w:rPr>
        <w:t>(name)</w:t>
      </w:r>
      <w:r w:rsidRPr="00FE1F3D">
        <w:rPr>
          <w:rFonts w:eastAsia="Times New Roman"/>
          <w:b/>
          <w:sz w:val="24"/>
          <w:szCs w:val="24"/>
        </w:rPr>
        <w:t xml:space="preserve">, is not legally responsible to the plaintiff, </w:t>
      </w:r>
      <w:r w:rsidRPr="00FE1F3D">
        <w:rPr>
          <w:rFonts w:eastAsia="Times New Roman"/>
          <w:i/>
          <w:sz w:val="24"/>
          <w:szCs w:val="24"/>
        </w:rPr>
        <w:t>(name)</w:t>
      </w:r>
      <w:r w:rsidRPr="00FE1F3D">
        <w:rPr>
          <w:rFonts w:eastAsia="Times New Roman"/>
          <w:b/>
          <w:sz w:val="24"/>
          <w:szCs w:val="24"/>
        </w:rPr>
        <w:t>, on (his) (her) claim of (false imprisonment) (false arrest) if the affirmative defense of privilege to defend (person) (property) is proved. This defense is proved if you find both of the following:</w:t>
      </w:r>
    </w:p>
    <w:p w:rsidR="00FE1F3D" w:rsidRPr="00FE1F3D" w:rsidRDefault="00FE1F3D" w:rsidP="00FE1F3D">
      <w:pPr>
        <w:spacing w:after="240"/>
        <w:ind w:firstLine="720"/>
        <w:rPr>
          <w:rFonts w:eastAsia="Times New Roman"/>
          <w:b/>
          <w:sz w:val="24"/>
          <w:szCs w:val="24"/>
        </w:rPr>
      </w:pPr>
      <w:r w:rsidRPr="00FE1F3D">
        <w:rPr>
          <w:rFonts w:eastAsia="Times New Roman"/>
          <w:b/>
          <w:sz w:val="24"/>
          <w:szCs w:val="24"/>
        </w:rPr>
        <w:t>1. When the defendant restricted the plaintiff’s freedom of movement, (he) (she) believed and had reasonable grounds to believe that the plaintiff intended to (inflict harm upon [his] [her] person or that of another) (or) (interfere or continue to interfere with the defendant’s right to possess [his] [her] land or personal property); and</w:t>
      </w:r>
    </w:p>
    <w:p w:rsidR="00FE1F3D" w:rsidRPr="00FE1F3D" w:rsidRDefault="00FE1F3D" w:rsidP="00FE1F3D">
      <w:pPr>
        <w:spacing w:after="240"/>
        <w:ind w:firstLine="720"/>
        <w:rPr>
          <w:rFonts w:eastAsia="Times New Roman"/>
          <w:b/>
          <w:sz w:val="24"/>
          <w:szCs w:val="24"/>
        </w:rPr>
      </w:pPr>
      <w:r w:rsidRPr="00FE1F3D">
        <w:rPr>
          <w:rFonts w:eastAsia="Times New Roman"/>
          <w:b/>
          <w:sz w:val="24"/>
          <w:szCs w:val="24"/>
        </w:rPr>
        <w:t>2. This restriction of the plaintiff’s freedom of movement was reasonably imposed, under the circumstances, to prevent the plaintiff’s actions, considering the length of the time of the restriction, the seriousness of the threatened harm to, or interference with, the defendant’s (person) (or) (property), and the seriousness of any harm that might result to the plaintiff from the restriction.</w:t>
      </w:r>
    </w:p>
    <w:p w:rsidR="00290935" w:rsidRDefault="00290935" w:rsidP="00290935">
      <w:pPr>
        <w:jc w:val="center"/>
        <w:rPr>
          <w:rFonts w:eastAsia="Times New Roman"/>
          <w:sz w:val="24"/>
          <w:szCs w:val="24"/>
        </w:rPr>
      </w:pPr>
    </w:p>
    <w:p w:rsidR="00290935" w:rsidRPr="0054263B" w:rsidRDefault="00290935" w:rsidP="00290935">
      <w:pPr>
        <w:keepNext/>
        <w:spacing w:after="240"/>
        <w:jc w:val="center"/>
        <w:rPr>
          <w:rFonts w:eastAsia="Times New Roman"/>
          <w:b/>
          <w:sz w:val="24"/>
          <w:szCs w:val="24"/>
        </w:rPr>
      </w:pPr>
      <w:r w:rsidRPr="0054263B">
        <w:rPr>
          <w:rFonts w:eastAsia="Times New Roman"/>
          <w:b/>
          <w:sz w:val="24"/>
          <w:szCs w:val="24"/>
        </w:rPr>
        <w:t>Notes on Use</w:t>
      </w:r>
    </w:p>
    <w:p w:rsidR="00FE1F3D" w:rsidRPr="00FE1F3D" w:rsidRDefault="00FE1F3D" w:rsidP="00FE1F3D">
      <w:pPr>
        <w:spacing w:after="240"/>
        <w:ind w:firstLine="720"/>
        <w:rPr>
          <w:rFonts w:eastAsia="Times New Roman"/>
          <w:sz w:val="24"/>
          <w:szCs w:val="24"/>
        </w:rPr>
      </w:pPr>
      <w:r w:rsidRPr="00FE1F3D">
        <w:rPr>
          <w:rFonts w:eastAsia="Times New Roman"/>
          <w:sz w:val="24"/>
          <w:szCs w:val="24"/>
        </w:rPr>
        <w:t>1. Use whichever parenthesized or bracketed words are appropriate.</w:t>
      </w:r>
    </w:p>
    <w:p w:rsidR="00FE1F3D" w:rsidRPr="00FE1F3D" w:rsidRDefault="00FE1F3D" w:rsidP="00FE1F3D">
      <w:pPr>
        <w:spacing w:after="240"/>
        <w:ind w:firstLine="720"/>
        <w:rPr>
          <w:rFonts w:eastAsia="Times New Roman"/>
          <w:sz w:val="24"/>
          <w:szCs w:val="24"/>
        </w:rPr>
      </w:pPr>
      <w:r w:rsidRPr="00FE1F3D">
        <w:rPr>
          <w:rFonts w:eastAsia="Times New Roman"/>
          <w:sz w:val="24"/>
          <w:szCs w:val="24"/>
        </w:rPr>
        <w:t>2. Omit any portions of this instruction, the facts of which are not in dispute.</w:t>
      </w:r>
    </w:p>
    <w:p w:rsidR="00FE1F3D" w:rsidRPr="00FE1F3D" w:rsidRDefault="00FE1F3D" w:rsidP="00FE1F3D">
      <w:pPr>
        <w:spacing w:after="240"/>
        <w:ind w:firstLine="720"/>
        <w:rPr>
          <w:rFonts w:eastAsia="Times New Roman"/>
          <w:sz w:val="24"/>
          <w:szCs w:val="24"/>
        </w:rPr>
      </w:pPr>
      <w:r w:rsidRPr="00FE1F3D">
        <w:rPr>
          <w:rFonts w:eastAsia="Times New Roman"/>
          <w:sz w:val="24"/>
          <w:szCs w:val="24"/>
        </w:rPr>
        <w:t>3. If there is a dispute as to whether the defendant did, in fact, restrict the plaintiff’s freedom of movement, the first numbered paragraph of this instruction must be appropriately modified.</w:t>
      </w:r>
    </w:p>
    <w:p w:rsidR="00290935" w:rsidRPr="0054263B" w:rsidRDefault="00290935" w:rsidP="00290935">
      <w:pPr>
        <w:keepNext/>
        <w:spacing w:after="240"/>
        <w:jc w:val="center"/>
        <w:rPr>
          <w:rFonts w:eastAsia="Times New Roman"/>
          <w:b/>
          <w:sz w:val="24"/>
          <w:szCs w:val="24"/>
        </w:rPr>
      </w:pPr>
      <w:r>
        <w:rPr>
          <w:rFonts w:eastAsia="Times New Roman"/>
          <w:b/>
          <w:sz w:val="24"/>
          <w:szCs w:val="24"/>
        </w:rPr>
        <w:t>Source and Authority</w:t>
      </w:r>
    </w:p>
    <w:p w:rsidR="00FE1F3D" w:rsidRPr="00FE1F3D" w:rsidRDefault="00FE1F3D" w:rsidP="00FE1F3D">
      <w:pPr>
        <w:spacing w:after="240"/>
        <w:ind w:firstLine="720"/>
        <w:rPr>
          <w:rFonts w:eastAsia="Times New Roman"/>
          <w:sz w:val="24"/>
          <w:szCs w:val="24"/>
        </w:rPr>
      </w:pPr>
      <w:r w:rsidRPr="00FE1F3D">
        <w:rPr>
          <w:rFonts w:eastAsia="Times New Roman"/>
          <w:sz w:val="24"/>
          <w:szCs w:val="24"/>
        </w:rPr>
        <w:t xml:space="preserve">1. This instruction is supported by </w:t>
      </w:r>
      <w:r w:rsidRPr="00FE1F3D">
        <w:rPr>
          <w:rFonts w:eastAsia="Times New Roman"/>
          <w:smallCaps/>
          <w:sz w:val="24"/>
          <w:szCs w:val="24"/>
        </w:rPr>
        <w:t>Restatement (Second) of Torts</w:t>
      </w:r>
      <w:r w:rsidRPr="00FE1F3D">
        <w:rPr>
          <w:rFonts w:eastAsia="Times New Roman"/>
          <w:sz w:val="24"/>
          <w:szCs w:val="24"/>
        </w:rPr>
        <w:t xml:space="preserve"> sections 67, 76, 80, and 87 (1965), and the authorities cited in Source and Authority to Instructions 20:12 to 20:17.</w:t>
      </w:r>
    </w:p>
    <w:p w:rsidR="00726E21" w:rsidRDefault="00FE1F3D" w:rsidP="00726E21">
      <w:pPr>
        <w:spacing w:after="240"/>
        <w:ind w:firstLine="720"/>
        <w:rPr>
          <w:rFonts w:eastAsia="Times New Roman"/>
          <w:sz w:val="24"/>
          <w:szCs w:val="24"/>
        </w:rPr>
      </w:pPr>
      <w:r w:rsidRPr="00FE1F3D">
        <w:rPr>
          <w:rFonts w:eastAsia="Times New Roman"/>
          <w:sz w:val="24"/>
          <w:szCs w:val="24"/>
        </w:rPr>
        <w:t xml:space="preserve">2. In general, the same requirements apply to the exercise of a privilege to defend persons or property by way of force which would otherwise amount to a false imprisonment or arrest as apply to force which would otherwise amount to an assault or battery. The instructions setting forth the privileges to use force in the form of assault or battery to defend persons or property are Instructions 20:12 through 20:17. This instruction has been drafted in terms which will usually be more appropriate to a false imprisonment or false arrest case. However, it has been drafted in more general terms and does not necessarily include all the conditions which may have to be met in order to qualify for a particular privilege in a particular case. For example, in using a confinement to defend property, the defendant may not, in most cases, have used a force which would inflict death or serious bodily injury, and, before imposing any confinement, the circumstances may have been such that the defendant should first have requested the plaintiff to desist. </w:t>
      </w:r>
      <w:r w:rsidRPr="00FE1F3D">
        <w:rPr>
          <w:rFonts w:eastAsia="Times New Roman"/>
          <w:i/>
          <w:sz w:val="24"/>
          <w:szCs w:val="24"/>
        </w:rPr>
        <w:t>See, e.g.</w:t>
      </w:r>
      <w:r w:rsidRPr="00FE1F3D">
        <w:rPr>
          <w:rFonts w:eastAsia="Times New Roman"/>
          <w:sz w:val="24"/>
          <w:szCs w:val="24"/>
        </w:rPr>
        <w:t>, Instructions 20:16 and 20:17. In any particular case, therefore, when this instruction would not cover all the necessary conditions for the exercise of a particular privilege, this instruction should be modified accordingly.</w:t>
      </w:r>
      <w:r w:rsidR="00726E21">
        <w:rPr>
          <w:rFonts w:eastAsia="Times New Roman"/>
          <w:sz w:val="24"/>
          <w:szCs w:val="24"/>
        </w:rPr>
        <w:br w:type="page"/>
      </w:r>
    </w:p>
    <w:p w:rsidR="00726E21" w:rsidRPr="009E3DA4" w:rsidRDefault="008859AF" w:rsidP="00726E21">
      <w:pPr>
        <w:spacing w:after="240"/>
        <w:ind w:left="720" w:hanging="720"/>
        <w:rPr>
          <w:rFonts w:eastAsia="Times New Roman"/>
          <w:b/>
          <w:sz w:val="24"/>
          <w:szCs w:val="24"/>
        </w:rPr>
      </w:pPr>
      <w:bookmarkStart w:id="10" w:name="a21_10"/>
      <w:bookmarkEnd w:id="10"/>
      <w:r w:rsidRPr="008859AF">
        <w:rPr>
          <w:rFonts w:eastAsia="Times New Roman"/>
          <w:b/>
          <w:sz w:val="24"/>
          <w:szCs w:val="24"/>
        </w:rPr>
        <w:t xml:space="preserve">21:10 </w:t>
      </w:r>
      <w:r w:rsidRPr="008859AF">
        <w:rPr>
          <w:rFonts w:eastAsia="Times New Roman"/>
          <w:b/>
          <w:sz w:val="24"/>
          <w:szCs w:val="24"/>
        </w:rPr>
        <w:tab/>
        <w:t>PRIVILEGE OF ANY PERSON TO ARREST WITHOUT A WARRANT</w:t>
      </w:r>
    </w:p>
    <w:p w:rsidR="008859AF" w:rsidRPr="008859AF" w:rsidRDefault="008859AF" w:rsidP="008859AF">
      <w:pPr>
        <w:spacing w:after="240"/>
        <w:ind w:firstLine="720"/>
        <w:rPr>
          <w:rFonts w:eastAsia="Times New Roman"/>
          <w:b/>
          <w:sz w:val="24"/>
          <w:szCs w:val="24"/>
        </w:rPr>
      </w:pPr>
      <w:r w:rsidRPr="008859AF">
        <w:rPr>
          <w:rFonts w:eastAsia="Times New Roman"/>
          <w:b/>
          <w:sz w:val="24"/>
          <w:szCs w:val="24"/>
        </w:rPr>
        <w:t xml:space="preserve">The defendant, </w:t>
      </w:r>
      <w:r w:rsidRPr="008859AF">
        <w:rPr>
          <w:rFonts w:eastAsia="Times New Roman"/>
          <w:i/>
          <w:sz w:val="24"/>
          <w:szCs w:val="24"/>
        </w:rPr>
        <w:t>(name)</w:t>
      </w:r>
      <w:r w:rsidRPr="008859AF">
        <w:rPr>
          <w:rFonts w:eastAsia="Times New Roman"/>
          <w:b/>
          <w:sz w:val="24"/>
          <w:szCs w:val="24"/>
        </w:rPr>
        <w:t xml:space="preserve">, is not legally responsible to the plaintiff, </w:t>
      </w:r>
      <w:r w:rsidRPr="008859AF">
        <w:rPr>
          <w:rFonts w:eastAsia="Times New Roman"/>
          <w:i/>
          <w:sz w:val="24"/>
          <w:szCs w:val="24"/>
        </w:rPr>
        <w:t>(name)</w:t>
      </w:r>
      <w:r w:rsidRPr="008859AF">
        <w:rPr>
          <w:rFonts w:eastAsia="Times New Roman"/>
          <w:b/>
          <w:sz w:val="24"/>
          <w:szCs w:val="24"/>
        </w:rPr>
        <w:t>, on (his) (her) claim of (false imprisonment) (false arrest) if the affirmative defense of a privilege to arrest without a warrant is proved (and you do not find such privilege, if any, was abused). The defendant was privileged to arrest the plaintiff without a warrant if you find (any of) the following (has) (have) been proved:</w:t>
      </w:r>
    </w:p>
    <w:p w:rsidR="008859AF" w:rsidRPr="008859AF" w:rsidRDefault="008859AF" w:rsidP="008859AF">
      <w:pPr>
        <w:spacing w:after="240"/>
        <w:ind w:firstLine="720"/>
        <w:rPr>
          <w:rFonts w:eastAsia="Times New Roman"/>
          <w:b/>
          <w:sz w:val="24"/>
          <w:szCs w:val="24"/>
        </w:rPr>
      </w:pPr>
      <w:r w:rsidRPr="008859AF">
        <w:rPr>
          <w:rFonts w:eastAsia="Times New Roman"/>
          <w:b/>
          <w:sz w:val="24"/>
          <w:szCs w:val="24"/>
        </w:rPr>
        <w:t>(1. The plaintiff, at the time of the arrest, was committing a crime in the presence of the defendant, and the defendant arrested the plaintiff for that crime) (or)</w:t>
      </w:r>
    </w:p>
    <w:p w:rsidR="008859AF" w:rsidRPr="008859AF" w:rsidRDefault="008859AF" w:rsidP="008859AF">
      <w:pPr>
        <w:spacing w:after="240"/>
        <w:ind w:firstLine="720"/>
        <w:rPr>
          <w:rFonts w:eastAsia="Times New Roman"/>
          <w:b/>
          <w:sz w:val="24"/>
          <w:szCs w:val="24"/>
        </w:rPr>
      </w:pPr>
      <w:r w:rsidRPr="008859AF">
        <w:rPr>
          <w:rFonts w:eastAsia="Times New Roman"/>
          <w:b/>
          <w:sz w:val="24"/>
          <w:szCs w:val="24"/>
        </w:rPr>
        <w:t>(2. The plaintiff had committed a crime in the presence of the defendant, and the defendant arrested the plaintiff for that crime immediately or after a fresh pursuit) (or)</w:t>
      </w:r>
    </w:p>
    <w:p w:rsidR="008859AF" w:rsidRPr="008859AF" w:rsidRDefault="008859AF" w:rsidP="008859AF">
      <w:pPr>
        <w:spacing w:after="240"/>
        <w:ind w:firstLine="720"/>
        <w:rPr>
          <w:rFonts w:eastAsia="Times New Roman"/>
          <w:b/>
          <w:sz w:val="24"/>
          <w:szCs w:val="24"/>
        </w:rPr>
      </w:pPr>
      <w:r w:rsidRPr="008859AF">
        <w:rPr>
          <w:rFonts w:eastAsia="Times New Roman"/>
          <w:b/>
          <w:sz w:val="24"/>
          <w:szCs w:val="24"/>
        </w:rPr>
        <w:t>(3. The plaintiff or someone else had committed a felony, though not necessarily in the defendant’s presence, and the defendant arrested the plaintiff for that felony, reasonably believing the plaintiff had committed it) (or)</w:t>
      </w:r>
    </w:p>
    <w:p w:rsidR="008859AF" w:rsidRPr="008859AF" w:rsidRDefault="008859AF" w:rsidP="008859AF">
      <w:pPr>
        <w:spacing w:after="240"/>
        <w:ind w:firstLine="720"/>
        <w:rPr>
          <w:rFonts w:eastAsia="Times New Roman"/>
          <w:b/>
          <w:sz w:val="24"/>
          <w:szCs w:val="24"/>
        </w:rPr>
      </w:pPr>
      <w:r w:rsidRPr="008859AF">
        <w:rPr>
          <w:rFonts w:eastAsia="Times New Roman"/>
          <w:b/>
          <w:sz w:val="24"/>
          <w:szCs w:val="24"/>
        </w:rPr>
        <w:t>(4. The plaintiff knew that his or her conduct would cause the defendant to believe that the plaintiff was committing a crime in the defendant’s presence, and the defendant arrested the plaintiff for that crime) (or)</w:t>
      </w:r>
    </w:p>
    <w:p w:rsidR="008859AF" w:rsidRPr="008859AF" w:rsidRDefault="008859AF" w:rsidP="008859AF">
      <w:pPr>
        <w:spacing w:after="240"/>
        <w:ind w:firstLine="720"/>
        <w:rPr>
          <w:rFonts w:eastAsia="Times New Roman"/>
          <w:b/>
          <w:sz w:val="24"/>
          <w:szCs w:val="24"/>
        </w:rPr>
      </w:pPr>
      <w:r w:rsidRPr="008859AF">
        <w:rPr>
          <w:rFonts w:eastAsia="Times New Roman"/>
          <w:b/>
          <w:sz w:val="24"/>
          <w:szCs w:val="24"/>
        </w:rPr>
        <w:t>(5. The plaintiff knew that his or her conduct would cause the defendant to believe that the plaintiff had committed a crime in the defendant’s presence, and the defendant arrested the plaintiff for the crime immediately or after a fresh pursuit) (or)</w:t>
      </w:r>
    </w:p>
    <w:p w:rsidR="008859AF" w:rsidRPr="008859AF" w:rsidRDefault="008859AF" w:rsidP="008859AF">
      <w:pPr>
        <w:spacing w:after="240"/>
        <w:ind w:firstLine="720"/>
        <w:rPr>
          <w:rFonts w:eastAsia="Times New Roman"/>
          <w:b/>
          <w:sz w:val="24"/>
          <w:szCs w:val="24"/>
        </w:rPr>
      </w:pPr>
      <w:r w:rsidRPr="008859AF">
        <w:rPr>
          <w:rFonts w:eastAsia="Times New Roman"/>
          <w:b/>
          <w:sz w:val="24"/>
          <w:szCs w:val="24"/>
        </w:rPr>
        <w:t>(6. The plaintiff knew that his or her conduct would cause the defendant to believe that a felony had been committed and the defendant arrested the plaintiff for that felony, reasonably believing the plaintiff was the person who had committed it.)</w:t>
      </w:r>
    </w:p>
    <w:p w:rsidR="00726E21" w:rsidRDefault="00726E21" w:rsidP="00726E21">
      <w:pPr>
        <w:jc w:val="center"/>
        <w:rPr>
          <w:rFonts w:eastAsia="Times New Roman"/>
          <w:sz w:val="24"/>
          <w:szCs w:val="24"/>
        </w:rPr>
      </w:pPr>
    </w:p>
    <w:p w:rsidR="00726E21" w:rsidRPr="0054263B" w:rsidRDefault="00726E21" w:rsidP="00726E21">
      <w:pPr>
        <w:keepNext/>
        <w:spacing w:after="240"/>
        <w:jc w:val="center"/>
        <w:rPr>
          <w:rFonts w:eastAsia="Times New Roman"/>
          <w:b/>
          <w:sz w:val="24"/>
          <w:szCs w:val="24"/>
        </w:rPr>
      </w:pPr>
      <w:r w:rsidRPr="0054263B">
        <w:rPr>
          <w:rFonts w:eastAsia="Times New Roman"/>
          <w:b/>
          <w:sz w:val="24"/>
          <w:szCs w:val="24"/>
        </w:rPr>
        <w:t>Notes on Use</w:t>
      </w:r>
    </w:p>
    <w:p w:rsidR="008859AF" w:rsidRPr="008859AF" w:rsidRDefault="008859AF" w:rsidP="008859AF">
      <w:pPr>
        <w:spacing w:after="240"/>
        <w:ind w:firstLine="720"/>
        <w:rPr>
          <w:rFonts w:eastAsia="Times New Roman"/>
          <w:sz w:val="24"/>
          <w:szCs w:val="24"/>
        </w:rPr>
      </w:pPr>
      <w:r w:rsidRPr="008859AF">
        <w:rPr>
          <w:rFonts w:eastAsia="Times New Roman"/>
          <w:sz w:val="24"/>
          <w:szCs w:val="24"/>
        </w:rPr>
        <w:t>1. As to the privilege of a peace officer to effect an arrest without a warrant, see Instruction 21:11.</w:t>
      </w:r>
    </w:p>
    <w:p w:rsidR="008859AF" w:rsidRPr="008859AF" w:rsidRDefault="008859AF" w:rsidP="008859AF">
      <w:pPr>
        <w:spacing w:after="240"/>
        <w:ind w:firstLine="720"/>
        <w:rPr>
          <w:rFonts w:eastAsia="Times New Roman"/>
          <w:sz w:val="24"/>
          <w:szCs w:val="24"/>
        </w:rPr>
      </w:pPr>
      <w:r w:rsidRPr="008859AF">
        <w:rPr>
          <w:rFonts w:eastAsia="Times New Roman"/>
          <w:sz w:val="24"/>
          <w:szCs w:val="24"/>
        </w:rPr>
        <w:t>2. In the first paragraph, use whichever parenthesized phrase, “false imprisonment” or “false arrest,” is more appropriate, and omit the parenthesized phrase relating to abuse of privilege unless there is evidence to support it.</w:t>
      </w:r>
    </w:p>
    <w:p w:rsidR="008859AF" w:rsidRPr="008859AF" w:rsidRDefault="008859AF" w:rsidP="008859AF">
      <w:pPr>
        <w:spacing w:after="240"/>
        <w:ind w:firstLine="720"/>
        <w:rPr>
          <w:rFonts w:eastAsia="Times New Roman"/>
          <w:sz w:val="24"/>
          <w:szCs w:val="24"/>
        </w:rPr>
      </w:pPr>
      <w:r w:rsidRPr="008859AF">
        <w:rPr>
          <w:rFonts w:eastAsia="Times New Roman"/>
          <w:sz w:val="24"/>
          <w:szCs w:val="24"/>
        </w:rPr>
        <w:t>3. Use whichever parenthesized numbered paragraphs are appropriate to the case. If only one numbered paragraph is used, omit the parenthesized phrase “any of” in the first unnumbered paragraph.</w:t>
      </w:r>
    </w:p>
    <w:p w:rsidR="008859AF" w:rsidRPr="008859AF" w:rsidRDefault="008859AF" w:rsidP="008859AF">
      <w:pPr>
        <w:spacing w:after="240"/>
        <w:ind w:firstLine="720"/>
        <w:rPr>
          <w:rFonts w:eastAsia="Times New Roman"/>
          <w:sz w:val="24"/>
          <w:szCs w:val="24"/>
        </w:rPr>
      </w:pPr>
      <w:r w:rsidRPr="008859AF">
        <w:rPr>
          <w:rFonts w:eastAsia="Times New Roman"/>
          <w:sz w:val="24"/>
          <w:szCs w:val="24"/>
        </w:rPr>
        <w:t>4. Depending on the circumstances, other appropriate instructions defining such terms as, for example, “reasonable grounds” (Instruction 21:13), “fresh pursuit” (Instruction 21:14), and an instruction setting forth the elements of the claimed “crime,” “criminal offense” or “felony” involved should be given with this instruction.</w:t>
      </w:r>
    </w:p>
    <w:p w:rsidR="008859AF" w:rsidRPr="008859AF" w:rsidRDefault="008859AF" w:rsidP="008859AF">
      <w:pPr>
        <w:spacing w:after="240"/>
        <w:ind w:firstLine="720"/>
        <w:rPr>
          <w:rFonts w:eastAsia="Times New Roman"/>
          <w:sz w:val="24"/>
          <w:szCs w:val="24"/>
        </w:rPr>
      </w:pPr>
      <w:r w:rsidRPr="008859AF">
        <w:rPr>
          <w:rFonts w:eastAsia="Times New Roman"/>
          <w:sz w:val="24"/>
          <w:szCs w:val="24"/>
        </w:rPr>
        <w:t>5. For modifications which may be required in this instruction when a child is detained, see sections 19-2-502 and 19-2-503, C.R.S.</w:t>
      </w:r>
    </w:p>
    <w:p w:rsidR="008859AF" w:rsidRPr="008859AF" w:rsidRDefault="008859AF" w:rsidP="008859AF">
      <w:pPr>
        <w:spacing w:after="240"/>
        <w:ind w:firstLine="720"/>
        <w:rPr>
          <w:rFonts w:eastAsia="Times New Roman"/>
          <w:sz w:val="24"/>
          <w:szCs w:val="24"/>
        </w:rPr>
      </w:pPr>
      <w:r w:rsidRPr="008859AF">
        <w:rPr>
          <w:rFonts w:eastAsia="Times New Roman"/>
          <w:sz w:val="24"/>
          <w:szCs w:val="24"/>
        </w:rPr>
        <w:t>6. If there is a dispute as to whether the defendant did in fact restrict the plaintiff’s freedom of movement by an arrest or otherwise, this instruction must be appropriately modified.</w:t>
      </w:r>
    </w:p>
    <w:p w:rsidR="008859AF" w:rsidRPr="008859AF" w:rsidRDefault="008859AF" w:rsidP="008859AF">
      <w:pPr>
        <w:spacing w:after="240"/>
        <w:ind w:firstLine="720"/>
        <w:rPr>
          <w:rFonts w:eastAsia="Times New Roman"/>
          <w:sz w:val="24"/>
          <w:szCs w:val="24"/>
        </w:rPr>
      </w:pPr>
      <w:r w:rsidRPr="008859AF">
        <w:rPr>
          <w:rFonts w:eastAsia="Times New Roman"/>
          <w:sz w:val="24"/>
          <w:szCs w:val="24"/>
        </w:rPr>
        <w:t xml:space="preserve">7. In order to have an arrest at all on which a privilege to arrest without a warrant may be based, the person making the arrest, unless excused because of the circumstances, must indicate (1) his intent to make an arrest and (2) the offense or conduct for which the arrest is being made. </w:t>
      </w:r>
      <w:r w:rsidRPr="008859AF">
        <w:rPr>
          <w:rFonts w:eastAsia="Times New Roman"/>
          <w:smallCaps/>
          <w:sz w:val="24"/>
          <w:szCs w:val="24"/>
        </w:rPr>
        <w:t>Restatement (Second) of Torts</w:t>
      </w:r>
      <w:r w:rsidRPr="008859AF">
        <w:rPr>
          <w:rFonts w:eastAsia="Times New Roman"/>
          <w:sz w:val="24"/>
          <w:szCs w:val="24"/>
        </w:rPr>
        <w:t xml:space="preserve"> § 128 (1965); 1 </w:t>
      </w:r>
      <w:r w:rsidRPr="008859AF">
        <w:rPr>
          <w:rFonts w:eastAsia="Times New Roman"/>
          <w:smallCaps/>
          <w:sz w:val="24"/>
          <w:szCs w:val="24"/>
        </w:rPr>
        <w:t>F Harper et al., Harper, James, and Gray on Torts</w:t>
      </w:r>
      <w:r w:rsidRPr="008859AF">
        <w:rPr>
          <w:rFonts w:eastAsia="Times New Roman"/>
          <w:sz w:val="24"/>
          <w:szCs w:val="24"/>
        </w:rPr>
        <w:t xml:space="preserve"> § 3.18, at 426 (3d. ed. 2006). If there is a dispute as to either of these matters, then Instruction 21:12 (defining arrest) and, if appropriate, Instruction 21:16 (explaining when a manifestation to make an arrest may be excused) must be given with this instruction. Also the instruction should be modified to state, in effect, that when the defendant made the claimed arrest, the defendant must have indicated an intent to arrest the plaintiff and indicated to the plaintiff the offense or conduct for which the arrest was being made, unless, because of the circumstances (Instruction 21:16), the failure to do so was excusable.</w:t>
      </w:r>
    </w:p>
    <w:p w:rsidR="008859AF" w:rsidRPr="008859AF" w:rsidRDefault="008859AF" w:rsidP="008859AF">
      <w:pPr>
        <w:spacing w:after="240"/>
        <w:ind w:firstLine="720"/>
        <w:rPr>
          <w:rFonts w:eastAsia="Times New Roman"/>
          <w:sz w:val="24"/>
          <w:szCs w:val="24"/>
        </w:rPr>
      </w:pPr>
      <w:r w:rsidRPr="008859AF">
        <w:rPr>
          <w:rFonts w:eastAsia="Times New Roman"/>
          <w:sz w:val="24"/>
          <w:szCs w:val="24"/>
        </w:rPr>
        <w:t xml:space="preserve">8. The privileges set out in this instruction do not extend to one who reasonably believes a criminal offense or felony has been committed when, in fact, one has not been, unless this belief was knowingly caused by the plaintiff. However, an attempt to commit a crime may itself be a crime, </w:t>
      </w:r>
      <w:r w:rsidRPr="008859AF">
        <w:rPr>
          <w:rFonts w:eastAsia="Times New Roman"/>
          <w:i/>
          <w:sz w:val="24"/>
          <w:szCs w:val="24"/>
        </w:rPr>
        <w:t>see, e.g.</w:t>
      </w:r>
      <w:r w:rsidRPr="008859AF">
        <w:rPr>
          <w:rFonts w:eastAsia="Times New Roman"/>
          <w:sz w:val="24"/>
          <w:szCs w:val="24"/>
        </w:rPr>
        <w:t>, section 18-2-101, C.R.S., in which case the defendant may have been privileged to make an arrest for the crime of attempt. In those cases, in order to clarify this point, it may be necessary to modify this instruction.</w:t>
      </w:r>
    </w:p>
    <w:p w:rsidR="00726E21" w:rsidRPr="0054263B" w:rsidRDefault="00726E21" w:rsidP="00726E21">
      <w:pPr>
        <w:keepNext/>
        <w:spacing w:after="240"/>
        <w:jc w:val="center"/>
        <w:rPr>
          <w:rFonts w:eastAsia="Times New Roman"/>
          <w:b/>
          <w:sz w:val="24"/>
          <w:szCs w:val="24"/>
        </w:rPr>
      </w:pPr>
      <w:r>
        <w:rPr>
          <w:rFonts w:eastAsia="Times New Roman"/>
          <w:b/>
          <w:sz w:val="24"/>
          <w:szCs w:val="24"/>
        </w:rPr>
        <w:t>Source and Authority</w:t>
      </w:r>
    </w:p>
    <w:p w:rsidR="008859AF" w:rsidRPr="008859AF" w:rsidRDefault="008859AF" w:rsidP="008859AF">
      <w:pPr>
        <w:spacing w:after="240"/>
        <w:ind w:firstLine="720"/>
        <w:rPr>
          <w:rFonts w:eastAsia="Times New Roman"/>
          <w:sz w:val="24"/>
          <w:szCs w:val="24"/>
        </w:rPr>
      </w:pPr>
      <w:r w:rsidRPr="008859AF">
        <w:rPr>
          <w:rFonts w:eastAsia="Times New Roman"/>
          <w:sz w:val="24"/>
          <w:szCs w:val="24"/>
        </w:rPr>
        <w:t>1. Numbered paragraphs 2 and 3 of this instruction are supported by section 16-3-201, C.R.S.</w:t>
      </w:r>
    </w:p>
    <w:p w:rsidR="008859AF" w:rsidRPr="008859AF" w:rsidRDefault="008859AF" w:rsidP="008859AF">
      <w:pPr>
        <w:spacing w:after="240"/>
        <w:ind w:firstLine="720"/>
        <w:rPr>
          <w:rFonts w:eastAsia="Times New Roman"/>
          <w:sz w:val="24"/>
          <w:szCs w:val="24"/>
        </w:rPr>
      </w:pPr>
      <w:r w:rsidRPr="008859AF">
        <w:rPr>
          <w:rFonts w:eastAsia="Times New Roman"/>
          <w:sz w:val="24"/>
          <w:szCs w:val="24"/>
        </w:rPr>
        <w:t xml:space="preserve">2. The common-law privileges set out in numbered paragraphs 3 and 6 are supported by </w:t>
      </w:r>
      <w:r w:rsidRPr="008859AF">
        <w:rPr>
          <w:rFonts w:eastAsia="Times New Roman"/>
          <w:smallCaps/>
          <w:sz w:val="24"/>
          <w:szCs w:val="24"/>
        </w:rPr>
        <w:t>Restatement</w:t>
      </w:r>
      <w:r w:rsidRPr="008859AF">
        <w:rPr>
          <w:rFonts w:eastAsia="Times New Roman"/>
          <w:sz w:val="24"/>
          <w:szCs w:val="24"/>
        </w:rPr>
        <w:t xml:space="preserve"> § 119. Paragraphs 4 and 5 are supported by both the relevant Colorado statutes and </w:t>
      </w:r>
      <w:r w:rsidRPr="008859AF">
        <w:rPr>
          <w:rFonts w:eastAsia="Times New Roman"/>
          <w:smallCaps/>
          <w:sz w:val="24"/>
          <w:szCs w:val="24"/>
        </w:rPr>
        <w:t>Restatement</w:t>
      </w:r>
      <w:r w:rsidRPr="008859AF">
        <w:rPr>
          <w:rFonts w:eastAsia="Times New Roman"/>
          <w:sz w:val="24"/>
          <w:szCs w:val="24"/>
        </w:rPr>
        <w:t xml:space="preserve"> § 119(e). </w:t>
      </w:r>
      <w:r w:rsidRPr="008859AF">
        <w:rPr>
          <w:rFonts w:eastAsia="Times New Roman"/>
          <w:i/>
          <w:sz w:val="24"/>
          <w:szCs w:val="24"/>
        </w:rPr>
        <w:t>See also</w:t>
      </w:r>
      <w:r w:rsidRPr="008859AF">
        <w:rPr>
          <w:rFonts w:eastAsia="Times New Roman"/>
          <w:sz w:val="24"/>
          <w:szCs w:val="24"/>
        </w:rPr>
        <w:t xml:space="preserve"> </w:t>
      </w:r>
      <w:r w:rsidRPr="008859AF">
        <w:rPr>
          <w:rFonts w:eastAsia="Times New Roman"/>
          <w:smallCaps/>
          <w:sz w:val="24"/>
          <w:szCs w:val="24"/>
        </w:rPr>
        <w:t>Prosser and Keeton on the Law of Torts</w:t>
      </w:r>
      <w:r w:rsidRPr="008859AF">
        <w:rPr>
          <w:rFonts w:eastAsia="Times New Roman"/>
          <w:sz w:val="24"/>
          <w:szCs w:val="24"/>
        </w:rPr>
        <w:t xml:space="preserve">, </w:t>
      </w:r>
      <w:r w:rsidRPr="008859AF">
        <w:rPr>
          <w:rFonts w:eastAsia="Times New Roman"/>
          <w:i/>
          <w:sz w:val="24"/>
          <w:szCs w:val="24"/>
        </w:rPr>
        <w:t>supra</w:t>
      </w:r>
      <w:r w:rsidRPr="008859AF">
        <w:rPr>
          <w:rFonts w:eastAsia="Times New Roman"/>
          <w:sz w:val="24"/>
          <w:szCs w:val="24"/>
        </w:rPr>
        <w:t xml:space="preserve">, § 26; </w:t>
      </w:r>
      <w:r w:rsidRPr="008859AF">
        <w:rPr>
          <w:rFonts w:eastAsia="Times New Roman"/>
          <w:smallCaps/>
          <w:sz w:val="24"/>
          <w:szCs w:val="24"/>
        </w:rPr>
        <w:t>Harper, James, and Gray on Torts</w:t>
      </w:r>
      <w:r w:rsidRPr="008859AF">
        <w:rPr>
          <w:rFonts w:eastAsia="Times New Roman"/>
          <w:sz w:val="24"/>
          <w:szCs w:val="24"/>
        </w:rPr>
        <w:t xml:space="preserve">, </w:t>
      </w:r>
      <w:r w:rsidRPr="008859AF">
        <w:rPr>
          <w:rFonts w:eastAsia="Times New Roman"/>
          <w:i/>
          <w:sz w:val="24"/>
          <w:szCs w:val="24"/>
        </w:rPr>
        <w:t>supra</w:t>
      </w:r>
      <w:r w:rsidRPr="008859AF">
        <w:rPr>
          <w:rFonts w:eastAsia="Times New Roman"/>
          <w:sz w:val="24"/>
          <w:szCs w:val="24"/>
        </w:rPr>
        <w:t>, § 3.18.</w:t>
      </w:r>
    </w:p>
    <w:p w:rsidR="008859AF" w:rsidRPr="008859AF" w:rsidRDefault="008859AF" w:rsidP="008859AF">
      <w:pPr>
        <w:spacing w:after="240"/>
        <w:ind w:firstLine="720"/>
        <w:rPr>
          <w:rFonts w:eastAsia="Times New Roman"/>
          <w:sz w:val="24"/>
          <w:szCs w:val="24"/>
        </w:rPr>
      </w:pPr>
      <w:r w:rsidRPr="008859AF">
        <w:rPr>
          <w:rFonts w:eastAsia="Times New Roman"/>
          <w:sz w:val="24"/>
          <w:szCs w:val="24"/>
        </w:rPr>
        <w:t>3. In addition to the common-law and statutory privileges of a private person set out in this instruction, a private person may have other privileges when acting upon the command of a peace officer to assist the officer in making an arrest. § 16-3-202, C.R.S.</w:t>
      </w:r>
    </w:p>
    <w:p w:rsidR="008859AF" w:rsidRPr="008859AF" w:rsidRDefault="008859AF" w:rsidP="008859AF">
      <w:pPr>
        <w:spacing w:after="240"/>
        <w:ind w:firstLine="720"/>
        <w:rPr>
          <w:rFonts w:eastAsia="Times New Roman"/>
          <w:sz w:val="24"/>
          <w:szCs w:val="24"/>
        </w:rPr>
      </w:pPr>
      <w:r w:rsidRPr="008859AF">
        <w:rPr>
          <w:rFonts w:eastAsia="Times New Roman"/>
          <w:sz w:val="24"/>
          <w:szCs w:val="24"/>
        </w:rPr>
        <w:t xml:space="preserve">4. “The ‘in presence’ requirement is met if the arrestor observes acts which are in themselves sufficiently indicative of a crime in the course of commission.” </w:t>
      </w:r>
      <w:r w:rsidRPr="008859AF">
        <w:rPr>
          <w:rFonts w:eastAsia="Times New Roman"/>
          <w:b/>
          <w:sz w:val="24"/>
          <w:szCs w:val="24"/>
        </w:rPr>
        <w:t>People v. Olguin</w:t>
      </w:r>
      <w:r w:rsidRPr="008859AF">
        <w:rPr>
          <w:rFonts w:eastAsia="Times New Roman"/>
          <w:sz w:val="24"/>
          <w:szCs w:val="24"/>
        </w:rPr>
        <w:t>,</w:t>
      </w:r>
      <w:r w:rsidRPr="008859AF">
        <w:rPr>
          <w:rFonts w:eastAsia="Times New Roman"/>
          <w:b/>
          <w:sz w:val="24"/>
          <w:szCs w:val="24"/>
        </w:rPr>
        <w:t xml:space="preserve"> </w:t>
      </w:r>
      <w:r w:rsidRPr="008859AF">
        <w:rPr>
          <w:rFonts w:eastAsia="Times New Roman"/>
          <w:sz w:val="24"/>
          <w:szCs w:val="24"/>
        </w:rPr>
        <w:t>187 Colo. 34, 37, 528 P.2d 234, 236 (1974).</w:t>
      </w:r>
    </w:p>
    <w:p w:rsidR="008859AF" w:rsidRPr="008859AF" w:rsidRDefault="008859AF" w:rsidP="008859AF">
      <w:pPr>
        <w:spacing w:after="240"/>
        <w:ind w:firstLine="720"/>
        <w:rPr>
          <w:rFonts w:eastAsia="Times New Roman"/>
          <w:sz w:val="24"/>
          <w:szCs w:val="24"/>
        </w:rPr>
      </w:pPr>
      <w:r w:rsidRPr="008859AF">
        <w:rPr>
          <w:rFonts w:eastAsia="Times New Roman"/>
          <w:sz w:val="24"/>
          <w:szCs w:val="24"/>
        </w:rPr>
        <w:t xml:space="preserve">5. In addition to statutory crimes, “criminal offense” may include the violation of a municipal ordinance. </w:t>
      </w:r>
      <w:r w:rsidRPr="008859AF">
        <w:rPr>
          <w:rFonts w:eastAsia="Times New Roman"/>
          <w:b/>
          <w:sz w:val="24"/>
          <w:szCs w:val="24"/>
        </w:rPr>
        <w:t>Boyer v. Elkins</w:t>
      </w:r>
      <w:r w:rsidRPr="008859AF">
        <w:rPr>
          <w:rFonts w:eastAsia="Times New Roman"/>
          <w:sz w:val="24"/>
          <w:szCs w:val="24"/>
        </w:rPr>
        <w:t>, 154 Colo. 294, 390 P.2d 460 (1964).</w:t>
      </w:r>
    </w:p>
    <w:p w:rsidR="008859AF" w:rsidRDefault="008859AF">
      <w:pPr>
        <w:rPr>
          <w:rFonts w:eastAsia="Times New Roman"/>
          <w:sz w:val="24"/>
          <w:szCs w:val="24"/>
        </w:rPr>
      </w:pPr>
      <w:r>
        <w:rPr>
          <w:rFonts w:eastAsia="Times New Roman"/>
          <w:sz w:val="24"/>
          <w:szCs w:val="24"/>
        </w:rPr>
        <w:br w:type="page"/>
      </w:r>
    </w:p>
    <w:p w:rsidR="008859AF" w:rsidRPr="009E3DA4" w:rsidRDefault="00604F03" w:rsidP="008859AF">
      <w:pPr>
        <w:spacing w:after="240"/>
        <w:ind w:left="720" w:hanging="720"/>
        <w:rPr>
          <w:rFonts w:eastAsia="Times New Roman"/>
          <w:b/>
          <w:sz w:val="24"/>
          <w:szCs w:val="24"/>
        </w:rPr>
      </w:pPr>
      <w:bookmarkStart w:id="11" w:name="a21_11"/>
      <w:bookmarkEnd w:id="11"/>
      <w:r w:rsidRPr="00604F03">
        <w:rPr>
          <w:rFonts w:eastAsia="Times New Roman"/>
          <w:b/>
          <w:sz w:val="24"/>
          <w:szCs w:val="24"/>
        </w:rPr>
        <w:t xml:space="preserve">21:11 </w:t>
      </w:r>
      <w:r w:rsidRPr="00604F03">
        <w:rPr>
          <w:rFonts w:eastAsia="Times New Roman"/>
          <w:b/>
          <w:sz w:val="24"/>
          <w:szCs w:val="24"/>
        </w:rPr>
        <w:tab/>
        <w:t>PRIVILEGE OF PEACE OFFICER TO ARREST WITHOUT A WARRANT</w:t>
      </w:r>
    </w:p>
    <w:p w:rsidR="00604F03" w:rsidRPr="00604F03" w:rsidRDefault="00604F03" w:rsidP="00604F03">
      <w:pPr>
        <w:spacing w:after="240"/>
        <w:ind w:firstLine="720"/>
        <w:rPr>
          <w:rFonts w:eastAsia="Times New Roman"/>
          <w:b/>
          <w:sz w:val="24"/>
          <w:szCs w:val="24"/>
        </w:rPr>
      </w:pPr>
      <w:r w:rsidRPr="00604F03">
        <w:rPr>
          <w:rFonts w:eastAsia="Times New Roman"/>
          <w:b/>
          <w:sz w:val="24"/>
          <w:szCs w:val="24"/>
        </w:rPr>
        <w:t xml:space="preserve">The defendant, </w:t>
      </w:r>
      <w:r w:rsidRPr="00604F03">
        <w:rPr>
          <w:rFonts w:eastAsia="Times New Roman"/>
          <w:i/>
          <w:sz w:val="24"/>
          <w:szCs w:val="24"/>
        </w:rPr>
        <w:t>(name)</w:t>
      </w:r>
      <w:r w:rsidRPr="00604F03">
        <w:rPr>
          <w:rFonts w:eastAsia="Times New Roman"/>
          <w:b/>
          <w:sz w:val="24"/>
          <w:szCs w:val="24"/>
        </w:rPr>
        <w:t xml:space="preserve">, is not legally responsible to the plaintiff, </w:t>
      </w:r>
      <w:r w:rsidRPr="00604F03">
        <w:rPr>
          <w:rFonts w:eastAsia="Times New Roman"/>
          <w:i/>
          <w:sz w:val="24"/>
          <w:szCs w:val="24"/>
        </w:rPr>
        <w:t>(name)</w:t>
      </w:r>
      <w:r w:rsidRPr="00604F03">
        <w:rPr>
          <w:rFonts w:eastAsia="Times New Roman"/>
          <w:b/>
          <w:sz w:val="24"/>
          <w:szCs w:val="24"/>
        </w:rPr>
        <w:t>, on (his) (her) claim of (false imprisonment) (false arrest) if the affirmative defense of a privilege to arrest without a warrant is proved (and you do not find such privilege, if any, was abused). The defendant was privileged to arrest the plaintiff without a warrant if you find (any of) the following (has) (have) been proved:</w:t>
      </w:r>
    </w:p>
    <w:p w:rsidR="00604F03" w:rsidRPr="00604F03" w:rsidRDefault="00604F03" w:rsidP="00604F03">
      <w:pPr>
        <w:spacing w:after="240"/>
        <w:ind w:firstLine="720"/>
        <w:rPr>
          <w:rFonts w:eastAsia="Times New Roman"/>
          <w:b/>
          <w:sz w:val="24"/>
          <w:szCs w:val="24"/>
        </w:rPr>
      </w:pPr>
      <w:r w:rsidRPr="00604F03">
        <w:rPr>
          <w:rFonts w:eastAsia="Times New Roman"/>
          <w:b/>
          <w:sz w:val="24"/>
          <w:szCs w:val="24"/>
        </w:rPr>
        <w:t xml:space="preserve">(1. </w:t>
      </w:r>
      <w:r w:rsidRPr="00604F03">
        <w:rPr>
          <w:rFonts w:eastAsia="Times New Roman"/>
          <w:i/>
          <w:sz w:val="24"/>
          <w:szCs w:val="24"/>
        </w:rPr>
        <w:t>[Insert any of the privileges afforded a private person in Instruction 21:10 which may be applicable]</w:t>
      </w:r>
      <w:r w:rsidRPr="00604F03">
        <w:rPr>
          <w:rFonts w:eastAsia="Times New Roman"/>
          <w:b/>
          <w:sz w:val="24"/>
          <w:szCs w:val="24"/>
        </w:rPr>
        <w:t>) (or)</w:t>
      </w:r>
    </w:p>
    <w:p w:rsidR="00604F03" w:rsidRPr="00604F03" w:rsidRDefault="00604F03" w:rsidP="00604F03">
      <w:pPr>
        <w:spacing w:after="240"/>
        <w:ind w:firstLine="720"/>
        <w:rPr>
          <w:rFonts w:eastAsia="Times New Roman"/>
          <w:b/>
          <w:sz w:val="24"/>
          <w:szCs w:val="24"/>
        </w:rPr>
      </w:pPr>
      <w:r w:rsidRPr="00604F03">
        <w:rPr>
          <w:rFonts w:eastAsia="Times New Roman"/>
          <w:b/>
          <w:sz w:val="24"/>
          <w:szCs w:val="24"/>
        </w:rPr>
        <w:t>(2. a. The defendant was a peace officer acting within the scope of [his] [her] authority at the time of the arrest; and</w:t>
      </w:r>
    </w:p>
    <w:p w:rsidR="00604F03" w:rsidRPr="00604F03" w:rsidRDefault="00604F03" w:rsidP="00604F03">
      <w:pPr>
        <w:spacing w:after="240"/>
        <w:ind w:firstLine="720"/>
        <w:rPr>
          <w:rFonts w:eastAsia="Times New Roman"/>
          <w:b/>
          <w:sz w:val="24"/>
          <w:szCs w:val="24"/>
        </w:rPr>
      </w:pPr>
      <w:r w:rsidRPr="00604F03">
        <w:rPr>
          <w:rFonts w:eastAsia="Times New Roman"/>
          <w:b/>
          <w:sz w:val="24"/>
          <w:szCs w:val="24"/>
        </w:rPr>
        <w:t>b. The plaintiff had committed or was committing a criminal offense in the presence of the defendant; and</w:t>
      </w:r>
    </w:p>
    <w:p w:rsidR="00604F03" w:rsidRPr="00604F03" w:rsidRDefault="00604F03" w:rsidP="00604F03">
      <w:pPr>
        <w:spacing w:after="240"/>
        <w:ind w:firstLine="720"/>
        <w:rPr>
          <w:rFonts w:eastAsia="Times New Roman"/>
          <w:b/>
          <w:sz w:val="24"/>
          <w:szCs w:val="24"/>
        </w:rPr>
      </w:pPr>
      <w:r w:rsidRPr="00604F03">
        <w:rPr>
          <w:rFonts w:eastAsia="Times New Roman"/>
          <w:b/>
          <w:sz w:val="24"/>
          <w:szCs w:val="24"/>
        </w:rPr>
        <w:t>c. The defendant arrested the plaintiff for that offense) (or)</w:t>
      </w:r>
    </w:p>
    <w:p w:rsidR="00604F03" w:rsidRPr="00604F03" w:rsidRDefault="00604F03" w:rsidP="00604F03">
      <w:pPr>
        <w:spacing w:after="240"/>
        <w:ind w:firstLine="720"/>
        <w:rPr>
          <w:rFonts w:eastAsia="Times New Roman"/>
          <w:b/>
          <w:sz w:val="24"/>
          <w:szCs w:val="24"/>
        </w:rPr>
      </w:pPr>
      <w:r w:rsidRPr="00604F03">
        <w:rPr>
          <w:rFonts w:eastAsia="Times New Roman"/>
          <w:b/>
          <w:sz w:val="24"/>
          <w:szCs w:val="24"/>
        </w:rPr>
        <w:t>(3. a. The defendant was a peace officer acting within the scope of [his] [her] authority at the time of the arrest; and</w:t>
      </w:r>
    </w:p>
    <w:p w:rsidR="00604F03" w:rsidRPr="00604F03" w:rsidRDefault="00604F03" w:rsidP="00604F03">
      <w:pPr>
        <w:spacing w:after="240"/>
        <w:ind w:firstLine="720"/>
        <w:rPr>
          <w:rFonts w:eastAsia="Times New Roman"/>
          <w:b/>
          <w:sz w:val="24"/>
          <w:szCs w:val="24"/>
        </w:rPr>
      </w:pPr>
      <w:r w:rsidRPr="00604F03">
        <w:rPr>
          <w:rFonts w:eastAsia="Times New Roman"/>
          <w:b/>
          <w:sz w:val="24"/>
          <w:szCs w:val="24"/>
        </w:rPr>
        <w:t>b. The defendant believed and had probable cause to believe that a criminal offense had been committed, whether it had or not; and</w:t>
      </w:r>
    </w:p>
    <w:p w:rsidR="00604F03" w:rsidRPr="00604F03" w:rsidRDefault="00604F03" w:rsidP="00604F03">
      <w:pPr>
        <w:spacing w:after="240"/>
        <w:ind w:firstLine="720"/>
        <w:rPr>
          <w:rFonts w:eastAsia="Times New Roman"/>
          <w:b/>
          <w:sz w:val="24"/>
          <w:szCs w:val="24"/>
        </w:rPr>
      </w:pPr>
      <w:r w:rsidRPr="00604F03">
        <w:rPr>
          <w:rFonts w:eastAsia="Times New Roman"/>
          <w:b/>
          <w:sz w:val="24"/>
          <w:szCs w:val="24"/>
        </w:rPr>
        <w:t>c. The defendant believed and had probable cause to believe the plaintiff had committed that criminal offense; and</w:t>
      </w:r>
    </w:p>
    <w:p w:rsidR="00604F03" w:rsidRPr="00604F03" w:rsidRDefault="00604F03" w:rsidP="00604F03">
      <w:pPr>
        <w:spacing w:after="240"/>
        <w:ind w:firstLine="720"/>
        <w:rPr>
          <w:rFonts w:eastAsia="Times New Roman"/>
          <w:b/>
          <w:sz w:val="24"/>
          <w:szCs w:val="24"/>
        </w:rPr>
      </w:pPr>
      <w:r w:rsidRPr="00604F03">
        <w:rPr>
          <w:rFonts w:eastAsia="Times New Roman"/>
          <w:b/>
          <w:sz w:val="24"/>
          <w:szCs w:val="24"/>
        </w:rPr>
        <w:t>d. The defendant arrested the plaintiff for that offense).</w:t>
      </w:r>
    </w:p>
    <w:p w:rsidR="008859AF" w:rsidRDefault="008859AF" w:rsidP="008859AF">
      <w:pPr>
        <w:jc w:val="center"/>
        <w:rPr>
          <w:rFonts w:eastAsia="Times New Roman"/>
          <w:sz w:val="24"/>
          <w:szCs w:val="24"/>
        </w:rPr>
      </w:pPr>
    </w:p>
    <w:p w:rsidR="008859AF" w:rsidRPr="0054263B" w:rsidRDefault="008859AF" w:rsidP="008859AF">
      <w:pPr>
        <w:keepNext/>
        <w:spacing w:after="240"/>
        <w:jc w:val="center"/>
        <w:rPr>
          <w:rFonts w:eastAsia="Times New Roman"/>
          <w:b/>
          <w:sz w:val="24"/>
          <w:szCs w:val="24"/>
        </w:rPr>
      </w:pPr>
      <w:r w:rsidRPr="0054263B">
        <w:rPr>
          <w:rFonts w:eastAsia="Times New Roman"/>
          <w:b/>
          <w:sz w:val="24"/>
          <w:szCs w:val="24"/>
        </w:rPr>
        <w:t>Notes on Use</w:t>
      </w:r>
    </w:p>
    <w:p w:rsidR="00604F03" w:rsidRPr="00604F03" w:rsidRDefault="00604F03" w:rsidP="00604F03">
      <w:pPr>
        <w:spacing w:after="240"/>
        <w:ind w:firstLine="720"/>
        <w:rPr>
          <w:rFonts w:eastAsia="Times New Roman"/>
          <w:sz w:val="24"/>
          <w:szCs w:val="24"/>
        </w:rPr>
      </w:pPr>
      <w:r w:rsidRPr="00604F03">
        <w:rPr>
          <w:rFonts w:eastAsia="Times New Roman"/>
          <w:sz w:val="24"/>
          <w:szCs w:val="24"/>
        </w:rPr>
        <w:t>1. In the first paragraph, use whichever parenthesized phrase, “false imprisonment” or “false arrest,” is more appropriate and omit the parenthesized phrase relating to abuse of privilege unless there is evidence to support it.</w:t>
      </w:r>
    </w:p>
    <w:p w:rsidR="00604F03" w:rsidRPr="00604F03" w:rsidRDefault="00604F03" w:rsidP="00604F03">
      <w:pPr>
        <w:spacing w:after="240"/>
        <w:ind w:firstLine="720"/>
        <w:rPr>
          <w:rFonts w:eastAsia="Times New Roman"/>
          <w:sz w:val="24"/>
          <w:szCs w:val="24"/>
        </w:rPr>
      </w:pPr>
      <w:r w:rsidRPr="00604F03">
        <w:rPr>
          <w:rFonts w:eastAsia="Times New Roman"/>
          <w:sz w:val="24"/>
          <w:szCs w:val="24"/>
        </w:rPr>
        <w:t>2. Use whichever parenthesized numbered paragraphs are appropriate to the case, omitting any portions thereof, the facts of which are not in dispute. If only one numbered paragraph is used, omit the parenthesized phrase “any of” in the first unnumbered paragraph.</w:t>
      </w:r>
    </w:p>
    <w:p w:rsidR="00604F03" w:rsidRPr="00604F03" w:rsidRDefault="00604F03" w:rsidP="00604F03">
      <w:pPr>
        <w:spacing w:after="240"/>
        <w:ind w:firstLine="720"/>
        <w:rPr>
          <w:rFonts w:eastAsia="Times New Roman"/>
          <w:sz w:val="24"/>
          <w:szCs w:val="24"/>
        </w:rPr>
      </w:pPr>
      <w:r w:rsidRPr="00604F03">
        <w:rPr>
          <w:rFonts w:eastAsia="Times New Roman"/>
          <w:sz w:val="24"/>
          <w:szCs w:val="24"/>
        </w:rPr>
        <w:t>3. In appropriate cases, a more suitable phrase, for example, “police officer,” may be substituted for the phrase “peace officer.” Also, for the various statutory definitions of “peace officer,” see sections 16-2.5-101 to -151, C.R.S.</w:t>
      </w:r>
    </w:p>
    <w:p w:rsidR="00604F03" w:rsidRPr="00604F03" w:rsidRDefault="00604F03" w:rsidP="00604F03">
      <w:pPr>
        <w:spacing w:after="240"/>
        <w:ind w:firstLine="720"/>
        <w:rPr>
          <w:rFonts w:eastAsia="Times New Roman"/>
          <w:sz w:val="24"/>
          <w:szCs w:val="24"/>
        </w:rPr>
      </w:pPr>
      <w:r w:rsidRPr="00604F03">
        <w:rPr>
          <w:rFonts w:eastAsia="Times New Roman"/>
          <w:sz w:val="24"/>
          <w:szCs w:val="24"/>
        </w:rPr>
        <w:t>4. Depending on the circumstances, other appropriate instructions defining such terms as, for example, “reasonable grounds” or “probable cause” (Instruction 21:13), and instructions setting forth the elements of the claimed “criminal offense,” the scope of the defendant’s “authority”, etc., should be given with this instruction.</w:t>
      </w:r>
    </w:p>
    <w:p w:rsidR="00604F03" w:rsidRPr="00604F03" w:rsidRDefault="00604F03" w:rsidP="00604F03">
      <w:pPr>
        <w:spacing w:after="240"/>
        <w:ind w:firstLine="720"/>
        <w:rPr>
          <w:rFonts w:eastAsia="Times New Roman"/>
          <w:sz w:val="24"/>
          <w:szCs w:val="24"/>
        </w:rPr>
      </w:pPr>
      <w:r w:rsidRPr="00604F03">
        <w:rPr>
          <w:rFonts w:eastAsia="Times New Roman"/>
          <w:sz w:val="24"/>
          <w:szCs w:val="24"/>
        </w:rPr>
        <w:t>5. For modifications that may be required in this instruction when a child is detained, see sections 19-2-502 and 19-2-503, C.R.S.</w:t>
      </w:r>
    </w:p>
    <w:p w:rsidR="00604F03" w:rsidRPr="00604F03" w:rsidRDefault="00604F03" w:rsidP="00604F03">
      <w:pPr>
        <w:spacing w:after="240"/>
        <w:ind w:firstLine="720"/>
        <w:rPr>
          <w:rFonts w:eastAsia="Times New Roman"/>
          <w:sz w:val="24"/>
          <w:szCs w:val="24"/>
        </w:rPr>
      </w:pPr>
      <w:r w:rsidRPr="00604F03">
        <w:rPr>
          <w:rFonts w:eastAsia="Times New Roman"/>
          <w:sz w:val="24"/>
          <w:szCs w:val="24"/>
        </w:rPr>
        <w:t xml:space="preserve">6. In order to have an arrest at all on which a privilege to arrest without a warrant may be based, the person making the arrest, unless excused because of the circumstances, must indicate (1) his or her intent to make an arrest and (2) the offense or conduct for which the arrest is being made. </w:t>
      </w:r>
      <w:r w:rsidRPr="00604F03">
        <w:rPr>
          <w:rFonts w:eastAsia="Times New Roman"/>
          <w:smallCaps/>
          <w:sz w:val="24"/>
          <w:szCs w:val="24"/>
        </w:rPr>
        <w:t>Restatement (Second) of Torts</w:t>
      </w:r>
      <w:r w:rsidRPr="00604F03">
        <w:rPr>
          <w:rFonts w:eastAsia="Times New Roman"/>
          <w:sz w:val="24"/>
          <w:szCs w:val="24"/>
        </w:rPr>
        <w:t xml:space="preserve"> § 128 (1965); 1 </w:t>
      </w:r>
      <w:r w:rsidRPr="00604F03">
        <w:rPr>
          <w:rFonts w:eastAsia="Times New Roman"/>
          <w:smallCaps/>
          <w:sz w:val="24"/>
          <w:szCs w:val="24"/>
        </w:rPr>
        <w:t>F. Harper et al., Harper, James, and Gray on Torts</w:t>
      </w:r>
      <w:r w:rsidRPr="00604F03">
        <w:rPr>
          <w:rFonts w:eastAsia="Times New Roman"/>
          <w:sz w:val="24"/>
          <w:szCs w:val="24"/>
        </w:rPr>
        <w:t xml:space="preserve"> § 3.18, at 426 (3d ed. 2006). If there is a dispute as to such matters, then Instruction 21:12, defining “arrest” and, if appropriate, Instruction 21:16, explaining when a manifestation to make an arrest may be excused, must be given with this instruction. Also an additional requirement should be added to this instruction stating in effect that when the defendant made the claimed arrest the defendant must have indicated an intent to arrest the plaintiff and indicated to the plaintiff the offense or conduct for which the arrest was being made, unless, because of the circumstances (Instruction 21:16), such indication was excusable.</w:t>
      </w:r>
    </w:p>
    <w:p w:rsidR="00604F03" w:rsidRPr="00604F03" w:rsidRDefault="00604F03" w:rsidP="00604F03">
      <w:pPr>
        <w:spacing w:after="240"/>
        <w:ind w:firstLine="720"/>
        <w:rPr>
          <w:rFonts w:eastAsia="Times New Roman"/>
          <w:sz w:val="24"/>
          <w:szCs w:val="24"/>
        </w:rPr>
      </w:pPr>
      <w:r w:rsidRPr="00604F03">
        <w:rPr>
          <w:rFonts w:eastAsia="Times New Roman"/>
          <w:sz w:val="24"/>
          <w:szCs w:val="24"/>
        </w:rPr>
        <w:t>7. If there is a dispute as to whether the defendant did, in fact, restrict the plaintiff’s freedom of movement by an arrest or otherwise, this instruction must be appropriately modified.</w:t>
      </w:r>
    </w:p>
    <w:p w:rsidR="00604F03" w:rsidRPr="00604F03" w:rsidRDefault="00604F03" w:rsidP="00604F03">
      <w:pPr>
        <w:spacing w:after="240"/>
        <w:ind w:firstLine="720"/>
        <w:rPr>
          <w:rFonts w:eastAsia="Times New Roman"/>
          <w:sz w:val="24"/>
          <w:szCs w:val="24"/>
        </w:rPr>
      </w:pPr>
      <w:r w:rsidRPr="00604F03">
        <w:rPr>
          <w:rFonts w:eastAsia="Times New Roman"/>
          <w:sz w:val="24"/>
          <w:szCs w:val="24"/>
        </w:rPr>
        <w:t xml:space="preserve">8. A peace officer may make a valid arrest without a warrant in certain circumstances other than those set out in this instruction. In such cases, this instruction should be appropriately modified. </w:t>
      </w:r>
      <w:r w:rsidRPr="00604F03">
        <w:rPr>
          <w:rFonts w:eastAsia="Times New Roman"/>
          <w:i/>
          <w:sz w:val="24"/>
          <w:szCs w:val="24"/>
        </w:rPr>
        <w:t>See, e.g.</w:t>
      </w:r>
      <w:r w:rsidRPr="00604F03">
        <w:rPr>
          <w:rFonts w:eastAsia="Times New Roman"/>
          <w:sz w:val="24"/>
          <w:szCs w:val="24"/>
        </w:rPr>
        <w:t>,</w:t>
      </w:r>
      <w:r w:rsidRPr="00604F03">
        <w:rPr>
          <w:rFonts w:eastAsia="Times New Roman"/>
          <w:b/>
          <w:sz w:val="24"/>
          <w:szCs w:val="24"/>
        </w:rPr>
        <w:t xml:space="preserve"> People v. Gouker</w:t>
      </w:r>
      <w:r w:rsidRPr="00604F03">
        <w:rPr>
          <w:rFonts w:eastAsia="Times New Roman"/>
          <w:sz w:val="24"/>
          <w:szCs w:val="24"/>
        </w:rPr>
        <w:t>, 665 P.2d 113 (Colo. 1983) (outstanding arrest warrant from a sister state, if valid, may provide the necessary probable cause to make a warrantless arrest in Colorado, even though the detained person is arrested for a different offense, if the arresting officer was aware of the outstanding sister-state warrant and was at least partially motivated by it).</w:t>
      </w:r>
    </w:p>
    <w:p w:rsidR="00604F03" w:rsidRPr="00604F03" w:rsidRDefault="00604F03" w:rsidP="00604F03">
      <w:pPr>
        <w:spacing w:after="240"/>
        <w:ind w:firstLine="720"/>
        <w:rPr>
          <w:rFonts w:eastAsia="Times New Roman"/>
          <w:sz w:val="24"/>
          <w:szCs w:val="24"/>
        </w:rPr>
      </w:pPr>
      <w:r w:rsidRPr="00604F03">
        <w:rPr>
          <w:rFonts w:eastAsia="Times New Roman"/>
          <w:sz w:val="24"/>
          <w:szCs w:val="24"/>
        </w:rPr>
        <w:t xml:space="preserve">9. Concerning numbered paragraph 1 of this instruction referring to Instruction 21:10 (privileges to arrest afforded a private person), to make a valid arrest under section 16-3-201, C.R.S., a peace officer must have been acting as a private citizen. </w:t>
      </w:r>
      <w:r w:rsidRPr="00604F03">
        <w:rPr>
          <w:rFonts w:eastAsia="Times New Roman"/>
          <w:b/>
          <w:sz w:val="24"/>
          <w:szCs w:val="24"/>
        </w:rPr>
        <w:t>People v. Wolf</w:t>
      </w:r>
      <w:r w:rsidRPr="00604F03">
        <w:rPr>
          <w:rFonts w:eastAsia="Times New Roman"/>
          <w:sz w:val="24"/>
          <w:szCs w:val="24"/>
        </w:rPr>
        <w:t>, 635 P.2d 213 (Colo. 1981).</w:t>
      </w:r>
    </w:p>
    <w:p w:rsidR="00604F03" w:rsidRPr="00604F03" w:rsidRDefault="00604F03" w:rsidP="00604F03">
      <w:pPr>
        <w:spacing w:after="240"/>
        <w:ind w:firstLine="720"/>
        <w:rPr>
          <w:rFonts w:eastAsia="Times New Roman"/>
          <w:sz w:val="24"/>
          <w:szCs w:val="24"/>
        </w:rPr>
      </w:pPr>
      <w:r w:rsidRPr="00604F03">
        <w:rPr>
          <w:rFonts w:eastAsia="Times New Roman"/>
          <w:sz w:val="24"/>
          <w:szCs w:val="24"/>
        </w:rPr>
        <w:t xml:space="preserve">10. This instruction should be modified in cases where an arrest is made in a private home. </w:t>
      </w:r>
      <w:r w:rsidRPr="00604F03">
        <w:rPr>
          <w:rFonts w:eastAsia="Times New Roman"/>
          <w:i/>
          <w:sz w:val="24"/>
          <w:szCs w:val="24"/>
        </w:rPr>
        <w:t xml:space="preserve">See </w:t>
      </w:r>
      <w:r w:rsidRPr="00604F03">
        <w:rPr>
          <w:rFonts w:eastAsia="Times New Roman"/>
          <w:b/>
          <w:sz w:val="24"/>
          <w:szCs w:val="24"/>
        </w:rPr>
        <w:t>People v. Summitt</w:t>
      </w:r>
      <w:r w:rsidRPr="00604F03">
        <w:rPr>
          <w:rFonts w:eastAsia="Times New Roman"/>
          <w:sz w:val="24"/>
          <w:szCs w:val="24"/>
        </w:rPr>
        <w:t xml:space="preserve">, 104 P.3d 232 (Colo. App. 2004) (absent consent, exigent circumstances, or the need to render emergency aid, police officers may not arrest person without warrant in a private home even if police have probable cause to believe that the person arrested has committed a crime), </w:t>
      </w:r>
      <w:r w:rsidRPr="00604F03">
        <w:rPr>
          <w:rFonts w:eastAsia="Times New Roman"/>
          <w:i/>
          <w:sz w:val="24"/>
          <w:szCs w:val="24"/>
        </w:rPr>
        <w:t>rev’d on other grounds</w:t>
      </w:r>
      <w:r w:rsidRPr="00604F03">
        <w:rPr>
          <w:rFonts w:eastAsia="Times New Roman"/>
          <w:sz w:val="24"/>
          <w:szCs w:val="24"/>
        </w:rPr>
        <w:t>, 132 P.3d 320 (Colo. 2006).</w:t>
      </w:r>
    </w:p>
    <w:p w:rsidR="008859AF" w:rsidRPr="0054263B" w:rsidRDefault="008859AF" w:rsidP="008859AF">
      <w:pPr>
        <w:keepNext/>
        <w:spacing w:after="240"/>
        <w:jc w:val="center"/>
        <w:rPr>
          <w:rFonts w:eastAsia="Times New Roman"/>
          <w:b/>
          <w:sz w:val="24"/>
          <w:szCs w:val="24"/>
        </w:rPr>
      </w:pPr>
      <w:r>
        <w:rPr>
          <w:rFonts w:eastAsia="Times New Roman"/>
          <w:b/>
          <w:sz w:val="24"/>
          <w:szCs w:val="24"/>
        </w:rPr>
        <w:t>Source and Authority</w:t>
      </w:r>
    </w:p>
    <w:p w:rsidR="00604F03" w:rsidRPr="00604F03" w:rsidRDefault="00604F03" w:rsidP="00604F03">
      <w:pPr>
        <w:spacing w:after="240"/>
        <w:ind w:firstLine="720"/>
        <w:rPr>
          <w:rFonts w:eastAsia="Times New Roman"/>
          <w:sz w:val="24"/>
          <w:szCs w:val="24"/>
        </w:rPr>
      </w:pPr>
      <w:r w:rsidRPr="00604F03">
        <w:rPr>
          <w:rFonts w:eastAsia="Times New Roman"/>
          <w:sz w:val="24"/>
          <w:szCs w:val="24"/>
        </w:rPr>
        <w:t>1. For authorities in support of paragraph 1, see the Source and Authority to Instruction 21:10.</w:t>
      </w:r>
    </w:p>
    <w:p w:rsidR="00604F03" w:rsidRPr="00604F03" w:rsidRDefault="00604F03" w:rsidP="00604F03">
      <w:pPr>
        <w:spacing w:after="240"/>
        <w:ind w:firstLine="720"/>
        <w:rPr>
          <w:rFonts w:eastAsia="Times New Roman"/>
          <w:sz w:val="24"/>
          <w:szCs w:val="24"/>
        </w:rPr>
      </w:pPr>
      <w:r w:rsidRPr="00604F03">
        <w:rPr>
          <w:rFonts w:eastAsia="Times New Roman"/>
          <w:sz w:val="24"/>
          <w:szCs w:val="24"/>
        </w:rPr>
        <w:t xml:space="preserve">2. Numbered paragraphs 2 and 3 are supported by the statutory privilege contained in sections 16-3-102(b) and (c), C.R.S. The common-law privilege now covered by numbered paragraph 3 related at common law only to felonies. </w:t>
      </w:r>
      <w:r w:rsidRPr="00604F03">
        <w:rPr>
          <w:rFonts w:eastAsia="Times New Roman"/>
          <w:i/>
          <w:sz w:val="24"/>
          <w:szCs w:val="24"/>
        </w:rPr>
        <w:t>See</w:t>
      </w:r>
      <w:r w:rsidRPr="00604F03">
        <w:rPr>
          <w:rFonts w:eastAsia="Times New Roman"/>
          <w:sz w:val="24"/>
          <w:szCs w:val="24"/>
        </w:rPr>
        <w:t xml:space="preserve"> </w:t>
      </w:r>
      <w:r w:rsidRPr="00604F03">
        <w:rPr>
          <w:rFonts w:eastAsia="Times New Roman"/>
          <w:smallCaps/>
          <w:sz w:val="24"/>
          <w:szCs w:val="24"/>
        </w:rPr>
        <w:t>Restatement</w:t>
      </w:r>
      <w:r w:rsidRPr="00604F03">
        <w:rPr>
          <w:rFonts w:eastAsia="Times New Roman"/>
          <w:sz w:val="24"/>
          <w:szCs w:val="24"/>
        </w:rPr>
        <w:t xml:space="preserve"> § 121(b); </w:t>
      </w:r>
      <w:r w:rsidRPr="00604F03">
        <w:rPr>
          <w:rFonts w:eastAsia="Times New Roman"/>
          <w:i/>
          <w:sz w:val="24"/>
          <w:szCs w:val="24"/>
        </w:rPr>
        <w:t>see also</w:t>
      </w:r>
      <w:r w:rsidRPr="00604F03">
        <w:rPr>
          <w:rFonts w:eastAsia="Times New Roman"/>
          <w:sz w:val="24"/>
          <w:szCs w:val="24"/>
        </w:rPr>
        <w:t xml:space="preserve"> </w:t>
      </w:r>
      <w:r w:rsidRPr="00604F03">
        <w:rPr>
          <w:rFonts w:eastAsia="Times New Roman"/>
          <w:smallCaps/>
          <w:sz w:val="24"/>
          <w:szCs w:val="24"/>
        </w:rPr>
        <w:t>W. Page Keeton et al., Prosser and Keeton on the Law of Torts</w:t>
      </w:r>
      <w:r w:rsidRPr="00604F03">
        <w:rPr>
          <w:rFonts w:eastAsia="Times New Roman"/>
          <w:sz w:val="24"/>
          <w:szCs w:val="24"/>
        </w:rPr>
        <w:t xml:space="preserve"> § 26 (5th ed. 1984); </w:t>
      </w:r>
      <w:r w:rsidRPr="00604F03">
        <w:rPr>
          <w:rFonts w:eastAsia="Times New Roman"/>
          <w:smallCaps/>
          <w:sz w:val="24"/>
          <w:szCs w:val="24"/>
        </w:rPr>
        <w:t>Harper, James, and Gray on Torts</w:t>
      </w:r>
      <w:r w:rsidRPr="00604F03">
        <w:rPr>
          <w:rFonts w:eastAsia="Times New Roman"/>
          <w:sz w:val="24"/>
          <w:szCs w:val="24"/>
        </w:rPr>
        <w:t xml:space="preserve">, </w:t>
      </w:r>
      <w:r w:rsidRPr="00604F03">
        <w:rPr>
          <w:rFonts w:eastAsia="Times New Roman"/>
          <w:i/>
          <w:sz w:val="24"/>
          <w:szCs w:val="24"/>
        </w:rPr>
        <w:t>supra</w:t>
      </w:r>
      <w:r w:rsidRPr="00604F03">
        <w:rPr>
          <w:rFonts w:eastAsia="Times New Roman"/>
          <w:sz w:val="24"/>
          <w:szCs w:val="24"/>
        </w:rPr>
        <w:t>, § 3.18.</w:t>
      </w:r>
    </w:p>
    <w:p w:rsidR="00604F03" w:rsidRPr="00604F03" w:rsidRDefault="00604F03" w:rsidP="00604F03">
      <w:pPr>
        <w:spacing w:after="240"/>
        <w:ind w:firstLine="720"/>
        <w:rPr>
          <w:rFonts w:eastAsia="Times New Roman"/>
          <w:sz w:val="24"/>
          <w:szCs w:val="24"/>
        </w:rPr>
      </w:pPr>
      <w:r w:rsidRPr="00604F03">
        <w:rPr>
          <w:rFonts w:eastAsia="Times New Roman"/>
          <w:sz w:val="24"/>
          <w:szCs w:val="24"/>
        </w:rPr>
        <w:t>3. As to the territorial limits of a peace officer’s authority while in fresh pursuit, see section 16-3-106, C.R.S. Also, as to the authority of a peace officer from another state, see section 16-3-104, C.R.S. To make a valid arrest as a peace officer without a warrant under section 16-3-102, C.R.S., outside the territorial limits</w:t>
      </w:r>
      <w:r w:rsidRPr="00604F03">
        <w:rPr>
          <w:rFonts w:eastAsia="Times New Roman"/>
          <w:i/>
          <w:sz w:val="24"/>
          <w:szCs w:val="24"/>
        </w:rPr>
        <w:t xml:space="preserve"> </w:t>
      </w:r>
      <w:r w:rsidRPr="00604F03">
        <w:rPr>
          <w:rFonts w:eastAsia="Times New Roman"/>
          <w:sz w:val="24"/>
          <w:szCs w:val="24"/>
        </w:rPr>
        <w:t xml:space="preserve">of the peace officer’s authority, the officer must have been engaged in fresh pursuit (Instruction 21:14), </w:t>
      </w:r>
      <w:r w:rsidRPr="00604F03">
        <w:rPr>
          <w:rFonts w:eastAsia="Times New Roman"/>
          <w:b/>
          <w:sz w:val="24"/>
          <w:szCs w:val="24"/>
        </w:rPr>
        <w:t>People v. Wolf</w:t>
      </w:r>
      <w:r w:rsidRPr="00604F03">
        <w:rPr>
          <w:rFonts w:eastAsia="Times New Roman"/>
          <w:sz w:val="24"/>
          <w:szCs w:val="24"/>
        </w:rPr>
        <w:t>, 635 P.2d 213 (Colo. 1981), unless the officer was acting under authority conferred by section 16-3-110(2), C.R.S. (authority of full-time, certified peace officer to make an arrest outside the jurisdiction of the law enforcement agency employing the officer of a person who has or is committing a felony or misdemeanor in the officer’s presence).</w:t>
      </w:r>
    </w:p>
    <w:p w:rsidR="00604F03" w:rsidRPr="00604F03" w:rsidRDefault="00604F03" w:rsidP="00604F03">
      <w:pPr>
        <w:spacing w:after="240"/>
        <w:ind w:firstLine="720"/>
        <w:rPr>
          <w:rFonts w:eastAsia="Times New Roman"/>
          <w:sz w:val="24"/>
          <w:szCs w:val="24"/>
        </w:rPr>
      </w:pPr>
      <w:r w:rsidRPr="00604F03">
        <w:rPr>
          <w:rFonts w:eastAsia="Times New Roman"/>
          <w:sz w:val="24"/>
          <w:szCs w:val="24"/>
        </w:rPr>
        <w:t xml:space="preserve">4. “The ‘in presence’ requirement is met if the arrestor observes acts which are in themselves sufficiently indicative of a crime in the course of commission.” </w:t>
      </w:r>
      <w:r w:rsidRPr="00604F03">
        <w:rPr>
          <w:rFonts w:eastAsia="Times New Roman"/>
          <w:b/>
          <w:sz w:val="24"/>
          <w:szCs w:val="24"/>
        </w:rPr>
        <w:t>People v. Olguin</w:t>
      </w:r>
      <w:r w:rsidRPr="00604F03">
        <w:rPr>
          <w:rFonts w:eastAsia="Times New Roman"/>
          <w:sz w:val="24"/>
          <w:szCs w:val="24"/>
        </w:rPr>
        <w:t>, 187 Colo. 34, 37, 528 P.2d 234, 236 (1974).</w:t>
      </w:r>
    </w:p>
    <w:p w:rsidR="00604F03" w:rsidRPr="00604F03" w:rsidRDefault="00604F03" w:rsidP="00604F03">
      <w:pPr>
        <w:spacing w:after="240"/>
        <w:ind w:firstLine="720"/>
        <w:rPr>
          <w:rFonts w:eastAsia="Times New Roman"/>
          <w:sz w:val="24"/>
          <w:szCs w:val="24"/>
        </w:rPr>
      </w:pPr>
      <w:r w:rsidRPr="00604F03">
        <w:rPr>
          <w:rFonts w:eastAsia="Times New Roman"/>
          <w:sz w:val="24"/>
          <w:szCs w:val="24"/>
        </w:rPr>
        <w:t xml:space="preserve">5. In addition to statutory crimes, “criminal offense” may include the violation of a municipal ordinance. </w:t>
      </w:r>
      <w:r w:rsidRPr="00604F03">
        <w:rPr>
          <w:rFonts w:eastAsia="Times New Roman"/>
          <w:b/>
          <w:sz w:val="24"/>
          <w:szCs w:val="24"/>
        </w:rPr>
        <w:t>Boyer v. Elkins</w:t>
      </w:r>
      <w:r w:rsidRPr="00604F03">
        <w:rPr>
          <w:rFonts w:eastAsia="Times New Roman"/>
          <w:sz w:val="24"/>
          <w:szCs w:val="24"/>
        </w:rPr>
        <w:t>, 154 Colo. 294, 390 P.2d 460 (1964).</w:t>
      </w:r>
    </w:p>
    <w:p w:rsidR="00604F03" w:rsidRPr="00604F03" w:rsidRDefault="00604F03" w:rsidP="00604F03">
      <w:pPr>
        <w:spacing w:after="240"/>
        <w:ind w:firstLine="720"/>
        <w:rPr>
          <w:rFonts w:eastAsia="Times New Roman"/>
          <w:sz w:val="24"/>
          <w:szCs w:val="24"/>
        </w:rPr>
      </w:pPr>
      <w:r w:rsidRPr="00604F03">
        <w:rPr>
          <w:rFonts w:eastAsia="Times New Roman"/>
          <w:sz w:val="24"/>
          <w:szCs w:val="24"/>
        </w:rPr>
        <w:t xml:space="preserve">6. The detention and questioning by a peace officer as part of a valid and properly conducted “investigatory stop” would appear to be an effective affirmative defense to the tort of “false arrest,” whether or not a subsequent arrest is validly made, with or without a warrant. </w:t>
      </w:r>
      <w:r w:rsidRPr="00604F03">
        <w:rPr>
          <w:rFonts w:eastAsia="Times New Roman"/>
          <w:i/>
          <w:sz w:val="24"/>
          <w:szCs w:val="24"/>
        </w:rPr>
        <w:t xml:space="preserve">See </w:t>
      </w:r>
      <w:r w:rsidRPr="00604F03">
        <w:rPr>
          <w:rFonts w:eastAsia="Times New Roman"/>
          <w:sz w:val="24"/>
          <w:szCs w:val="24"/>
        </w:rPr>
        <w:t>§ 16-3-103, C.R.S. In such cases, this instruction must be appropriately modified.</w:t>
      </w:r>
    </w:p>
    <w:p w:rsidR="00604F03" w:rsidRPr="00604F03" w:rsidRDefault="00604F03" w:rsidP="00604F03">
      <w:pPr>
        <w:spacing w:after="240"/>
        <w:ind w:firstLine="720"/>
        <w:rPr>
          <w:rFonts w:eastAsia="Times New Roman"/>
          <w:sz w:val="24"/>
          <w:szCs w:val="24"/>
        </w:rPr>
      </w:pPr>
      <w:r w:rsidRPr="00604F03">
        <w:rPr>
          <w:rFonts w:eastAsia="Times New Roman"/>
          <w:sz w:val="24"/>
          <w:szCs w:val="24"/>
        </w:rPr>
        <w:t xml:space="preserve">7. Under </w:t>
      </w:r>
      <w:r w:rsidRPr="00604F03">
        <w:rPr>
          <w:rFonts w:eastAsia="Times New Roman"/>
          <w:b/>
          <w:sz w:val="24"/>
          <w:szCs w:val="24"/>
        </w:rPr>
        <w:t>Terry v. Ohio</w:t>
      </w:r>
      <w:r w:rsidRPr="00604F03">
        <w:rPr>
          <w:rFonts w:eastAsia="Times New Roman"/>
          <w:sz w:val="24"/>
          <w:szCs w:val="24"/>
        </w:rPr>
        <w:t xml:space="preserve">, 392 U.S. 1 (1968), an investigatory stop of reasonable scope and duration is a seizure, but is valid under the Fourth Amendment to the United States Constitution if the officer had reasonable suspicion to believe the person stopped had committed or was committing a crime. </w:t>
      </w:r>
      <w:r w:rsidRPr="00604F03">
        <w:rPr>
          <w:rFonts w:eastAsia="Times New Roman"/>
          <w:i/>
          <w:sz w:val="24"/>
          <w:szCs w:val="24"/>
        </w:rPr>
        <w:t xml:space="preserve">See </w:t>
      </w:r>
      <w:r w:rsidRPr="00604F03">
        <w:rPr>
          <w:rFonts w:eastAsia="Times New Roman"/>
          <w:b/>
          <w:sz w:val="24"/>
          <w:szCs w:val="24"/>
        </w:rPr>
        <w:t>Arizona v. Johnson</w:t>
      </w:r>
      <w:r w:rsidRPr="00604F03">
        <w:rPr>
          <w:rFonts w:eastAsia="Times New Roman"/>
          <w:sz w:val="24"/>
          <w:szCs w:val="24"/>
        </w:rPr>
        <w:t xml:space="preserve">, 555 U.S. 323 (2009) (proper </w:t>
      </w:r>
      <w:r w:rsidRPr="00604F03">
        <w:rPr>
          <w:rFonts w:eastAsia="Times New Roman"/>
          <w:b/>
          <w:sz w:val="24"/>
          <w:szCs w:val="24"/>
        </w:rPr>
        <w:t>Terry</w:t>
      </w:r>
      <w:r w:rsidRPr="00604F03">
        <w:rPr>
          <w:rFonts w:eastAsia="Times New Roman"/>
          <w:sz w:val="24"/>
          <w:szCs w:val="24"/>
        </w:rPr>
        <w:t xml:space="preserve"> traffic stop justifies continued seizure of car occupants pending inquiry into vehicular offense, without evidence of any other criminal activity); </w:t>
      </w:r>
      <w:r w:rsidRPr="00604F03">
        <w:rPr>
          <w:rFonts w:eastAsia="Times New Roman"/>
          <w:b/>
          <w:sz w:val="24"/>
          <w:szCs w:val="24"/>
        </w:rPr>
        <w:t>United States v. Arvizu</w:t>
      </w:r>
      <w:r w:rsidRPr="00604F03">
        <w:rPr>
          <w:rFonts w:eastAsia="Times New Roman"/>
          <w:sz w:val="24"/>
          <w:szCs w:val="24"/>
        </w:rPr>
        <w:t xml:space="preserve">, 534 U.S. 266 (2002); </w:t>
      </w:r>
      <w:r w:rsidRPr="00604F03">
        <w:rPr>
          <w:rFonts w:eastAsia="Times New Roman"/>
          <w:b/>
          <w:sz w:val="24"/>
          <w:szCs w:val="24"/>
        </w:rPr>
        <w:t>Illinois v. Wardlow</w:t>
      </w:r>
      <w:r w:rsidRPr="00604F03">
        <w:rPr>
          <w:rFonts w:eastAsia="Times New Roman"/>
          <w:sz w:val="24"/>
          <w:szCs w:val="24"/>
        </w:rPr>
        <w:t xml:space="preserve">, 528 U.S. 119 (2000); </w:t>
      </w:r>
      <w:r w:rsidRPr="00604F03">
        <w:rPr>
          <w:rFonts w:eastAsia="Times New Roman"/>
          <w:b/>
          <w:sz w:val="24"/>
          <w:szCs w:val="24"/>
        </w:rPr>
        <w:t>Stone v. People</w:t>
      </w:r>
      <w:r w:rsidRPr="00604F03">
        <w:rPr>
          <w:rFonts w:eastAsia="Times New Roman"/>
          <w:sz w:val="24"/>
          <w:szCs w:val="24"/>
        </w:rPr>
        <w:t xml:space="preserve">, 174 Colo. 504, 485 P.2d 495 (1971); </w:t>
      </w:r>
      <w:r w:rsidRPr="00604F03">
        <w:rPr>
          <w:rFonts w:eastAsia="Times New Roman"/>
          <w:b/>
          <w:sz w:val="24"/>
          <w:szCs w:val="24"/>
        </w:rPr>
        <w:t>People v. Barrus</w:t>
      </w:r>
      <w:r w:rsidRPr="00604F03">
        <w:rPr>
          <w:rFonts w:eastAsia="Times New Roman"/>
          <w:sz w:val="24"/>
          <w:szCs w:val="24"/>
        </w:rPr>
        <w:t xml:space="preserve">, 232 P.3d 264 (Colo. App. 2009) (officer had reasonable suspicion for stop, and nature of detention was proper, even though it escalated when defendant tried to escape); </w:t>
      </w:r>
      <w:r w:rsidRPr="00604F03">
        <w:rPr>
          <w:rFonts w:eastAsia="Times New Roman"/>
          <w:i/>
          <w:sz w:val="24"/>
          <w:szCs w:val="24"/>
        </w:rPr>
        <w:t>see also</w:t>
      </w:r>
      <w:r w:rsidRPr="00604F03">
        <w:rPr>
          <w:rFonts w:eastAsia="Times New Roman"/>
          <w:sz w:val="24"/>
          <w:szCs w:val="24"/>
        </w:rPr>
        <w:t xml:space="preserve"> </w:t>
      </w:r>
      <w:r w:rsidRPr="00604F03">
        <w:rPr>
          <w:rFonts w:eastAsia="Times New Roman"/>
          <w:b/>
          <w:sz w:val="24"/>
          <w:szCs w:val="24"/>
        </w:rPr>
        <w:t>Minnesota v. Dickerson</w:t>
      </w:r>
      <w:r w:rsidRPr="00604F03">
        <w:rPr>
          <w:rFonts w:eastAsia="Times New Roman"/>
          <w:sz w:val="24"/>
          <w:szCs w:val="24"/>
        </w:rPr>
        <w:t xml:space="preserve">, 508 U.S. 366 (1993) (permissible scope of pat-down search after investigatory stop); </w:t>
      </w:r>
      <w:r w:rsidRPr="00604F03">
        <w:rPr>
          <w:rFonts w:eastAsia="Times New Roman"/>
          <w:b/>
          <w:sz w:val="24"/>
          <w:szCs w:val="24"/>
        </w:rPr>
        <w:t>People v. Bowles</w:t>
      </w:r>
      <w:r w:rsidRPr="00604F03">
        <w:rPr>
          <w:rFonts w:eastAsia="Times New Roman"/>
          <w:sz w:val="24"/>
          <w:szCs w:val="24"/>
        </w:rPr>
        <w:t xml:space="preserve">, 226 P.3d 1125 (Colo. App. 2009) (request for identification during proper </w:t>
      </w:r>
      <w:r w:rsidRPr="00604F03">
        <w:rPr>
          <w:rFonts w:eastAsia="Times New Roman"/>
          <w:b/>
          <w:sz w:val="24"/>
          <w:szCs w:val="24"/>
        </w:rPr>
        <w:t>Terry</w:t>
      </w:r>
      <w:r w:rsidRPr="00604F03">
        <w:rPr>
          <w:rFonts w:eastAsia="Times New Roman"/>
          <w:sz w:val="24"/>
          <w:szCs w:val="24"/>
        </w:rPr>
        <w:t xml:space="preserve"> stop is permissible); </w:t>
      </w:r>
      <w:r w:rsidRPr="00604F03">
        <w:rPr>
          <w:rFonts w:eastAsia="Times New Roman"/>
          <w:b/>
          <w:sz w:val="24"/>
          <w:szCs w:val="24"/>
        </w:rPr>
        <w:t>People v. Perez</w:t>
      </w:r>
      <w:r w:rsidRPr="00604F03">
        <w:rPr>
          <w:rFonts w:eastAsia="Times New Roman"/>
          <w:sz w:val="24"/>
          <w:szCs w:val="24"/>
        </w:rPr>
        <w:t>, 852 P.2d 1297 (Colo. App. 1992) (permissible scope of search).</w:t>
      </w:r>
    </w:p>
    <w:p w:rsidR="00604F03" w:rsidRPr="00604F03" w:rsidRDefault="00604F03" w:rsidP="00604F03">
      <w:pPr>
        <w:spacing w:after="240"/>
        <w:ind w:firstLine="720"/>
        <w:rPr>
          <w:rFonts w:eastAsia="Times New Roman"/>
          <w:sz w:val="24"/>
          <w:szCs w:val="24"/>
        </w:rPr>
      </w:pPr>
      <w:r w:rsidRPr="00604F03">
        <w:rPr>
          <w:rFonts w:eastAsia="Times New Roman"/>
          <w:sz w:val="24"/>
          <w:szCs w:val="24"/>
        </w:rPr>
        <w:t xml:space="preserve"> 8. A court may conclude as a matter of law that an officer had probable cause to arrest the plaintiff. </w:t>
      </w:r>
      <w:r w:rsidRPr="00604F03">
        <w:rPr>
          <w:rFonts w:eastAsia="Times New Roman"/>
          <w:b/>
          <w:sz w:val="24"/>
          <w:szCs w:val="24"/>
        </w:rPr>
        <w:t>Rose v. City &amp; Cty. of Denver</w:t>
      </w:r>
      <w:r w:rsidRPr="00604F03">
        <w:rPr>
          <w:rFonts w:eastAsia="Times New Roman"/>
          <w:sz w:val="24"/>
          <w:szCs w:val="24"/>
        </w:rPr>
        <w:t>,</w:t>
      </w:r>
      <w:r w:rsidRPr="00604F03">
        <w:rPr>
          <w:rFonts w:eastAsia="Times New Roman"/>
          <w:b/>
          <w:sz w:val="24"/>
          <w:szCs w:val="24"/>
        </w:rPr>
        <w:t xml:space="preserve"> </w:t>
      </w:r>
      <w:r w:rsidRPr="00604F03">
        <w:rPr>
          <w:rFonts w:eastAsia="Times New Roman"/>
          <w:sz w:val="24"/>
          <w:szCs w:val="24"/>
        </w:rPr>
        <w:t>990 P.2d 1120 (Colo. App. 1999).</w:t>
      </w:r>
    </w:p>
    <w:p w:rsidR="00604F03" w:rsidRDefault="00604F03">
      <w:pPr>
        <w:rPr>
          <w:rFonts w:eastAsia="Times New Roman"/>
          <w:sz w:val="24"/>
          <w:szCs w:val="24"/>
        </w:rPr>
      </w:pPr>
      <w:r>
        <w:rPr>
          <w:rFonts w:eastAsia="Times New Roman"/>
          <w:sz w:val="24"/>
          <w:szCs w:val="24"/>
        </w:rPr>
        <w:br w:type="page"/>
      </w:r>
    </w:p>
    <w:p w:rsidR="00604F03" w:rsidRPr="009E3DA4" w:rsidRDefault="00604F03" w:rsidP="00604F03">
      <w:pPr>
        <w:spacing w:after="240"/>
        <w:ind w:left="720" w:hanging="720"/>
        <w:rPr>
          <w:rFonts w:eastAsia="Times New Roman"/>
          <w:b/>
          <w:sz w:val="24"/>
          <w:szCs w:val="24"/>
        </w:rPr>
      </w:pPr>
      <w:bookmarkStart w:id="12" w:name="a21_12"/>
      <w:bookmarkEnd w:id="12"/>
      <w:r w:rsidRPr="00604F03">
        <w:rPr>
          <w:rFonts w:eastAsia="Times New Roman"/>
          <w:b/>
          <w:sz w:val="24"/>
          <w:szCs w:val="24"/>
        </w:rPr>
        <w:t xml:space="preserve">21:12 </w:t>
      </w:r>
      <w:r w:rsidRPr="00604F03">
        <w:rPr>
          <w:rFonts w:eastAsia="Times New Roman"/>
          <w:b/>
          <w:sz w:val="24"/>
          <w:szCs w:val="24"/>
        </w:rPr>
        <w:tab/>
        <w:t>ARREST — DEFINED</w:t>
      </w:r>
    </w:p>
    <w:p w:rsidR="00604F03" w:rsidRPr="00604F03" w:rsidRDefault="00604F03" w:rsidP="00604F03">
      <w:pPr>
        <w:spacing w:after="240"/>
        <w:ind w:firstLine="720"/>
        <w:rPr>
          <w:rFonts w:eastAsia="Times New Roman"/>
          <w:b/>
          <w:sz w:val="24"/>
          <w:szCs w:val="24"/>
        </w:rPr>
      </w:pPr>
      <w:r w:rsidRPr="00604F03">
        <w:rPr>
          <w:rFonts w:eastAsia="Times New Roman"/>
          <w:b/>
          <w:sz w:val="24"/>
          <w:szCs w:val="24"/>
        </w:rPr>
        <w:t>An arrest is taking another into custody (by physical force) (or) (by asserting legal authority over him or her) for the apparent purpose of having that person dealt with as provided by law.</w:t>
      </w:r>
    </w:p>
    <w:p w:rsidR="00604F03" w:rsidRDefault="00604F03" w:rsidP="00604F03">
      <w:pPr>
        <w:jc w:val="center"/>
        <w:rPr>
          <w:rFonts w:eastAsia="Times New Roman"/>
          <w:sz w:val="24"/>
          <w:szCs w:val="24"/>
        </w:rPr>
      </w:pPr>
    </w:p>
    <w:p w:rsidR="00604F03" w:rsidRPr="0054263B" w:rsidRDefault="00604F03" w:rsidP="00604F03">
      <w:pPr>
        <w:keepNext/>
        <w:spacing w:after="240"/>
        <w:jc w:val="center"/>
        <w:rPr>
          <w:rFonts w:eastAsia="Times New Roman"/>
          <w:b/>
          <w:sz w:val="24"/>
          <w:szCs w:val="24"/>
        </w:rPr>
      </w:pPr>
      <w:r w:rsidRPr="0054263B">
        <w:rPr>
          <w:rFonts w:eastAsia="Times New Roman"/>
          <w:b/>
          <w:sz w:val="24"/>
          <w:szCs w:val="24"/>
        </w:rPr>
        <w:t>Notes on Use</w:t>
      </w:r>
    </w:p>
    <w:p w:rsidR="00604F03" w:rsidRPr="00604F03" w:rsidRDefault="00604F03" w:rsidP="00604F03">
      <w:pPr>
        <w:spacing w:after="240"/>
        <w:ind w:firstLine="720"/>
        <w:rPr>
          <w:rFonts w:eastAsia="Times New Roman"/>
          <w:sz w:val="24"/>
          <w:szCs w:val="24"/>
        </w:rPr>
      </w:pPr>
      <w:r w:rsidRPr="00604F03">
        <w:rPr>
          <w:rFonts w:eastAsia="Times New Roman"/>
          <w:sz w:val="24"/>
          <w:szCs w:val="24"/>
        </w:rPr>
        <w:t>1. Use whichever parenthesized words are appropriate.</w:t>
      </w:r>
    </w:p>
    <w:p w:rsidR="00604F03" w:rsidRPr="00604F03" w:rsidRDefault="00604F03" w:rsidP="00604F03">
      <w:pPr>
        <w:spacing w:after="240"/>
        <w:ind w:firstLine="720"/>
        <w:rPr>
          <w:rFonts w:eastAsia="Times New Roman"/>
          <w:sz w:val="24"/>
          <w:szCs w:val="24"/>
        </w:rPr>
      </w:pPr>
      <w:r w:rsidRPr="00604F03">
        <w:rPr>
          <w:rFonts w:eastAsia="Times New Roman"/>
          <w:sz w:val="24"/>
          <w:szCs w:val="24"/>
        </w:rPr>
        <w:t>2. This instruction should be given in conjunction with other Instructions such as 21:10 and 21:11.</w:t>
      </w:r>
    </w:p>
    <w:p w:rsidR="00604F03" w:rsidRPr="0054263B" w:rsidRDefault="00604F03" w:rsidP="00604F03">
      <w:pPr>
        <w:keepNext/>
        <w:spacing w:after="240"/>
        <w:jc w:val="center"/>
        <w:rPr>
          <w:rFonts w:eastAsia="Times New Roman"/>
          <w:b/>
          <w:sz w:val="24"/>
          <w:szCs w:val="24"/>
        </w:rPr>
      </w:pPr>
      <w:r>
        <w:rPr>
          <w:rFonts w:eastAsia="Times New Roman"/>
          <w:b/>
          <w:sz w:val="24"/>
          <w:szCs w:val="24"/>
        </w:rPr>
        <w:t>Source and Authority</w:t>
      </w:r>
    </w:p>
    <w:p w:rsidR="00604F03" w:rsidRPr="00604F03" w:rsidRDefault="00604F03" w:rsidP="00604F03">
      <w:pPr>
        <w:spacing w:after="240"/>
        <w:ind w:firstLine="720"/>
        <w:rPr>
          <w:rFonts w:eastAsia="Times New Roman"/>
          <w:sz w:val="24"/>
          <w:szCs w:val="24"/>
        </w:rPr>
      </w:pPr>
      <w:r w:rsidRPr="00604F03">
        <w:rPr>
          <w:rFonts w:eastAsia="Times New Roman"/>
          <w:sz w:val="24"/>
          <w:szCs w:val="24"/>
        </w:rPr>
        <w:t xml:space="preserve">1. This instruction is supported by </w:t>
      </w:r>
      <w:r w:rsidRPr="00604F03">
        <w:rPr>
          <w:rFonts w:eastAsia="Times New Roman"/>
          <w:b/>
          <w:sz w:val="24"/>
          <w:szCs w:val="24"/>
        </w:rPr>
        <w:t>Hart v. Herzig</w:t>
      </w:r>
      <w:r w:rsidRPr="00604F03">
        <w:rPr>
          <w:rFonts w:eastAsia="Times New Roman"/>
          <w:sz w:val="24"/>
          <w:szCs w:val="24"/>
        </w:rPr>
        <w:t xml:space="preserve">, 131 Colo. 458, 464, 283 P.2d 177, 180-81 (1955) (“‘[A]ctual use of force is not necessary to constitute an arrest; but the intention to arrest, i.e., to take into custody, must be there, and must be evidenced by some unequivocal act, as by keeping the arrested party in sight and controlling his actions.’” (quoting </w:t>
      </w:r>
      <w:r w:rsidRPr="00604F03">
        <w:rPr>
          <w:rFonts w:eastAsia="Times New Roman"/>
          <w:b/>
          <w:sz w:val="24"/>
          <w:szCs w:val="24"/>
        </w:rPr>
        <w:t>Berry v. Bass</w:t>
      </w:r>
      <w:r w:rsidRPr="00604F03">
        <w:rPr>
          <w:rFonts w:eastAsia="Times New Roman"/>
          <w:sz w:val="24"/>
          <w:szCs w:val="24"/>
        </w:rPr>
        <w:t xml:space="preserve">, 102 So. 76, 77 (La. 1924)); and </w:t>
      </w:r>
      <w:r w:rsidRPr="00604F03">
        <w:rPr>
          <w:rFonts w:eastAsia="Times New Roman"/>
          <w:smallCaps/>
          <w:sz w:val="24"/>
          <w:szCs w:val="24"/>
        </w:rPr>
        <w:t>Restatement (Second) of Torts</w:t>
      </w:r>
      <w:r w:rsidRPr="00604F03">
        <w:rPr>
          <w:rFonts w:eastAsia="Times New Roman"/>
          <w:sz w:val="24"/>
          <w:szCs w:val="24"/>
        </w:rPr>
        <w:t xml:space="preserve"> § 112 (1965). </w:t>
      </w:r>
      <w:r w:rsidRPr="00604F03">
        <w:rPr>
          <w:rFonts w:eastAsia="Times New Roman"/>
          <w:i/>
          <w:sz w:val="24"/>
          <w:szCs w:val="24"/>
        </w:rPr>
        <w:t>See also</w:t>
      </w:r>
      <w:r w:rsidRPr="00604F03">
        <w:rPr>
          <w:rFonts w:eastAsia="Times New Roman"/>
          <w:sz w:val="24"/>
          <w:szCs w:val="24"/>
        </w:rPr>
        <w:t xml:space="preserve"> </w:t>
      </w:r>
      <w:r w:rsidRPr="00604F03">
        <w:rPr>
          <w:rFonts w:eastAsia="Times New Roman"/>
          <w:b/>
          <w:sz w:val="24"/>
          <w:szCs w:val="24"/>
        </w:rPr>
        <w:t>People v. Tottenhoff</w:t>
      </w:r>
      <w:r w:rsidRPr="00604F03">
        <w:rPr>
          <w:rFonts w:eastAsia="Times New Roman"/>
          <w:sz w:val="24"/>
          <w:szCs w:val="24"/>
        </w:rPr>
        <w:t>, 691 P.2d 340 (Colo. 1984).</w:t>
      </w:r>
    </w:p>
    <w:p w:rsidR="00604F03" w:rsidRPr="00604F03" w:rsidRDefault="00604F03" w:rsidP="00604F03">
      <w:pPr>
        <w:spacing w:after="240"/>
        <w:ind w:firstLine="720"/>
        <w:rPr>
          <w:rFonts w:eastAsia="Times New Roman"/>
          <w:sz w:val="24"/>
          <w:szCs w:val="24"/>
        </w:rPr>
      </w:pPr>
      <w:r w:rsidRPr="00604F03">
        <w:rPr>
          <w:rFonts w:eastAsia="Times New Roman"/>
          <w:sz w:val="24"/>
          <w:szCs w:val="24"/>
        </w:rPr>
        <w:t>2. As to when and with what force an arrest may be effected, see sections 16-3-101 and 18-1-707, C.R.S.</w:t>
      </w:r>
    </w:p>
    <w:p w:rsidR="00604F03" w:rsidRPr="00604F03" w:rsidRDefault="00604F03" w:rsidP="00604F03">
      <w:pPr>
        <w:spacing w:after="240"/>
        <w:ind w:firstLine="720"/>
        <w:rPr>
          <w:rFonts w:eastAsia="Times New Roman"/>
          <w:sz w:val="24"/>
          <w:szCs w:val="24"/>
        </w:rPr>
      </w:pPr>
      <w:r w:rsidRPr="00604F03">
        <w:rPr>
          <w:rFonts w:eastAsia="Times New Roman"/>
          <w:sz w:val="24"/>
          <w:szCs w:val="24"/>
        </w:rPr>
        <w:t xml:space="preserve">3. For a discussion of the differences between an “investigatory stop” and an arrest without a warrant, see section 16-3-103(1), C.R.S.; </w:t>
      </w:r>
      <w:r w:rsidRPr="00604F03">
        <w:rPr>
          <w:rFonts w:eastAsia="Times New Roman"/>
          <w:b/>
          <w:sz w:val="24"/>
          <w:szCs w:val="24"/>
        </w:rPr>
        <w:t>People v. Taylor</w:t>
      </w:r>
      <w:r w:rsidRPr="00604F03">
        <w:rPr>
          <w:rFonts w:eastAsia="Times New Roman"/>
          <w:sz w:val="24"/>
          <w:szCs w:val="24"/>
        </w:rPr>
        <w:t xml:space="preserve">, 41 P.3d 681 (Colo. 2002); </w:t>
      </w:r>
      <w:r w:rsidRPr="00604F03">
        <w:rPr>
          <w:rFonts w:eastAsia="Times New Roman"/>
          <w:b/>
          <w:sz w:val="24"/>
          <w:szCs w:val="24"/>
        </w:rPr>
        <w:t>Tottenhoff</w:t>
      </w:r>
      <w:r w:rsidRPr="00604F03">
        <w:rPr>
          <w:rFonts w:eastAsia="Times New Roman"/>
          <w:sz w:val="24"/>
          <w:szCs w:val="24"/>
        </w:rPr>
        <w:t xml:space="preserve">, 691 P.2d at 343-44; </w:t>
      </w:r>
      <w:r w:rsidRPr="00604F03">
        <w:rPr>
          <w:rFonts w:eastAsia="Times New Roman"/>
          <w:b/>
          <w:sz w:val="24"/>
          <w:szCs w:val="24"/>
        </w:rPr>
        <w:t>People v. Hazelhurst</w:t>
      </w:r>
      <w:r w:rsidRPr="00604F03">
        <w:rPr>
          <w:rFonts w:eastAsia="Times New Roman"/>
          <w:sz w:val="24"/>
          <w:szCs w:val="24"/>
        </w:rPr>
        <w:t xml:space="preserve">, 662 P.2d 1081 (Colo. 1983); </w:t>
      </w:r>
      <w:r w:rsidRPr="00604F03">
        <w:rPr>
          <w:rFonts w:eastAsia="Times New Roman"/>
          <w:b/>
          <w:sz w:val="24"/>
          <w:szCs w:val="24"/>
        </w:rPr>
        <w:t>People v. O’Neal</w:t>
      </w:r>
      <w:r w:rsidRPr="00604F03">
        <w:rPr>
          <w:rFonts w:eastAsia="Times New Roman"/>
          <w:sz w:val="24"/>
          <w:szCs w:val="24"/>
        </w:rPr>
        <w:t xml:space="preserve">, 32 P.3d 533 (Colo. App. 2000); and </w:t>
      </w:r>
      <w:r w:rsidRPr="00604F03">
        <w:rPr>
          <w:rFonts w:eastAsia="Times New Roman"/>
          <w:b/>
          <w:sz w:val="24"/>
          <w:szCs w:val="24"/>
        </w:rPr>
        <w:t>People v. Whitaker</w:t>
      </w:r>
      <w:r w:rsidRPr="00604F03">
        <w:rPr>
          <w:rFonts w:eastAsia="Times New Roman"/>
          <w:sz w:val="24"/>
          <w:szCs w:val="24"/>
        </w:rPr>
        <w:t xml:space="preserve">, 32 P.3d 511 (Colo. App. 2000), </w:t>
      </w:r>
      <w:r w:rsidRPr="00604F03">
        <w:rPr>
          <w:rFonts w:eastAsia="Times New Roman"/>
          <w:i/>
          <w:sz w:val="24"/>
          <w:szCs w:val="24"/>
        </w:rPr>
        <w:t>aff’d on other grounds</w:t>
      </w:r>
      <w:r w:rsidRPr="00604F03">
        <w:rPr>
          <w:rFonts w:eastAsia="Times New Roman"/>
          <w:sz w:val="24"/>
          <w:szCs w:val="24"/>
        </w:rPr>
        <w:t>,</w:t>
      </w:r>
      <w:r w:rsidRPr="00604F03">
        <w:rPr>
          <w:rFonts w:eastAsia="Times New Roman"/>
          <w:i/>
          <w:sz w:val="24"/>
          <w:szCs w:val="24"/>
        </w:rPr>
        <w:t xml:space="preserve"> </w:t>
      </w:r>
      <w:r w:rsidRPr="00604F03">
        <w:rPr>
          <w:rFonts w:eastAsia="Times New Roman"/>
          <w:sz w:val="24"/>
          <w:szCs w:val="24"/>
        </w:rPr>
        <w:t>48 P.3d 555 (Colo. 2002). For additional cases involving investigatory stops, see those cited in Note 7 of the Source and Authority to Instruction 21:11.</w:t>
      </w:r>
    </w:p>
    <w:p w:rsidR="00604F03" w:rsidRDefault="00604F03">
      <w:pPr>
        <w:rPr>
          <w:rFonts w:eastAsia="Times New Roman"/>
          <w:sz w:val="24"/>
          <w:szCs w:val="24"/>
        </w:rPr>
      </w:pPr>
      <w:r>
        <w:rPr>
          <w:rFonts w:eastAsia="Times New Roman"/>
          <w:sz w:val="24"/>
          <w:szCs w:val="24"/>
        </w:rPr>
        <w:br w:type="page"/>
      </w:r>
    </w:p>
    <w:p w:rsidR="00604F03" w:rsidRPr="009E3DA4" w:rsidRDefault="00A677E8" w:rsidP="00604F03">
      <w:pPr>
        <w:spacing w:after="240"/>
        <w:ind w:left="720" w:hanging="720"/>
        <w:rPr>
          <w:rFonts w:eastAsia="Times New Roman"/>
          <w:b/>
          <w:sz w:val="24"/>
          <w:szCs w:val="24"/>
        </w:rPr>
      </w:pPr>
      <w:bookmarkStart w:id="13" w:name="a21_13"/>
      <w:bookmarkEnd w:id="13"/>
      <w:r w:rsidRPr="00A677E8">
        <w:rPr>
          <w:rFonts w:eastAsia="Times New Roman"/>
          <w:b/>
          <w:sz w:val="24"/>
          <w:szCs w:val="24"/>
        </w:rPr>
        <w:t xml:space="preserve">21:13 </w:t>
      </w:r>
      <w:r w:rsidRPr="00A677E8">
        <w:rPr>
          <w:rFonts w:eastAsia="Times New Roman"/>
          <w:b/>
          <w:sz w:val="24"/>
          <w:szCs w:val="24"/>
        </w:rPr>
        <w:tab/>
        <w:t>REASONABLE GROUNDS FOR BELIEVING AND PROBABLE CAUSE TO BELIEVE — DEFINED</w:t>
      </w:r>
    </w:p>
    <w:p w:rsidR="00A677E8" w:rsidRPr="00A677E8" w:rsidRDefault="00A677E8" w:rsidP="00A677E8">
      <w:pPr>
        <w:spacing w:after="240"/>
        <w:ind w:firstLine="720"/>
        <w:rPr>
          <w:rFonts w:eastAsia="Times New Roman"/>
          <w:b/>
          <w:sz w:val="24"/>
          <w:szCs w:val="24"/>
        </w:rPr>
      </w:pPr>
      <w:r w:rsidRPr="00A677E8">
        <w:rPr>
          <w:rFonts w:eastAsia="Times New Roman"/>
          <w:b/>
          <w:sz w:val="24"/>
          <w:szCs w:val="24"/>
        </w:rPr>
        <w:t>(A person has reasonable grounds to believe a fact exists) (or) (A person has probable cause to believe a fact exists) if a reasonable person under the same or similar circumstances would believe the fact exists.</w:t>
      </w:r>
    </w:p>
    <w:p w:rsidR="00604F03" w:rsidRDefault="00604F03" w:rsidP="00604F03">
      <w:pPr>
        <w:jc w:val="center"/>
        <w:rPr>
          <w:rFonts w:eastAsia="Times New Roman"/>
          <w:sz w:val="24"/>
          <w:szCs w:val="24"/>
        </w:rPr>
      </w:pPr>
    </w:p>
    <w:p w:rsidR="00604F03" w:rsidRPr="0054263B" w:rsidRDefault="00604F03" w:rsidP="00604F03">
      <w:pPr>
        <w:keepNext/>
        <w:spacing w:after="240"/>
        <w:jc w:val="center"/>
        <w:rPr>
          <w:rFonts w:eastAsia="Times New Roman"/>
          <w:b/>
          <w:sz w:val="24"/>
          <w:szCs w:val="24"/>
        </w:rPr>
      </w:pPr>
      <w:r w:rsidRPr="0054263B">
        <w:rPr>
          <w:rFonts w:eastAsia="Times New Roman"/>
          <w:b/>
          <w:sz w:val="24"/>
          <w:szCs w:val="24"/>
        </w:rPr>
        <w:t>Notes on Use</w:t>
      </w:r>
    </w:p>
    <w:p w:rsidR="00A677E8" w:rsidRPr="00A677E8" w:rsidRDefault="00A677E8" w:rsidP="00A677E8">
      <w:pPr>
        <w:spacing w:after="240"/>
        <w:ind w:firstLine="720"/>
        <w:rPr>
          <w:rFonts w:eastAsia="Times New Roman"/>
          <w:sz w:val="24"/>
          <w:szCs w:val="24"/>
        </w:rPr>
      </w:pPr>
      <w:r w:rsidRPr="00A677E8">
        <w:rPr>
          <w:rFonts w:eastAsia="Times New Roman"/>
          <w:sz w:val="24"/>
          <w:szCs w:val="24"/>
        </w:rPr>
        <w:t>This instruction should be given in conjunction with other Instructions such as 21:7, 21:8, 21:9, 21:10, and 21:11. When given, use whichever parenthesized portions are appropriate.</w:t>
      </w:r>
    </w:p>
    <w:p w:rsidR="00604F03" w:rsidRPr="0054263B" w:rsidRDefault="00604F03" w:rsidP="00604F03">
      <w:pPr>
        <w:keepNext/>
        <w:spacing w:after="240"/>
        <w:jc w:val="center"/>
        <w:rPr>
          <w:rFonts w:eastAsia="Times New Roman"/>
          <w:b/>
          <w:sz w:val="24"/>
          <w:szCs w:val="24"/>
        </w:rPr>
      </w:pPr>
      <w:r>
        <w:rPr>
          <w:rFonts w:eastAsia="Times New Roman"/>
          <w:b/>
          <w:sz w:val="24"/>
          <w:szCs w:val="24"/>
        </w:rPr>
        <w:t>Source and Authority</w:t>
      </w:r>
    </w:p>
    <w:p w:rsidR="00A677E8" w:rsidRPr="00A677E8" w:rsidRDefault="00A677E8" w:rsidP="00A677E8">
      <w:pPr>
        <w:spacing w:after="240"/>
        <w:ind w:firstLine="720"/>
        <w:rPr>
          <w:rFonts w:eastAsia="Times New Roman"/>
          <w:sz w:val="24"/>
          <w:szCs w:val="24"/>
        </w:rPr>
      </w:pPr>
      <w:r w:rsidRPr="00A677E8">
        <w:rPr>
          <w:rFonts w:eastAsia="Times New Roman"/>
          <w:sz w:val="24"/>
          <w:szCs w:val="24"/>
        </w:rPr>
        <w:t xml:space="preserve">This instruction is supported by </w:t>
      </w:r>
      <w:r w:rsidRPr="00A677E8">
        <w:rPr>
          <w:rFonts w:eastAsia="Times New Roman"/>
          <w:b/>
          <w:sz w:val="24"/>
          <w:szCs w:val="24"/>
        </w:rPr>
        <w:t>People v. Brown</w:t>
      </w:r>
      <w:r w:rsidRPr="00A677E8">
        <w:rPr>
          <w:rFonts w:eastAsia="Times New Roman"/>
          <w:sz w:val="24"/>
          <w:szCs w:val="24"/>
        </w:rPr>
        <w:t xml:space="preserve">, 217 P.3d 1252 (Colo. 2009) (probable cause exists when there is a fair probability that defendant committed a crime, based on the facts known to officer at the time of arrest); </w:t>
      </w:r>
      <w:r w:rsidRPr="00A677E8">
        <w:rPr>
          <w:rFonts w:eastAsia="Times New Roman"/>
          <w:b/>
          <w:sz w:val="24"/>
          <w:szCs w:val="24"/>
        </w:rPr>
        <w:t>People v. King</w:t>
      </w:r>
      <w:r w:rsidRPr="00A677E8">
        <w:rPr>
          <w:rFonts w:eastAsia="Times New Roman"/>
          <w:sz w:val="24"/>
          <w:szCs w:val="24"/>
        </w:rPr>
        <w:t xml:space="preserve">, 16 P.3d 807 (Colo. 2001) (probable cause not measured by a “more likely true than false” level of certitude but by a nontechnical common-sense standard of reasonable cause to believe); </w:t>
      </w:r>
      <w:r w:rsidRPr="00A677E8">
        <w:rPr>
          <w:rFonts w:eastAsia="Times New Roman"/>
          <w:b/>
          <w:sz w:val="24"/>
          <w:szCs w:val="24"/>
        </w:rPr>
        <w:t>People v. Davis</w:t>
      </w:r>
      <w:r w:rsidRPr="00A677E8">
        <w:rPr>
          <w:rFonts w:eastAsia="Times New Roman"/>
          <w:sz w:val="24"/>
          <w:szCs w:val="24"/>
        </w:rPr>
        <w:t xml:space="preserve">, 903 P.2d 1 (Colo. 1995); </w:t>
      </w:r>
      <w:r w:rsidRPr="00A677E8">
        <w:rPr>
          <w:rFonts w:eastAsia="Times New Roman"/>
          <w:b/>
          <w:sz w:val="24"/>
          <w:szCs w:val="24"/>
        </w:rPr>
        <w:t>People v. McCoy</w:t>
      </w:r>
      <w:r w:rsidRPr="00A677E8">
        <w:rPr>
          <w:rFonts w:eastAsia="Times New Roman"/>
          <w:sz w:val="24"/>
          <w:szCs w:val="24"/>
        </w:rPr>
        <w:t xml:space="preserve">, 870 P.2d 1231 (Colo. 1994); </w:t>
      </w:r>
      <w:r w:rsidRPr="00A677E8">
        <w:rPr>
          <w:rFonts w:eastAsia="Times New Roman"/>
          <w:b/>
          <w:sz w:val="24"/>
          <w:szCs w:val="24"/>
        </w:rPr>
        <w:t>People v. Washington</w:t>
      </w:r>
      <w:r w:rsidRPr="00A677E8">
        <w:rPr>
          <w:rFonts w:eastAsia="Times New Roman"/>
          <w:sz w:val="24"/>
          <w:szCs w:val="24"/>
        </w:rPr>
        <w:t xml:space="preserve">, 865 P.2d 145 (Colo. 1994); </w:t>
      </w:r>
      <w:r w:rsidRPr="00A677E8">
        <w:rPr>
          <w:rFonts w:eastAsia="Times New Roman"/>
          <w:b/>
          <w:sz w:val="24"/>
          <w:szCs w:val="24"/>
        </w:rPr>
        <w:t>People v. Diaz</w:t>
      </w:r>
      <w:r w:rsidRPr="00A677E8">
        <w:rPr>
          <w:rFonts w:eastAsia="Times New Roman"/>
          <w:sz w:val="24"/>
          <w:szCs w:val="24"/>
        </w:rPr>
        <w:t xml:space="preserve">, 793 P.2d 1181 (Colo. 1990); </w:t>
      </w:r>
      <w:r w:rsidRPr="00A677E8">
        <w:rPr>
          <w:rFonts w:eastAsia="Times New Roman"/>
          <w:b/>
          <w:sz w:val="24"/>
          <w:szCs w:val="24"/>
        </w:rPr>
        <w:t>People v. Thompson</w:t>
      </w:r>
      <w:r w:rsidRPr="00A677E8">
        <w:rPr>
          <w:rFonts w:eastAsia="Times New Roman"/>
          <w:sz w:val="24"/>
          <w:szCs w:val="24"/>
        </w:rPr>
        <w:t xml:space="preserve">, 793 P.2d 1173 (Colo. 1990) (in determining the question of probable cause, probability, as opposed to certainty, is the touchstone of reasonableness and involves probabilities similar to the factual and practical questions of everyday life upon which reasonable and prudent persons act); </w:t>
      </w:r>
      <w:r w:rsidRPr="00A677E8">
        <w:rPr>
          <w:rFonts w:eastAsia="Times New Roman"/>
          <w:b/>
          <w:sz w:val="24"/>
          <w:szCs w:val="24"/>
        </w:rPr>
        <w:t>People v. Foster</w:t>
      </w:r>
      <w:r w:rsidRPr="00A677E8">
        <w:rPr>
          <w:rFonts w:eastAsia="Times New Roman"/>
          <w:sz w:val="24"/>
          <w:szCs w:val="24"/>
        </w:rPr>
        <w:t xml:space="preserve">, 788 P.2d 825 (Colo. 1990) (insufficient evidence of probable cause); </w:t>
      </w:r>
      <w:r w:rsidRPr="00A677E8">
        <w:rPr>
          <w:rFonts w:eastAsia="Times New Roman"/>
          <w:b/>
          <w:sz w:val="24"/>
          <w:szCs w:val="24"/>
        </w:rPr>
        <w:t>People v. Fields</w:t>
      </w:r>
      <w:r w:rsidRPr="00A677E8">
        <w:rPr>
          <w:rFonts w:eastAsia="Times New Roman"/>
          <w:sz w:val="24"/>
          <w:szCs w:val="24"/>
        </w:rPr>
        <w:t>,</w:t>
      </w:r>
      <w:r w:rsidRPr="00A677E8">
        <w:rPr>
          <w:rFonts w:eastAsia="Times New Roman"/>
          <w:b/>
          <w:sz w:val="24"/>
          <w:szCs w:val="24"/>
        </w:rPr>
        <w:t xml:space="preserve"> </w:t>
      </w:r>
      <w:r w:rsidRPr="00A677E8">
        <w:rPr>
          <w:rFonts w:eastAsia="Times New Roman"/>
          <w:sz w:val="24"/>
          <w:szCs w:val="24"/>
        </w:rPr>
        <w:t xml:space="preserve">785 P.2d 611 (Colo. 1990) (knowledge of fellow officer cannot be used to supply necessary information for probable cause if, at time of the actual arrest, that officer would not have had lawful authority to make an arrest); </w:t>
      </w:r>
      <w:r w:rsidRPr="00A677E8">
        <w:rPr>
          <w:rFonts w:eastAsia="Times New Roman"/>
          <w:b/>
          <w:sz w:val="24"/>
          <w:szCs w:val="24"/>
        </w:rPr>
        <w:t>People v. Contreras</w:t>
      </w:r>
      <w:r w:rsidRPr="00A677E8">
        <w:rPr>
          <w:rFonts w:eastAsia="Times New Roman"/>
          <w:sz w:val="24"/>
          <w:szCs w:val="24"/>
        </w:rPr>
        <w:t xml:space="preserve">, 780 P.2d 552 (Colo. 1989) (anonymous informant’s tip corroborated by information gained from independent police investigation sufficient evidence of probable cause under the “totality of the circumstances” test); </w:t>
      </w:r>
      <w:r w:rsidRPr="00A677E8">
        <w:rPr>
          <w:rFonts w:eastAsia="Times New Roman"/>
          <w:b/>
          <w:sz w:val="24"/>
          <w:szCs w:val="24"/>
        </w:rPr>
        <w:t>People v. Ratcliff</w:t>
      </w:r>
      <w:r w:rsidRPr="00A677E8">
        <w:rPr>
          <w:rFonts w:eastAsia="Times New Roman"/>
          <w:sz w:val="24"/>
          <w:szCs w:val="24"/>
        </w:rPr>
        <w:t xml:space="preserve">, 778 P.2d 1371 (Colo. 1989) (discusses differences between information required for a valid arrest without a warrant and information required for a valid investigatory stop, i.e., probable cause and reasonable suspicion); </w:t>
      </w:r>
      <w:r w:rsidRPr="00A677E8">
        <w:rPr>
          <w:rFonts w:eastAsia="Times New Roman"/>
          <w:b/>
          <w:sz w:val="24"/>
          <w:szCs w:val="24"/>
        </w:rPr>
        <w:t>People v. Tufts</w:t>
      </w:r>
      <w:r w:rsidRPr="00A677E8">
        <w:rPr>
          <w:rFonts w:eastAsia="Times New Roman"/>
          <w:sz w:val="24"/>
          <w:szCs w:val="24"/>
        </w:rPr>
        <w:t xml:space="preserve">, 717 P.2d 485 (Colo. 1986); </w:t>
      </w:r>
      <w:r w:rsidRPr="00A677E8">
        <w:rPr>
          <w:rFonts w:eastAsia="Times New Roman"/>
          <w:b/>
          <w:sz w:val="24"/>
          <w:szCs w:val="24"/>
        </w:rPr>
        <w:t>People v. Pate</w:t>
      </w:r>
      <w:r w:rsidRPr="00A677E8">
        <w:rPr>
          <w:rFonts w:eastAsia="Times New Roman"/>
          <w:sz w:val="24"/>
          <w:szCs w:val="24"/>
        </w:rPr>
        <w:t xml:space="preserve">, 705 P.2d 519, 521-22 (Colo. 1985) (“Probability, not certainty, is the touchstone of probable cause. . . . [P]robable cause does not mean mathematical probability [but] must be equated with reasonable grounds . . . [giving due] consideration . . . to the law enforcement officer’s knowledge, experience, and training in determining the significance of his observations.”); </w:t>
      </w:r>
      <w:r w:rsidRPr="00A677E8">
        <w:rPr>
          <w:rFonts w:eastAsia="Times New Roman"/>
          <w:b/>
          <w:sz w:val="24"/>
          <w:szCs w:val="24"/>
        </w:rPr>
        <w:t>People v. Florez</w:t>
      </w:r>
      <w:r w:rsidRPr="00A677E8">
        <w:rPr>
          <w:rFonts w:eastAsia="Times New Roman"/>
          <w:sz w:val="24"/>
          <w:szCs w:val="24"/>
        </w:rPr>
        <w:t xml:space="preserve">, 680 P.2d 219 (Colo. 1984) (test is whether facts available to a reasonably cautious officer would warrant belief); </w:t>
      </w:r>
      <w:r w:rsidRPr="00A677E8">
        <w:rPr>
          <w:rFonts w:eastAsia="Times New Roman"/>
          <w:b/>
          <w:sz w:val="24"/>
          <w:szCs w:val="24"/>
        </w:rPr>
        <w:t>People v. Villiard</w:t>
      </w:r>
      <w:r w:rsidRPr="00A677E8">
        <w:rPr>
          <w:rFonts w:eastAsia="Times New Roman"/>
          <w:sz w:val="24"/>
          <w:szCs w:val="24"/>
        </w:rPr>
        <w:t xml:space="preserve">, 679 P.2d 593 (Colo. 1984) (“probable cause” and “reasonable grounds” are equivalent terms); </w:t>
      </w:r>
      <w:r w:rsidRPr="00A677E8">
        <w:rPr>
          <w:rFonts w:eastAsia="Times New Roman"/>
          <w:b/>
          <w:sz w:val="24"/>
          <w:szCs w:val="24"/>
        </w:rPr>
        <w:t>People v. Freeman</w:t>
      </w:r>
      <w:r w:rsidRPr="00A677E8">
        <w:rPr>
          <w:rFonts w:eastAsia="Times New Roman"/>
          <w:sz w:val="24"/>
          <w:szCs w:val="24"/>
        </w:rPr>
        <w:t xml:space="preserve">, 668 P.2d 1371, 1377 (Colo. 1983) (“An officer who does not personally possess sufficient information to constitute probable cause may nevertheless make a valid arrest if he acts upon the direction or as a result of a communication from a fellow officer, and the police, as a whole, possess sufficient information to constitute probable cause.”); </w:t>
      </w:r>
      <w:r w:rsidRPr="00A677E8">
        <w:rPr>
          <w:rFonts w:eastAsia="Times New Roman"/>
          <w:b/>
          <w:sz w:val="24"/>
          <w:szCs w:val="24"/>
        </w:rPr>
        <w:t>People v. Gouker</w:t>
      </w:r>
      <w:r w:rsidRPr="00A677E8">
        <w:rPr>
          <w:rFonts w:eastAsia="Times New Roman"/>
          <w:sz w:val="24"/>
          <w:szCs w:val="24"/>
        </w:rPr>
        <w:t xml:space="preserve">, 665 P.2d 113 (Colo. 1983) (outstanding arrest warrant from another state, if valid, may provide the necessary probable cause to make a warrantless arrest in Colorado, even though the detained person is arrested for a different offense, if the arresting officer was aware of and was at least partially motivated by it); </w:t>
      </w:r>
      <w:r w:rsidRPr="00A677E8">
        <w:rPr>
          <w:rFonts w:eastAsia="Times New Roman"/>
          <w:b/>
          <w:sz w:val="24"/>
          <w:szCs w:val="24"/>
        </w:rPr>
        <w:t>People v. Hazelhurst</w:t>
      </w:r>
      <w:r w:rsidRPr="00A677E8">
        <w:rPr>
          <w:rFonts w:eastAsia="Times New Roman"/>
          <w:sz w:val="24"/>
          <w:szCs w:val="24"/>
        </w:rPr>
        <w:t xml:space="preserve">, 662 P.2d 1081, 1086 (Colo. 1983) (“In assessing probable cause, the totality of the evidence known to the arresting officer, including information obtained from fellow officers, and such other circumstances as support a conclusion that a crime has been committed, may be considered. Admissibility of the evidence relied upon by the trained police officer is not the test.”); </w:t>
      </w:r>
      <w:r w:rsidRPr="00A677E8">
        <w:rPr>
          <w:rFonts w:eastAsia="Times New Roman"/>
          <w:b/>
          <w:sz w:val="24"/>
          <w:szCs w:val="24"/>
        </w:rPr>
        <w:t>People v. Roybal</w:t>
      </w:r>
      <w:r w:rsidRPr="00A677E8">
        <w:rPr>
          <w:rFonts w:eastAsia="Times New Roman"/>
          <w:sz w:val="24"/>
          <w:szCs w:val="24"/>
        </w:rPr>
        <w:t xml:space="preserve">, 655 P.2d 410 (Colo. 1982); </w:t>
      </w:r>
      <w:r w:rsidRPr="00A677E8">
        <w:rPr>
          <w:rFonts w:eastAsia="Times New Roman"/>
          <w:b/>
          <w:sz w:val="24"/>
          <w:szCs w:val="24"/>
        </w:rPr>
        <w:t>People v. Rueda</w:t>
      </w:r>
      <w:r w:rsidRPr="00A677E8">
        <w:rPr>
          <w:rFonts w:eastAsia="Times New Roman"/>
          <w:sz w:val="24"/>
          <w:szCs w:val="24"/>
        </w:rPr>
        <w:t xml:space="preserve">, 649 P.2d 1106, 1108-09 (Colo. 1982) (“Probable cause exists where the facts and circumstances within the arresting officer’s knowledge are sufficient to warrant a person of reasonable caution to believe an offense has been or is being committed. . . . Where [the] officer does not directly observe the criminal activity . . . he may rely on information from a trustworthy informant as an appropriate basis for establishing probable cause . . . .”); </w:t>
      </w:r>
      <w:r w:rsidRPr="00A677E8">
        <w:rPr>
          <w:rFonts w:eastAsia="Times New Roman"/>
          <w:b/>
          <w:sz w:val="24"/>
          <w:szCs w:val="24"/>
        </w:rPr>
        <w:t>Scott v. People</w:t>
      </w:r>
      <w:r w:rsidRPr="00A677E8">
        <w:rPr>
          <w:rFonts w:eastAsia="Times New Roman"/>
          <w:sz w:val="24"/>
          <w:szCs w:val="24"/>
        </w:rPr>
        <w:t xml:space="preserve">, 166 Colo. 432, 444 P.2d 388 (1968); </w:t>
      </w:r>
      <w:r w:rsidRPr="00A677E8">
        <w:rPr>
          <w:rFonts w:eastAsia="Times New Roman"/>
          <w:b/>
          <w:sz w:val="24"/>
          <w:szCs w:val="24"/>
        </w:rPr>
        <w:t>Lavato v. People</w:t>
      </w:r>
      <w:r w:rsidRPr="00A677E8">
        <w:rPr>
          <w:rFonts w:eastAsia="Times New Roman"/>
          <w:sz w:val="24"/>
          <w:szCs w:val="24"/>
        </w:rPr>
        <w:t xml:space="preserve">, 159 Colo. 223, 411 P.2d 328 (1966); </w:t>
      </w:r>
      <w:r w:rsidRPr="00A677E8">
        <w:rPr>
          <w:rFonts w:eastAsia="Times New Roman"/>
          <w:b/>
          <w:sz w:val="24"/>
          <w:szCs w:val="24"/>
        </w:rPr>
        <w:t>Gonzales v. People</w:t>
      </w:r>
      <w:r w:rsidRPr="00A677E8">
        <w:rPr>
          <w:rFonts w:eastAsia="Times New Roman"/>
          <w:sz w:val="24"/>
          <w:szCs w:val="24"/>
        </w:rPr>
        <w:t xml:space="preserve">, 156 Colo. 252, 398 P.2d 236 (1965); </w:t>
      </w:r>
      <w:r w:rsidRPr="00A677E8">
        <w:rPr>
          <w:rFonts w:eastAsia="Times New Roman"/>
          <w:b/>
          <w:sz w:val="24"/>
          <w:szCs w:val="24"/>
        </w:rPr>
        <w:t>Baldwin v. Huber</w:t>
      </w:r>
      <w:r w:rsidRPr="00A677E8">
        <w:rPr>
          <w:rFonts w:eastAsia="Times New Roman"/>
          <w:sz w:val="24"/>
          <w:szCs w:val="24"/>
        </w:rPr>
        <w:t xml:space="preserve">, 223 P.3d 150 (Colo. App. 2009) (circumstantial evidence provided probable cause, even if evidence might also support other inferences); </w:t>
      </w:r>
      <w:r w:rsidRPr="00A677E8">
        <w:rPr>
          <w:rFonts w:eastAsia="Times New Roman"/>
          <w:b/>
          <w:sz w:val="24"/>
          <w:szCs w:val="24"/>
        </w:rPr>
        <w:t>People v. Robinson</w:t>
      </w:r>
      <w:r w:rsidRPr="00A677E8">
        <w:rPr>
          <w:rFonts w:eastAsia="Times New Roman"/>
          <w:sz w:val="24"/>
          <w:szCs w:val="24"/>
        </w:rPr>
        <w:t xml:space="preserve">, 226 P.3d 1145 (Colo. App. 2009) (informant’s reliability, veracity, and basis for knowledge, corroborated by other evidence, adequate to support probable cause); </w:t>
      </w:r>
      <w:r w:rsidRPr="00A677E8">
        <w:rPr>
          <w:rFonts w:eastAsia="Times New Roman"/>
          <w:b/>
          <w:sz w:val="24"/>
          <w:szCs w:val="24"/>
        </w:rPr>
        <w:t>People v. Holmberg</w:t>
      </w:r>
      <w:r w:rsidRPr="00A677E8">
        <w:rPr>
          <w:rFonts w:eastAsia="Times New Roman"/>
          <w:sz w:val="24"/>
          <w:szCs w:val="24"/>
        </w:rPr>
        <w:t xml:space="preserve">, 992 P.2d 705 (Colo. App. 1999); </w:t>
      </w:r>
      <w:r w:rsidRPr="00A677E8">
        <w:rPr>
          <w:rFonts w:eastAsia="Times New Roman"/>
          <w:b/>
          <w:sz w:val="24"/>
          <w:szCs w:val="24"/>
        </w:rPr>
        <w:t>Rose v. City &amp; County of Denver</w:t>
      </w:r>
      <w:r w:rsidRPr="00A677E8">
        <w:rPr>
          <w:rFonts w:eastAsia="Times New Roman"/>
          <w:sz w:val="24"/>
          <w:szCs w:val="24"/>
        </w:rPr>
        <w:t>,</w:t>
      </w:r>
      <w:r w:rsidRPr="00A677E8">
        <w:rPr>
          <w:rFonts w:eastAsia="Times New Roman"/>
          <w:b/>
          <w:sz w:val="24"/>
          <w:szCs w:val="24"/>
        </w:rPr>
        <w:t xml:space="preserve"> </w:t>
      </w:r>
      <w:r w:rsidRPr="00A677E8">
        <w:rPr>
          <w:rFonts w:eastAsia="Times New Roman"/>
          <w:sz w:val="24"/>
          <w:szCs w:val="24"/>
        </w:rPr>
        <w:t xml:space="preserve">990 P.2d 1120 (Colo. App. 1999); </w:t>
      </w:r>
      <w:r w:rsidRPr="00A677E8">
        <w:rPr>
          <w:rFonts w:eastAsia="Times New Roman"/>
          <w:b/>
          <w:sz w:val="24"/>
          <w:szCs w:val="24"/>
        </w:rPr>
        <w:t>People v. Fears</w:t>
      </w:r>
      <w:r w:rsidRPr="00A677E8">
        <w:rPr>
          <w:rFonts w:eastAsia="Times New Roman"/>
          <w:sz w:val="24"/>
          <w:szCs w:val="24"/>
        </w:rPr>
        <w:t xml:space="preserve">, 962 P.2d 272 (Colo. App. 1997); </w:t>
      </w:r>
      <w:r w:rsidRPr="00A677E8">
        <w:rPr>
          <w:rFonts w:eastAsia="Times New Roman"/>
          <w:b/>
          <w:sz w:val="24"/>
          <w:szCs w:val="24"/>
        </w:rPr>
        <w:t>People v. Quintana</w:t>
      </w:r>
      <w:r w:rsidRPr="00A677E8">
        <w:rPr>
          <w:rFonts w:eastAsia="Times New Roman"/>
          <w:sz w:val="24"/>
          <w:szCs w:val="24"/>
        </w:rPr>
        <w:t xml:space="preserve">, 701 P.2d 1264 (Colo. App. 1985); </w:t>
      </w:r>
      <w:r w:rsidRPr="00A677E8">
        <w:rPr>
          <w:rFonts w:eastAsia="Times New Roman"/>
          <w:b/>
          <w:sz w:val="24"/>
          <w:szCs w:val="24"/>
        </w:rPr>
        <w:t>People v. Lesko</w:t>
      </w:r>
      <w:r w:rsidRPr="00A677E8">
        <w:rPr>
          <w:rFonts w:eastAsia="Times New Roman"/>
          <w:sz w:val="24"/>
          <w:szCs w:val="24"/>
        </w:rPr>
        <w:t xml:space="preserve">, 701 P.2d 638 (Colo. App. 1985); and </w:t>
      </w:r>
      <w:r w:rsidRPr="00A677E8">
        <w:rPr>
          <w:rFonts w:eastAsia="Times New Roman"/>
          <w:b/>
          <w:sz w:val="24"/>
          <w:szCs w:val="24"/>
        </w:rPr>
        <w:t>People v. Cook</w:t>
      </w:r>
      <w:r w:rsidRPr="00A677E8">
        <w:rPr>
          <w:rFonts w:eastAsia="Times New Roman"/>
          <w:sz w:val="24"/>
          <w:szCs w:val="24"/>
        </w:rPr>
        <w:t>,</w:t>
      </w:r>
      <w:r w:rsidRPr="00A677E8">
        <w:rPr>
          <w:rFonts w:eastAsia="Times New Roman"/>
          <w:b/>
          <w:sz w:val="24"/>
          <w:szCs w:val="24"/>
        </w:rPr>
        <w:t xml:space="preserve"> </w:t>
      </w:r>
      <w:r w:rsidRPr="00A677E8">
        <w:rPr>
          <w:rFonts w:eastAsia="Times New Roman"/>
          <w:sz w:val="24"/>
          <w:szCs w:val="24"/>
        </w:rPr>
        <w:t>665 P.2d 640, 643 (Colo.</w:t>
      </w:r>
      <w:r w:rsidR="0032367C">
        <w:rPr>
          <w:rFonts w:eastAsia="Times New Roman"/>
          <w:sz w:val="24"/>
          <w:szCs w:val="24"/>
        </w:rPr>
        <w:t xml:space="preserve"> </w:t>
      </w:r>
      <w:r w:rsidRPr="00A677E8">
        <w:rPr>
          <w:rFonts w:eastAsia="Times New Roman"/>
          <w:sz w:val="24"/>
          <w:szCs w:val="24"/>
        </w:rPr>
        <w:t xml:space="preserve">App. 1983) (“Probable cause may be [based on] hearsay . . . . But, where the information originates from an anonymous informer, the information supplied must contain sufficient facts to establish the basis for [the informer’s] knowledge of criminal activity and also must establish adequate circumstances to justify the officer’s belief in the informer’s credibility or the reliability of the information.”). </w:t>
      </w:r>
      <w:r w:rsidRPr="00A677E8">
        <w:rPr>
          <w:rFonts w:eastAsia="Times New Roman"/>
          <w:i/>
          <w:sz w:val="24"/>
          <w:szCs w:val="24"/>
        </w:rPr>
        <w:t>See also</w:t>
      </w:r>
      <w:r w:rsidRPr="00A677E8">
        <w:rPr>
          <w:rFonts w:eastAsia="Times New Roman"/>
          <w:sz w:val="24"/>
          <w:szCs w:val="24"/>
        </w:rPr>
        <w:t xml:space="preserve"> § 18-1-707(4), C.R.S.; </w:t>
      </w:r>
      <w:r w:rsidRPr="00A677E8">
        <w:rPr>
          <w:rFonts w:eastAsia="Times New Roman"/>
          <w:smallCaps/>
          <w:sz w:val="24"/>
          <w:szCs w:val="24"/>
        </w:rPr>
        <w:t>Restatement (Second) of Torts</w:t>
      </w:r>
      <w:r w:rsidRPr="00A677E8">
        <w:rPr>
          <w:rFonts w:eastAsia="Times New Roman"/>
          <w:sz w:val="24"/>
          <w:szCs w:val="24"/>
        </w:rPr>
        <w:t xml:space="preserve"> § 119 cmt. j (1965); 1 </w:t>
      </w:r>
      <w:r w:rsidRPr="00A677E8">
        <w:rPr>
          <w:rFonts w:eastAsia="Times New Roman"/>
          <w:smallCaps/>
          <w:sz w:val="24"/>
          <w:szCs w:val="24"/>
        </w:rPr>
        <w:t>F. Harper</w:t>
      </w:r>
      <w:r>
        <w:rPr>
          <w:rFonts w:eastAsia="Times New Roman"/>
          <w:smallCaps/>
          <w:sz w:val="24"/>
          <w:szCs w:val="24"/>
        </w:rPr>
        <w:t xml:space="preserve"> et al., H</w:t>
      </w:r>
      <w:r w:rsidRPr="00A677E8">
        <w:rPr>
          <w:rFonts w:eastAsia="Times New Roman"/>
          <w:smallCaps/>
          <w:sz w:val="24"/>
          <w:szCs w:val="24"/>
        </w:rPr>
        <w:t>arper, James, and Gray on Torts</w:t>
      </w:r>
      <w:r w:rsidRPr="00A677E8">
        <w:rPr>
          <w:rFonts w:eastAsia="Times New Roman"/>
          <w:sz w:val="24"/>
          <w:szCs w:val="24"/>
        </w:rPr>
        <w:t xml:space="preserve"> § 3.18 (3d ed. 2006).</w:t>
      </w:r>
    </w:p>
    <w:p w:rsidR="00A677E8" w:rsidRDefault="00A677E8">
      <w:pPr>
        <w:rPr>
          <w:rFonts w:eastAsia="Times New Roman"/>
          <w:sz w:val="24"/>
          <w:szCs w:val="24"/>
        </w:rPr>
      </w:pPr>
      <w:r>
        <w:rPr>
          <w:rFonts w:eastAsia="Times New Roman"/>
          <w:sz w:val="24"/>
          <w:szCs w:val="24"/>
        </w:rPr>
        <w:br w:type="page"/>
      </w:r>
    </w:p>
    <w:p w:rsidR="00A677E8" w:rsidRPr="009E3DA4" w:rsidRDefault="00A677E8" w:rsidP="00A677E8">
      <w:pPr>
        <w:spacing w:after="240"/>
        <w:ind w:left="720" w:hanging="720"/>
        <w:rPr>
          <w:rFonts w:eastAsia="Times New Roman"/>
          <w:b/>
          <w:sz w:val="24"/>
          <w:szCs w:val="24"/>
        </w:rPr>
      </w:pPr>
      <w:bookmarkStart w:id="14" w:name="a21_14"/>
      <w:bookmarkEnd w:id="14"/>
      <w:r w:rsidRPr="00A677E8">
        <w:rPr>
          <w:rFonts w:eastAsia="Times New Roman"/>
          <w:b/>
          <w:sz w:val="24"/>
          <w:szCs w:val="24"/>
        </w:rPr>
        <w:t xml:space="preserve">21:14 </w:t>
      </w:r>
      <w:r w:rsidRPr="00A677E8">
        <w:rPr>
          <w:rFonts w:eastAsia="Times New Roman"/>
          <w:b/>
          <w:sz w:val="24"/>
          <w:szCs w:val="24"/>
        </w:rPr>
        <w:tab/>
        <w:t>FRESH PURSUIT — DEFINED</w:t>
      </w:r>
    </w:p>
    <w:p w:rsidR="00A677E8" w:rsidRPr="00A677E8" w:rsidRDefault="00A677E8" w:rsidP="00A677E8">
      <w:pPr>
        <w:spacing w:after="240"/>
        <w:ind w:firstLine="720"/>
        <w:rPr>
          <w:rFonts w:eastAsia="Times New Roman"/>
          <w:b/>
          <w:sz w:val="24"/>
          <w:szCs w:val="24"/>
        </w:rPr>
      </w:pPr>
      <w:r w:rsidRPr="00A677E8">
        <w:rPr>
          <w:rFonts w:eastAsia="Times New Roman"/>
          <w:b/>
          <w:sz w:val="24"/>
          <w:szCs w:val="24"/>
        </w:rPr>
        <w:t>“Fresh pursuit” means the pursuit without unnecessary delay of a person who has committed a criminal offense, or who is reasonably believed to have committed a criminal offense.</w:t>
      </w:r>
    </w:p>
    <w:p w:rsidR="00A677E8" w:rsidRDefault="00A677E8" w:rsidP="00A677E8">
      <w:pPr>
        <w:jc w:val="center"/>
        <w:rPr>
          <w:rFonts w:eastAsia="Times New Roman"/>
          <w:sz w:val="24"/>
          <w:szCs w:val="24"/>
        </w:rPr>
      </w:pPr>
    </w:p>
    <w:p w:rsidR="00A677E8" w:rsidRPr="0054263B" w:rsidRDefault="00A677E8" w:rsidP="00A677E8">
      <w:pPr>
        <w:keepNext/>
        <w:spacing w:after="240"/>
        <w:jc w:val="center"/>
        <w:rPr>
          <w:rFonts w:eastAsia="Times New Roman"/>
          <w:b/>
          <w:sz w:val="24"/>
          <w:szCs w:val="24"/>
        </w:rPr>
      </w:pPr>
      <w:r w:rsidRPr="0054263B">
        <w:rPr>
          <w:rFonts w:eastAsia="Times New Roman"/>
          <w:b/>
          <w:sz w:val="24"/>
          <w:szCs w:val="24"/>
        </w:rPr>
        <w:t>Notes on Use</w:t>
      </w:r>
    </w:p>
    <w:p w:rsidR="00A677E8" w:rsidRPr="00A677E8" w:rsidRDefault="00A677E8" w:rsidP="00A677E8">
      <w:pPr>
        <w:spacing w:after="240"/>
        <w:ind w:firstLine="720"/>
        <w:rPr>
          <w:rFonts w:eastAsia="Times New Roman"/>
          <w:sz w:val="24"/>
          <w:szCs w:val="24"/>
        </w:rPr>
      </w:pPr>
      <w:r w:rsidRPr="00A677E8">
        <w:rPr>
          <w:rFonts w:eastAsia="Times New Roman"/>
          <w:sz w:val="24"/>
          <w:szCs w:val="24"/>
        </w:rPr>
        <w:t>When applicable, this instruction should be used in conjunction with Instruction 21:10, or with Instruction 21:11 or 21:15 when there is a question of the officer’s authority to make an arrest beyond the territorial limits of the officer’s normal authority under section 16-3-106 or section 16-3-104(2), C.R.S.</w:t>
      </w:r>
    </w:p>
    <w:p w:rsidR="00A677E8" w:rsidRPr="0054263B" w:rsidRDefault="00A677E8" w:rsidP="00A677E8">
      <w:pPr>
        <w:keepNext/>
        <w:spacing w:after="240"/>
        <w:jc w:val="center"/>
        <w:rPr>
          <w:rFonts w:eastAsia="Times New Roman"/>
          <w:b/>
          <w:sz w:val="24"/>
          <w:szCs w:val="24"/>
        </w:rPr>
      </w:pPr>
      <w:r>
        <w:rPr>
          <w:rFonts w:eastAsia="Times New Roman"/>
          <w:b/>
          <w:sz w:val="24"/>
          <w:szCs w:val="24"/>
        </w:rPr>
        <w:t>Source and Authority</w:t>
      </w:r>
    </w:p>
    <w:p w:rsidR="00A677E8" w:rsidRPr="00A677E8" w:rsidRDefault="00A677E8" w:rsidP="00A677E8">
      <w:pPr>
        <w:spacing w:after="240"/>
        <w:ind w:firstLine="720"/>
        <w:rPr>
          <w:rFonts w:eastAsia="Times New Roman"/>
          <w:sz w:val="24"/>
          <w:szCs w:val="24"/>
        </w:rPr>
      </w:pPr>
      <w:r w:rsidRPr="00A677E8">
        <w:rPr>
          <w:rFonts w:eastAsia="Times New Roman"/>
          <w:sz w:val="24"/>
          <w:szCs w:val="24"/>
        </w:rPr>
        <w:t xml:space="preserve">1. This instruction is supported by the statutory definition in section 16-3-104(1)(c) (arrest by a peace officer from another jurisdiction), and </w:t>
      </w:r>
      <w:r w:rsidRPr="00A677E8">
        <w:rPr>
          <w:rFonts w:eastAsia="Times New Roman"/>
          <w:b/>
          <w:sz w:val="24"/>
          <w:szCs w:val="24"/>
        </w:rPr>
        <w:t>Charnes v. Arnold</w:t>
      </w:r>
      <w:r w:rsidRPr="00A677E8">
        <w:rPr>
          <w:rFonts w:eastAsia="Times New Roman"/>
          <w:sz w:val="24"/>
          <w:szCs w:val="24"/>
        </w:rPr>
        <w:t xml:space="preserve">, 198 Colo. 362, 600 P.2d 64 (1979) (interpreting section 16-3-104(1)(c)). </w:t>
      </w:r>
      <w:r w:rsidRPr="00A677E8">
        <w:rPr>
          <w:rFonts w:eastAsia="Times New Roman"/>
          <w:i/>
          <w:sz w:val="24"/>
          <w:szCs w:val="24"/>
        </w:rPr>
        <w:t>See also</w:t>
      </w:r>
      <w:r w:rsidRPr="00A677E8">
        <w:rPr>
          <w:rFonts w:eastAsia="Times New Roman"/>
          <w:sz w:val="24"/>
          <w:szCs w:val="24"/>
        </w:rPr>
        <w:t xml:space="preserve"> </w:t>
      </w:r>
      <w:r w:rsidRPr="00A677E8">
        <w:rPr>
          <w:rFonts w:eastAsia="Times New Roman"/>
          <w:smallCaps/>
          <w:sz w:val="24"/>
          <w:szCs w:val="24"/>
        </w:rPr>
        <w:t>Restatement (Second) of Torts</w:t>
      </w:r>
      <w:r w:rsidRPr="00A677E8">
        <w:rPr>
          <w:rFonts w:eastAsia="Times New Roman"/>
          <w:sz w:val="24"/>
          <w:szCs w:val="24"/>
        </w:rPr>
        <w:t xml:space="preserve"> § 119 cmt. q (1965).</w:t>
      </w:r>
    </w:p>
    <w:p w:rsidR="00A677E8" w:rsidRPr="00A677E8" w:rsidRDefault="00A677E8" w:rsidP="00A677E8">
      <w:pPr>
        <w:spacing w:after="240"/>
        <w:ind w:firstLine="720"/>
        <w:rPr>
          <w:rFonts w:eastAsia="Times New Roman"/>
          <w:sz w:val="24"/>
          <w:szCs w:val="24"/>
        </w:rPr>
      </w:pPr>
      <w:r w:rsidRPr="00A677E8">
        <w:rPr>
          <w:rFonts w:eastAsia="Times New Roman"/>
          <w:sz w:val="24"/>
          <w:szCs w:val="24"/>
        </w:rPr>
        <w:t xml:space="preserve">2. Unless the officer was acting under authority conferred by section 16-3-110, C.R.S. (authority of full-time, certified peace officer to make an arrest outside the jurisdiction of the law enforcement agency employing the officer of a person who has or is committing a felony or misdemeanor in the officer’s presence), to make a valid arrest as a peace officer without a warrant under section 16-3-102, C.R.S., outside the territorial limits of the peace officer’s jurisdictional authority, the officer must have been engaged in fresh pursuit as required by sections 16-3-104(2) and 16-3-106. </w:t>
      </w:r>
      <w:r w:rsidRPr="00A677E8">
        <w:rPr>
          <w:rFonts w:eastAsia="Times New Roman"/>
          <w:i/>
          <w:sz w:val="24"/>
          <w:szCs w:val="24"/>
        </w:rPr>
        <w:t>See</w:t>
      </w:r>
      <w:r w:rsidRPr="00A677E8">
        <w:rPr>
          <w:rFonts w:eastAsia="Times New Roman"/>
          <w:sz w:val="24"/>
          <w:szCs w:val="24"/>
        </w:rPr>
        <w:t xml:space="preserve"> </w:t>
      </w:r>
      <w:r w:rsidRPr="00A677E8">
        <w:rPr>
          <w:rFonts w:eastAsia="Times New Roman"/>
          <w:b/>
          <w:sz w:val="24"/>
          <w:szCs w:val="24"/>
        </w:rPr>
        <w:t>People v. Wolf</w:t>
      </w:r>
      <w:r w:rsidRPr="00A677E8">
        <w:rPr>
          <w:rFonts w:eastAsia="Times New Roman"/>
          <w:sz w:val="24"/>
          <w:szCs w:val="24"/>
        </w:rPr>
        <w:t>,</w:t>
      </w:r>
      <w:r w:rsidRPr="00A677E8">
        <w:rPr>
          <w:rFonts w:eastAsia="Times New Roman"/>
          <w:b/>
          <w:sz w:val="24"/>
          <w:szCs w:val="24"/>
        </w:rPr>
        <w:t xml:space="preserve"> </w:t>
      </w:r>
      <w:r w:rsidRPr="00A677E8">
        <w:rPr>
          <w:rFonts w:eastAsia="Times New Roman"/>
          <w:sz w:val="24"/>
          <w:szCs w:val="24"/>
        </w:rPr>
        <w:t xml:space="preserve">635 P.2d 213 (Colo. 1981) (arrests without a warrant); </w:t>
      </w:r>
      <w:r w:rsidRPr="00A677E8">
        <w:rPr>
          <w:rFonts w:eastAsia="Times New Roman"/>
          <w:b/>
          <w:sz w:val="24"/>
          <w:szCs w:val="24"/>
        </w:rPr>
        <w:t>People v. Hamilton</w:t>
      </w:r>
      <w:r w:rsidRPr="00A677E8">
        <w:rPr>
          <w:rFonts w:eastAsia="Times New Roman"/>
          <w:sz w:val="24"/>
          <w:szCs w:val="24"/>
        </w:rPr>
        <w:t>, 666 P.2d 152 (Colo. 1983) (arrests with a warrant). In the absence of fresh pursuit, public officers acting outside their territorial jurisdictions must obtain the aid of local officers who have authority to make arrests in the “foreign” jurisdiction. It is immaterial, however, who executes the arrest warrant, provided that individuals with lawful authority to make an arrest are actually present at the scene of the arrest and participate in the arrest process</w:t>
      </w:r>
      <w:r w:rsidRPr="00A677E8">
        <w:rPr>
          <w:rFonts w:eastAsia="Times New Roman"/>
          <w:i/>
          <w:sz w:val="24"/>
          <w:szCs w:val="24"/>
        </w:rPr>
        <w:t>.</w:t>
      </w:r>
      <w:r w:rsidRPr="00A677E8">
        <w:rPr>
          <w:rFonts w:eastAsia="Times New Roman"/>
          <w:sz w:val="24"/>
          <w:szCs w:val="24"/>
        </w:rPr>
        <w:t xml:space="preserve"> </w:t>
      </w:r>
      <w:r w:rsidRPr="00A677E8">
        <w:rPr>
          <w:rFonts w:eastAsia="Times New Roman"/>
          <w:b/>
          <w:sz w:val="24"/>
          <w:szCs w:val="24"/>
        </w:rPr>
        <w:t>People v. Florez</w:t>
      </w:r>
      <w:r w:rsidRPr="00A677E8">
        <w:rPr>
          <w:rFonts w:eastAsia="Times New Roman"/>
          <w:sz w:val="24"/>
          <w:szCs w:val="24"/>
        </w:rPr>
        <w:t>, 680 P.2d 219 (Colo. 1984).</w:t>
      </w:r>
    </w:p>
    <w:p w:rsidR="00A677E8" w:rsidRPr="00A677E8" w:rsidRDefault="00A677E8" w:rsidP="00A677E8">
      <w:pPr>
        <w:spacing w:after="240"/>
        <w:ind w:firstLine="720"/>
        <w:rPr>
          <w:rFonts w:eastAsia="Times New Roman"/>
          <w:sz w:val="24"/>
          <w:szCs w:val="24"/>
        </w:rPr>
      </w:pPr>
      <w:r w:rsidRPr="00A677E8">
        <w:rPr>
          <w:rFonts w:eastAsia="Times New Roman"/>
          <w:sz w:val="24"/>
          <w:szCs w:val="24"/>
        </w:rPr>
        <w:t xml:space="preserve">3. A police officer in “fresh pursuit” is only authorized to make an extra-territorial warrantless arrest if, at the time the pursued party crosses the territorial boundary, the officer has probable cause to believe that the pursued party has committed a crime. </w:t>
      </w:r>
      <w:r w:rsidRPr="00A677E8">
        <w:rPr>
          <w:rFonts w:eastAsia="Times New Roman"/>
          <w:b/>
          <w:sz w:val="24"/>
          <w:szCs w:val="24"/>
        </w:rPr>
        <w:t>People v. McKay</w:t>
      </w:r>
      <w:r w:rsidRPr="00A677E8">
        <w:rPr>
          <w:rFonts w:eastAsia="Times New Roman"/>
          <w:sz w:val="24"/>
          <w:szCs w:val="24"/>
        </w:rPr>
        <w:t>, 10 P.3d 704 (Colo. App. 2000).</w:t>
      </w:r>
    </w:p>
    <w:p w:rsidR="00A677E8" w:rsidRDefault="00A677E8">
      <w:pPr>
        <w:rPr>
          <w:rFonts w:eastAsia="Times New Roman"/>
          <w:sz w:val="24"/>
          <w:szCs w:val="24"/>
        </w:rPr>
      </w:pPr>
      <w:r>
        <w:rPr>
          <w:rFonts w:eastAsia="Times New Roman"/>
          <w:sz w:val="24"/>
          <w:szCs w:val="24"/>
        </w:rPr>
        <w:br w:type="page"/>
      </w:r>
    </w:p>
    <w:p w:rsidR="00A677E8" w:rsidRPr="009E3DA4" w:rsidRDefault="00A677E8" w:rsidP="00A677E8">
      <w:pPr>
        <w:spacing w:after="240"/>
        <w:ind w:left="720" w:hanging="720"/>
        <w:rPr>
          <w:rFonts w:eastAsia="Times New Roman"/>
          <w:b/>
          <w:sz w:val="24"/>
          <w:szCs w:val="24"/>
        </w:rPr>
      </w:pPr>
      <w:bookmarkStart w:id="15" w:name="a21_15"/>
      <w:bookmarkEnd w:id="15"/>
      <w:r w:rsidRPr="00A677E8">
        <w:rPr>
          <w:rFonts w:eastAsia="Times New Roman"/>
          <w:b/>
          <w:sz w:val="24"/>
          <w:szCs w:val="24"/>
        </w:rPr>
        <w:t xml:space="preserve">21:15 </w:t>
      </w:r>
      <w:r w:rsidRPr="00A677E8">
        <w:rPr>
          <w:rFonts w:eastAsia="Times New Roman"/>
          <w:b/>
          <w:sz w:val="24"/>
          <w:szCs w:val="24"/>
        </w:rPr>
        <w:tab/>
        <w:t>PRIVILEGE TO ARREST WITH A WARRANT</w:t>
      </w:r>
    </w:p>
    <w:p w:rsidR="00A677E8" w:rsidRPr="00A677E8" w:rsidRDefault="00A677E8" w:rsidP="00A677E8">
      <w:pPr>
        <w:spacing w:after="240"/>
        <w:ind w:firstLine="720"/>
        <w:rPr>
          <w:rFonts w:eastAsia="Times New Roman"/>
          <w:b/>
          <w:sz w:val="24"/>
          <w:szCs w:val="24"/>
        </w:rPr>
      </w:pPr>
      <w:r w:rsidRPr="00A677E8">
        <w:rPr>
          <w:rFonts w:eastAsia="Times New Roman"/>
          <w:b/>
          <w:sz w:val="24"/>
          <w:szCs w:val="24"/>
        </w:rPr>
        <w:t xml:space="preserve">The defendant, </w:t>
      </w:r>
      <w:r w:rsidRPr="00A677E8">
        <w:rPr>
          <w:rFonts w:eastAsia="Times New Roman"/>
          <w:i/>
          <w:sz w:val="24"/>
          <w:szCs w:val="24"/>
        </w:rPr>
        <w:t>(name)</w:t>
      </w:r>
      <w:r w:rsidRPr="00A677E8">
        <w:rPr>
          <w:rFonts w:eastAsia="Times New Roman"/>
          <w:b/>
          <w:sz w:val="24"/>
          <w:szCs w:val="24"/>
        </w:rPr>
        <w:t xml:space="preserve">, is not legally responsible to the plaintiff, </w:t>
      </w:r>
      <w:r w:rsidRPr="00A677E8">
        <w:rPr>
          <w:rFonts w:eastAsia="Times New Roman"/>
          <w:i/>
          <w:sz w:val="24"/>
          <w:szCs w:val="24"/>
        </w:rPr>
        <w:t>(name)</w:t>
      </w:r>
      <w:r w:rsidRPr="00A677E8">
        <w:rPr>
          <w:rFonts w:eastAsia="Times New Roman"/>
          <w:b/>
          <w:sz w:val="24"/>
          <w:szCs w:val="24"/>
        </w:rPr>
        <w:t>, on (his) (her) claim of (false imprisonment) (false arrest) if the affirmative defense of a privilege to arrest with a warrant is proved (and you do not find such privilege, if any, was abused). This defense is proved if you find all of the following:</w:t>
      </w:r>
    </w:p>
    <w:p w:rsidR="00A677E8" w:rsidRPr="00A677E8" w:rsidRDefault="00A677E8" w:rsidP="00A677E8">
      <w:pPr>
        <w:spacing w:after="240"/>
        <w:ind w:firstLine="720"/>
        <w:rPr>
          <w:rFonts w:eastAsia="Times New Roman"/>
          <w:b/>
          <w:sz w:val="24"/>
          <w:szCs w:val="24"/>
        </w:rPr>
      </w:pPr>
      <w:r w:rsidRPr="00A677E8">
        <w:rPr>
          <w:rFonts w:eastAsia="Times New Roman"/>
          <w:b/>
          <w:sz w:val="24"/>
          <w:szCs w:val="24"/>
        </w:rPr>
        <w:t>(1. The warrant was [valid] [or] [appeared to be valid];)</w:t>
      </w:r>
    </w:p>
    <w:p w:rsidR="00A677E8" w:rsidRPr="00A677E8" w:rsidRDefault="00A677E8" w:rsidP="00A677E8">
      <w:pPr>
        <w:spacing w:after="240"/>
        <w:ind w:firstLine="720"/>
        <w:rPr>
          <w:rFonts w:eastAsia="Times New Roman"/>
          <w:b/>
          <w:sz w:val="24"/>
          <w:szCs w:val="24"/>
        </w:rPr>
      </w:pPr>
      <w:r w:rsidRPr="00A677E8">
        <w:rPr>
          <w:rFonts w:eastAsia="Times New Roman"/>
          <w:b/>
          <w:sz w:val="24"/>
          <w:szCs w:val="24"/>
        </w:rPr>
        <w:t>2. The plaintiff was the person for whose arrest the warrant was issued (or the plaintiff knew that [his] [her] conduct would cause the defendant to assume [he] [she] was);</w:t>
      </w:r>
    </w:p>
    <w:p w:rsidR="00A677E8" w:rsidRPr="00A677E8" w:rsidRDefault="00A677E8" w:rsidP="00A677E8">
      <w:pPr>
        <w:spacing w:after="240"/>
        <w:ind w:firstLine="720"/>
        <w:rPr>
          <w:rFonts w:eastAsia="Times New Roman"/>
          <w:b/>
          <w:sz w:val="24"/>
          <w:szCs w:val="24"/>
        </w:rPr>
      </w:pPr>
      <w:r w:rsidRPr="00A677E8">
        <w:rPr>
          <w:rFonts w:eastAsia="Times New Roman"/>
          <w:b/>
          <w:sz w:val="24"/>
          <w:szCs w:val="24"/>
        </w:rPr>
        <w:t>3. The arrest was made within the territory in which the (court) (official) issuing the warrant had authority to order the arrest;</w:t>
      </w:r>
    </w:p>
    <w:p w:rsidR="00A677E8" w:rsidRPr="00A677E8" w:rsidRDefault="00A677E8" w:rsidP="00A677E8">
      <w:pPr>
        <w:spacing w:after="240"/>
        <w:ind w:firstLine="720"/>
        <w:rPr>
          <w:rFonts w:eastAsia="Times New Roman"/>
          <w:b/>
          <w:sz w:val="24"/>
          <w:szCs w:val="24"/>
        </w:rPr>
      </w:pPr>
      <w:r w:rsidRPr="00A677E8">
        <w:rPr>
          <w:rFonts w:eastAsia="Times New Roman"/>
          <w:b/>
          <w:sz w:val="24"/>
          <w:szCs w:val="24"/>
        </w:rPr>
        <w:t>4. (The defendant had possession of the warrant at the time of the arrest and [he] [she] showed it to the plaintiff immediately upon plaintiff’s request, if any) (or) (if defendant did not have possession of the warrant, [he] [she] informed plaintiff of the alleged offense and that a warrant had been issued and that upon the plaintiff’s request [he] [she] would show [him] [her] the warrant as soon as possible);</w:t>
      </w:r>
    </w:p>
    <w:p w:rsidR="00A677E8" w:rsidRPr="00A677E8" w:rsidRDefault="00A677E8" w:rsidP="00A677E8">
      <w:pPr>
        <w:spacing w:after="240"/>
        <w:ind w:firstLine="720"/>
        <w:rPr>
          <w:rFonts w:eastAsia="Times New Roman"/>
          <w:b/>
          <w:sz w:val="24"/>
          <w:szCs w:val="24"/>
        </w:rPr>
      </w:pPr>
      <w:r w:rsidRPr="00A677E8">
        <w:rPr>
          <w:rFonts w:eastAsia="Times New Roman"/>
          <w:b/>
          <w:sz w:val="24"/>
          <w:szCs w:val="24"/>
        </w:rPr>
        <w:t>5. The defendant was a person authorized to execute the warrant within the territory where the arrest was made; and</w:t>
      </w:r>
    </w:p>
    <w:p w:rsidR="00A677E8" w:rsidRPr="00A677E8" w:rsidRDefault="00A677E8" w:rsidP="00A677E8">
      <w:pPr>
        <w:spacing w:after="240"/>
        <w:ind w:firstLine="720"/>
        <w:rPr>
          <w:rFonts w:eastAsia="Times New Roman"/>
          <w:b/>
          <w:sz w:val="24"/>
          <w:szCs w:val="24"/>
        </w:rPr>
      </w:pPr>
      <w:r w:rsidRPr="00A677E8">
        <w:rPr>
          <w:rFonts w:eastAsia="Times New Roman"/>
          <w:b/>
          <w:sz w:val="24"/>
          <w:szCs w:val="24"/>
        </w:rPr>
        <w:t>6. The defendant indicated (his) (her) intent to arrest the plaintiff by (his) (her) appearance, words, or conduct (or if the defendant did not have to indicate that intent at the time of the arrest, [he] [she] did so at the first reasonable opportunity).</w:t>
      </w:r>
    </w:p>
    <w:p w:rsidR="00A677E8" w:rsidRDefault="00A677E8" w:rsidP="00A677E8">
      <w:pPr>
        <w:jc w:val="center"/>
        <w:rPr>
          <w:rFonts w:eastAsia="Times New Roman"/>
          <w:sz w:val="24"/>
          <w:szCs w:val="24"/>
        </w:rPr>
      </w:pPr>
    </w:p>
    <w:p w:rsidR="00A677E8" w:rsidRPr="0054263B" w:rsidRDefault="00A677E8" w:rsidP="00A677E8">
      <w:pPr>
        <w:keepNext/>
        <w:spacing w:after="240"/>
        <w:jc w:val="center"/>
        <w:rPr>
          <w:rFonts w:eastAsia="Times New Roman"/>
          <w:b/>
          <w:sz w:val="24"/>
          <w:szCs w:val="24"/>
        </w:rPr>
      </w:pPr>
      <w:r w:rsidRPr="0054263B">
        <w:rPr>
          <w:rFonts w:eastAsia="Times New Roman"/>
          <w:b/>
          <w:sz w:val="24"/>
          <w:szCs w:val="24"/>
        </w:rPr>
        <w:t>Notes on Use</w:t>
      </w:r>
    </w:p>
    <w:p w:rsidR="00A677E8" w:rsidRPr="00A677E8" w:rsidRDefault="00A677E8" w:rsidP="00A677E8">
      <w:pPr>
        <w:spacing w:after="240"/>
        <w:ind w:firstLine="720"/>
        <w:rPr>
          <w:rFonts w:eastAsia="Times New Roman"/>
          <w:sz w:val="24"/>
          <w:szCs w:val="24"/>
        </w:rPr>
      </w:pPr>
      <w:r w:rsidRPr="00A677E8">
        <w:rPr>
          <w:rFonts w:eastAsia="Times New Roman"/>
          <w:sz w:val="24"/>
          <w:szCs w:val="24"/>
        </w:rPr>
        <w:t>1. In the first paragraph use whichever parenthesized phrase, “false imprisonment” or “false arrest,” is more appropriate and omit the parenthesized phrase relating to abuse unless there is evidence to support it.</w:t>
      </w:r>
    </w:p>
    <w:p w:rsidR="00A677E8" w:rsidRPr="00A677E8" w:rsidRDefault="00A677E8" w:rsidP="00A677E8">
      <w:pPr>
        <w:spacing w:after="240"/>
        <w:ind w:firstLine="720"/>
        <w:rPr>
          <w:rFonts w:eastAsia="Times New Roman"/>
          <w:sz w:val="24"/>
          <w:szCs w:val="24"/>
        </w:rPr>
      </w:pPr>
      <w:r w:rsidRPr="00A677E8">
        <w:rPr>
          <w:rFonts w:eastAsia="Times New Roman"/>
          <w:sz w:val="24"/>
          <w:szCs w:val="24"/>
        </w:rPr>
        <w:t>2. Omit the parenthesized numbered paragraph 1, unless the validity or fairness of the warrant involves a disputed question of fact, such as forgery. If for that reason the paragraph is not omitted, Instruction 21:17 must also be given with this instruction. Part of the proof required to establish that a warrant was valid or fair on its face is that a warrant was in fact issued. If that is a disputed question of fact, paragraph 1 should be used with any necessary modifications.</w:t>
      </w:r>
    </w:p>
    <w:p w:rsidR="00A677E8" w:rsidRPr="00A677E8" w:rsidRDefault="00A677E8" w:rsidP="00A677E8">
      <w:pPr>
        <w:spacing w:after="240"/>
        <w:ind w:firstLine="720"/>
        <w:rPr>
          <w:rFonts w:eastAsia="Times New Roman"/>
          <w:sz w:val="24"/>
          <w:szCs w:val="24"/>
        </w:rPr>
      </w:pPr>
      <w:r w:rsidRPr="00A677E8">
        <w:rPr>
          <w:rFonts w:eastAsia="Times New Roman"/>
          <w:sz w:val="24"/>
          <w:szCs w:val="24"/>
        </w:rPr>
        <w:t>3. Use whichever remaining parenthesized or bracketed words or phrases are appropriate, and omit any remaining numbered paragraphs, the facts of which are not in dispute.</w:t>
      </w:r>
    </w:p>
    <w:p w:rsidR="00A677E8" w:rsidRPr="00A677E8" w:rsidRDefault="00A677E8" w:rsidP="00A677E8">
      <w:pPr>
        <w:spacing w:after="240"/>
        <w:ind w:firstLine="720"/>
        <w:rPr>
          <w:rFonts w:eastAsia="Times New Roman"/>
          <w:sz w:val="24"/>
          <w:szCs w:val="24"/>
        </w:rPr>
      </w:pPr>
      <w:r w:rsidRPr="00A677E8">
        <w:rPr>
          <w:rFonts w:eastAsia="Times New Roman"/>
          <w:sz w:val="24"/>
          <w:szCs w:val="24"/>
        </w:rPr>
        <w:t>4. Depending on the circumstances, other appropriate instructions, for example, Instruction 21:16, explaining when an indication of an intent to make an arrest may be excused, should be given with this instruction.</w:t>
      </w:r>
    </w:p>
    <w:p w:rsidR="00A677E8" w:rsidRPr="00A677E8" w:rsidRDefault="00A677E8" w:rsidP="00A677E8">
      <w:pPr>
        <w:spacing w:after="240"/>
        <w:ind w:firstLine="720"/>
        <w:rPr>
          <w:rFonts w:eastAsia="Times New Roman"/>
          <w:sz w:val="24"/>
          <w:szCs w:val="24"/>
        </w:rPr>
      </w:pPr>
      <w:r w:rsidRPr="00A677E8">
        <w:rPr>
          <w:rFonts w:eastAsia="Times New Roman"/>
          <w:sz w:val="24"/>
          <w:szCs w:val="24"/>
        </w:rPr>
        <w:t>5. Additional instructions dealing with the authority of the court issuing the warrant (numbered paragraph 3) and the authority of the person executing the warrant (numbered paragraph 5) may be required. For that purpose, see Crim. P. 4, 4.1, 4.2, and 9 and section 16-1-104(18), C.R.S. (by definition, a warrant must be issued by a judge of a court of record and be “directed to any peace officer”); section 16-3-106, C.R.S. (authorizing a peace officer, if in fresh pursuit and the alleged offender has crossed a boundary line marking the territorial limit of the officer’s authority, to “pursue him beyond such boundary line and make the arrest”); section 16-2.5-101 to -151, C.R.S. (setting forth various statutory definitions of “peace officer”); section 16-3-108, C.R.S. (issuance of arrest warrant without information or complaint); and section 16-5-205, C.R.S. (issuance of arrest warrants based on indictment, information, or filing of a felony complaint in county court).</w:t>
      </w:r>
    </w:p>
    <w:p w:rsidR="00A677E8" w:rsidRPr="00A677E8" w:rsidRDefault="00A677E8" w:rsidP="00A677E8">
      <w:pPr>
        <w:spacing w:after="240"/>
        <w:ind w:firstLine="720"/>
        <w:rPr>
          <w:rFonts w:eastAsia="Times New Roman"/>
          <w:sz w:val="24"/>
          <w:szCs w:val="24"/>
        </w:rPr>
      </w:pPr>
      <w:r w:rsidRPr="00A677E8">
        <w:rPr>
          <w:rFonts w:eastAsia="Times New Roman"/>
          <w:sz w:val="24"/>
          <w:szCs w:val="24"/>
        </w:rPr>
        <w:t>6. In cases involving juveniles and persons charged with violation of municipal ordinances or charter provisions, the appropriate counterpart statutes and court rules should be consulted.</w:t>
      </w:r>
    </w:p>
    <w:p w:rsidR="00A677E8" w:rsidRPr="00A677E8" w:rsidRDefault="00A677E8" w:rsidP="00A677E8">
      <w:pPr>
        <w:spacing w:after="240"/>
        <w:ind w:firstLine="720"/>
        <w:rPr>
          <w:rFonts w:eastAsia="Times New Roman"/>
          <w:sz w:val="24"/>
          <w:szCs w:val="24"/>
        </w:rPr>
      </w:pPr>
      <w:r w:rsidRPr="00A677E8">
        <w:rPr>
          <w:rFonts w:eastAsia="Times New Roman"/>
          <w:sz w:val="24"/>
          <w:szCs w:val="24"/>
        </w:rPr>
        <w:t>7. Numbered paragraph 4 of the instruction sets out the provisions of Crim. P. 4(c)(1)(III), which vary somewhat from older common-law rules. For the common-law rules, see the Source and Authority below.</w:t>
      </w:r>
    </w:p>
    <w:p w:rsidR="00A677E8" w:rsidRPr="00A677E8" w:rsidRDefault="00A677E8" w:rsidP="00A677E8">
      <w:pPr>
        <w:spacing w:after="240"/>
        <w:ind w:firstLine="720"/>
        <w:rPr>
          <w:rFonts w:eastAsia="Times New Roman"/>
          <w:sz w:val="24"/>
          <w:szCs w:val="24"/>
        </w:rPr>
      </w:pPr>
      <w:r w:rsidRPr="00A677E8">
        <w:rPr>
          <w:rFonts w:eastAsia="Times New Roman"/>
          <w:sz w:val="24"/>
          <w:szCs w:val="24"/>
        </w:rPr>
        <w:t>8. If there is a dispute as to whether the defendant did, in fact, restrict the plaintiff’s freedom of movement by an arrest or otherwise, this instruction must be appropriately modified.</w:t>
      </w:r>
    </w:p>
    <w:p w:rsidR="00A677E8" w:rsidRPr="00A677E8" w:rsidRDefault="00A677E8" w:rsidP="00A677E8">
      <w:pPr>
        <w:spacing w:after="240"/>
        <w:ind w:firstLine="720"/>
        <w:rPr>
          <w:rFonts w:eastAsia="Times New Roman"/>
          <w:sz w:val="24"/>
          <w:szCs w:val="24"/>
        </w:rPr>
      </w:pPr>
      <w:r w:rsidRPr="00A677E8">
        <w:rPr>
          <w:rFonts w:eastAsia="Times New Roman"/>
          <w:sz w:val="24"/>
          <w:szCs w:val="24"/>
        </w:rPr>
        <w:t xml:space="preserve">9. Concerning numbered paragraph 5, “it is immaterial who executes the arrest warrant provided that individuals with lawful authority to make an arrest are actually present at the scene of the arrest and participate in the arrest process.” </w:t>
      </w:r>
      <w:r w:rsidRPr="00A677E8">
        <w:rPr>
          <w:rFonts w:eastAsia="Times New Roman"/>
          <w:b/>
          <w:sz w:val="24"/>
          <w:szCs w:val="24"/>
        </w:rPr>
        <w:t>People v. Schultz</w:t>
      </w:r>
      <w:r w:rsidRPr="00A677E8">
        <w:rPr>
          <w:rFonts w:eastAsia="Times New Roman"/>
          <w:sz w:val="24"/>
          <w:szCs w:val="24"/>
        </w:rPr>
        <w:t xml:space="preserve">, 200 Colo. 47, 49, 611 P.2d 977, 979 (1980). </w:t>
      </w:r>
      <w:r w:rsidRPr="00A677E8">
        <w:rPr>
          <w:rFonts w:eastAsia="Times New Roman"/>
          <w:i/>
          <w:sz w:val="24"/>
          <w:szCs w:val="24"/>
        </w:rPr>
        <w:t>See also</w:t>
      </w:r>
      <w:r w:rsidRPr="00A677E8">
        <w:rPr>
          <w:rFonts w:eastAsia="Times New Roman"/>
          <w:sz w:val="24"/>
          <w:szCs w:val="24"/>
        </w:rPr>
        <w:t xml:space="preserve"> </w:t>
      </w:r>
      <w:r w:rsidRPr="00A677E8">
        <w:rPr>
          <w:rFonts w:eastAsia="Times New Roman"/>
          <w:b/>
          <w:sz w:val="24"/>
          <w:szCs w:val="24"/>
        </w:rPr>
        <w:t>People v. Florez</w:t>
      </w:r>
      <w:r w:rsidRPr="00A677E8">
        <w:rPr>
          <w:rFonts w:eastAsia="Times New Roman"/>
          <w:sz w:val="24"/>
          <w:szCs w:val="24"/>
        </w:rPr>
        <w:t xml:space="preserve">, 680 P.2d 219 (Colo. 1984); </w:t>
      </w:r>
      <w:r w:rsidRPr="00A677E8">
        <w:rPr>
          <w:rFonts w:eastAsia="Times New Roman"/>
          <w:b/>
          <w:sz w:val="24"/>
          <w:szCs w:val="24"/>
        </w:rPr>
        <w:t>People v. Hamilton</w:t>
      </w:r>
      <w:r w:rsidRPr="00A677E8">
        <w:rPr>
          <w:rFonts w:eastAsia="Times New Roman"/>
          <w:sz w:val="24"/>
          <w:szCs w:val="24"/>
        </w:rPr>
        <w:t xml:space="preserve">, 666 P.2d 152 (Colo. 1983). When otherwise appropriate to the evidence in the case, numbered paragraph 5 should be appropriately modified to reflect the rule of the </w:t>
      </w:r>
      <w:r w:rsidRPr="00A677E8">
        <w:rPr>
          <w:rFonts w:eastAsia="Times New Roman"/>
          <w:b/>
          <w:sz w:val="24"/>
          <w:szCs w:val="24"/>
        </w:rPr>
        <w:t>Schultz</w:t>
      </w:r>
      <w:r w:rsidRPr="00A677E8">
        <w:rPr>
          <w:rFonts w:eastAsia="Times New Roman"/>
          <w:sz w:val="24"/>
          <w:szCs w:val="24"/>
        </w:rPr>
        <w:t xml:space="preserve"> case.</w:t>
      </w:r>
    </w:p>
    <w:p w:rsidR="00A677E8" w:rsidRPr="0054263B" w:rsidRDefault="00A677E8" w:rsidP="00A677E8">
      <w:pPr>
        <w:keepNext/>
        <w:spacing w:after="240"/>
        <w:jc w:val="center"/>
        <w:rPr>
          <w:rFonts w:eastAsia="Times New Roman"/>
          <w:b/>
          <w:sz w:val="24"/>
          <w:szCs w:val="24"/>
        </w:rPr>
      </w:pPr>
      <w:r>
        <w:rPr>
          <w:rFonts w:eastAsia="Times New Roman"/>
          <w:b/>
          <w:sz w:val="24"/>
          <w:szCs w:val="24"/>
        </w:rPr>
        <w:t>Source and Authority</w:t>
      </w:r>
    </w:p>
    <w:p w:rsidR="00A677E8" w:rsidRPr="00A677E8" w:rsidRDefault="00A677E8" w:rsidP="00A677E8">
      <w:pPr>
        <w:spacing w:after="240"/>
        <w:ind w:firstLine="720"/>
        <w:rPr>
          <w:rFonts w:eastAsia="Times New Roman"/>
          <w:sz w:val="24"/>
          <w:szCs w:val="24"/>
        </w:rPr>
      </w:pPr>
      <w:r w:rsidRPr="00A677E8">
        <w:rPr>
          <w:rFonts w:eastAsia="Times New Roman"/>
          <w:sz w:val="24"/>
          <w:szCs w:val="24"/>
        </w:rPr>
        <w:t xml:space="preserve">In addition to the authorities discussed above, this instruction is supported generally by </w:t>
      </w:r>
      <w:r w:rsidRPr="00A677E8">
        <w:rPr>
          <w:rFonts w:eastAsia="Times New Roman"/>
          <w:smallCaps/>
          <w:sz w:val="24"/>
          <w:szCs w:val="24"/>
        </w:rPr>
        <w:t>Restatement (Second) of Torts</w:t>
      </w:r>
      <w:r w:rsidRPr="00A677E8">
        <w:rPr>
          <w:rFonts w:eastAsia="Times New Roman"/>
          <w:sz w:val="24"/>
          <w:szCs w:val="24"/>
        </w:rPr>
        <w:t xml:space="preserve"> § 122 (stating the privilege in general); </w:t>
      </w:r>
      <w:r w:rsidRPr="00A677E8">
        <w:rPr>
          <w:rFonts w:eastAsia="Times New Roman"/>
          <w:smallCaps/>
          <w:sz w:val="24"/>
          <w:szCs w:val="24"/>
        </w:rPr>
        <w:t>Restatement</w:t>
      </w:r>
      <w:r w:rsidRPr="00A677E8">
        <w:rPr>
          <w:rFonts w:eastAsia="Times New Roman"/>
          <w:sz w:val="24"/>
          <w:szCs w:val="24"/>
        </w:rPr>
        <w:t xml:space="preserve"> § 125 (name of person arrested); </w:t>
      </w:r>
      <w:r w:rsidRPr="00A677E8">
        <w:rPr>
          <w:rFonts w:eastAsia="Times New Roman"/>
          <w:smallCaps/>
          <w:sz w:val="24"/>
          <w:szCs w:val="24"/>
        </w:rPr>
        <w:t>Restatement</w:t>
      </w:r>
      <w:r w:rsidRPr="00A677E8">
        <w:rPr>
          <w:rFonts w:eastAsia="Times New Roman"/>
          <w:sz w:val="24"/>
          <w:szCs w:val="24"/>
        </w:rPr>
        <w:t xml:space="preserve"> § 129 (place of arrest); </w:t>
      </w:r>
      <w:r w:rsidRPr="00A677E8">
        <w:rPr>
          <w:rFonts w:eastAsia="Times New Roman"/>
          <w:smallCaps/>
          <w:sz w:val="24"/>
          <w:szCs w:val="24"/>
        </w:rPr>
        <w:t>Restatement</w:t>
      </w:r>
      <w:r w:rsidRPr="00A677E8">
        <w:rPr>
          <w:rFonts w:eastAsia="Times New Roman"/>
          <w:sz w:val="24"/>
          <w:szCs w:val="24"/>
        </w:rPr>
        <w:t xml:space="preserve"> § 126 (possession of warrant); </w:t>
      </w:r>
      <w:r w:rsidRPr="00A677E8">
        <w:rPr>
          <w:rFonts w:eastAsia="Times New Roman"/>
          <w:smallCaps/>
          <w:sz w:val="24"/>
          <w:szCs w:val="24"/>
        </w:rPr>
        <w:t>Restatement</w:t>
      </w:r>
      <w:r w:rsidRPr="00A677E8">
        <w:rPr>
          <w:rFonts w:eastAsia="Times New Roman"/>
          <w:sz w:val="24"/>
          <w:szCs w:val="24"/>
        </w:rPr>
        <w:t xml:space="preserve"> § 128 (manifestation of intent to arrest and of possession of warrant) (1965); 1 </w:t>
      </w:r>
      <w:r w:rsidRPr="00A677E8">
        <w:rPr>
          <w:rFonts w:eastAsia="Times New Roman"/>
          <w:smallCaps/>
          <w:sz w:val="24"/>
          <w:szCs w:val="24"/>
        </w:rPr>
        <w:t>F. Harper et al., Harper, James, and Gray on Torts</w:t>
      </w:r>
      <w:r w:rsidRPr="00A677E8">
        <w:rPr>
          <w:rFonts w:eastAsia="Times New Roman"/>
          <w:sz w:val="24"/>
          <w:szCs w:val="24"/>
        </w:rPr>
        <w:t xml:space="preserve"> § 3.17 (3d ed. 2006); and </w:t>
      </w:r>
      <w:r w:rsidRPr="00A677E8">
        <w:rPr>
          <w:rFonts w:eastAsia="Times New Roman"/>
          <w:smallCaps/>
          <w:sz w:val="24"/>
          <w:szCs w:val="24"/>
        </w:rPr>
        <w:t>W. Page Keeton et al., Prosser and Keeton on the Law of Torts</w:t>
      </w:r>
      <w:r w:rsidRPr="00A677E8">
        <w:rPr>
          <w:rFonts w:eastAsia="Times New Roman"/>
          <w:sz w:val="24"/>
          <w:szCs w:val="24"/>
        </w:rPr>
        <w:t xml:space="preserve"> § 25 (5th ed. 1984). </w:t>
      </w:r>
      <w:r w:rsidRPr="00A677E8">
        <w:rPr>
          <w:rFonts w:eastAsia="Times New Roman"/>
          <w:i/>
          <w:sz w:val="24"/>
          <w:szCs w:val="24"/>
        </w:rPr>
        <w:t>See also</w:t>
      </w:r>
      <w:r w:rsidRPr="00A677E8">
        <w:rPr>
          <w:rFonts w:eastAsia="Times New Roman"/>
          <w:sz w:val="24"/>
          <w:szCs w:val="24"/>
        </w:rPr>
        <w:t xml:space="preserve"> </w:t>
      </w:r>
      <w:r w:rsidRPr="00A677E8">
        <w:rPr>
          <w:rFonts w:eastAsia="Times New Roman"/>
          <w:b/>
          <w:sz w:val="24"/>
          <w:szCs w:val="24"/>
        </w:rPr>
        <w:t>Pomeranz v. Class</w:t>
      </w:r>
      <w:r w:rsidRPr="00A677E8">
        <w:rPr>
          <w:rFonts w:eastAsia="Times New Roman"/>
          <w:sz w:val="24"/>
          <w:szCs w:val="24"/>
        </w:rPr>
        <w:t>, 82 Colo. 173, 257 P. 1086 (1927) (in a false imprisonment case, sheriff not liable because warrant fair on its face, but private citizens who knowingly caused issuance of invalid warrant liable).</w:t>
      </w:r>
    </w:p>
    <w:p w:rsidR="00A677E8" w:rsidRDefault="00A677E8">
      <w:pPr>
        <w:rPr>
          <w:rFonts w:eastAsia="Times New Roman"/>
          <w:sz w:val="24"/>
          <w:szCs w:val="24"/>
        </w:rPr>
      </w:pPr>
      <w:r>
        <w:rPr>
          <w:rFonts w:eastAsia="Times New Roman"/>
          <w:sz w:val="24"/>
          <w:szCs w:val="24"/>
        </w:rPr>
        <w:br w:type="page"/>
      </w:r>
    </w:p>
    <w:p w:rsidR="00A677E8" w:rsidRPr="009E3DA4" w:rsidRDefault="00AF40E1" w:rsidP="00A677E8">
      <w:pPr>
        <w:spacing w:after="240"/>
        <w:ind w:left="720" w:hanging="720"/>
        <w:rPr>
          <w:rFonts w:eastAsia="Times New Roman"/>
          <w:b/>
          <w:sz w:val="24"/>
          <w:szCs w:val="24"/>
        </w:rPr>
      </w:pPr>
      <w:bookmarkStart w:id="16" w:name="a21_16"/>
      <w:bookmarkEnd w:id="16"/>
      <w:r w:rsidRPr="00AF40E1">
        <w:rPr>
          <w:rFonts w:eastAsia="Times New Roman"/>
          <w:b/>
          <w:sz w:val="24"/>
          <w:szCs w:val="24"/>
        </w:rPr>
        <w:t xml:space="preserve">21:16 </w:t>
      </w:r>
      <w:r w:rsidRPr="00AF40E1">
        <w:rPr>
          <w:rFonts w:eastAsia="Times New Roman"/>
          <w:b/>
          <w:sz w:val="24"/>
          <w:szCs w:val="24"/>
        </w:rPr>
        <w:tab/>
        <w:t>INDICATION OF INTENT TO ARREST — WHEN EXCUSED</w:t>
      </w:r>
    </w:p>
    <w:p w:rsidR="00AF40E1" w:rsidRPr="00AF40E1" w:rsidRDefault="00AF40E1" w:rsidP="00AF40E1">
      <w:pPr>
        <w:spacing w:after="240"/>
        <w:ind w:firstLine="720"/>
        <w:rPr>
          <w:rFonts w:eastAsia="Times New Roman"/>
          <w:b/>
          <w:sz w:val="24"/>
          <w:szCs w:val="24"/>
        </w:rPr>
      </w:pPr>
      <w:r w:rsidRPr="00AF40E1">
        <w:rPr>
          <w:rFonts w:eastAsia="Times New Roman"/>
          <w:b/>
          <w:sz w:val="24"/>
          <w:szCs w:val="24"/>
        </w:rPr>
        <w:t>A person does not have to indicate an intent to arrest if he or she reasonably believes that:</w:t>
      </w:r>
    </w:p>
    <w:p w:rsidR="00AF40E1" w:rsidRPr="00AF40E1" w:rsidRDefault="00AF40E1" w:rsidP="00AF40E1">
      <w:pPr>
        <w:spacing w:after="240"/>
        <w:ind w:firstLine="720"/>
        <w:rPr>
          <w:rFonts w:eastAsia="Times New Roman"/>
          <w:b/>
          <w:sz w:val="24"/>
          <w:szCs w:val="24"/>
        </w:rPr>
      </w:pPr>
      <w:r w:rsidRPr="00AF40E1">
        <w:rPr>
          <w:rFonts w:eastAsia="Times New Roman"/>
          <w:b/>
          <w:sz w:val="24"/>
          <w:szCs w:val="24"/>
        </w:rPr>
        <w:t>1. The indication would be dangerous to him or herself or a third person; (or)</w:t>
      </w:r>
    </w:p>
    <w:p w:rsidR="00AF40E1" w:rsidRPr="00AF40E1" w:rsidRDefault="00AF40E1" w:rsidP="00AF40E1">
      <w:pPr>
        <w:spacing w:after="240"/>
        <w:ind w:firstLine="720"/>
        <w:rPr>
          <w:rFonts w:eastAsia="Times New Roman"/>
          <w:b/>
          <w:sz w:val="24"/>
          <w:szCs w:val="24"/>
        </w:rPr>
      </w:pPr>
      <w:r w:rsidRPr="00AF40E1">
        <w:rPr>
          <w:rFonts w:eastAsia="Times New Roman"/>
          <w:b/>
          <w:sz w:val="24"/>
          <w:szCs w:val="24"/>
        </w:rPr>
        <w:t>2. The indication would be likely to frustrate the arrest; (or)</w:t>
      </w:r>
    </w:p>
    <w:p w:rsidR="00AF40E1" w:rsidRPr="00AF40E1" w:rsidRDefault="00AF40E1" w:rsidP="00AF40E1">
      <w:pPr>
        <w:spacing w:after="240"/>
        <w:ind w:firstLine="720"/>
        <w:rPr>
          <w:rFonts w:eastAsia="Times New Roman"/>
          <w:b/>
          <w:sz w:val="24"/>
          <w:szCs w:val="24"/>
        </w:rPr>
      </w:pPr>
      <w:r w:rsidRPr="00AF40E1">
        <w:rPr>
          <w:rFonts w:eastAsia="Times New Roman"/>
          <w:b/>
          <w:sz w:val="24"/>
          <w:szCs w:val="24"/>
        </w:rPr>
        <w:t>3. The indication would be useless or unnecessary because the person being arrested would be incapable of understanding it; (or)</w:t>
      </w:r>
    </w:p>
    <w:p w:rsidR="00AF40E1" w:rsidRPr="00AF40E1" w:rsidRDefault="00AF40E1" w:rsidP="00AF40E1">
      <w:pPr>
        <w:spacing w:after="240"/>
        <w:ind w:firstLine="720"/>
        <w:rPr>
          <w:rFonts w:eastAsia="Times New Roman"/>
          <w:b/>
          <w:sz w:val="24"/>
          <w:szCs w:val="24"/>
        </w:rPr>
      </w:pPr>
      <w:r w:rsidRPr="00AF40E1">
        <w:rPr>
          <w:rFonts w:eastAsia="Times New Roman"/>
          <w:b/>
          <w:sz w:val="24"/>
          <w:szCs w:val="24"/>
        </w:rPr>
        <w:t>4. The person being arrested knows or as a reasonable person should know that he or she is being arrested and for what offense.</w:t>
      </w:r>
    </w:p>
    <w:p w:rsidR="00A677E8" w:rsidRDefault="00A677E8" w:rsidP="00A677E8">
      <w:pPr>
        <w:jc w:val="center"/>
        <w:rPr>
          <w:rFonts w:eastAsia="Times New Roman"/>
          <w:sz w:val="24"/>
          <w:szCs w:val="24"/>
        </w:rPr>
      </w:pPr>
    </w:p>
    <w:p w:rsidR="00A677E8" w:rsidRPr="0054263B" w:rsidRDefault="00A677E8" w:rsidP="00A677E8">
      <w:pPr>
        <w:keepNext/>
        <w:spacing w:after="240"/>
        <w:jc w:val="center"/>
        <w:rPr>
          <w:rFonts w:eastAsia="Times New Roman"/>
          <w:b/>
          <w:sz w:val="24"/>
          <w:szCs w:val="24"/>
        </w:rPr>
      </w:pPr>
      <w:r w:rsidRPr="0054263B">
        <w:rPr>
          <w:rFonts w:eastAsia="Times New Roman"/>
          <w:b/>
          <w:sz w:val="24"/>
          <w:szCs w:val="24"/>
        </w:rPr>
        <w:t>Notes on Use</w:t>
      </w:r>
    </w:p>
    <w:p w:rsidR="00AF40E1" w:rsidRPr="00AF40E1" w:rsidRDefault="00AF40E1" w:rsidP="00AF40E1">
      <w:pPr>
        <w:spacing w:after="240"/>
        <w:ind w:firstLine="720"/>
        <w:rPr>
          <w:rFonts w:eastAsia="Times New Roman"/>
          <w:sz w:val="24"/>
          <w:szCs w:val="24"/>
        </w:rPr>
      </w:pPr>
      <w:r w:rsidRPr="00AF40E1">
        <w:rPr>
          <w:rFonts w:eastAsia="Times New Roman"/>
          <w:sz w:val="24"/>
          <w:szCs w:val="24"/>
        </w:rPr>
        <w:t>1. When appropriate, this instruction should be given in conjunction with Instructions 21:10, 21:11, and 21:15.</w:t>
      </w:r>
    </w:p>
    <w:p w:rsidR="00AF40E1" w:rsidRPr="00AF40E1" w:rsidRDefault="00AF40E1" w:rsidP="00AF40E1">
      <w:pPr>
        <w:spacing w:after="240"/>
        <w:ind w:firstLine="720"/>
        <w:rPr>
          <w:rFonts w:eastAsia="Times New Roman"/>
          <w:sz w:val="24"/>
          <w:szCs w:val="24"/>
        </w:rPr>
      </w:pPr>
      <w:r w:rsidRPr="00AF40E1">
        <w:rPr>
          <w:rFonts w:eastAsia="Times New Roman"/>
          <w:sz w:val="24"/>
          <w:szCs w:val="24"/>
        </w:rPr>
        <w:t>2. Only such portions of this instruction should be used as are supported by the evidence.</w:t>
      </w:r>
    </w:p>
    <w:p w:rsidR="00AF40E1" w:rsidRPr="00AF40E1" w:rsidRDefault="00AF40E1" w:rsidP="00AF40E1">
      <w:pPr>
        <w:spacing w:after="240"/>
        <w:ind w:firstLine="720"/>
        <w:rPr>
          <w:rFonts w:eastAsia="Times New Roman"/>
          <w:sz w:val="24"/>
          <w:szCs w:val="24"/>
        </w:rPr>
      </w:pPr>
      <w:r w:rsidRPr="00AF40E1">
        <w:rPr>
          <w:rFonts w:eastAsia="Times New Roman"/>
          <w:sz w:val="24"/>
          <w:szCs w:val="24"/>
        </w:rPr>
        <w:t>3. For the same reasons an indication of intent to arrest may be excused, the requirement that the defendant indicate the offense or conduct for which the arrest is being made may also be excused. When necessary, this instruction should be appropriately modified to include this rule.</w:t>
      </w:r>
    </w:p>
    <w:p w:rsidR="00A677E8" w:rsidRPr="0054263B" w:rsidRDefault="00A677E8" w:rsidP="00A677E8">
      <w:pPr>
        <w:keepNext/>
        <w:spacing w:after="240"/>
        <w:jc w:val="center"/>
        <w:rPr>
          <w:rFonts w:eastAsia="Times New Roman"/>
          <w:b/>
          <w:sz w:val="24"/>
          <w:szCs w:val="24"/>
        </w:rPr>
      </w:pPr>
      <w:r>
        <w:rPr>
          <w:rFonts w:eastAsia="Times New Roman"/>
          <w:b/>
          <w:sz w:val="24"/>
          <w:szCs w:val="24"/>
        </w:rPr>
        <w:t>Source and Authority</w:t>
      </w:r>
    </w:p>
    <w:p w:rsidR="00AF40E1" w:rsidRPr="00AF40E1" w:rsidRDefault="00AF40E1" w:rsidP="00AF40E1">
      <w:pPr>
        <w:spacing w:after="240"/>
        <w:ind w:firstLine="720"/>
        <w:rPr>
          <w:rFonts w:eastAsia="Times New Roman"/>
          <w:sz w:val="24"/>
          <w:szCs w:val="24"/>
        </w:rPr>
      </w:pPr>
      <w:r w:rsidRPr="00AF40E1">
        <w:rPr>
          <w:rFonts w:eastAsia="Times New Roman"/>
          <w:sz w:val="24"/>
          <w:szCs w:val="24"/>
        </w:rPr>
        <w:t xml:space="preserve">1. This instruction is supported by </w:t>
      </w:r>
      <w:r w:rsidRPr="00AF40E1">
        <w:rPr>
          <w:rFonts w:eastAsia="Times New Roman"/>
          <w:smallCaps/>
          <w:sz w:val="24"/>
          <w:szCs w:val="24"/>
        </w:rPr>
        <w:t>Restatement (Second) of Torts</w:t>
      </w:r>
      <w:r w:rsidRPr="00AF40E1">
        <w:rPr>
          <w:rFonts w:eastAsia="Times New Roman"/>
          <w:sz w:val="24"/>
          <w:szCs w:val="24"/>
        </w:rPr>
        <w:t xml:space="preserve"> § 128(2) (1965); and 1 </w:t>
      </w:r>
      <w:r w:rsidRPr="00AF40E1">
        <w:rPr>
          <w:rFonts w:eastAsia="Times New Roman"/>
          <w:smallCaps/>
          <w:sz w:val="24"/>
          <w:szCs w:val="24"/>
        </w:rPr>
        <w:t>F. Harper et al., Harper, James, and Gray on Torts</w:t>
      </w:r>
      <w:r w:rsidRPr="00AF40E1">
        <w:rPr>
          <w:rFonts w:eastAsia="Times New Roman"/>
          <w:sz w:val="24"/>
          <w:szCs w:val="24"/>
        </w:rPr>
        <w:t xml:space="preserve"> § 3.17, at 361, and § 3.18, at 408 (3d ed. 2006).</w:t>
      </w:r>
    </w:p>
    <w:p w:rsidR="00AF40E1" w:rsidRPr="00AF40E1" w:rsidRDefault="00AF40E1" w:rsidP="00AF40E1">
      <w:pPr>
        <w:spacing w:after="240"/>
        <w:ind w:firstLine="720"/>
        <w:rPr>
          <w:rFonts w:eastAsia="Times New Roman"/>
          <w:sz w:val="24"/>
          <w:szCs w:val="24"/>
        </w:rPr>
      </w:pPr>
      <w:r w:rsidRPr="00AF40E1">
        <w:rPr>
          <w:rFonts w:eastAsia="Times New Roman"/>
          <w:sz w:val="24"/>
          <w:szCs w:val="24"/>
        </w:rPr>
        <w:t xml:space="preserve">2. Numbered paragraph 4 is supported by </w:t>
      </w:r>
      <w:r w:rsidRPr="00AF40E1">
        <w:rPr>
          <w:rFonts w:eastAsia="Times New Roman"/>
          <w:b/>
          <w:sz w:val="24"/>
          <w:szCs w:val="24"/>
        </w:rPr>
        <w:t>People v. Olguin</w:t>
      </w:r>
      <w:r w:rsidRPr="00AF40E1">
        <w:rPr>
          <w:rFonts w:eastAsia="Times New Roman"/>
          <w:sz w:val="24"/>
          <w:szCs w:val="24"/>
        </w:rPr>
        <w:t>, 187 Colo. 34, 528 P.2d 234 (1974).</w:t>
      </w:r>
    </w:p>
    <w:p w:rsidR="002D0987" w:rsidRDefault="002D0987">
      <w:pPr>
        <w:rPr>
          <w:rFonts w:eastAsia="Times New Roman"/>
          <w:sz w:val="24"/>
          <w:szCs w:val="24"/>
        </w:rPr>
      </w:pPr>
      <w:r>
        <w:rPr>
          <w:rFonts w:eastAsia="Times New Roman"/>
          <w:sz w:val="24"/>
          <w:szCs w:val="24"/>
        </w:rPr>
        <w:br w:type="page"/>
      </w:r>
    </w:p>
    <w:p w:rsidR="002D0987" w:rsidRPr="009E3DA4" w:rsidRDefault="002D0987" w:rsidP="002D0987">
      <w:pPr>
        <w:spacing w:after="240"/>
        <w:ind w:left="720" w:hanging="720"/>
        <w:rPr>
          <w:rFonts w:eastAsia="Times New Roman"/>
          <w:b/>
          <w:sz w:val="24"/>
          <w:szCs w:val="24"/>
        </w:rPr>
      </w:pPr>
      <w:bookmarkStart w:id="17" w:name="a21_17"/>
      <w:bookmarkEnd w:id="17"/>
      <w:r w:rsidRPr="002D0987">
        <w:rPr>
          <w:rFonts w:eastAsia="Times New Roman"/>
          <w:b/>
          <w:sz w:val="24"/>
          <w:szCs w:val="24"/>
        </w:rPr>
        <w:t xml:space="preserve">21:17 </w:t>
      </w:r>
      <w:r w:rsidRPr="002D0987">
        <w:rPr>
          <w:rFonts w:eastAsia="Times New Roman"/>
          <w:b/>
          <w:sz w:val="24"/>
          <w:szCs w:val="24"/>
        </w:rPr>
        <w:tab/>
        <w:t>VALID WARRANT OR WARRANT FAIR ON ITS FACE — DEFINED</w:t>
      </w:r>
    </w:p>
    <w:p w:rsidR="002D0987" w:rsidRPr="002D0987" w:rsidRDefault="002D0987" w:rsidP="002D0987">
      <w:pPr>
        <w:spacing w:after="240"/>
        <w:ind w:firstLine="720"/>
        <w:rPr>
          <w:rFonts w:eastAsia="Times New Roman"/>
          <w:b/>
          <w:sz w:val="24"/>
          <w:szCs w:val="24"/>
        </w:rPr>
      </w:pPr>
      <w:r w:rsidRPr="002D0987">
        <w:rPr>
          <w:rFonts w:eastAsia="Times New Roman"/>
          <w:b/>
          <w:sz w:val="24"/>
          <w:szCs w:val="24"/>
        </w:rPr>
        <w:t xml:space="preserve">To be (valid) (apparently valid), a warrant must be </w:t>
      </w:r>
      <w:r w:rsidRPr="002D0987">
        <w:rPr>
          <w:rFonts w:eastAsia="Times New Roman"/>
          <w:i/>
          <w:sz w:val="24"/>
          <w:szCs w:val="24"/>
        </w:rPr>
        <w:t>(insert those disputed facts the jury must resolve, if any, to determine whether or not the warrant was valid or appeared to be valid)</w:t>
      </w:r>
      <w:r w:rsidRPr="002D0987">
        <w:rPr>
          <w:rFonts w:eastAsia="Times New Roman"/>
          <w:b/>
          <w:sz w:val="24"/>
          <w:szCs w:val="24"/>
        </w:rPr>
        <w:t>.</w:t>
      </w:r>
    </w:p>
    <w:p w:rsidR="002D0987" w:rsidRDefault="002D0987" w:rsidP="002D0987">
      <w:pPr>
        <w:jc w:val="center"/>
        <w:rPr>
          <w:rFonts w:eastAsia="Times New Roman"/>
          <w:sz w:val="24"/>
          <w:szCs w:val="24"/>
        </w:rPr>
      </w:pPr>
    </w:p>
    <w:p w:rsidR="002D0987" w:rsidRPr="0054263B" w:rsidRDefault="002D0987" w:rsidP="002D0987">
      <w:pPr>
        <w:keepNext/>
        <w:spacing w:after="240"/>
        <w:jc w:val="center"/>
        <w:rPr>
          <w:rFonts w:eastAsia="Times New Roman"/>
          <w:b/>
          <w:sz w:val="24"/>
          <w:szCs w:val="24"/>
        </w:rPr>
      </w:pPr>
      <w:r w:rsidRPr="0054263B">
        <w:rPr>
          <w:rFonts w:eastAsia="Times New Roman"/>
          <w:b/>
          <w:sz w:val="24"/>
          <w:szCs w:val="24"/>
        </w:rPr>
        <w:t>Notes on Use</w:t>
      </w:r>
    </w:p>
    <w:p w:rsidR="002D0987" w:rsidRPr="002D0987" w:rsidRDefault="002D0987" w:rsidP="002D0987">
      <w:pPr>
        <w:spacing w:after="240"/>
        <w:ind w:firstLine="720"/>
        <w:rPr>
          <w:rFonts w:eastAsia="Times New Roman"/>
          <w:sz w:val="24"/>
          <w:szCs w:val="24"/>
        </w:rPr>
      </w:pPr>
      <w:r w:rsidRPr="002D0987">
        <w:rPr>
          <w:rFonts w:eastAsia="Times New Roman"/>
          <w:sz w:val="24"/>
          <w:szCs w:val="24"/>
        </w:rPr>
        <w:t>1. Use whichever parenthesized words are appropriate.</w:t>
      </w:r>
    </w:p>
    <w:p w:rsidR="002D0987" w:rsidRPr="002D0987" w:rsidRDefault="002D0987" w:rsidP="002D0987">
      <w:pPr>
        <w:spacing w:after="240"/>
        <w:ind w:firstLine="720"/>
        <w:rPr>
          <w:rFonts w:eastAsia="Times New Roman"/>
          <w:sz w:val="24"/>
          <w:szCs w:val="24"/>
        </w:rPr>
      </w:pPr>
      <w:r w:rsidRPr="002D0987">
        <w:rPr>
          <w:rFonts w:eastAsia="Times New Roman"/>
          <w:sz w:val="24"/>
          <w:szCs w:val="24"/>
        </w:rPr>
        <w:t>2. When appropriate, this instruction should be given with Instruction 21:15.</w:t>
      </w:r>
    </w:p>
    <w:p w:rsidR="002D0987" w:rsidRPr="0054263B" w:rsidRDefault="002D0987" w:rsidP="002D0987">
      <w:pPr>
        <w:keepNext/>
        <w:spacing w:after="240"/>
        <w:jc w:val="center"/>
        <w:rPr>
          <w:rFonts w:eastAsia="Times New Roman"/>
          <w:b/>
          <w:sz w:val="24"/>
          <w:szCs w:val="24"/>
        </w:rPr>
      </w:pPr>
      <w:r>
        <w:rPr>
          <w:rFonts w:eastAsia="Times New Roman"/>
          <w:b/>
          <w:sz w:val="24"/>
          <w:szCs w:val="24"/>
        </w:rPr>
        <w:t>Source and Authority</w:t>
      </w:r>
    </w:p>
    <w:p w:rsidR="002D0987" w:rsidRPr="002D0987" w:rsidRDefault="002D0987" w:rsidP="002D0987">
      <w:pPr>
        <w:spacing w:after="240"/>
        <w:ind w:firstLine="720"/>
        <w:rPr>
          <w:rFonts w:eastAsia="Times New Roman"/>
          <w:sz w:val="24"/>
          <w:szCs w:val="24"/>
        </w:rPr>
      </w:pPr>
      <w:r w:rsidRPr="002D0987">
        <w:rPr>
          <w:rFonts w:eastAsia="Times New Roman"/>
          <w:sz w:val="24"/>
          <w:szCs w:val="24"/>
        </w:rPr>
        <w:t xml:space="preserve">1. This instruction is supported by </w:t>
      </w:r>
      <w:r w:rsidRPr="002D0987">
        <w:rPr>
          <w:rFonts w:eastAsia="Times New Roman"/>
          <w:b/>
          <w:sz w:val="24"/>
          <w:szCs w:val="24"/>
        </w:rPr>
        <w:t>Pomeranz v. Class</w:t>
      </w:r>
      <w:r w:rsidRPr="002D0987">
        <w:rPr>
          <w:rFonts w:eastAsia="Times New Roman"/>
          <w:sz w:val="24"/>
          <w:szCs w:val="24"/>
        </w:rPr>
        <w:t xml:space="preserve">, 82 Colo. 173, 257 P. 1086 (1927) (elements of a warrant fair on its face); </w:t>
      </w:r>
      <w:r w:rsidRPr="002D0987">
        <w:rPr>
          <w:rFonts w:eastAsia="Times New Roman"/>
          <w:b/>
          <w:sz w:val="24"/>
          <w:szCs w:val="24"/>
        </w:rPr>
        <w:t>Harris v. McReynolds</w:t>
      </w:r>
      <w:r w:rsidRPr="002D0987">
        <w:rPr>
          <w:rFonts w:eastAsia="Times New Roman"/>
          <w:sz w:val="24"/>
          <w:szCs w:val="24"/>
        </w:rPr>
        <w:t xml:space="preserve">, 10 Colo. App. 532, 51 P. 1016 (1898) (warrant invalid where plaintiff not sufficiently named, though he was the person whose arrest was intended under the warrant); 1 </w:t>
      </w:r>
      <w:r w:rsidRPr="002D0987">
        <w:rPr>
          <w:rFonts w:eastAsia="Times New Roman"/>
          <w:smallCaps/>
          <w:sz w:val="24"/>
          <w:szCs w:val="24"/>
        </w:rPr>
        <w:t>F. Harper et al., Harper, James, and Gray on Torts</w:t>
      </w:r>
      <w:r w:rsidRPr="002D0987">
        <w:rPr>
          <w:rFonts w:eastAsia="Times New Roman"/>
          <w:sz w:val="24"/>
          <w:szCs w:val="24"/>
        </w:rPr>
        <w:t xml:space="preserve"> § 3.17, at 402-405 (3d ed. 2006); and </w:t>
      </w:r>
      <w:r w:rsidRPr="002D0987">
        <w:rPr>
          <w:rFonts w:eastAsia="Times New Roman"/>
          <w:smallCaps/>
          <w:sz w:val="24"/>
          <w:szCs w:val="24"/>
        </w:rPr>
        <w:t>W. Page Keeton et al., Prosser and Keeton on the Law of Torts</w:t>
      </w:r>
      <w:r w:rsidRPr="002D0987">
        <w:rPr>
          <w:rFonts w:eastAsia="Times New Roman"/>
          <w:sz w:val="24"/>
          <w:szCs w:val="24"/>
        </w:rPr>
        <w:t xml:space="preserve"> § 25, at 149-50 (5th ed. 1984). </w:t>
      </w:r>
      <w:r w:rsidRPr="002D0987">
        <w:rPr>
          <w:rFonts w:eastAsia="Times New Roman"/>
          <w:i/>
          <w:sz w:val="24"/>
          <w:szCs w:val="24"/>
        </w:rPr>
        <w:t>Cf.</w:t>
      </w:r>
      <w:r w:rsidRPr="002D0987">
        <w:rPr>
          <w:rFonts w:eastAsia="Times New Roman"/>
          <w:sz w:val="24"/>
          <w:szCs w:val="24"/>
        </w:rPr>
        <w:t xml:space="preserve"> </w:t>
      </w:r>
      <w:r w:rsidRPr="002D0987">
        <w:rPr>
          <w:rFonts w:eastAsia="Times New Roman"/>
          <w:b/>
          <w:sz w:val="24"/>
          <w:szCs w:val="24"/>
        </w:rPr>
        <w:t>Herring v. United States</w:t>
      </w:r>
      <w:r w:rsidRPr="002D0987">
        <w:rPr>
          <w:rFonts w:eastAsia="Times New Roman"/>
          <w:sz w:val="24"/>
          <w:szCs w:val="24"/>
        </w:rPr>
        <w:t xml:space="preserve">, 555 U.S.135 (2009) (evidence not excluded in criminal prosecution where warrant that had been recalled but not properly removed from computer records appeared valid to officers); </w:t>
      </w:r>
      <w:r w:rsidRPr="002D0987">
        <w:rPr>
          <w:rFonts w:eastAsia="Times New Roman"/>
          <w:b/>
          <w:sz w:val="24"/>
          <w:szCs w:val="24"/>
        </w:rPr>
        <w:t>People v. Mitchell</w:t>
      </w:r>
      <w:r w:rsidRPr="002D0987">
        <w:rPr>
          <w:rFonts w:eastAsia="Times New Roman"/>
          <w:sz w:val="24"/>
          <w:szCs w:val="24"/>
        </w:rPr>
        <w:t>, 678 P.2d 990 (Colo. 1984) (evidence properly suppressed in a criminal proceeding, though it had been seized as part of an arrest with a warrant, where the warrant was “void from its issuance” because it had been issued on the mistaken assumption that the defendant had not made timely payment of a traffic fine).</w:t>
      </w:r>
    </w:p>
    <w:p w:rsidR="002D0987" w:rsidRPr="002D0987" w:rsidRDefault="002D0987" w:rsidP="002D0987">
      <w:pPr>
        <w:spacing w:after="240"/>
        <w:ind w:firstLine="720"/>
        <w:rPr>
          <w:rFonts w:eastAsia="Times New Roman"/>
          <w:sz w:val="24"/>
          <w:szCs w:val="24"/>
        </w:rPr>
      </w:pPr>
      <w:r w:rsidRPr="002D0987">
        <w:rPr>
          <w:rFonts w:eastAsia="Times New Roman"/>
          <w:sz w:val="24"/>
          <w:szCs w:val="24"/>
        </w:rPr>
        <w:t>2. It is assumed that in most cases only one or two of the requirements of a valid warrant or one fair on its face will be in dispute.</w:t>
      </w:r>
    </w:p>
    <w:p w:rsidR="002D0987" w:rsidRPr="002D0987" w:rsidRDefault="002D0987" w:rsidP="002D0987">
      <w:pPr>
        <w:spacing w:after="240"/>
        <w:ind w:firstLine="720"/>
        <w:rPr>
          <w:rFonts w:eastAsia="Times New Roman"/>
          <w:sz w:val="24"/>
          <w:szCs w:val="24"/>
        </w:rPr>
      </w:pPr>
      <w:r w:rsidRPr="002D0987">
        <w:rPr>
          <w:rFonts w:eastAsia="Times New Roman"/>
          <w:sz w:val="24"/>
          <w:szCs w:val="24"/>
        </w:rPr>
        <w:t>A warrant is valid if:</w:t>
      </w:r>
    </w:p>
    <w:p w:rsidR="002D0987" w:rsidRPr="002D0987" w:rsidRDefault="002D0987" w:rsidP="002D0987">
      <w:pPr>
        <w:spacing w:after="240"/>
        <w:ind w:left="720"/>
        <w:rPr>
          <w:rFonts w:eastAsia="Times New Roman"/>
          <w:sz w:val="24"/>
          <w:szCs w:val="24"/>
        </w:rPr>
      </w:pPr>
      <w:r w:rsidRPr="002D0987">
        <w:rPr>
          <w:rFonts w:eastAsia="Times New Roman"/>
          <w:sz w:val="24"/>
          <w:szCs w:val="24"/>
        </w:rPr>
        <w:t>a. The plaintiff is sufficiently named or described in the warrant, and it is otherwise regular in form;</w:t>
      </w:r>
    </w:p>
    <w:p w:rsidR="002D0987" w:rsidRPr="002D0987" w:rsidRDefault="002D0987" w:rsidP="002D0987">
      <w:pPr>
        <w:spacing w:after="240"/>
        <w:ind w:left="720"/>
        <w:rPr>
          <w:rFonts w:eastAsia="Times New Roman"/>
          <w:sz w:val="24"/>
          <w:szCs w:val="24"/>
        </w:rPr>
      </w:pPr>
      <w:r w:rsidRPr="002D0987">
        <w:rPr>
          <w:rFonts w:eastAsia="Times New Roman"/>
          <w:sz w:val="24"/>
          <w:szCs w:val="24"/>
        </w:rPr>
        <w:t>b. The warrant was issued by a court or official having authority to issue a warrant for the conduct which was described in the warrant;</w:t>
      </w:r>
    </w:p>
    <w:p w:rsidR="002D0987" w:rsidRPr="002D0987" w:rsidRDefault="002D0987" w:rsidP="002D0987">
      <w:pPr>
        <w:spacing w:after="240"/>
        <w:ind w:left="720"/>
        <w:rPr>
          <w:rFonts w:eastAsia="Times New Roman"/>
          <w:sz w:val="24"/>
          <w:szCs w:val="24"/>
        </w:rPr>
      </w:pPr>
      <w:r w:rsidRPr="002D0987">
        <w:rPr>
          <w:rFonts w:eastAsia="Times New Roman"/>
          <w:sz w:val="24"/>
          <w:szCs w:val="24"/>
        </w:rPr>
        <w:t>c. The court or official, at the time of issuing the warrant, had jurisdiction over the person named or described therein;</w:t>
      </w:r>
    </w:p>
    <w:p w:rsidR="002D0987" w:rsidRPr="002D0987" w:rsidRDefault="002D0987" w:rsidP="002D0987">
      <w:pPr>
        <w:spacing w:after="240"/>
        <w:ind w:left="720"/>
        <w:rPr>
          <w:rFonts w:eastAsia="Times New Roman"/>
          <w:sz w:val="24"/>
          <w:szCs w:val="24"/>
        </w:rPr>
      </w:pPr>
      <w:r w:rsidRPr="002D0987">
        <w:rPr>
          <w:rFonts w:eastAsia="Times New Roman"/>
          <w:sz w:val="24"/>
          <w:szCs w:val="24"/>
        </w:rPr>
        <w:t>d. All proceedings required for the proper issuance of warrants took place (see rules and statutes cited in Note 5 of Notes on Use to Instruction 21:15); and</w:t>
      </w:r>
    </w:p>
    <w:p w:rsidR="002D0987" w:rsidRPr="002D0987" w:rsidRDefault="002D0987" w:rsidP="002D0987">
      <w:pPr>
        <w:spacing w:after="240"/>
        <w:ind w:left="720"/>
        <w:rPr>
          <w:rFonts w:eastAsia="Times New Roman"/>
          <w:sz w:val="24"/>
          <w:szCs w:val="24"/>
        </w:rPr>
      </w:pPr>
      <w:r w:rsidRPr="002D0987">
        <w:rPr>
          <w:rFonts w:eastAsia="Times New Roman"/>
          <w:sz w:val="24"/>
          <w:szCs w:val="24"/>
        </w:rPr>
        <w:t>e. The warrant had not expired by a lapse of time from its issuance to the time of arrest.</w:t>
      </w:r>
    </w:p>
    <w:p w:rsidR="002D0987" w:rsidRPr="002D0987" w:rsidRDefault="002D0987" w:rsidP="002D0987">
      <w:pPr>
        <w:spacing w:after="240"/>
        <w:rPr>
          <w:rFonts w:eastAsia="Times New Roman"/>
          <w:sz w:val="24"/>
          <w:szCs w:val="24"/>
        </w:rPr>
      </w:pPr>
      <w:r w:rsidRPr="002D0987">
        <w:rPr>
          <w:rFonts w:eastAsia="Times New Roman"/>
          <w:smallCaps/>
          <w:sz w:val="24"/>
          <w:szCs w:val="24"/>
        </w:rPr>
        <w:t>Restatement (Second) of Torts</w:t>
      </w:r>
      <w:r w:rsidRPr="002D0987">
        <w:rPr>
          <w:rFonts w:eastAsia="Times New Roman"/>
          <w:sz w:val="24"/>
          <w:szCs w:val="24"/>
        </w:rPr>
        <w:t xml:space="preserve"> §§ 123, 130(a) (1965).</w:t>
      </w:r>
    </w:p>
    <w:p w:rsidR="002D0987" w:rsidRPr="002D0987" w:rsidRDefault="002D0987" w:rsidP="002D0987">
      <w:pPr>
        <w:spacing w:after="240"/>
        <w:ind w:firstLine="720"/>
        <w:rPr>
          <w:rFonts w:eastAsia="Times New Roman"/>
          <w:sz w:val="24"/>
          <w:szCs w:val="24"/>
        </w:rPr>
      </w:pPr>
      <w:r w:rsidRPr="002D0987">
        <w:rPr>
          <w:rFonts w:eastAsia="Times New Roman"/>
          <w:sz w:val="24"/>
          <w:szCs w:val="24"/>
        </w:rPr>
        <w:t>3. For requirements as to regularity of form, see Crim. P. 4(b)(1) and 9(b)(1).</w:t>
      </w:r>
    </w:p>
    <w:p w:rsidR="002D0987" w:rsidRPr="002D0987" w:rsidRDefault="002D0987" w:rsidP="002D0987">
      <w:pPr>
        <w:spacing w:after="240"/>
        <w:ind w:firstLine="720"/>
        <w:rPr>
          <w:rFonts w:eastAsia="Times New Roman"/>
          <w:sz w:val="24"/>
          <w:szCs w:val="24"/>
        </w:rPr>
      </w:pPr>
      <w:r w:rsidRPr="002D0987">
        <w:rPr>
          <w:rFonts w:eastAsia="Times New Roman"/>
          <w:sz w:val="24"/>
          <w:szCs w:val="24"/>
        </w:rPr>
        <w:t>4. A warrant is fair on its face if:</w:t>
      </w:r>
    </w:p>
    <w:p w:rsidR="002D0987" w:rsidRPr="002D0987" w:rsidRDefault="002D0987" w:rsidP="002D0987">
      <w:pPr>
        <w:spacing w:after="240"/>
        <w:ind w:left="720"/>
        <w:rPr>
          <w:rFonts w:eastAsia="Times New Roman"/>
          <w:sz w:val="24"/>
          <w:szCs w:val="24"/>
        </w:rPr>
      </w:pPr>
      <w:r w:rsidRPr="002D0987">
        <w:rPr>
          <w:rFonts w:eastAsia="Times New Roman"/>
          <w:sz w:val="24"/>
          <w:szCs w:val="24"/>
        </w:rPr>
        <w:t>a. The plaintiff is sufficiently named or described in the warrant, and it is otherwise regular in form;</w:t>
      </w:r>
    </w:p>
    <w:p w:rsidR="002D0987" w:rsidRPr="002D0987" w:rsidRDefault="002D0987" w:rsidP="002D0987">
      <w:pPr>
        <w:spacing w:after="240"/>
        <w:ind w:left="720"/>
        <w:rPr>
          <w:rFonts w:eastAsia="Times New Roman"/>
          <w:sz w:val="24"/>
          <w:szCs w:val="24"/>
        </w:rPr>
      </w:pPr>
      <w:r w:rsidRPr="002D0987">
        <w:rPr>
          <w:rFonts w:eastAsia="Times New Roman"/>
          <w:sz w:val="24"/>
          <w:szCs w:val="24"/>
        </w:rPr>
        <w:t>b. The court or official who issued the warrant had authority to issue warrants for the general type of conduct that the plaintiff was charged with;</w:t>
      </w:r>
    </w:p>
    <w:p w:rsidR="002D0987" w:rsidRPr="002D0987" w:rsidRDefault="002D0987" w:rsidP="002D0987">
      <w:pPr>
        <w:spacing w:after="240"/>
        <w:ind w:left="720"/>
        <w:rPr>
          <w:rFonts w:eastAsia="Times New Roman"/>
          <w:sz w:val="24"/>
          <w:szCs w:val="24"/>
        </w:rPr>
      </w:pPr>
      <w:r w:rsidRPr="002D0987">
        <w:rPr>
          <w:rFonts w:eastAsia="Times New Roman"/>
          <w:sz w:val="24"/>
          <w:szCs w:val="24"/>
        </w:rPr>
        <w:t>c. The facts stated in the warrant, if they all existed, would confer jurisdiction over the person sufficiently named or described therein;</w:t>
      </w:r>
    </w:p>
    <w:p w:rsidR="002D0987" w:rsidRPr="002D0987" w:rsidRDefault="002D0987" w:rsidP="002D0987">
      <w:pPr>
        <w:spacing w:after="240"/>
        <w:ind w:left="720"/>
        <w:rPr>
          <w:rFonts w:eastAsia="Times New Roman"/>
          <w:sz w:val="24"/>
          <w:szCs w:val="24"/>
        </w:rPr>
      </w:pPr>
      <w:r w:rsidRPr="002D0987">
        <w:rPr>
          <w:rFonts w:eastAsia="Times New Roman"/>
          <w:sz w:val="24"/>
          <w:szCs w:val="24"/>
        </w:rPr>
        <w:t>d. Nothing appears in the warrant to indicate that one or more of the proceedings required for proper issuance had not taken place; and</w:t>
      </w:r>
    </w:p>
    <w:p w:rsidR="002D0987" w:rsidRPr="002D0987" w:rsidRDefault="002D0987" w:rsidP="002D0987">
      <w:pPr>
        <w:spacing w:after="240"/>
        <w:ind w:firstLine="720"/>
        <w:rPr>
          <w:rFonts w:eastAsia="Times New Roman"/>
          <w:sz w:val="24"/>
          <w:szCs w:val="24"/>
        </w:rPr>
      </w:pPr>
      <w:r w:rsidRPr="002D0987">
        <w:rPr>
          <w:rFonts w:eastAsia="Times New Roman"/>
          <w:sz w:val="24"/>
          <w:szCs w:val="24"/>
        </w:rPr>
        <w:t>e. The warrant has not expired by a lapse of time from its issuance to the time of arrest.</w:t>
      </w:r>
    </w:p>
    <w:p w:rsidR="002D0987" w:rsidRPr="002D0987" w:rsidRDefault="002D0987" w:rsidP="002D0987">
      <w:pPr>
        <w:spacing w:after="240"/>
        <w:rPr>
          <w:rFonts w:eastAsia="Times New Roman"/>
          <w:sz w:val="24"/>
          <w:szCs w:val="24"/>
        </w:rPr>
      </w:pPr>
      <w:r w:rsidRPr="002D0987">
        <w:rPr>
          <w:rFonts w:eastAsia="Times New Roman"/>
          <w:smallCaps/>
          <w:sz w:val="24"/>
          <w:szCs w:val="24"/>
        </w:rPr>
        <w:t>Restatement</w:t>
      </w:r>
      <w:r w:rsidRPr="002D0987">
        <w:rPr>
          <w:rFonts w:eastAsia="Times New Roman"/>
          <w:sz w:val="24"/>
          <w:szCs w:val="24"/>
        </w:rPr>
        <w:t xml:space="preserve"> §§ 124, 130(a).</w:t>
      </w:r>
    </w:p>
    <w:p w:rsidR="002D0987" w:rsidRDefault="002D0987">
      <w:pPr>
        <w:rPr>
          <w:rFonts w:eastAsia="Times New Roman"/>
          <w:sz w:val="24"/>
          <w:szCs w:val="24"/>
        </w:rPr>
      </w:pPr>
      <w:r>
        <w:rPr>
          <w:rFonts w:eastAsia="Times New Roman"/>
          <w:sz w:val="24"/>
          <w:szCs w:val="24"/>
        </w:rPr>
        <w:br w:type="page"/>
      </w:r>
    </w:p>
    <w:p w:rsidR="002D0987" w:rsidRPr="009E3DA4" w:rsidRDefault="005B27FE" w:rsidP="002D0987">
      <w:pPr>
        <w:spacing w:after="240"/>
        <w:ind w:left="720" w:hanging="720"/>
        <w:rPr>
          <w:rFonts w:eastAsia="Times New Roman"/>
          <w:b/>
          <w:sz w:val="24"/>
          <w:szCs w:val="24"/>
        </w:rPr>
      </w:pPr>
      <w:bookmarkStart w:id="18" w:name="a21_18"/>
      <w:bookmarkEnd w:id="18"/>
      <w:r w:rsidRPr="005B27FE">
        <w:rPr>
          <w:rFonts w:eastAsia="Times New Roman"/>
          <w:b/>
          <w:sz w:val="24"/>
          <w:szCs w:val="24"/>
        </w:rPr>
        <w:t xml:space="preserve">21:18 </w:t>
      </w:r>
      <w:r w:rsidRPr="005B27FE">
        <w:rPr>
          <w:rFonts w:eastAsia="Times New Roman"/>
          <w:b/>
          <w:sz w:val="24"/>
          <w:szCs w:val="24"/>
        </w:rPr>
        <w:tab/>
        <w:t>GUILT OF PERSON ARRESTED</w:t>
      </w:r>
    </w:p>
    <w:p w:rsidR="005B27FE" w:rsidRPr="005B27FE" w:rsidRDefault="005B27FE" w:rsidP="005B27FE">
      <w:pPr>
        <w:spacing w:after="240"/>
        <w:ind w:firstLine="720"/>
        <w:rPr>
          <w:rFonts w:eastAsia="Times New Roman"/>
          <w:b/>
          <w:sz w:val="24"/>
          <w:szCs w:val="24"/>
        </w:rPr>
      </w:pPr>
      <w:r w:rsidRPr="005B27FE">
        <w:rPr>
          <w:rFonts w:eastAsia="Times New Roman"/>
          <w:b/>
          <w:sz w:val="24"/>
          <w:szCs w:val="24"/>
        </w:rPr>
        <w:t xml:space="preserve">The defendant, </w:t>
      </w:r>
      <w:r w:rsidRPr="005B27FE">
        <w:rPr>
          <w:rFonts w:eastAsia="Times New Roman"/>
          <w:i/>
          <w:sz w:val="24"/>
          <w:szCs w:val="24"/>
        </w:rPr>
        <w:t>(name)</w:t>
      </w:r>
      <w:r w:rsidRPr="005B27FE">
        <w:rPr>
          <w:rFonts w:eastAsia="Times New Roman"/>
          <w:b/>
          <w:sz w:val="24"/>
          <w:szCs w:val="24"/>
        </w:rPr>
        <w:t xml:space="preserve">, is not legally responsible to the plaintiff, </w:t>
      </w:r>
      <w:r w:rsidRPr="005B27FE">
        <w:rPr>
          <w:rFonts w:eastAsia="Times New Roman"/>
          <w:i/>
          <w:sz w:val="24"/>
          <w:szCs w:val="24"/>
        </w:rPr>
        <w:t>(name)</w:t>
      </w:r>
      <w:r w:rsidRPr="005B27FE">
        <w:rPr>
          <w:rFonts w:eastAsia="Times New Roman"/>
          <w:b/>
          <w:sz w:val="24"/>
          <w:szCs w:val="24"/>
        </w:rPr>
        <w:t>, if the affirmative defense of the guilt of the person arrested is proved. This defense is proved if you find the plaintiff (pleaded guilty to) (or) (was convicted of) the criminal offense for which (he) (she) was arrested.</w:t>
      </w:r>
    </w:p>
    <w:p w:rsidR="002D0987" w:rsidRDefault="002D0987" w:rsidP="002D0987">
      <w:pPr>
        <w:jc w:val="center"/>
        <w:rPr>
          <w:rFonts w:eastAsia="Times New Roman"/>
          <w:sz w:val="24"/>
          <w:szCs w:val="24"/>
        </w:rPr>
      </w:pPr>
    </w:p>
    <w:p w:rsidR="002D0987" w:rsidRPr="0054263B" w:rsidRDefault="002D0987" w:rsidP="002D0987">
      <w:pPr>
        <w:keepNext/>
        <w:spacing w:after="240"/>
        <w:jc w:val="center"/>
        <w:rPr>
          <w:rFonts w:eastAsia="Times New Roman"/>
          <w:b/>
          <w:sz w:val="24"/>
          <w:szCs w:val="24"/>
        </w:rPr>
      </w:pPr>
      <w:r w:rsidRPr="0054263B">
        <w:rPr>
          <w:rFonts w:eastAsia="Times New Roman"/>
          <w:b/>
          <w:sz w:val="24"/>
          <w:szCs w:val="24"/>
        </w:rPr>
        <w:t>Notes on Use</w:t>
      </w:r>
    </w:p>
    <w:p w:rsidR="005B27FE" w:rsidRPr="005B27FE" w:rsidRDefault="005B27FE" w:rsidP="005B27FE">
      <w:pPr>
        <w:spacing w:after="240"/>
        <w:ind w:firstLine="720"/>
        <w:rPr>
          <w:rFonts w:eastAsia="Times New Roman"/>
          <w:sz w:val="24"/>
          <w:szCs w:val="24"/>
        </w:rPr>
      </w:pPr>
      <w:r w:rsidRPr="005B27FE">
        <w:rPr>
          <w:rFonts w:eastAsia="Times New Roman"/>
          <w:sz w:val="24"/>
          <w:szCs w:val="24"/>
        </w:rPr>
        <w:t>1. Use whichever parenthesized words are appropriate.</w:t>
      </w:r>
    </w:p>
    <w:p w:rsidR="005B27FE" w:rsidRPr="005B27FE" w:rsidRDefault="005B27FE" w:rsidP="005B27FE">
      <w:pPr>
        <w:spacing w:after="240"/>
        <w:ind w:firstLine="720"/>
        <w:rPr>
          <w:rFonts w:eastAsia="Times New Roman"/>
          <w:sz w:val="24"/>
          <w:szCs w:val="24"/>
        </w:rPr>
      </w:pPr>
      <w:r w:rsidRPr="005B27FE">
        <w:rPr>
          <w:rFonts w:eastAsia="Times New Roman"/>
          <w:sz w:val="24"/>
          <w:szCs w:val="24"/>
        </w:rPr>
        <w:t>2. If there is a dispute as to whether the defendant did in fact restrict the plaintiff’s freedom of movement by an arrest or otherwise, this instruction must be appropriately modified.</w:t>
      </w:r>
    </w:p>
    <w:p w:rsidR="002D0987" w:rsidRPr="0054263B" w:rsidRDefault="002D0987" w:rsidP="002D0987">
      <w:pPr>
        <w:keepNext/>
        <w:spacing w:after="240"/>
        <w:jc w:val="center"/>
        <w:rPr>
          <w:rFonts w:eastAsia="Times New Roman"/>
          <w:b/>
          <w:sz w:val="24"/>
          <w:szCs w:val="24"/>
        </w:rPr>
      </w:pPr>
      <w:r>
        <w:rPr>
          <w:rFonts w:eastAsia="Times New Roman"/>
          <w:b/>
          <w:sz w:val="24"/>
          <w:szCs w:val="24"/>
        </w:rPr>
        <w:t>Source and Authority</w:t>
      </w:r>
    </w:p>
    <w:p w:rsidR="005B27FE" w:rsidRPr="005B27FE" w:rsidRDefault="005B27FE" w:rsidP="005B27FE">
      <w:pPr>
        <w:spacing w:after="240"/>
        <w:ind w:firstLine="720"/>
        <w:rPr>
          <w:rFonts w:eastAsia="Times New Roman"/>
          <w:sz w:val="24"/>
          <w:szCs w:val="24"/>
        </w:rPr>
      </w:pPr>
      <w:r w:rsidRPr="005B27FE">
        <w:rPr>
          <w:rFonts w:eastAsia="Times New Roman"/>
          <w:sz w:val="24"/>
          <w:szCs w:val="24"/>
        </w:rPr>
        <w:t xml:space="preserve">1. This instruction is supported by </w:t>
      </w:r>
      <w:r w:rsidRPr="005B27FE">
        <w:rPr>
          <w:rFonts w:eastAsia="Times New Roman"/>
          <w:b/>
          <w:sz w:val="24"/>
          <w:szCs w:val="24"/>
        </w:rPr>
        <w:t>Hushaw v. Dunn</w:t>
      </w:r>
      <w:r w:rsidRPr="005B27FE">
        <w:rPr>
          <w:rFonts w:eastAsia="Times New Roman"/>
          <w:sz w:val="24"/>
          <w:szCs w:val="24"/>
        </w:rPr>
        <w:t xml:space="preserve">, 62 Colo. 109, 111, 160 P. 1037, 1038 (1916) (“[W]here a person has pleaded guilty or has been convicted of a criminal charge, an action for false imprisonment will not lie. . . . The same rule would seem to be equally applicable where the arrest was for a violation of a municipal ordinance.”); and 1 </w:t>
      </w:r>
      <w:r w:rsidRPr="005B27FE">
        <w:rPr>
          <w:rFonts w:eastAsia="Times New Roman"/>
          <w:smallCaps/>
          <w:sz w:val="24"/>
          <w:szCs w:val="24"/>
        </w:rPr>
        <w:t>F. Harper et al., Harper, James, and Gray on Torts</w:t>
      </w:r>
      <w:r w:rsidRPr="005B27FE">
        <w:rPr>
          <w:rFonts w:eastAsia="Times New Roman"/>
          <w:sz w:val="24"/>
          <w:szCs w:val="24"/>
        </w:rPr>
        <w:t xml:space="preserve"> § 3.18, at 421 (3d ed. 2006).</w:t>
      </w:r>
    </w:p>
    <w:p w:rsidR="005B27FE" w:rsidRPr="005B27FE" w:rsidRDefault="005B27FE" w:rsidP="005B27FE">
      <w:pPr>
        <w:spacing w:after="240"/>
        <w:ind w:firstLine="720"/>
        <w:rPr>
          <w:rFonts w:eastAsia="Times New Roman"/>
          <w:sz w:val="24"/>
          <w:szCs w:val="24"/>
        </w:rPr>
      </w:pPr>
      <w:r w:rsidRPr="005B27FE">
        <w:rPr>
          <w:rFonts w:eastAsia="Times New Roman"/>
          <w:sz w:val="24"/>
          <w:szCs w:val="24"/>
        </w:rPr>
        <w:t xml:space="preserve">2. The privilege covered by this instruction does not apply if the conviction was for an offense other than that for which the arrest was made. </w:t>
      </w:r>
      <w:r w:rsidRPr="005B27FE">
        <w:rPr>
          <w:rFonts w:eastAsia="Times New Roman"/>
          <w:smallCaps/>
          <w:sz w:val="24"/>
          <w:szCs w:val="24"/>
        </w:rPr>
        <w:t>Harper, James, and Gray on Torts</w:t>
      </w:r>
      <w:r w:rsidRPr="005B27FE">
        <w:rPr>
          <w:rFonts w:eastAsia="Times New Roman"/>
          <w:sz w:val="24"/>
          <w:szCs w:val="24"/>
        </w:rPr>
        <w:t xml:space="preserve">, </w:t>
      </w:r>
      <w:r w:rsidRPr="005B27FE">
        <w:rPr>
          <w:rFonts w:eastAsia="Times New Roman"/>
          <w:i/>
          <w:sz w:val="24"/>
          <w:szCs w:val="24"/>
        </w:rPr>
        <w:t>supra</w:t>
      </w:r>
      <w:r w:rsidRPr="005B27FE">
        <w:rPr>
          <w:rFonts w:eastAsia="Times New Roman"/>
          <w:sz w:val="24"/>
          <w:szCs w:val="24"/>
        </w:rPr>
        <w:t xml:space="preserve">, § 3.18, at 414; </w:t>
      </w:r>
      <w:r w:rsidRPr="005B27FE">
        <w:rPr>
          <w:rFonts w:eastAsia="Times New Roman"/>
          <w:i/>
          <w:sz w:val="24"/>
          <w:szCs w:val="24"/>
        </w:rPr>
        <w:t xml:space="preserve">accord </w:t>
      </w:r>
      <w:r w:rsidRPr="005B27FE">
        <w:rPr>
          <w:rFonts w:eastAsia="Times New Roman"/>
          <w:b/>
          <w:sz w:val="24"/>
          <w:szCs w:val="24"/>
        </w:rPr>
        <w:t>Enright v. Groves</w:t>
      </w:r>
      <w:r w:rsidRPr="005B27FE">
        <w:rPr>
          <w:rFonts w:eastAsia="Times New Roman"/>
          <w:sz w:val="24"/>
          <w:szCs w:val="24"/>
        </w:rPr>
        <w:t xml:space="preserve">, 39 Colo. App. 39, 560 P.2d 851 (1977). </w:t>
      </w:r>
      <w:r w:rsidRPr="005B27FE">
        <w:rPr>
          <w:rFonts w:eastAsia="Times New Roman"/>
          <w:i/>
          <w:sz w:val="24"/>
          <w:szCs w:val="24"/>
        </w:rPr>
        <w:t>But see</w:t>
      </w:r>
      <w:r w:rsidRPr="005B27FE">
        <w:rPr>
          <w:rFonts w:eastAsia="Times New Roman"/>
          <w:sz w:val="24"/>
          <w:szCs w:val="24"/>
        </w:rPr>
        <w:t xml:space="preserve"> </w:t>
      </w:r>
      <w:r w:rsidRPr="005B27FE">
        <w:rPr>
          <w:rFonts w:eastAsia="Times New Roman"/>
          <w:b/>
          <w:sz w:val="24"/>
          <w:szCs w:val="24"/>
        </w:rPr>
        <w:t>Land v. Hill</w:t>
      </w:r>
      <w:r w:rsidRPr="005B27FE">
        <w:rPr>
          <w:rFonts w:eastAsia="Times New Roman"/>
          <w:sz w:val="24"/>
          <w:szCs w:val="24"/>
        </w:rPr>
        <w:t xml:space="preserve">, 644 P.2d 43 (Colo. App. 1981) (distinguishing </w:t>
      </w:r>
      <w:r w:rsidRPr="005B27FE">
        <w:rPr>
          <w:rFonts w:eastAsia="Times New Roman"/>
          <w:b/>
          <w:sz w:val="24"/>
          <w:szCs w:val="24"/>
        </w:rPr>
        <w:t>Enright</w:t>
      </w:r>
      <w:r w:rsidRPr="005B27FE">
        <w:rPr>
          <w:rFonts w:eastAsia="Times New Roman"/>
          <w:sz w:val="24"/>
          <w:szCs w:val="24"/>
        </w:rPr>
        <w:t xml:space="preserve"> on the grounds that in </w:t>
      </w:r>
      <w:r w:rsidRPr="005B27FE">
        <w:rPr>
          <w:rFonts w:eastAsia="Times New Roman"/>
          <w:b/>
          <w:sz w:val="24"/>
          <w:szCs w:val="24"/>
        </w:rPr>
        <w:t>Enright</w:t>
      </w:r>
      <w:r w:rsidRPr="005B27FE">
        <w:rPr>
          <w:rFonts w:eastAsia="Times New Roman"/>
          <w:sz w:val="24"/>
          <w:szCs w:val="24"/>
        </w:rPr>
        <w:t xml:space="preserve"> the conduct for which the plaintiff claimed to have been falsely arrested (failure to produce a driver’s license) was totally unrelated to that for which the plaintiff was convicted (violation of dog leash law)). In </w:t>
      </w:r>
      <w:r w:rsidRPr="005B27FE">
        <w:rPr>
          <w:rFonts w:eastAsia="Times New Roman"/>
          <w:b/>
          <w:sz w:val="24"/>
          <w:szCs w:val="24"/>
        </w:rPr>
        <w:t>Land</w:t>
      </w:r>
      <w:r w:rsidRPr="005B27FE">
        <w:rPr>
          <w:rFonts w:eastAsia="Times New Roman"/>
          <w:sz w:val="24"/>
          <w:szCs w:val="24"/>
        </w:rPr>
        <w:t>, on the other hand, the plaintiff’s threats toward a third person for which she appears to have been arrested were “part and parcel” of a single course of conduct involving the battery on the same third person to which the plaintiff pleaded guilty.</w:t>
      </w:r>
    </w:p>
    <w:p w:rsidR="005B27FE" w:rsidRDefault="005B27FE">
      <w:pPr>
        <w:rPr>
          <w:rFonts w:eastAsia="Times New Roman"/>
          <w:sz w:val="24"/>
          <w:szCs w:val="24"/>
        </w:rPr>
      </w:pPr>
      <w:r>
        <w:rPr>
          <w:rFonts w:eastAsia="Times New Roman"/>
          <w:sz w:val="24"/>
          <w:szCs w:val="24"/>
        </w:rPr>
        <w:br w:type="page"/>
      </w:r>
    </w:p>
    <w:p w:rsidR="005B27FE" w:rsidRPr="009E3DA4" w:rsidRDefault="005B27FE" w:rsidP="005B27FE">
      <w:pPr>
        <w:spacing w:after="240"/>
        <w:ind w:left="720" w:hanging="720"/>
        <w:rPr>
          <w:rFonts w:eastAsia="Times New Roman"/>
          <w:b/>
          <w:sz w:val="24"/>
          <w:szCs w:val="24"/>
        </w:rPr>
      </w:pPr>
      <w:bookmarkStart w:id="19" w:name="a21_19"/>
      <w:bookmarkEnd w:id="19"/>
      <w:r w:rsidRPr="005B27FE">
        <w:rPr>
          <w:rFonts w:eastAsia="Times New Roman"/>
          <w:b/>
          <w:sz w:val="24"/>
          <w:szCs w:val="24"/>
        </w:rPr>
        <w:t xml:space="preserve">21:19 </w:t>
      </w:r>
      <w:r w:rsidRPr="005B27FE">
        <w:rPr>
          <w:rFonts w:eastAsia="Times New Roman"/>
          <w:b/>
          <w:sz w:val="24"/>
          <w:szCs w:val="24"/>
        </w:rPr>
        <w:tab/>
        <w:t>ABUSE OF A PRIVILEGE TO ARREST</w:t>
      </w:r>
    </w:p>
    <w:p w:rsidR="005B27FE" w:rsidRPr="005B27FE" w:rsidRDefault="005B27FE" w:rsidP="005B27FE">
      <w:pPr>
        <w:spacing w:after="240"/>
        <w:ind w:firstLine="720"/>
        <w:rPr>
          <w:rFonts w:eastAsia="Times New Roman"/>
          <w:b/>
          <w:sz w:val="24"/>
          <w:szCs w:val="24"/>
        </w:rPr>
      </w:pPr>
      <w:r w:rsidRPr="005B27FE">
        <w:rPr>
          <w:rFonts w:eastAsia="Times New Roman"/>
          <w:b/>
          <w:sz w:val="24"/>
          <w:szCs w:val="24"/>
        </w:rPr>
        <w:t xml:space="preserve">If you find that the defendant, </w:t>
      </w:r>
      <w:r w:rsidRPr="005B27FE">
        <w:rPr>
          <w:rFonts w:eastAsia="Times New Roman"/>
          <w:i/>
          <w:sz w:val="24"/>
          <w:szCs w:val="24"/>
        </w:rPr>
        <w:t>(name)</w:t>
      </w:r>
      <w:r w:rsidRPr="005B27FE">
        <w:rPr>
          <w:rFonts w:eastAsia="Times New Roman"/>
          <w:b/>
          <w:sz w:val="24"/>
          <w:szCs w:val="24"/>
        </w:rPr>
        <w:t xml:space="preserve">, had a privilege to arrest the plaintiff, </w:t>
      </w:r>
      <w:r w:rsidRPr="005B27FE">
        <w:rPr>
          <w:rFonts w:eastAsia="Times New Roman"/>
          <w:i/>
          <w:sz w:val="24"/>
          <w:szCs w:val="24"/>
        </w:rPr>
        <w:t>(name)</w:t>
      </w:r>
      <w:r w:rsidRPr="005B27FE">
        <w:rPr>
          <w:rFonts w:eastAsia="Times New Roman"/>
          <w:b/>
          <w:sz w:val="24"/>
          <w:szCs w:val="24"/>
        </w:rPr>
        <w:t>, (with) (or) (without) a warrant, such a privilege is not a defense if:</w:t>
      </w:r>
    </w:p>
    <w:p w:rsidR="005B27FE" w:rsidRPr="005B27FE" w:rsidRDefault="005B27FE" w:rsidP="005B27FE">
      <w:pPr>
        <w:spacing w:after="240"/>
        <w:ind w:firstLine="720"/>
        <w:rPr>
          <w:rFonts w:eastAsia="Times New Roman"/>
          <w:b/>
          <w:sz w:val="24"/>
          <w:szCs w:val="24"/>
        </w:rPr>
      </w:pPr>
      <w:r w:rsidRPr="005B27FE">
        <w:rPr>
          <w:rFonts w:eastAsia="Times New Roman"/>
          <w:b/>
          <w:sz w:val="24"/>
          <w:szCs w:val="24"/>
        </w:rPr>
        <w:t>(1. The defendant’s sole purpose in making the arrest was not to bring the plaintiff before a proper court or official or to secure the administration of the criminal law) (or)</w:t>
      </w:r>
    </w:p>
    <w:p w:rsidR="005B27FE" w:rsidRPr="005B27FE" w:rsidRDefault="005B27FE" w:rsidP="005B27FE">
      <w:pPr>
        <w:spacing w:after="240"/>
        <w:ind w:firstLine="720"/>
        <w:rPr>
          <w:rFonts w:eastAsia="Times New Roman"/>
          <w:b/>
          <w:sz w:val="24"/>
          <w:szCs w:val="24"/>
        </w:rPr>
      </w:pPr>
      <w:r w:rsidRPr="005B27FE">
        <w:rPr>
          <w:rFonts w:eastAsia="Times New Roman"/>
          <w:b/>
          <w:sz w:val="24"/>
          <w:szCs w:val="24"/>
        </w:rPr>
        <w:t xml:space="preserve">(2. The defendant failed to bring the plaintiff without unnecessary delay before </w:t>
      </w:r>
      <w:r w:rsidRPr="005B27FE">
        <w:rPr>
          <w:rFonts w:eastAsia="Times New Roman"/>
          <w:i/>
          <w:sz w:val="24"/>
          <w:szCs w:val="24"/>
        </w:rPr>
        <w:t>[insert the court or officer before whom the plaintiff should have been brought]</w:t>
      </w:r>
      <w:r w:rsidRPr="005B27FE">
        <w:rPr>
          <w:rFonts w:eastAsia="Times New Roman"/>
          <w:b/>
          <w:sz w:val="24"/>
          <w:szCs w:val="24"/>
        </w:rPr>
        <w:t>).</w:t>
      </w:r>
    </w:p>
    <w:p w:rsidR="005B27FE" w:rsidRDefault="005B27FE" w:rsidP="005B27FE">
      <w:pPr>
        <w:jc w:val="center"/>
        <w:rPr>
          <w:rFonts w:eastAsia="Times New Roman"/>
          <w:sz w:val="24"/>
          <w:szCs w:val="24"/>
        </w:rPr>
      </w:pPr>
    </w:p>
    <w:p w:rsidR="005B27FE" w:rsidRPr="0054263B" w:rsidRDefault="005B27FE" w:rsidP="005B27FE">
      <w:pPr>
        <w:keepNext/>
        <w:spacing w:after="240"/>
        <w:jc w:val="center"/>
        <w:rPr>
          <w:rFonts w:eastAsia="Times New Roman"/>
          <w:b/>
          <w:sz w:val="24"/>
          <w:szCs w:val="24"/>
        </w:rPr>
      </w:pPr>
      <w:r w:rsidRPr="0054263B">
        <w:rPr>
          <w:rFonts w:eastAsia="Times New Roman"/>
          <w:b/>
          <w:sz w:val="24"/>
          <w:szCs w:val="24"/>
        </w:rPr>
        <w:t>Notes on Use</w:t>
      </w:r>
    </w:p>
    <w:p w:rsidR="005B27FE" w:rsidRPr="005B27FE" w:rsidRDefault="005B27FE" w:rsidP="005B27FE">
      <w:pPr>
        <w:spacing w:after="240"/>
        <w:ind w:firstLine="720"/>
        <w:rPr>
          <w:rFonts w:eastAsia="Times New Roman"/>
          <w:sz w:val="24"/>
          <w:szCs w:val="24"/>
        </w:rPr>
      </w:pPr>
      <w:r w:rsidRPr="005B27FE">
        <w:rPr>
          <w:rFonts w:eastAsia="Times New Roman"/>
          <w:sz w:val="24"/>
          <w:szCs w:val="24"/>
        </w:rPr>
        <w:t>1. Use whichever parenthesized portions are appropriate.</w:t>
      </w:r>
    </w:p>
    <w:p w:rsidR="005B27FE" w:rsidRPr="005B27FE" w:rsidRDefault="005B27FE" w:rsidP="005B27FE">
      <w:pPr>
        <w:spacing w:after="240"/>
        <w:ind w:firstLine="720"/>
        <w:rPr>
          <w:rFonts w:eastAsia="Times New Roman"/>
          <w:sz w:val="24"/>
          <w:szCs w:val="24"/>
        </w:rPr>
      </w:pPr>
      <w:r w:rsidRPr="005B27FE">
        <w:rPr>
          <w:rFonts w:eastAsia="Times New Roman"/>
          <w:sz w:val="24"/>
          <w:szCs w:val="24"/>
        </w:rPr>
        <w:t>2. For modifications which may be required in this instruction when a child is detained, see sections 19-2-502 and 19-2-503, C.R.S.</w:t>
      </w:r>
    </w:p>
    <w:p w:rsidR="005B27FE" w:rsidRPr="005B27FE" w:rsidRDefault="005B27FE" w:rsidP="005B27FE">
      <w:pPr>
        <w:spacing w:after="240"/>
        <w:ind w:firstLine="720"/>
        <w:rPr>
          <w:rFonts w:eastAsia="Times New Roman"/>
          <w:sz w:val="24"/>
          <w:szCs w:val="24"/>
        </w:rPr>
      </w:pPr>
      <w:r w:rsidRPr="005B27FE">
        <w:rPr>
          <w:rFonts w:eastAsia="Times New Roman"/>
          <w:sz w:val="24"/>
          <w:szCs w:val="24"/>
        </w:rPr>
        <w:t xml:space="preserve">3. Paragraph 2 of this Instruction may require modification if a plaintiff was admitted to bail pursuant to section 16-2-111, C.R.S. </w:t>
      </w:r>
      <w:r w:rsidRPr="005B27FE">
        <w:rPr>
          <w:rFonts w:eastAsia="Times New Roman"/>
          <w:i/>
          <w:sz w:val="24"/>
          <w:szCs w:val="24"/>
        </w:rPr>
        <w:t>See</w:t>
      </w:r>
      <w:r w:rsidRPr="005B27FE">
        <w:rPr>
          <w:rFonts w:eastAsia="Times New Roman"/>
          <w:sz w:val="24"/>
          <w:szCs w:val="24"/>
        </w:rPr>
        <w:t xml:space="preserve"> </w:t>
      </w:r>
      <w:r w:rsidRPr="005B27FE">
        <w:rPr>
          <w:rFonts w:eastAsia="Times New Roman"/>
          <w:b/>
          <w:sz w:val="24"/>
          <w:szCs w:val="24"/>
        </w:rPr>
        <w:t>Weld Cty. Court v. Richards</w:t>
      </w:r>
      <w:r w:rsidRPr="005B27FE">
        <w:rPr>
          <w:rFonts w:eastAsia="Times New Roman"/>
          <w:sz w:val="24"/>
          <w:szCs w:val="24"/>
        </w:rPr>
        <w:t>, 812 P.2d 650 (Colo. 1991).</w:t>
      </w:r>
    </w:p>
    <w:p w:rsidR="005B27FE" w:rsidRPr="0054263B" w:rsidRDefault="005B27FE" w:rsidP="005B27FE">
      <w:pPr>
        <w:keepNext/>
        <w:spacing w:after="240"/>
        <w:jc w:val="center"/>
        <w:rPr>
          <w:rFonts w:eastAsia="Times New Roman"/>
          <w:b/>
          <w:sz w:val="24"/>
          <w:szCs w:val="24"/>
        </w:rPr>
      </w:pPr>
      <w:r>
        <w:rPr>
          <w:rFonts w:eastAsia="Times New Roman"/>
          <w:b/>
          <w:sz w:val="24"/>
          <w:szCs w:val="24"/>
        </w:rPr>
        <w:t>Source and Authority</w:t>
      </w:r>
    </w:p>
    <w:p w:rsidR="005B27FE" w:rsidRPr="005B27FE" w:rsidRDefault="005B27FE" w:rsidP="005B27FE">
      <w:pPr>
        <w:spacing w:after="240"/>
        <w:ind w:firstLine="720"/>
        <w:rPr>
          <w:rFonts w:eastAsia="Times New Roman"/>
          <w:sz w:val="24"/>
          <w:szCs w:val="24"/>
        </w:rPr>
      </w:pPr>
      <w:r w:rsidRPr="005B27FE">
        <w:rPr>
          <w:rFonts w:eastAsia="Times New Roman"/>
          <w:sz w:val="24"/>
          <w:szCs w:val="24"/>
        </w:rPr>
        <w:t xml:space="preserve">1. Paragraph 1 is supported by </w:t>
      </w:r>
      <w:r w:rsidRPr="005B27FE">
        <w:rPr>
          <w:rFonts w:eastAsia="Times New Roman"/>
          <w:smallCaps/>
          <w:sz w:val="24"/>
          <w:szCs w:val="24"/>
        </w:rPr>
        <w:t>Restatement (Second) of Torts</w:t>
      </w:r>
      <w:r w:rsidRPr="005B27FE">
        <w:rPr>
          <w:rFonts w:eastAsia="Times New Roman"/>
          <w:sz w:val="24"/>
          <w:szCs w:val="24"/>
        </w:rPr>
        <w:t xml:space="preserve"> § 127 (1965); and 1 </w:t>
      </w:r>
      <w:r w:rsidRPr="005B27FE">
        <w:rPr>
          <w:rFonts w:eastAsia="Times New Roman"/>
          <w:smallCaps/>
          <w:sz w:val="24"/>
          <w:szCs w:val="24"/>
        </w:rPr>
        <w:t>F. Harper et al., Harper, James, and Gray on Torts</w:t>
      </w:r>
      <w:r w:rsidRPr="005B27FE">
        <w:rPr>
          <w:rFonts w:eastAsia="Times New Roman"/>
          <w:sz w:val="24"/>
          <w:szCs w:val="24"/>
        </w:rPr>
        <w:t xml:space="preserve"> § 3.18, at 427 (3d ed. 2006).</w:t>
      </w:r>
    </w:p>
    <w:p w:rsidR="005B27FE" w:rsidRPr="005B27FE" w:rsidRDefault="005B27FE" w:rsidP="005B27FE">
      <w:pPr>
        <w:spacing w:after="240"/>
        <w:ind w:firstLine="720"/>
        <w:rPr>
          <w:rFonts w:eastAsia="Times New Roman"/>
          <w:sz w:val="24"/>
          <w:szCs w:val="24"/>
        </w:rPr>
      </w:pPr>
      <w:r w:rsidRPr="005B27FE">
        <w:rPr>
          <w:rFonts w:eastAsia="Times New Roman"/>
          <w:sz w:val="24"/>
          <w:szCs w:val="24"/>
        </w:rPr>
        <w:t xml:space="preserve">2. Paragraph 2 is supported by </w:t>
      </w:r>
      <w:r w:rsidRPr="005B27FE">
        <w:rPr>
          <w:rFonts w:eastAsia="Times New Roman"/>
          <w:smallCaps/>
          <w:sz w:val="24"/>
          <w:szCs w:val="24"/>
        </w:rPr>
        <w:t xml:space="preserve">Harper, James and Gray on </w:t>
      </w:r>
      <w:r>
        <w:rPr>
          <w:rFonts w:eastAsia="Times New Roman"/>
          <w:smallCaps/>
          <w:sz w:val="24"/>
          <w:szCs w:val="24"/>
        </w:rPr>
        <w:t>T</w:t>
      </w:r>
      <w:r w:rsidRPr="005B27FE">
        <w:rPr>
          <w:rFonts w:eastAsia="Times New Roman"/>
          <w:smallCaps/>
          <w:sz w:val="24"/>
          <w:szCs w:val="24"/>
        </w:rPr>
        <w:t>orts</w:t>
      </w:r>
      <w:r w:rsidRPr="005B27FE">
        <w:rPr>
          <w:rFonts w:eastAsia="Times New Roman"/>
          <w:sz w:val="24"/>
          <w:szCs w:val="24"/>
        </w:rPr>
        <w:t xml:space="preserve">, </w:t>
      </w:r>
      <w:r w:rsidRPr="005B27FE">
        <w:rPr>
          <w:rFonts w:eastAsia="Times New Roman"/>
          <w:i/>
          <w:sz w:val="24"/>
          <w:szCs w:val="24"/>
        </w:rPr>
        <w:t>supra</w:t>
      </w:r>
      <w:r w:rsidRPr="005B27FE">
        <w:rPr>
          <w:rFonts w:eastAsia="Times New Roman"/>
          <w:sz w:val="24"/>
          <w:szCs w:val="24"/>
        </w:rPr>
        <w:t xml:space="preserve">, § 3.17, at 427; and </w:t>
      </w:r>
      <w:r w:rsidRPr="005B27FE">
        <w:rPr>
          <w:rFonts w:eastAsia="Times New Roman"/>
          <w:smallCaps/>
          <w:sz w:val="24"/>
          <w:szCs w:val="24"/>
        </w:rPr>
        <w:t>W. Page Keeton et al., Prosser and Keeton on the Law of Torts</w:t>
      </w:r>
      <w:r w:rsidRPr="005B27FE">
        <w:rPr>
          <w:rFonts w:eastAsia="Times New Roman"/>
          <w:sz w:val="24"/>
          <w:szCs w:val="24"/>
        </w:rPr>
        <w:t xml:space="preserve"> § 25, at 150 (5th ed. 1984).</w:t>
      </w:r>
    </w:p>
    <w:p w:rsidR="005B27FE" w:rsidRPr="005B27FE" w:rsidRDefault="005B27FE" w:rsidP="005B27FE">
      <w:pPr>
        <w:spacing w:after="240"/>
        <w:ind w:firstLine="720"/>
        <w:rPr>
          <w:rFonts w:eastAsia="Times New Roman"/>
          <w:sz w:val="24"/>
          <w:szCs w:val="24"/>
        </w:rPr>
      </w:pPr>
      <w:r w:rsidRPr="005B27FE">
        <w:rPr>
          <w:rFonts w:eastAsia="Times New Roman"/>
          <w:sz w:val="24"/>
          <w:szCs w:val="24"/>
        </w:rPr>
        <w:t xml:space="preserve">3. Rule 5(a) of the Colorado Rules of Criminal Procedure requires that a person arrested without a warrant or with a warrant be taken without unnecessary delay before the nearest available county or district court. “[Delay caused by] the decision of law enforcement officers to conduct a custodial interrogation of the defendant before presenting him to a judicial officer for a proper advisement of rights . . . is not a ‘necessary’ delay within the intendment of Crim. P. 5(a).” </w:t>
      </w:r>
      <w:r w:rsidRPr="005B27FE">
        <w:rPr>
          <w:rFonts w:eastAsia="Times New Roman"/>
          <w:b/>
          <w:sz w:val="24"/>
          <w:szCs w:val="24"/>
        </w:rPr>
        <w:t>People v. Raymer</w:t>
      </w:r>
      <w:r w:rsidRPr="005B27FE">
        <w:rPr>
          <w:rFonts w:eastAsia="Times New Roman"/>
          <w:sz w:val="24"/>
          <w:szCs w:val="24"/>
        </w:rPr>
        <w:t>, 662 P.2d 1066, 1071 (Colo. 1983).</w:t>
      </w:r>
    </w:p>
    <w:p w:rsidR="005B27FE" w:rsidRPr="005B27FE" w:rsidRDefault="005B27FE" w:rsidP="005B27FE">
      <w:pPr>
        <w:spacing w:after="240"/>
        <w:ind w:firstLine="720"/>
        <w:rPr>
          <w:rFonts w:eastAsia="Times New Roman"/>
          <w:sz w:val="24"/>
          <w:szCs w:val="24"/>
        </w:rPr>
      </w:pPr>
      <w:r w:rsidRPr="005B27FE">
        <w:rPr>
          <w:rFonts w:eastAsia="Times New Roman"/>
          <w:sz w:val="24"/>
          <w:szCs w:val="24"/>
        </w:rPr>
        <w:t>4. Rule 9(c) of the Rules of Criminal Procedure requires that a person arrested with a warrant to be executed under Crim. P. 4(c) be taken before the court without unnecessary delay or, for purpose of admission to bail, before the clerk of the court, the sheriff of the county where the arrest occurs, or any other officer authorized by law to admit to bail.</w:t>
      </w:r>
    </w:p>
    <w:p w:rsidR="005B27FE" w:rsidRPr="005B27FE" w:rsidRDefault="005B27FE" w:rsidP="005B27FE">
      <w:pPr>
        <w:spacing w:after="240"/>
        <w:ind w:firstLine="720"/>
        <w:rPr>
          <w:rFonts w:eastAsia="Times New Roman"/>
          <w:sz w:val="24"/>
          <w:szCs w:val="24"/>
        </w:rPr>
      </w:pPr>
      <w:r w:rsidRPr="005B27FE">
        <w:rPr>
          <w:rFonts w:eastAsia="Times New Roman"/>
          <w:sz w:val="24"/>
          <w:szCs w:val="24"/>
        </w:rPr>
        <w:t>5. Under certain circumstances set out in section 42-4-1707, C.R.S., a person arrested for a misdemeanor traffic violation must be taken without unnecessary delay before a county judge who has jurisdiction of the offense as provided by law.</w:t>
      </w:r>
    </w:p>
    <w:p w:rsidR="005B27FE" w:rsidRPr="005B27FE" w:rsidRDefault="005B27FE" w:rsidP="005B27FE">
      <w:pPr>
        <w:spacing w:after="240"/>
        <w:ind w:firstLine="720"/>
        <w:rPr>
          <w:rFonts w:eastAsia="Times New Roman"/>
          <w:sz w:val="24"/>
          <w:szCs w:val="24"/>
        </w:rPr>
      </w:pPr>
      <w:r w:rsidRPr="005B27FE">
        <w:rPr>
          <w:rFonts w:eastAsia="Times New Roman"/>
          <w:sz w:val="24"/>
          <w:szCs w:val="24"/>
        </w:rPr>
        <w:t xml:space="preserve">6. Other relevant statutes include section 16-2-112, C.R.S. (peace officer making an arrest without a warrant for a misdemeanor or petty offense is required to take arrested person “without unnecessary delay before the nearest available county or district judge”); section 16-3-104(3), C.R.S. (peace officer of another state making an arrest after a fresh pursuit required to take arrested person without unnecessary delay before “the nearest available judge of a court of record”); and section 16-3-108, C.R.S. (peace officer arresting a person with a warrant not based on an information or complaint required to take arrested person “without unnecessary delay before the nearest judge of a court of record”). </w:t>
      </w:r>
      <w:r w:rsidRPr="005B27FE">
        <w:rPr>
          <w:rFonts w:eastAsia="Times New Roman"/>
          <w:i/>
          <w:sz w:val="24"/>
          <w:szCs w:val="24"/>
        </w:rPr>
        <w:t>But see</w:t>
      </w:r>
      <w:r w:rsidRPr="005B27FE">
        <w:rPr>
          <w:rFonts w:eastAsia="Times New Roman"/>
          <w:sz w:val="24"/>
          <w:szCs w:val="24"/>
        </w:rPr>
        <w:t xml:space="preserve"> </w:t>
      </w:r>
      <w:r w:rsidRPr="005B27FE">
        <w:rPr>
          <w:rFonts w:eastAsia="Times New Roman"/>
          <w:b/>
          <w:sz w:val="24"/>
          <w:szCs w:val="24"/>
        </w:rPr>
        <w:t>Richards</w:t>
      </w:r>
      <w:r w:rsidRPr="005B27FE">
        <w:rPr>
          <w:rFonts w:eastAsia="Times New Roman"/>
          <w:sz w:val="24"/>
          <w:szCs w:val="24"/>
        </w:rPr>
        <w:t>, 812 P.2d at 653 (if defendant is arrested and admitted to bail through execution of an appearance bond pursuant to section 16-2-111, the requirements of section 16-2-112 are not applicable).</w:t>
      </w:r>
    </w:p>
    <w:p w:rsidR="005B27FE" w:rsidRPr="005B27FE" w:rsidRDefault="005B27FE" w:rsidP="005B27FE">
      <w:pPr>
        <w:spacing w:after="240"/>
        <w:ind w:firstLine="720"/>
        <w:rPr>
          <w:rFonts w:eastAsia="Times New Roman"/>
          <w:sz w:val="24"/>
          <w:szCs w:val="24"/>
        </w:rPr>
      </w:pPr>
      <w:r w:rsidRPr="005B27FE">
        <w:rPr>
          <w:rFonts w:eastAsia="Times New Roman"/>
          <w:sz w:val="24"/>
          <w:szCs w:val="24"/>
        </w:rPr>
        <w:t>7. As to the requirements of the Fourth Amendment to the United States Constitution with respect to a prompt judicial determination of probable cause following a warrantless arrest, see</w:t>
      </w:r>
      <w:r w:rsidRPr="005B27FE">
        <w:rPr>
          <w:rFonts w:eastAsia="Times New Roman"/>
          <w:i/>
          <w:sz w:val="24"/>
          <w:szCs w:val="24"/>
        </w:rPr>
        <w:t xml:space="preserve"> </w:t>
      </w:r>
      <w:r w:rsidRPr="005B27FE">
        <w:rPr>
          <w:rFonts w:eastAsia="Times New Roman"/>
          <w:b/>
          <w:sz w:val="24"/>
          <w:szCs w:val="24"/>
        </w:rPr>
        <w:t>County of Riverside v. McLaughlin</w:t>
      </w:r>
      <w:r w:rsidRPr="005B27FE">
        <w:rPr>
          <w:rFonts w:eastAsia="Times New Roman"/>
          <w:sz w:val="24"/>
          <w:szCs w:val="24"/>
        </w:rPr>
        <w:t xml:space="preserve">, 500 U.S. 44 (1991) (burden of proof shifts to government to demonstrate existence of a bona fide emergency or other extraordinary circumstance when an individual arrested without a warrant does not receive a judicial determination of probable cause within 48 hours). </w:t>
      </w:r>
      <w:r w:rsidRPr="005B27FE">
        <w:rPr>
          <w:rFonts w:eastAsia="Times New Roman"/>
          <w:i/>
          <w:sz w:val="24"/>
          <w:szCs w:val="24"/>
        </w:rPr>
        <w:t>See also</w:t>
      </w:r>
      <w:r w:rsidRPr="005B27FE">
        <w:rPr>
          <w:rFonts w:eastAsia="Times New Roman"/>
          <w:sz w:val="24"/>
          <w:szCs w:val="24"/>
        </w:rPr>
        <w:t xml:space="preserve"> </w:t>
      </w:r>
      <w:r w:rsidRPr="005B27FE">
        <w:rPr>
          <w:rFonts w:eastAsia="Times New Roman"/>
          <w:b/>
          <w:sz w:val="24"/>
          <w:szCs w:val="24"/>
        </w:rPr>
        <w:t>Powell v. Nevada</w:t>
      </w:r>
      <w:r w:rsidRPr="005B27FE">
        <w:rPr>
          <w:rFonts w:eastAsia="Times New Roman"/>
          <w:sz w:val="24"/>
          <w:szCs w:val="24"/>
        </w:rPr>
        <w:t xml:space="preserve">, 511 U.S. 79 (1994) (four-day delay between warrantless arrest and judicial probable cause hearing was presumptively unreasonable under </w:t>
      </w:r>
      <w:r w:rsidRPr="005B27FE">
        <w:rPr>
          <w:rFonts w:eastAsia="Times New Roman"/>
          <w:b/>
          <w:sz w:val="24"/>
          <w:szCs w:val="24"/>
        </w:rPr>
        <w:t>McLaughlin’s</w:t>
      </w:r>
      <w:r w:rsidRPr="005B27FE">
        <w:rPr>
          <w:rFonts w:eastAsia="Times New Roman"/>
          <w:sz w:val="24"/>
          <w:szCs w:val="24"/>
        </w:rPr>
        <w:t xml:space="preserve"> 48-hour rule).</w:t>
      </w:r>
    </w:p>
    <w:p w:rsidR="00FE1F3D" w:rsidRPr="004D2C99" w:rsidRDefault="00FE1F3D" w:rsidP="006053F6">
      <w:pPr>
        <w:spacing w:after="240"/>
        <w:ind w:firstLine="720"/>
        <w:rPr>
          <w:rFonts w:eastAsia="Times New Roman"/>
          <w:sz w:val="24"/>
          <w:szCs w:val="24"/>
        </w:rPr>
      </w:pPr>
    </w:p>
    <w:sectPr w:rsidR="00FE1F3D" w:rsidRPr="004D2C99" w:rsidSect="0054263B">
      <w:foot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3CD2" w:rsidRDefault="003C3CD2" w:rsidP="0054263B">
      <w:r>
        <w:separator/>
      </w:r>
    </w:p>
    <w:p w:rsidR="003C3CD2" w:rsidRDefault="003C3CD2"/>
  </w:endnote>
  <w:endnote w:type="continuationSeparator" w:id="0">
    <w:p w:rsidR="003C3CD2" w:rsidRDefault="003C3CD2" w:rsidP="0054263B">
      <w:r>
        <w:continuationSeparator/>
      </w:r>
    </w:p>
    <w:p w:rsidR="003C3CD2" w:rsidRDefault="003C3CD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2451" w:rsidRDefault="00952451">
    <w:pPr>
      <w:pStyle w:val="Footer"/>
      <w:jc w:val="center"/>
    </w:pPr>
    <w:r>
      <w:fldChar w:fldCharType="begin"/>
    </w:r>
    <w:r>
      <w:instrText xml:space="preserve"> PAGE   \* MERGEFORMAT </w:instrText>
    </w:r>
    <w:r>
      <w:fldChar w:fldCharType="separate"/>
    </w:r>
    <w:r w:rsidR="006628BF">
      <w:rPr>
        <w:noProof/>
      </w:rPr>
      <w:t>5</w:t>
    </w:r>
    <w:r>
      <w:rPr>
        <w:noProof/>
      </w:rPr>
      <w:fldChar w:fldCharType="end"/>
    </w:r>
  </w:p>
  <w:p w:rsidR="00952451" w:rsidRDefault="00952451">
    <w:pPr>
      <w:pStyle w:val="Footer"/>
    </w:pPr>
  </w:p>
  <w:p w:rsidR="00952451" w:rsidRDefault="00952451"/>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3CD2" w:rsidRDefault="003C3CD2" w:rsidP="0054263B">
      <w:r>
        <w:separator/>
      </w:r>
    </w:p>
    <w:p w:rsidR="003C3CD2" w:rsidRDefault="003C3CD2"/>
  </w:footnote>
  <w:footnote w:type="continuationSeparator" w:id="0">
    <w:p w:rsidR="003C3CD2" w:rsidRDefault="003C3CD2" w:rsidP="0054263B">
      <w:r>
        <w:continuationSeparator/>
      </w:r>
    </w:p>
    <w:p w:rsidR="003C3CD2" w:rsidRDefault="003C3CD2"/>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29864C5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23E12800"/>
    <w:multiLevelType w:val="hybridMultilevel"/>
    <w:tmpl w:val="EE549AD0"/>
    <w:lvl w:ilvl="0" w:tplc="F104B9E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7C98"/>
    <w:rsid w:val="00004B85"/>
    <w:rsid w:val="00020CF1"/>
    <w:rsid w:val="00037111"/>
    <w:rsid w:val="0006367C"/>
    <w:rsid w:val="000671D2"/>
    <w:rsid w:val="000714BF"/>
    <w:rsid w:val="00074558"/>
    <w:rsid w:val="000824C8"/>
    <w:rsid w:val="00085495"/>
    <w:rsid w:val="000921F1"/>
    <w:rsid w:val="0009462F"/>
    <w:rsid w:val="000962C8"/>
    <w:rsid w:val="000A040F"/>
    <w:rsid w:val="000B1B7A"/>
    <w:rsid w:val="000C204E"/>
    <w:rsid w:val="000C503A"/>
    <w:rsid w:val="000C6F97"/>
    <w:rsid w:val="000D4856"/>
    <w:rsid w:val="000F205C"/>
    <w:rsid w:val="001117D9"/>
    <w:rsid w:val="00112C8E"/>
    <w:rsid w:val="00112FF9"/>
    <w:rsid w:val="00125209"/>
    <w:rsid w:val="00126B7A"/>
    <w:rsid w:val="00144917"/>
    <w:rsid w:val="001608FF"/>
    <w:rsid w:val="001671A9"/>
    <w:rsid w:val="00172674"/>
    <w:rsid w:val="00172700"/>
    <w:rsid w:val="00174BB5"/>
    <w:rsid w:val="0018037B"/>
    <w:rsid w:val="0018388B"/>
    <w:rsid w:val="001903CB"/>
    <w:rsid w:val="001913B1"/>
    <w:rsid w:val="00191498"/>
    <w:rsid w:val="00191C86"/>
    <w:rsid w:val="001A2648"/>
    <w:rsid w:val="001A6D48"/>
    <w:rsid w:val="001B416B"/>
    <w:rsid w:val="001D04E0"/>
    <w:rsid w:val="001E0F3B"/>
    <w:rsid w:val="001F0193"/>
    <w:rsid w:val="00200BA5"/>
    <w:rsid w:val="00202B81"/>
    <w:rsid w:val="002065D8"/>
    <w:rsid w:val="0021368F"/>
    <w:rsid w:val="0021730E"/>
    <w:rsid w:val="00217435"/>
    <w:rsid w:val="0022134E"/>
    <w:rsid w:val="00223286"/>
    <w:rsid w:val="00227D3A"/>
    <w:rsid w:val="0024062B"/>
    <w:rsid w:val="0024597C"/>
    <w:rsid w:val="002547C3"/>
    <w:rsid w:val="002654B4"/>
    <w:rsid w:val="00267805"/>
    <w:rsid w:val="00273777"/>
    <w:rsid w:val="00290935"/>
    <w:rsid w:val="00293F7E"/>
    <w:rsid w:val="002A23B0"/>
    <w:rsid w:val="002A6EC7"/>
    <w:rsid w:val="002B5FCF"/>
    <w:rsid w:val="002D0987"/>
    <w:rsid w:val="002D163D"/>
    <w:rsid w:val="002E0970"/>
    <w:rsid w:val="002E562A"/>
    <w:rsid w:val="002F0E75"/>
    <w:rsid w:val="002F48D6"/>
    <w:rsid w:val="00304398"/>
    <w:rsid w:val="00307B37"/>
    <w:rsid w:val="00316D33"/>
    <w:rsid w:val="00320613"/>
    <w:rsid w:val="0032367C"/>
    <w:rsid w:val="003247EA"/>
    <w:rsid w:val="003259EE"/>
    <w:rsid w:val="00333886"/>
    <w:rsid w:val="00335934"/>
    <w:rsid w:val="00336CE4"/>
    <w:rsid w:val="00345533"/>
    <w:rsid w:val="00352111"/>
    <w:rsid w:val="00352433"/>
    <w:rsid w:val="00352696"/>
    <w:rsid w:val="00353044"/>
    <w:rsid w:val="003613FE"/>
    <w:rsid w:val="00382177"/>
    <w:rsid w:val="003837B6"/>
    <w:rsid w:val="003937B8"/>
    <w:rsid w:val="003A2F1C"/>
    <w:rsid w:val="003A5A75"/>
    <w:rsid w:val="003C3CD2"/>
    <w:rsid w:val="003D027F"/>
    <w:rsid w:val="003D1B54"/>
    <w:rsid w:val="003D370E"/>
    <w:rsid w:val="003E472A"/>
    <w:rsid w:val="003E5B38"/>
    <w:rsid w:val="003F108C"/>
    <w:rsid w:val="003F6E89"/>
    <w:rsid w:val="00421763"/>
    <w:rsid w:val="00434371"/>
    <w:rsid w:val="00436DCB"/>
    <w:rsid w:val="004425AA"/>
    <w:rsid w:val="00456038"/>
    <w:rsid w:val="00456B2B"/>
    <w:rsid w:val="00467B80"/>
    <w:rsid w:val="0047120C"/>
    <w:rsid w:val="00471618"/>
    <w:rsid w:val="00473B65"/>
    <w:rsid w:val="00474B1B"/>
    <w:rsid w:val="0048541F"/>
    <w:rsid w:val="0049313F"/>
    <w:rsid w:val="004A1210"/>
    <w:rsid w:val="004A32E6"/>
    <w:rsid w:val="004B753E"/>
    <w:rsid w:val="004C62F9"/>
    <w:rsid w:val="004C723A"/>
    <w:rsid w:val="004D2C99"/>
    <w:rsid w:val="004E0408"/>
    <w:rsid w:val="004E68F5"/>
    <w:rsid w:val="004E7EF1"/>
    <w:rsid w:val="004F003D"/>
    <w:rsid w:val="00502D97"/>
    <w:rsid w:val="005065E6"/>
    <w:rsid w:val="0051385E"/>
    <w:rsid w:val="00516447"/>
    <w:rsid w:val="0052537F"/>
    <w:rsid w:val="00527A18"/>
    <w:rsid w:val="00531F87"/>
    <w:rsid w:val="0053544D"/>
    <w:rsid w:val="0054263B"/>
    <w:rsid w:val="00547D97"/>
    <w:rsid w:val="00550AFD"/>
    <w:rsid w:val="00557FCC"/>
    <w:rsid w:val="005648EF"/>
    <w:rsid w:val="0057771F"/>
    <w:rsid w:val="005A22A6"/>
    <w:rsid w:val="005B27FE"/>
    <w:rsid w:val="005B3A78"/>
    <w:rsid w:val="005C56C9"/>
    <w:rsid w:val="005C5CCB"/>
    <w:rsid w:val="005D1AD3"/>
    <w:rsid w:val="005D3156"/>
    <w:rsid w:val="005E3FE5"/>
    <w:rsid w:val="005E712D"/>
    <w:rsid w:val="005F1017"/>
    <w:rsid w:val="005F19FD"/>
    <w:rsid w:val="005F5A94"/>
    <w:rsid w:val="00604F03"/>
    <w:rsid w:val="006053F6"/>
    <w:rsid w:val="006272FE"/>
    <w:rsid w:val="00631BFF"/>
    <w:rsid w:val="00642649"/>
    <w:rsid w:val="00647CC5"/>
    <w:rsid w:val="00651A64"/>
    <w:rsid w:val="00661D05"/>
    <w:rsid w:val="006628BF"/>
    <w:rsid w:val="00675252"/>
    <w:rsid w:val="00682B93"/>
    <w:rsid w:val="0068336D"/>
    <w:rsid w:val="00683FA1"/>
    <w:rsid w:val="00685E76"/>
    <w:rsid w:val="00687304"/>
    <w:rsid w:val="00697DF2"/>
    <w:rsid w:val="006A74B6"/>
    <w:rsid w:val="006B2457"/>
    <w:rsid w:val="006B26D7"/>
    <w:rsid w:val="006E0D06"/>
    <w:rsid w:val="006E3575"/>
    <w:rsid w:val="006E62F0"/>
    <w:rsid w:val="006F7581"/>
    <w:rsid w:val="006F7DC0"/>
    <w:rsid w:val="00702B5A"/>
    <w:rsid w:val="0070752A"/>
    <w:rsid w:val="007119D8"/>
    <w:rsid w:val="0071225B"/>
    <w:rsid w:val="00713866"/>
    <w:rsid w:val="007216DA"/>
    <w:rsid w:val="00724230"/>
    <w:rsid w:val="00726E21"/>
    <w:rsid w:val="007340B5"/>
    <w:rsid w:val="007532AB"/>
    <w:rsid w:val="00766F81"/>
    <w:rsid w:val="00770FFC"/>
    <w:rsid w:val="00787065"/>
    <w:rsid w:val="00792028"/>
    <w:rsid w:val="007A3A0E"/>
    <w:rsid w:val="007A612E"/>
    <w:rsid w:val="007B1633"/>
    <w:rsid w:val="007D168F"/>
    <w:rsid w:val="007D198E"/>
    <w:rsid w:val="007D2BCE"/>
    <w:rsid w:val="007D39CC"/>
    <w:rsid w:val="007E1675"/>
    <w:rsid w:val="007F7129"/>
    <w:rsid w:val="00801691"/>
    <w:rsid w:val="0080333E"/>
    <w:rsid w:val="00806282"/>
    <w:rsid w:val="00813A6B"/>
    <w:rsid w:val="0082168C"/>
    <w:rsid w:val="0083035A"/>
    <w:rsid w:val="0083254A"/>
    <w:rsid w:val="0083264A"/>
    <w:rsid w:val="00832DB4"/>
    <w:rsid w:val="0083763B"/>
    <w:rsid w:val="00837F81"/>
    <w:rsid w:val="00845F81"/>
    <w:rsid w:val="00850A48"/>
    <w:rsid w:val="00853ECF"/>
    <w:rsid w:val="008557E1"/>
    <w:rsid w:val="008662EF"/>
    <w:rsid w:val="0086735A"/>
    <w:rsid w:val="008703EF"/>
    <w:rsid w:val="00875064"/>
    <w:rsid w:val="008812A8"/>
    <w:rsid w:val="00881431"/>
    <w:rsid w:val="008859AF"/>
    <w:rsid w:val="00895065"/>
    <w:rsid w:val="008A1099"/>
    <w:rsid w:val="008A475A"/>
    <w:rsid w:val="008A6339"/>
    <w:rsid w:val="008A637B"/>
    <w:rsid w:val="008B1617"/>
    <w:rsid w:val="008C1739"/>
    <w:rsid w:val="008D2D19"/>
    <w:rsid w:val="008D2D56"/>
    <w:rsid w:val="008D4A28"/>
    <w:rsid w:val="008D609F"/>
    <w:rsid w:val="008D7ECC"/>
    <w:rsid w:val="008E41F1"/>
    <w:rsid w:val="008E51AF"/>
    <w:rsid w:val="008F4C42"/>
    <w:rsid w:val="008F746C"/>
    <w:rsid w:val="009007E8"/>
    <w:rsid w:val="009022AA"/>
    <w:rsid w:val="0090292A"/>
    <w:rsid w:val="00902A25"/>
    <w:rsid w:val="00914128"/>
    <w:rsid w:val="00932723"/>
    <w:rsid w:val="00935DA8"/>
    <w:rsid w:val="00936D0A"/>
    <w:rsid w:val="00950692"/>
    <w:rsid w:val="00952451"/>
    <w:rsid w:val="00952BBB"/>
    <w:rsid w:val="0095709A"/>
    <w:rsid w:val="009725D8"/>
    <w:rsid w:val="00973884"/>
    <w:rsid w:val="009902F2"/>
    <w:rsid w:val="009931B9"/>
    <w:rsid w:val="009A5A6D"/>
    <w:rsid w:val="009A5AA6"/>
    <w:rsid w:val="009A5B9F"/>
    <w:rsid w:val="009B6746"/>
    <w:rsid w:val="009C0C3F"/>
    <w:rsid w:val="009E20C7"/>
    <w:rsid w:val="009E3DA4"/>
    <w:rsid w:val="009F581C"/>
    <w:rsid w:val="00A005E6"/>
    <w:rsid w:val="00A06ED6"/>
    <w:rsid w:val="00A10F3D"/>
    <w:rsid w:val="00A110C7"/>
    <w:rsid w:val="00A36457"/>
    <w:rsid w:val="00A50F20"/>
    <w:rsid w:val="00A615D8"/>
    <w:rsid w:val="00A632A0"/>
    <w:rsid w:val="00A65981"/>
    <w:rsid w:val="00A677E8"/>
    <w:rsid w:val="00A73AE6"/>
    <w:rsid w:val="00A76341"/>
    <w:rsid w:val="00A80BB7"/>
    <w:rsid w:val="00A80C10"/>
    <w:rsid w:val="00A82D0A"/>
    <w:rsid w:val="00A85AAA"/>
    <w:rsid w:val="00A92C18"/>
    <w:rsid w:val="00AB2019"/>
    <w:rsid w:val="00AB71A7"/>
    <w:rsid w:val="00AC78F7"/>
    <w:rsid w:val="00AD4B56"/>
    <w:rsid w:val="00AF40E1"/>
    <w:rsid w:val="00AF7D47"/>
    <w:rsid w:val="00B0264D"/>
    <w:rsid w:val="00B312BE"/>
    <w:rsid w:val="00B338E2"/>
    <w:rsid w:val="00B35185"/>
    <w:rsid w:val="00B36306"/>
    <w:rsid w:val="00B37722"/>
    <w:rsid w:val="00B567C1"/>
    <w:rsid w:val="00B579DF"/>
    <w:rsid w:val="00B6275E"/>
    <w:rsid w:val="00B63167"/>
    <w:rsid w:val="00B70D68"/>
    <w:rsid w:val="00B719C2"/>
    <w:rsid w:val="00B72D6B"/>
    <w:rsid w:val="00B80FD1"/>
    <w:rsid w:val="00B937E4"/>
    <w:rsid w:val="00B97801"/>
    <w:rsid w:val="00BA2389"/>
    <w:rsid w:val="00BA27A8"/>
    <w:rsid w:val="00BA510E"/>
    <w:rsid w:val="00BB344E"/>
    <w:rsid w:val="00BC49BF"/>
    <w:rsid w:val="00BC60AE"/>
    <w:rsid w:val="00BC65EF"/>
    <w:rsid w:val="00BE2B09"/>
    <w:rsid w:val="00BE654D"/>
    <w:rsid w:val="00BE6634"/>
    <w:rsid w:val="00BF5DF3"/>
    <w:rsid w:val="00C0082E"/>
    <w:rsid w:val="00C21D93"/>
    <w:rsid w:val="00C225C9"/>
    <w:rsid w:val="00C26751"/>
    <w:rsid w:val="00C40968"/>
    <w:rsid w:val="00C473A2"/>
    <w:rsid w:val="00C60E95"/>
    <w:rsid w:val="00C610EC"/>
    <w:rsid w:val="00C724B6"/>
    <w:rsid w:val="00C84E71"/>
    <w:rsid w:val="00C87463"/>
    <w:rsid w:val="00C8797B"/>
    <w:rsid w:val="00C93B0B"/>
    <w:rsid w:val="00C94C5E"/>
    <w:rsid w:val="00CA41CC"/>
    <w:rsid w:val="00CA7EF2"/>
    <w:rsid w:val="00CB008B"/>
    <w:rsid w:val="00CC0502"/>
    <w:rsid w:val="00CC1AC8"/>
    <w:rsid w:val="00CC6A95"/>
    <w:rsid w:val="00CC7E17"/>
    <w:rsid w:val="00CD4A7D"/>
    <w:rsid w:val="00CE593D"/>
    <w:rsid w:val="00CF07F1"/>
    <w:rsid w:val="00D00330"/>
    <w:rsid w:val="00D0050C"/>
    <w:rsid w:val="00D014AE"/>
    <w:rsid w:val="00D05926"/>
    <w:rsid w:val="00D06D8D"/>
    <w:rsid w:val="00D16901"/>
    <w:rsid w:val="00D23BD0"/>
    <w:rsid w:val="00D333AA"/>
    <w:rsid w:val="00D347CA"/>
    <w:rsid w:val="00D51E80"/>
    <w:rsid w:val="00D53848"/>
    <w:rsid w:val="00D53AC5"/>
    <w:rsid w:val="00D5484F"/>
    <w:rsid w:val="00D6566B"/>
    <w:rsid w:val="00D705AC"/>
    <w:rsid w:val="00D8125F"/>
    <w:rsid w:val="00D90E67"/>
    <w:rsid w:val="00DA1796"/>
    <w:rsid w:val="00DA2814"/>
    <w:rsid w:val="00DB2C90"/>
    <w:rsid w:val="00DC0393"/>
    <w:rsid w:val="00DC63A9"/>
    <w:rsid w:val="00DC66A6"/>
    <w:rsid w:val="00DC7533"/>
    <w:rsid w:val="00DE2930"/>
    <w:rsid w:val="00DF2CB7"/>
    <w:rsid w:val="00DF3BF1"/>
    <w:rsid w:val="00DF7595"/>
    <w:rsid w:val="00E007F8"/>
    <w:rsid w:val="00E058BA"/>
    <w:rsid w:val="00E111AA"/>
    <w:rsid w:val="00E172C8"/>
    <w:rsid w:val="00E21120"/>
    <w:rsid w:val="00E24E10"/>
    <w:rsid w:val="00E2724A"/>
    <w:rsid w:val="00E30D4B"/>
    <w:rsid w:val="00E372EA"/>
    <w:rsid w:val="00E50187"/>
    <w:rsid w:val="00E55147"/>
    <w:rsid w:val="00E551EB"/>
    <w:rsid w:val="00E67638"/>
    <w:rsid w:val="00E70C9B"/>
    <w:rsid w:val="00E72FF1"/>
    <w:rsid w:val="00E7526A"/>
    <w:rsid w:val="00E87248"/>
    <w:rsid w:val="00E87C31"/>
    <w:rsid w:val="00E87FFB"/>
    <w:rsid w:val="00E93068"/>
    <w:rsid w:val="00E970B9"/>
    <w:rsid w:val="00EB113C"/>
    <w:rsid w:val="00EB3536"/>
    <w:rsid w:val="00EB5133"/>
    <w:rsid w:val="00EC16F4"/>
    <w:rsid w:val="00EC17E3"/>
    <w:rsid w:val="00EC3919"/>
    <w:rsid w:val="00EC7C98"/>
    <w:rsid w:val="00ED5E52"/>
    <w:rsid w:val="00ED7176"/>
    <w:rsid w:val="00ED75EA"/>
    <w:rsid w:val="00EF4043"/>
    <w:rsid w:val="00F022D4"/>
    <w:rsid w:val="00F062A4"/>
    <w:rsid w:val="00F17CFE"/>
    <w:rsid w:val="00F32AA4"/>
    <w:rsid w:val="00F566DF"/>
    <w:rsid w:val="00F573CF"/>
    <w:rsid w:val="00F57A2B"/>
    <w:rsid w:val="00F658E5"/>
    <w:rsid w:val="00F764F4"/>
    <w:rsid w:val="00F86F49"/>
    <w:rsid w:val="00FA333E"/>
    <w:rsid w:val="00FA7B76"/>
    <w:rsid w:val="00FC544C"/>
    <w:rsid w:val="00FD2DF4"/>
    <w:rsid w:val="00FD7D4E"/>
    <w:rsid w:val="00FE00D7"/>
    <w:rsid w:val="00FE156B"/>
    <w:rsid w:val="00FE1F3D"/>
    <w:rsid w:val="00FF17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2C90"/>
    <w:rPr>
      <w:sz w:val="22"/>
      <w:szCs w:val="26"/>
    </w:rPr>
  </w:style>
  <w:style w:type="paragraph" w:styleId="Heading1">
    <w:name w:val="heading 1"/>
    <w:basedOn w:val="Normal"/>
    <w:next w:val="Normal"/>
    <w:link w:val="Heading1Char"/>
    <w:uiPriority w:val="9"/>
    <w:qFormat/>
    <w:rsid w:val="00914128"/>
    <w:pPr>
      <w:spacing w:after="240"/>
      <w:jc w:val="center"/>
      <w:outlineLvl w:val="0"/>
    </w:pPr>
    <w:rPr>
      <w:rFonts w:eastAsia="Times New Roman"/>
      <w:b/>
      <w:cap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4263B"/>
    <w:pPr>
      <w:tabs>
        <w:tab w:val="center" w:pos="4680"/>
        <w:tab w:val="right" w:pos="9360"/>
      </w:tabs>
    </w:pPr>
  </w:style>
  <w:style w:type="character" w:customStyle="1" w:styleId="HeaderChar">
    <w:name w:val="Header Char"/>
    <w:basedOn w:val="DefaultParagraphFont"/>
    <w:link w:val="Header"/>
    <w:uiPriority w:val="99"/>
    <w:rsid w:val="0054263B"/>
    <w:rPr>
      <w:sz w:val="22"/>
      <w:szCs w:val="26"/>
    </w:rPr>
  </w:style>
  <w:style w:type="paragraph" w:styleId="Footer">
    <w:name w:val="footer"/>
    <w:basedOn w:val="Normal"/>
    <w:link w:val="FooterChar"/>
    <w:uiPriority w:val="99"/>
    <w:unhideWhenUsed/>
    <w:rsid w:val="0054263B"/>
    <w:pPr>
      <w:tabs>
        <w:tab w:val="center" w:pos="4680"/>
        <w:tab w:val="right" w:pos="9360"/>
      </w:tabs>
    </w:pPr>
  </w:style>
  <w:style w:type="character" w:customStyle="1" w:styleId="FooterChar">
    <w:name w:val="Footer Char"/>
    <w:basedOn w:val="DefaultParagraphFont"/>
    <w:link w:val="Footer"/>
    <w:uiPriority w:val="99"/>
    <w:rsid w:val="0054263B"/>
    <w:rPr>
      <w:sz w:val="22"/>
      <w:szCs w:val="26"/>
    </w:rPr>
  </w:style>
  <w:style w:type="character" w:styleId="CommentReference">
    <w:name w:val="annotation reference"/>
    <w:basedOn w:val="DefaultParagraphFont"/>
    <w:uiPriority w:val="99"/>
    <w:semiHidden/>
    <w:unhideWhenUsed/>
    <w:rsid w:val="00DB2C90"/>
    <w:rPr>
      <w:sz w:val="16"/>
      <w:szCs w:val="16"/>
    </w:rPr>
  </w:style>
  <w:style w:type="paragraph" w:styleId="CommentText">
    <w:name w:val="annotation text"/>
    <w:basedOn w:val="Normal"/>
    <w:link w:val="CommentTextChar"/>
    <w:uiPriority w:val="99"/>
    <w:semiHidden/>
    <w:unhideWhenUsed/>
    <w:rsid w:val="00DB2C90"/>
    <w:rPr>
      <w:sz w:val="20"/>
      <w:szCs w:val="20"/>
    </w:rPr>
  </w:style>
  <w:style w:type="character" w:customStyle="1" w:styleId="CommentTextChar">
    <w:name w:val="Comment Text Char"/>
    <w:basedOn w:val="DefaultParagraphFont"/>
    <w:link w:val="CommentText"/>
    <w:uiPriority w:val="99"/>
    <w:semiHidden/>
    <w:rsid w:val="00DB2C90"/>
  </w:style>
  <w:style w:type="paragraph" w:styleId="CommentSubject">
    <w:name w:val="annotation subject"/>
    <w:basedOn w:val="CommentText"/>
    <w:next w:val="CommentText"/>
    <w:link w:val="CommentSubjectChar"/>
    <w:uiPriority w:val="99"/>
    <w:semiHidden/>
    <w:unhideWhenUsed/>
    <w:rsid w:val="00DB2C90"/>
    <w:rPr>
      <w:b/>
      <w:bCs/>
    </w:rPr>
  </w:style>
  <w:style w:type="character" w:customStyle="1" w:styleId="CommentSubjectChar">
    <w:name w:val="Comment Subject Char"/>
    <w:basedOn w:val="CommentTextChar"/>
    <w:link w:val="CommentSubject"/>
    <w:uiPriority w:val="99"/>
    <w:semiHidden/>
    <w:rsid w:val="00DB2C90"/>
    <w:rPr>
      <w:b/>
      <w:bCs/>
    </w:rPr>
  </w:style>
  <w:style w:type="paragraph" w:styleId="BalloonText">
    <w:name w:val="Balloon Text"/>
    <w:basedOn w:val="Normal"/>
    <w:link w:val="BalloonTextChar"/>
    <w:uiPriority w:val="99"/>
    <w:semiHidden/>
    <w:unhideWhenUsed/>
    <w:rsid w:val="00DB2C90"/>
    <w:rPr>
      <w:rFonts w:cs="Tahoma"/>
      <w:sz w:val="24"/>
      <w:szCs w:val="16"/>
    </w:rPr>
  </w:style>
  <w:style w:type="character" w:customStyle="1" w:styleId="BalloonTextChar">
    <w:name w:val="Balloon Text Char"/>
    <w:basedOn w:val="DefaultParagraphFont"/>
    <w:link w:val="BalloonText"/>
    <w:uiPriority w:val="99"/>
    <w:semiHidden/>
    <w:rsid w:val="00DB2C90"/>
    <w:rPr>
      <w:rFonts w:cs="Tahoma"/>
      <w:sz w:val="24"/>
      <w:szCs w:val="16"/>
    </w:rPr>
  </w:style>
  <w:style w:type="character" w:styleId="Hyperlink">
    <w:name w:val="Hyperlink"/>
    <w:basedOn w:val="DefaultParagraphFont"/>
    <w:uiPriority w:val="99"/>
    <w:unhideWhenUsed/>
    <w:rsid w:val="007119D8"/>
    <w:rPr>
      <w:color w:val="0000FF" w:themeColor="hyperlink"/>
      <w:u w:val="single"/>
    </w:rPr>
  </w:style>
  <w:style w:type="character" w:styleId="FollowedHyperlink">
    <w:name w:val="FollowedHyperlink"/>
    <w:basedOn w:val="DefaultParagraphFont"/>
    <w:uiPriority w:val="99"/>
    <w:semiHidden/>
    <w:unhideWhenUsed/>
    <w:rsid w:val="007119D8"/>
    <w:rPr>
      <w:color w:val="800080" w:themeColor="followedHyperlink"/>
      <w:u w:val="single"/>
    </w:rPr>
  </w:style>
  <w:style w:type="character" w:customStyle="1" w:styleId="Heading1Char">
    <w:name w:val="Heading 1 Char"/>
    <w:basedOn w:val="DefaultParagraphFont"/>
    <w:link w:val="Heading1"/>
    <w:uiPriority w:val="9"/>
    <w:rsid w:val="00914128"/>
    <w:rPr>
      <w:rFonts w:eastAsia="Times New Roman"/>
      <w:b/>
      <w:caps/>
      <w:sz w:val="24"/>
      <w:szCs w:val="24"/>
    </w:rPr>
  </w:style>
  <w:style w:type="paragraph" w:customStyle="1" w:styleId="ToC">
    <w:name w:val="ToC"/>
    <w:basedOn w:val="Normal"/>
    <w:qFormat/>
    <w:rsid w:val="00914128"/>
    <w:pPr>
      <w:spacing w:after="80"/>
      <w:ind w:left="720" w:hanging="720"/>
    </w:pPr>
    <w:rPr>
      <w:rFonts w:eastAsia="Times New Roman"/>
      <w:sz w:val="24"/>
      <w:szCs w:val="20"/>
    </w:rPr>
  </w:style>
  <w:style w:type="paragraph" w:styleId="ListParagraph">
    <w:name w:val="List Paragraph"/>
    <w:basedOn w:val="Normal"/>
    <w:uiPriority w:val="34"/>
    <w:qFormat/>
    <w:rsid w:val="00935DA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2C90"/>
    <w:rPr>
      <w:sz w:val="22"/>
      <w:szCs w:val="26"/>
    </w:rPr>
  </w:style>
  <w:style w:type="paragraph" w:styleId="Heading1">
    <w:name w:val="heading 1"/>
    <w:basedOn w:val="Normal"/>
    <w:next w:val="Normal"/>
    <w:link w:val="Heading1Char"/>
    <w:uiPriority w:val="9"/>
    <w:qFormat/>
    <w:rsid w:val="00914128"/>
    <w:pPr>
      <w:spacing w:after="240"/>
      <w:jc w:val="center"/>
      <w:outlineLvl w:val="0"/>
    </w:pPr>
    <w:rPr>
      <w:rFonts w:eastAsia="Times New Roman"/>
      <w:b/>
      <w:cap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4263B"/>
    <w:pPr>
      <w:tabs>
        <w:tab w:val="center" w:pos="4680"/>
        <w:tab w:val="right" w:pos="9360"/>
      </w:tabs>
    </w:pPr>
  </w:style>
  <w:style w:type="character" w:customStyle="1" w:styleId="HeaderChar">
    <w:name w:val="Header Char"/>
    <w:basedOn w:val="DefaultParagraphFont"/>
    <w:link w:val="Header"/>
    <w:uiPriority w:val="99"/>
    <w:rsid w:val="0054263B"/>
    <w:rPr>
      <w:sz w:val="22"/>
      <w:szCs w:val="26"/>
    </w:rPr>
  </w:style>
  <w:style w:type="paragraph" w:styleId="Footer">
    <w:name w:val="footer"/>
    <w:basedOn w:val="Normal"/>
    <w:link w:val="FooterChar"/>
    <w:uiPriority w:val="99"/>
    <w:unhideWhenUsed/>
    <w:rsid w:val="0054263B"/>
    <w:pPr>
      <w:tabs>
        <w:tab w:val="center" w:pos="4680"/>
        <w:tab w:val="right" w:pos="9360"/>
      </w:tabs>
    </w:pPr>
  </w:style>
  <w:style w:type="character" w:customStyle="1" w:styleId="FooterChar">
    <w:name w:val="Footer Char"/>
    <w:basedOn w:val="DefaultParagraphFont"/>
    <w:link w:val="Footer"/>
    <w:uiPriority w:val="99"/>
    <w:rsid w:val="0054263B"/>
    <w:rPr>
      <w:sz w:val="22"/>
      <w:szCs w:val="26"/>
    </w:rPr>
  </w:style>
  <w:style w:type="character" w:styleId="CommentReference">
    <w:name w:val="annotation reference"/>
    <w:basedOn w:val="DefaultParagraphFont"/>
    <w:uiPriority w:val="99"/>
    <w:semiHidden/>
    <w:unhideWhenUsed/>
    <w:rsid w:val="00DB2C90"/>
    <w:rPr>
      <w:sz w:val="16"/>
      <w:szCs w:val="16"/>
    </w:rPr>
  </w:style>
  <w:style w:type="paragraph" w:styleId="CommentText">
    <w:name w:val="annotation text"/>
    <w:basedOn w:val="Normal"/>
    <w:link w:val="CommentTextChar"/>
    <w:uiPriority w:val="99"/>
    <w:semiHidden/>
    <w:unhideWhenUsed/>
    <w:rsid w:val="00DB2C90"/>
    <w:rPr>
      <w:sz w:val="20"/>
      <w:szCs w:val="20"/>
    </w:rPr>
  </w:style>
  <w:style w:type="character" w:customStyle="1" w:styleId="CommentTextChar">
    <w:name w:val="Comment Text Char"/>
    <w:basedOn w:val="DefaultParagraphFont"/>
    <w:link w:val="CommentText"/>
    <w:uiPriority w:val="99"/>
    <w:semiHidden/>
    <w:rsid w:val="00DB2C90"/>
  </w:style>
  <w:style w:type="paragraph" w:styleId="CommentSubject">
    <w:name w:val="annotation subject"/>
    <w:basedOn w:val="CommentText"/>
    <w:next w:val="CommentText"/>
    <w:link w:val="CommentSubjectChar"/>
    <w:uiPriority w:val="99"/>
    <w:semiHidden/>
    <w:unhideWhenUsed/>
    <w:rsid w:val="00DB2C90"/>
    <w:rPr>
      <w:b/>
      <w:bCs/>
    </w:rPr>
  </w:style>
  <w:style w:type="character" w:customStyle="1" w:styleId="CommentSubjectChar">
    <w:name w:val="Comment Subject Char"/>
    <w:basedOn w:val="CommentTextChar"/>
    <w:link w:val="CommentSubject"/>
    <w:uiPriority w:val="99"/>
    <w:semiHidden/>
    <w:rsid w:val="00DB2C90"/>
    <w:rPr>
      <w:b/>
      <w:bCs/>
    </w:rPr>
  </w:style>
  <w:style w:type="paragraph" w:styleId="BalloonText">
    <w:name w:val="Balloon Text"/>
    <w:basedOn w:val="Normal"/>
    <w:link w:val="BalloonTextChar"/>
    <w:uiPriority w:val="99"/>
    <w:semiHidden/>
    <w:unhideWhenUsed/>
    <w:rsid w:val="00DB2C90"/>
    <w:rPr>
      <w:rFonts w:cs="Tahoma"/>
      <w:sz w:val="24"/>
      <w:szCs w:val="16"/>
    </w:rPr>
  </w:style>
  <w:style w:type="character" w:customStyle="1" w:styleId="BalloonTextChar">
    <w:name w:val="Balloon Text Char"/>
    <w:basedOn w:val="DefaultParagraphFont"/>
    <w:link w:val="BalloonText"/>
    <w:uiPriority w:val="99"/>
    <w:semiHidden/>
    <w:rsid w:val="00DB2C90"/>
    <w:rPr>
      <w:rFonts w:cs="Tahoma"/>
      <w:sz w:val="24"/>
      <w:szCs w:val="16"/>
    </w:rPr>
  </w:style>
  <w:style w:type="character" w:styleId="Hyperlink">
    <w:name w:val="Hyperlink"/>
    <w:basedOn w:val="DefaultParagraphFont"/>
    <w:uiPriority w:val="99"/>
    <w:unhideWhenUsed/>
    <w:rsid w:val="007119D8"/>
    <w:rPr>
      <w:color w:val="0000FF" w:themeColor="hyperlink"/>
      <w:u w:val="single"/>
    </w:rPr>
  </w:style>
  <w:style w:type="character" w:styleId="FollowedHyperlink">
    <w:name w:val="FollowedHyperlink"/>
    <w:basedOn w:val="DefaultParagraphFont"/>
    <w:uiPriority w:val="99"/>
    <w:semiHidden/>
    <w:unhideWhenUsed/>
    <w:rsid w:val="007119D8"/>
    <w:rPr>
      <w:color w:val="800080" w:themeColor="followedHyperlink"/>
      <w:u w:val="single"/>
    </w:rPr>
  </w:style>
  <w:style w:type="character" w:customStyle="1" w:styleId="Heading1Char">
    <w:name w:val="Heading 1 Char"/>
    <w:basedOn w:val="DefaultParagraphFont"/>
    <w:link w:val="Heading1"/>
    <w:uiPriority w:val="9"/>
    <w:rsid w:val="00914128"/>
    <w:rPr>
      <w:rFonts w:eastAsia="Times New Roman"/>
      <w:b/>
      <w:caps/>
      <w:sz w:val="24"/>
      <w:szCs w:val="24"/>
    </w:rPr>
  </w:style>
  <w:style w:type="paragraph" w:customStyle="1" w:styleId="ToC">
    <w:name w:val="ToC"/>
    <w:basedOn w:val="Normal"/>
    <w:qFormat/>
    <w:rsid w:val="00914128"/>
    <w:pPr>
      <w:spacing w:after="80"/>
      <w:ind w:left="720" w:hanging="720"/>
    </w:pPr>
    <w:rPr>
      <w:rFonts w:eastAsia="Times New Roman"/>
      <w:sz w:val="24"/>
      <w:szCs w:val="20"/>
    </w:rPr>
  </w:style>
  <w:style w:type="paragraph" w:styleId="ListParagraph">
    <w:name w:val="List Paragraph"/>
    <w:basedOn w:val="Normal"/>
    <w:uiPriority w:val="34"/>
    <w:qFormat/>
    <w:rsid w:val="00935DA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342897">
      <w:bodyDiv w:val="1"/>
      <w:marLeft w:val="0"/>
      <w:marRight w:val="0"/>
      <w:marTop w:val="0"/>
      <w:marBottom w:val="0"/>
      <w:divBdr>
        <w:top w:val="none" w:sz="0" w:space="0" w:color="auto"/>
        <w:left w:val="none" w:sz="0" w:space="0" w:color="auto"/>
        <w:bottom w:val="none" w:sz="0" w:space="0" w:color="auto"/>
        <w:right w:val="none" w:sz="0" w:space="0" w:color="auto"/>
      </w:divBdr>
    </w:div>
    <w:div w:id="68618785">
      <w:bodyDiv w:val="1"/>
      <w:marLeft w:val="0"/>
      <w:marRight w:val="0"/>
      <w:marTop w:val="0"/>
      <w:marBottom w:val="0"/>
      <w:divBdr>
        <w:top w:val="none" w:sz="0" w:space="0" w:color="auto"/>
        <w:left w:val="none" w:sz="0" w:space="0" w:color="auto"/>
        <w:bottom w:val="none" w:sz="0" w:space="0" w:color="auto"/>
        <w:right w:val="none" w:sz="0" w:space="0" w:color="auto"/>
      </w:divBdr>
    </w:div>
    <w:div w:id="89006264">
      <w:bodyDiv w:val="1"/>
      <w:marLeft w:val="0"/>
      <w:marRight w:val="0"/>
      <w:marTop w:val="0"/>
      <w:marBottom w:val="0"/>
      <w:divBdr>
        <w:top w:val="none" w:sz="0" w:space="0" w:color="auto"/>
        <w:left w:val="none" w:sz="0" w:space="0" w:color="auto"/>
        <w:bottom w:val="none" w:sz="0" w:space="0" w:color="auto"/>
        <w:right w:val="none" w:sz="0" w:space="0" w:color="auto"/>
      </w:divBdr>
    </w:div>
    <w:div w:id="270860665">
      <w:bodyDiv w:val="1"/>
      <w:marLeft w:val="0"/>
      <w:marRight w:val="0"/>
      <w:marTop w:val="0"/>
      <w:marBottom w:val="0"/>
      <w:divBdr>
        <w:top w:val="none" w:sz="0" w:space="0" w:color="auto"/>
        <w:left w:val="none" w:sz="0" w:space="0" w:color="auto"/>
        <w:bottom w:val="none" w:sz="0" w:space="0" w:color="auto"/>
        <w:right w:val="none" w:sz="0" w:space="0" w:color="auto"/>
      </w:divBdr>
    </w:div>
    <w:div w:id="296036119">
      <w:bodyDiv w:val="1"/>
      <w:marLeft w:val="0"/>
      <w:marRight w:val="0"/>
      <w:marTop w:val="0"/>
      <w:marBottom w:val="0"/>
      <w:divBdr>
        <w:top w:val="none" w:sz="0" w:space="0" w:color="auto"/>
        <w:left w:val="none" w:sz="0" w:space="0" w:color="auto"/>
        <w:bottom w:val="none" w:sz="0" w:space="0" w:color="auto"/>
        <w:right w:val="none" w:sz="0" w:space="0" w:color="auto"/>
      </w:divBdr>
    </w:div>
    <w:div w:id="703945393">
      <w:bodyDiv w:val="1"/>
      <w:marLeft w:val="0"/>
      <w:marRight w:val="0"/>
      <w:marTop w:val="0"/>
      <w:marBottom w:val="0"/>
      <w:divBdr>
        <w:top w:val="none" w:sz="0" w:space="0" w:color="auto"/>
        <w:left w:val="none" w:sz="0" w:space="0" w:color="auto"/>
        <w:bottom w:val="none" w:sz="0" w:space="0" w:color="auto"/>
        <w:right w:val="none" w:sz="0" w:space="0" w:color="auto"/>
      </w:divBdr>
    </w:div>
    <w:div w:id="1443459567">
      <w:bodyDiv w:val="1"/>
      <w:marLeft w:val="0"/>
      <w:marRight w:val="0"/>
      <w:marTop w:val="0"/>
      <w:marBottom w:val="0"/>
      <w:divBdr>
        <w:top w:val="none" w:sz="0" w:space="0" w:color="auto"/>
        <w:left w:val="none" w:sz="0" w:space="0" w:color="auto"/>
        <w:bottom w:val="none" w:sz="0" w:space="0" w:color="auto"/>
        <w:right w:val="none" w:sz="0" w:space="0" w:color="auto"/>
      </w:divBdr>
    </w:div>
    <w:div w:id="1832794580">
      <w:bodyDiv w:val="1"/>
      <w:marLeft w:val="0"/>
      <w:marRight w:val="0"/>
      <w:marTop w:val="0"/>
      <w:marBottom w:val="0"/>
      <w:divBdr>
        <w:top w:val="none" w:sz="0" w:space="0" w:color="auto"/>
        <w:left w:val="none" w:sz="0" w:space="0" w:color="auto"/>
        <w:bottom w:val="none" w:sz="0" w:space="0" w:color="auto"/>
        <w:right w:val="none" w:sz="0" w:space="0" w:color="auto"/>
      </w:divBdr>
    </w:div>
    <w:div w:id="1887839253">
      <w:bodyDiv w:val="1"/>
      <w:marLeft w:val="0"/>
      <w:marRight w:val="0"/>
      <w:marTop w:val="0"/>
      <w:marBottom w:val="0"/>
      <w:divBdr>
        <w:top w:val="none" w:sz="0" w:space="0" w:color="auto"/>
        <w:left w:val="none" w:sz="0" w:space="0" w:color="auto"/>
        <w:bottom w:val="none" w:sz="0" w:space="0" w:color="auto"/>
        <w:right w:val="none" w:sz="0" w:space="0" w:color="auto"/>
      </w:divBdr>
    </w:div>
    <w:div w:id="1982349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10640</Words>
  <Characters>60648</Characters>
  <Application>Microsoft Office Word</Application>
  <DocSecurity>0</DocSecurity>
  <Lines>505</Lines>
  <Paragraphs>142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71146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Krista Schelhaas</dc:creator>
  <cp:lastModifiedBy>Krista Schelhaas</cp:lastModifiedBy>
  <cp:revision>2</cp:revision>
  <dcterms:created xsi:type="dcterms:W3CDTF">2022-01-12T16:58:00Z</dcterms:created>
  <dcterms:modified xsi:type="dcterms:W3CDTF">2022-01-12T16:58:00Z</dcterms:modified>
</cp:coreProperties>
</file>