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D8CA" w14:textId="6EFFA2BF" w:rsidR="00CA41CC" w:rsidRPr="00914128" w:rsidRDefault="0068336D" w:rsidP="00914128">
      <w:pPr>
        <w:pStyle w:val="Heading1"/>
      </w:pPr>
      <w:bookmarkStart w:id="0" w:name="_GoBack"/>
      <w:bookmarkEnd w:id="0"/>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68053A" w:rsidP="00914128">
      <w:pPr>
        <w:pStyle w:val="ToC"/>
      </w:pPr>
      <w:hyperlink w:anchor="a7_1" w:history="1">
        <w:r w:rsidR="00107D25" w:rsidRPr="00144917">
          <w:rPr>
            <w:rStyle w:val="Hyperlink"/>
          </w:rPr>
          <w:t>7:1</w:t>
        </w:r>
      </w:hyperlink>
      <w:r w:rsidR="00107D25" w:rsidRPr="00144917">
        <w:t xml:space="preserve"> </w:t>
      </w:r>
      <w:r w:rsidR="00107D25" w:rsidRPr="00144917">
        <w:tab/>
        <w:t xml:space="preserve">Minor Child — Defined — Right </w:t>
      </w:r>
      <w:r w:rsidR="00107D25">
        <w:t>t</w:t>
      </w:r>
      <w:r w:rsidR="00107D25" w:rsidRPr="00144917">
        <w:t xml:space="preserve">o Sue </w:t>
      </w:r>
      <w:r w:rsidR="00107D25">
        <w:t>o</w:t>
      </w:r>
      <w:r w:rsidR="00107D25" w:rsidRPr="00144917">
        <w:t>r Defend</w:t>
      </w:r>
    </w:p>
    <w:p w14:paraId="0FDBB341" w14:textId="77777777" w:rsidR="00144917" w:rsidRDefault="0068053A" w:rsidP="00914128">
      <w:pPr>
        <w:pStyle w:val="ToC"/>
      </w:pPr>
      <w:hyperlink w:anchor="a7_2" w:history="1">
        <w:r w:rsidR="00107D25" w:rsidRPr="00144917">
          <w:rPr>
            <w:rStyle w:val="Hyperlink"/>
          </w:rPr>
          <w:t>7:2</w:t>
        </w:r>
      </w:hyperlink>
      <w:r w:rsidR="00107D25" w:rsidRPr="00144917">
        <w:t xml:space="preserve"> </w:t>
      </w:r>
      <w:r w:rsidR="00107D25" w:rsidRPr="00144917">
        <w:tab/>
        <w:t>Emancipation —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68053A" w:rsidP="0068336D">
      <w:pPr>
        <w:pStyle w:val="ToC"/>
      </w:pPr>
      <w:hyperlink w:anchor="a7_3" w:history="1">
        <w:r w:rsidR="00107D25" w:rsidRPr="00144917">
          <w:rPr>
            <w:rStyle w:val="Hyperlink"/>
          </w:rPr>
          <w:t>7:3</w:t>
        </w:r>
      </w:hyperlink>
      <w:r w:rsidR="00107D25" w:rsidRPr="00144917">
        <w:t xml:space="preserve"> </w:t>
      </w:r>
      <w:r w:rsidR="00107D25" w:rsidRPr="00144917">
        <w:tab/>
        <w:t>General Partnership — Defined</w:t>
      </w:r>
    </w:p>
    <w:p w14:paraId="56A8A251" w14:textId="77777777" w:rsidR="00144917" w:rsidRDefault="0068053A" w:rsidP="0068336D">
      <w:pPr>
        <w:pStyle w:val="ToC"/>
      </w:pPr>
      <w:hyperlink w:anchor="a7_4" w:history="1">
        <w:r w:rsidR="00107D25" w:rsidRPr="00144917">
          <w:rPr>
            <w:rStyle w:val="Hyperlink"/>
          </w:rPr>
          <w:t>7:4</w:t>
        </w:r>
      </w:hyperlink>
      <w:r w:rsidR="00107D25" w:rsidRPr="00144917">
        <w:t xml:space="preserve"> </w:t>
      </w:r>
      <w:r w:rsidR="00107D25" w:rsidRPr="00144917">
        <w:tab/>
        <w:t>Joint Venture — Defined</w:t>
      </w:r>
    </w:p>
    <w:p w14:paraId="1E67E4FB" w14:textId="77777777" w:rsidR="00144917" w:rsidRDefault="0068053A" w:rsidP="0068336D">
      <w:pPr>
        <w:pStyle w:val="ToC"/>
      </w:pPr>
      <w:hyperlink w:anchor="a7_5" w:history="1">
        <w:r w:rsidR="00107D25" w:rsidRPr="00144917">
          <w:rPr>
            <w:rStyle w:val="Hyperlink"/>
          </w:rPr>
          <w:t>7:5</w:t>
        </w:r>
      </w:hyperlink>
      <w:r w:rsidR="00107D25" w:rsidRPr="00144917">
        <w:t xml:space="preserve"> </w:t>
      </w:r>
      <w:r w:rsidR="00107D25" w:rsidRPr="00144917">
        <w:tab/>
        <w:t xml:space="preserve">Joint Venture </w:t>
      </w:r>
      <w:r w:rsidR="00107D25">
        <w:t>i</w:t>
      </w:r>
      <w:r w:rsidR="00107D25" w:rsidRPr="00144917">
        <w:t xml:space="preserve">n Operation </w:t>
      </w:r>
      <w:r w:rsidR="00107D25">
        <w:t>o</w:t>
      </w:r>
      <w:r w:rsidR="00107D25" w:rsidRPr="00144917">
        <w:t xml:space="preserve">f Vehicle </w:t>
      </w:r>
      <w:r w:rsidR="00107D25">
        <w:t>o</w:t>
      </w:r>
      <w:r w:rsidR="00107D25" w:rsidRPr="00144917">
        <w:t>r Other Instrumentality — Defined</w:t>
      </w:r>
    </w:p>
    <w:p w14:paraId="12C825B6" w14:textId="77777777" w:rsidR="00144917" w:rsidRDefault="0068053A" w:rsidP="0068336D">
      <w:pPr>
        <w:pStyle w:val="ToC"/>
      </w:pPr>
      <w:hyperlink w:anchor="a7_6" w:history="1">
        <w:r w:rsidR="00107D25" w:rsidRPr="00144917">
          <w:rPr>
            <w:rStyle w:val="Hyperlink"/>
          </w:rPr>
          <w:t>7:6</w:t>
        </w:r>
      </w:hyperlink>
      <w:r w:rsidR="00107D25" w:rsidRPr="00144917">
        <w:t xml:space="preserve"> </w:t>
      </w:r>
      <w:r w:rsidR="00107D25" w:rsidRPr="00144917">
        <w:tab/>
        <w:t>Joint Venture — Imputing Negligence Among Joint Venturers</w:t>
      </w:r>
    </w:p>
    <w:p w14:paraId="7CDEA3F4" w14:textId="77777777" w:rsidR="00B3392C" w:rsidRDefault="00B3392C" w:rsidP="0068336D">
      <w:pPr>
        <w:pStyle w:val="ToC"/>
      </w:pPr>
    </w:p>
    <w:p w14:paraId="5AAE3DEE" w14:textId="551A78D8" w:rsidR="00B3392C" w:rsidRPr="00CA1FF8" w:rsidRDefault="00B3392C" w:rsidP="00B3392C">
      <w:pPr>
        <w:pStyle w:val="Heading1"/>
        <w:jc w:val="left"/>
        <w:rPr>
          <w:b w:val="0"/>
        </w:rPr>
      </w:pPr>
      <w:r w:rsidRPr="00CA1FF8">
        <w:rPr>
          <w:b w:val="0"/>
        </w:rPr>
        <w:t xml:space="preserve">C. </w:t>
      </w:r>
      <w:r w:rsidR="003E2169">
        <w:rPr>
          <w:b w:val="0"/>
        </w:rPr>
        <w:t>ENTITIES</w:t>
      </w:r>
    </w:p>
    <w:p w14:paraId="698AA8E1" w14:textId="1D6EBEC5" w:rsidR="00B3392C" w:rsidRPr="00CA1FF8" w:rsidRDefault="0068053A" w:rsidP="00B3392C">
      <w:pPr>
        <w:rPr>
          <w:sz w:val="24"/>
          <w:szCs w:val="24"/>
        </w:rPr>
      </w:pPr>
      <w:hyperlink w:anchor="a7_7" w:history="1">
        <w:r w:rsidR="00B3392C" w:rsidRPr="00185D68">
          <w:rPr>
            <w:rStyle w:val="Hyperlink"/>
            <w:sz w:val="24"/>
            <w:szCs w:val="24"/>
          </w:rPr>
          <w:t>7:7</w:t>
        </w:r>
      </w:hyperlink>
      <w:r w:rsidR="00B3392C" w:rsidRPr="00FE65DE">
        <w:rPr>
          <w:sz w:val="24"/>
          <w:szCs w:val="24"/>
        </w:rPr>
        <w:tab/>
      </w:r>
      <w:r w:rsidR="00B3392C" w:rsidRPr="00CA1FF8">
        <w:rPr>
          <w:sz w:val="24"/>
          <w:szCs w:val="24"/>
        </w:rPr>
        <w:t xml:space="preserve">Entity Acts Through </w:t>
      </w:r>
      <w:r w:rsidR="003E2169">
        <w:rPr>
          <w:sz w:val="24"/>
          <w:szCs w:val="24"/>
        </w:rPr>
        <w:t>Individuals</w:t>
      </w:r>
    </w:p>
    <w:p w14:paraId="0444B3B1" w14:textId="77777777" w:rsidR="00B3392C" w:rsidRDefault="00B3392C" w:rsidP="0068336D">
      <w:pPr>
        <w:pStyle w:val="ToC"/>
      </w:pP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1" w:name="a7_1"/>
      <w:bookmarkEnd w:id="1"/>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in conjunction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11CB580D"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1. This instruction is supported by C.R.C.P. 17(c) and 317(c), and section 13-22-101(1)(c),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r w:rsidR="0015697F">
        <w:rPr>
          <w:rFonts w:eastAsia="Times New Roman"/>
          <w:sz w:val="24"/>
          <w:szCs w:val="24"/>
        </w:rPr>
        <w:t>, 428 P.3d 686</w:t>
      </w:r>
      <w:r w:rsidR="002A2A74" w:rsidRPr="002A2A74">
        <w:rPr>
          <w:rFonts w:eastAsia="Times New Roman"/>
          <w:sz w:val="24"/>
          <w:szCs w:val="24"/>
        </w:rPr>
        <w:t>.</w:t>
      </w:r>
    </w:p>
    <w:p w14:paraId="76760D37" w14:textId="4A12C1B5"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r w:rsidRPr="000C503A">
        <w:rPr>
          <w:rFonts w:eastAsia="Times New Roman"/>
          <w:b/>
          <w:sz w:val="24"/>
          <w:szCs w:val="24"/>
        </w:rPr>
        <w:t>Elgin v. Bartlett</w:t>
      </w:r>
      <w:r w:rsidRPr="000C503A">
        <w:rPr>
          <w:rFonts w:eastAsia="Times New Roman"/>
          <w:sz w:val="24"/>
          <w:szCs w:val="24"/>
        </w:rPr>
        <w:t xml:space="preserve">, 994 P.2d 411 (Colo. 1999). 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 For a discussion of whether a minor or the parents are entitled to sue for pre-majority expenses and damages, see</w:t>
      </w:r>
      <w:r w:rsidRPr="000C503A">
        <w:rPr>
          <w:rFonts w:eastAsia="Times New Roman"/>
          <w:i/>
          <w:sz w:val="24"/>
          <w:szCs w:val="24"/>
        </w:rPr>
        <w:t xml:space="preserve"> </w:t>
      </w:r>
      <w:r w:rsidRPr="000C503A">
        <w:rPr>
          <w:rFonts w:eastAsia="Times New Roman"/>
          <w:b/>
          <w:sz w:val="24"/>
          <w:szCs w:val="24"/>
        </w:rPr>
        <w:t>Pressey v. Children’s Hospital Colorado</w:t>
      </w:r>
      <w:r w:rsidR="000F4D14">
        <w:rPr>
          <w:rFonts w:eastAsia="Times New Roman"/>
          <w:sz w:val="24"/>
          <w:szCs w:val="24"/>
        </w:rPr>
        <w:t>, 2017 COA 28, ¶¶ 26-31</w:t>
      </w:r>
      <w:r w:rsidR="0077580A">
        <w:rPr>
          <w:rFonts w:eastAsia="Times New Roman"/>
          <w:sz w:val="24"/>
          <w:szCs w:val="24"/>
        </w:rPr>
        <w:t>, 488 P.3d 151</w:t>
      </w:r>
      <w:r w:rsidR="000F4D14">
        <w:rPr>
          <w:rFonts w:eastAsia="Times New Roman"/>
          <w:sz w:val="24"/>
          <w:szCs w:val="24"/>
        </w:rPr>
        <w:t>.</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2" w:name="a7_2"/>
      <w:bookmarkEnd w:id="2"/>
      <w:r w:rsidRPr="003D370E">
        <w:rPr>
          <w:rFonts w:eastAsia="Times New Roman"/>
          <w:b/>
          <w:sz w:val="24"/>
          <w:szCs w:val="24"/>
        </w:rPr>
        <w:lastRenderedPageBreak/>
        <w:t xml:space="preserve">7:2 </w:t>
      </w:r>
      <w:r w:rsidRPr="003D370E">
        <w:rPr>
          <w:rFonts w:eastAsia="Times New Roman"/>
          <w:b/>
          <w:sz w:val="24"/>
          <w:szCs w:val="24"/>
        </w:rPr>
        <w:tab/>
        <w:t>EMANCIPATION —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in conjunction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r w:rsidRPr="003D370E">
        <w:rPr>
          <w:rFonts w:eastAsia="Times New Roman"/>
          <w:i/>
          <w:sz w:val="24"/>
          <w:szCs w:val="24"/>
        </w:rPr>
        <w:t>rev’d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In re Marriage of Weisbart</w:t>
      </w:r>
      <w:r w:rsidRPr="003D370E">
        <w:rPr>
          <w:rFonts w:eastAsia="Times New Roman"/>
          <w:sz w:val="24"/>
          <w:szCs w:val="24"/>
        </w:rPr>
        <w:t xml:space="preserve">, 39 Colo. App. 115, 564 P.2d 961 (1977); </w:t>
      </w:r>
      <w:r w:rsidRPr="003D370E">
        <w:rPr>
          <w:rFonts w:eastAsia="Times New Roman"/>
          <w:b/>
          <w:sz w:val="24"/>
          <w:szCs w:val="24"/>
        </w:rPr>
        <w:t>Van Orman v. Van Orman</w:t>
      </w:r>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75003B58" w14:textId="4C9E2833"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3. An emancipated minor has the right to sue for all pre-majority damages and expenses. </w:t>
      </w:r>
      <w:r w:rsidRPr="003D370E">
        <w:rPr>
          <w:rFonts w:eastAsia="Times New Roman"/>
          <w:b/>
          <w:sz w:val="24"/>
          <w:szCs w:val="24"/>
        </w:rPr>
        <w:t>Pressey v. Children’s Hosp. Colo.</w:t>
      </w:r>
      <w:r w:rsidRPr="003D370E">
        <w:rPr>
          <w:rFonts w:eastAsia="Times New Roman"/>
          <w:sz w:val="24"/>
          <w:szCs w:val="24"/>
        </w:rPr>
        <w:t>, 2017 COA 28, ¶¶ 25-31</w:t>
      </w:r>
      <w:r w:rsidR="0077580A">
        <w:rPr>
          <w:rFonts w:eastAsia="Times New Roman"/>
          <w:sz w:val="24"/>
          <w:szCs w:val="24"/>
        </w:rPr>
        <w:t>, 488 P.3d 151</w:t>
      </w:r>
      <w:r w:rsidRPr="003D370E">
        <w:rPr>
          <w:rFonts w:eastAsia="Times New Roman"/>
          <w:sz w:val="24"/>
          <w:szCs w:val="24"/>
        </w:rPr>
        <w:t>.</w:t>
      </w:r>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3" w:name="a7_3"/>
      <w:bookmarkEnd w:id="3"/>
      <w:r w:rsidRPr="003E5B38">
        <w:rPr>
          <w:rFonts w:eastAsia="Times New Roman"/>
          <w:b/>
          <w:sz w:val="24"/>
          <w:szCs w:val="24"/>
        </w:rPr>
        <w:t xml:space="preserve">7:3 </w:t>
      </w:r>
      <w:r w:rsidRPr="003E5B38">
        <w:rPr>
          <w:rFonts w:eastAsia="Times New Roman"/>
          <w:b/>
          <w:sz w:val="24"/>
          <w:szCs w:val="24"/>
        </w:rPr>
        <w:tab/>
        <w:t>GENERAL PARTNERSHIP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r w:rsidRPr="001E0F3B">
        <w:rPr>
          <w:rFonts w:eastAsia="Times New Roman"/>
          <w:b/>
          <w:sz w:val="24"/>
          <w:szCs w:val="24"/>
        </w:rPr>
        <w:t>Black v. First Fed. Sav. &amp; Loan Ass’n</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r w:rsidRPr="001E0F3B">
        <w:rPr>
          <w:rFonts w:eastAsia="Times New Roman"/>
          <w:b/>
          <w:sz w:val="24"/>
          <w:szCs w:val="24"/>
        </w:rPr>
        <w:t>Bond-Connell Sheep &amp; Wool Co. v. Snyder</w:t>
      </w:r>
      <w:r w:rsidRPr="001E0F3B">
        <w:rPr>
          <w:rFonts w:eastAsia="Times New Roman"/>
          <w:sz w:val="24"/>
          <w:szCs w:val="24"/>
        </w:rPr>
        <w:t>, 68 Colo. 238, 188 P. 740 (1920).</w:t>
      </w:r>
    </w:p>
    <w:p w14:paraId="4672E441" w14:textId="77777777" w:rsidR="00644568"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r w:rsidRPr="001E0F3B">
        <w:rPr>
          <w:rFonts w:eastAsia="Times New Roman"/>
          <w:b/>
          <w:sz w:val="24"/>
          <w:szCs w:val="24"/>
        </w:rPr>
        <w:t>Kayser v. Mongham</w:t>
      </w:r>
      <w:r w:rsidRPr="001E0F3B">
        <w:rPr>
          <w:rFonts w:eastAsia="Times New Roman"/>
          <w:sz w:val="24"/>
          <w:szCs w:val="24"/>
        </w:rPr>
        <w:t>, 8 Colo. 232, 6 P. 803 (1885).</w:t>
      </w:r>
    </w:p>
    <w:p w14:paraId="64119935" w14:textId="5E47FB3E" w:rsidR="001E0F3B" w:rsidRDefault="00644568" w:rsidP="00052963">
      <w:pPr>
        <w:spacing w:after="240"/>
        <w:ind w:firstLine="720"/>
        <w:rPr>
          <w:rFonts w:eastAsia="Times New Roman"/>
          <w:sz w:val="24"/>
          <w:szCs w:val="24"/>
        </w:rPr>
      </w:pPr>
      <w:r>
        <w:rPr>
          <w:rFonts w:eastAsia="Times New Roman"/>
          <w:sz w:val="24"/>
          <w:szCs w:val="24"/>
        </w:rPr>
        <w:lastRenderedPageBreak/>
        <w:t>4.</w:t>
      </w:r>
      <w:r w:rsidRPr="00644568">
        <w:rPr>
          <w:sz w:val="24"/>
          <w:szCs w:val="24"/>
        </w:rPr>
        <w:t xml:space="preserve"> </w:t>
      </w:r>
      <w:r w:rsidRPr="009434CF">
        <w:rPr>
          <w:sz w:val="24"/>
          <w:szCs w:val="24"/>
        </w:rPr>
        <w:t>If the general partner powers are illusory</w:t>
      </w:r>
      <w:r w:rsidR="00DF58E0">
        <w:rPr>
          <w:sz w:val="24"/>
          <w:szCs w:val="24"/>
        </w:rPr>
        <w:t>,</w:t>
      </w:r>
      <w:r w:rsidRPr="009434CF">
        <w:rPr>
          <w:sz w:val="24"/>
          <w:szCs w:val="24"/>
        </w:rPr>
        <w:t xml:space="preserve"> the partnership interest may actually be a security. There is a strong presumption that an interest in a general partnership is not an investment contract under the Colorado Securities Act. </w:t>
      </w:r>
      <w:r w:rsidRPr="009434CF">
        <w:rPr>
          <w:i/>
          <w:iCs/>
          <w:sz w:val="24"/>
          <w:szCs w:val="24"/>
        </w:rPr>
        <w:t>See</w:t>
      </w:r>
      <w:r w:rsidRPr="009434CF">
        <w:rPr>
          <w:sz w:val="24"/>
          <w:szCs w:val="24"/>
        </w:rPr>
        <w:t xml:space="preserve"> </w:t>
      </w:r>
      <w:r w:rsidR="005B05D0" w:rsidRPr="005B05D0">
        <w:rPr>
          <w:b/>
          <w:iCs/>
          <w:sz w:val="24"/>
          <w:szCs w:val="24"/>
        </w:rPr>
        <w:t>Chan v. HEI Res., Inc.</w:t>
      </w:r>
      <w:r w:rsidR="005B05D0" w:rsidRPr="006B0A60">
        <w:rPr>
          <w:bCs/>
          <w:iCs/>
          <w:sz w:val="24"/>
          <w:szCs w:val="24"/>
        </w:rPr>
        <w:t xml:space="preserve">, 2020 COA 87, ¶¶ 22-33, 490 P.3d 789 </w:t>
      </w:r>
      <w:r w:rsidR="006B0A60">
        <w:rPr>
          <w:bCs/>
          <w:iCs/>
          <w:sz w:val="24"/>
          <w:szCs w:val="24"/>
        </w:rPr>
        <w:t>(</w:t>
      </w:r>
      <w:r w:rsidR="005B05D0" w:rsidRPr="006B0A60">
        <w:rPr>
          <w:bCs/>
          <w:i/>
          <w:iCs/>
          <w:sz w:val="24"/>
          <w:szCs w:val="24"/>
        </w:rPr>
        <w:t>cert. granted in part</w:t>
      </w:r>
      <w:r w:rsidR="005B05D0" w:rsidRPr="006B0A60">
        <w:rPr>
          <w:bCs/>
          <w:iCs/>
          <w:sz w:val="24"/>
          <w:szCs w:val="24"/>
        </w:rPr>
        <w:t xml:space="preserve"> Apr. 12, 2021).</w:t>
      </w:r>
      <w:r w:rsidR="001E0F3B">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4" w:name="a7_4"/>
      <w:bookmarkEnd w:id="4"/>
      <w:r w:rsidRPr="001E0F3B">
        <w:rPr>
          <w:rFonts w:eastAsia="Times New Roman"/>
          <w:b/>
          <w:sz w:val="24"/>
          <w:szCs w:val="24"/>
        </w:rPr>
        <w:lastRenderedPageBreak/>
        <w:t xml:space="preserve">7:4 </w:t>
      </w:r>
      <w:r w:rsidRPr="001E0F3B">
        <w:rPr>
          <w:rFonts w:eastAsia="Times New Roman"/>
          <w:b/>
          <w:sz w:val="24"/>
          <w:szCs w:val="24"/>
        </w:rPr>
        <w:tab/>
        <w:t>JOINT VENTURE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joint cooperation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6A79187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Transit Equipment Co. v. Dyonisio</w:t>
      </w:r>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Larson, P.C. v. Grinnan</w:t>
      </w:r>
      <w:r w:rsidRPr="001E0F3B">
        <w:rPr>
          <w:rFonts w:eastAsia="Times New Roman"/>
          <w:sz w:val="24"/>
          <w:szCs w:val="24"/>
        </w:rPr>
        <w:t>, 2017 COA 85, ¶ 45</w:t>
      </w:r>
      <w:r w:rsidR="0077580A">
        <w:rPr>
          <w:rFonts w:eastAsia="Times New Roman"/>
          <w:sz w:val="24"/>
          <w:szCs w:val="24"/>
        </w:rPr>
        <w:t>, 488 P.3d 202</w:t>
      </w:r>
      <w:r w:rsidRPr="001E0F3B">
        <w:rPr>
          <w:rFonts w:eastAsia="Times New Roman"/>
          <w:sz w:val="24"/>
          <w:szCs w:val="24"/>
        </w:rPr>
        <w:t xml:space="preserve">; </w:t>
      </w:r>
      <w:r w:rsidRPr="001E0F3B">
        <w:rPr>
          <w:rFonts w:eastAsia="Times New Roman"/>
          <w:b/>
          <w:sz w:val="24"/>
          <w:szCs w:val="24"/>
        </w:rPr>
        <w:t>Freyer v. Albin</w:t>
      </w:r>
      <w:r w:rsidRPr="001E0F3B">
        <w:rPr>
          <w:rFonts w:eastAsia="Times New Roman"/>
          <w:sz w:val="24"/>
          <w:szCs w:val="24"/>
        </w:rPr>
        <w:t xml:space="preserve">, 5 P.3d 329 (Colo. App. 1999); </w:t>
      </w:r>
      <w:r w:rsidRPr="001E0F3B">
        <w:rPr>
          <w:rFonts w:eastAsia="Times New Roman"/>
          <w:b/>
          <w:sz w:val="24"/>
          <w:szCs w:val="24"/>
        </w:rPr>
        <w:t>A.B.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r w:rsidRPr="001E0F3B">
        <w:rPr>
          <w:rFonts w:eastAsia="Times New Roman"/>
          <w:b/>
          <w:sz w:val="24"/>
          <w:szCs w:val="24"/>
        </w:rPr>
        <w:t>Agland,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r w:rsidRPr="001E0F3B">
        <w:rPr>
          <w:rFonts w:eastAsia="Times New Roman"/>
          <w:b/>
          <w:sz w:val="24"/>
          <w:szCs w:val="24"/>
        </w:rPr>
        <w:t>Werkmeister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r w:rsidRPr="001E0F3B">
        <w:rPr>
          <w:rFonts w:eastAsia="Times New Roman"/>
          <w:b/>
          <w:sz w:val="24"/>
          <w:szCs w:val="24"/>
        </w:rPr>
        <w:t>Bainbrich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7BBEFBEA"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venturers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r w:rsidRPr="001E0F3B">
        <w:rPr>
          <w:rFonts w:eastAsia="Times New Roman"/>
          <w:b/>
          <w:sz w:val="24"/>
          <w:szCs w:val="24"/>
        </w:rPr>
        <w:t>Batterman v. Wells Fargo Ag Credit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802 P.2d 1112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2017 COA 85, ¶¶ 45-47</w:t>
      </w:r>
      <w:r w:rsidR="000F4D14">
        <w:rPr>
          <w:rFonts w:eastAsia="Times New Roman"/>
          <w:sz w:val="24"/>
          <w:szCs w:val="24"/>
        </w:rPr>
        <w:t>.</w:t>
      </w:r>
      <w:r w:rsidRPr="001E0F3B">
        <w:rPr>
          <w:rFonts w:eastAsia="Times New Roman"/>
          <w:sz w:val="24"/>
          <w:szCs w:val="24"/>
        </w:rPr>
        <w:t xml:space="preserve"> </w:t>
      </w:r>
    </w:p>
    <w:p w14:paraId="73725693" w14:textId="75BBA90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r w:rsidRPr="001E0F3B">
        <w:rPr>
          <w:rFonts w:eastAsia="Times New Roman"/>
          <w:b/>
          <w:sz w:val="24"/>
          <w:szCs w:val="24"/>
        </w:rPr>
        <w:t>Turkey Creek, LLC v. Rosania</w:t>
      </w:r>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Fey Concert Co. v. City &amp; Cty. of Denver</w:t>
      </w:r>
      <w:r w:rsidRPr="001E0F3B">
        <w:rPr>
          <w:rFonts w:eastAsia="Times New Roman"/>
          <w:sz w:val="24"/>
          <w:szCs w:val="24"/>
        </w:rPr>
        <w:t xml:space="preserve">, 940 P.2d 972 (Colo. App. 1996) (holding joint venture subject to general law of partnerships), </w:t>
      </w:r>
      <w:r w:rsidRPr="001E0F3B">
        <w:rPr>
          <w:rFonts w:eastAsia="Times New Roman"/>
          <w:i/>
          <w:sz w:val="24"/>
          <w:szCs w:val="24"/>
        </w:rPr>
        <w:t>rev’d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2017 COA 85, ¶ 45 (holding “substantive law of partnership must be applied in determining whether a joint venture exists”).</w:t>
      </w:r>
      <w:r w:rsidR="00644568">
        <w:rPr>
          <w:rFonts w:eastAsia="Times New Roman"/>
          <w:sz w:val="24"/>
          <w:szCs w:val="24"/>
        </w:rPr>
        <w:t xml:space="preserve"> </w:t>
      </w:r>
      <w:r w:rsidR="00DF58E0">
        <w:rPr>
          <w:rFonts w:eastAsia="Times New Roman"/>
          <w:sz w:val="24"/>
          <w:szCs w:val="24"/>
        </w:rPr>
        <w:t>The p</w:t>
      </w:r>
      <w:r w:rsidR="00644568" w:rsidRPr="0040494B">
        <w:rPr>
          <w:sz w:val="24"/>
          <w:szCs w:val="24"/>
        </w:rPr>
        <w:t xml:space="preserve">resumption that </w:t>
      </w:r>
      <w:r w:rsidR="00DF58E0">
        <w:rPr>
          <w:sz w:val="24"/>
          <w:szCs w:val="24"/>
        </w:rPr>
        <w:t xml:space="preserve">a </w:t>
      </w:r>
      <w:r w:rsidR="00644568" w:rsidRPr="0040494B">
        <w:rPr>
          <w:sz w:val="24"/>
          <w:szCs w:val="24"/>
        </w:rPr>
        <w:t xml:space="preserve">general partnership is not </w:t>
      </w:r>
      <w:r w:rsidR="00DF58E0">
        <w:rPr>
          <w:sz w:val="24"/>
          <w:szCs w:val="24"/>
        </w:rPr>
        <w:t xml:space="preserve">an </w:t>
      </w:r>
      <w:r w:rsidR="00644568" w:rsidRPr="0040494B">
        <w:rPr>
          <w:sz w:val="24"/>
          <w:szCs w:val="24"/>
        </w:rPr>
        <w:t xml:space="preserve">investment contract also applies to joint ventures. </w:t>
      </w:r>
      <w:r w:rsidR="005B05D0" w:rsidRPr="006B0A60">
        <w:rPr>
          <w:i/>
          <w:iCs/>
          <w:sz w:val="24"/>
          <w:szCs w:val="24"/>
        </w:rPr>
        <w:t>See</w:t>
      </w:r>
      <w:r w:rsidR="005B05D0" w:rsidRPr="005B05D0">
        <w:rPr>
          <w:sz w:val="24"/>
          <w:szCs w:val="24"/>
        </w:rPr>
        <w:t xml:space="preserve"> </w:t>
      </w:r>
      <w:r w:rsidR="005B05D0" w:rsidRPr="006B0A60">
        <w:rPr>
          <w:b/>
          <w:bCs/>
          <w:sz w:val="24"/>
          <w:szCs w:val="24"/>
        </w:rPr>
        <w:t>Chan v. HEI Res., Inc.</w:t>
      </w:r>
      <w:r w:rsidR="005B05D0" w:rsidRPr="005B05D0">
        <w:rPr>
          <w:sz w:val="24"/>
          <w:szCs w:val="24"/>
        </w:rPr>
        <w:t>, 2020 COA 87, ¶¶ 2</w:t>
      </w:r>
      <w:r w:rsidR="005B05D0">
        <w:rPr>
          <w:sz w:val="24"/>
          <w:szCs w:val="24"/>
        </w:rPr>
        <w:t>8</w:t>
      </w:r>
      <w:r w:rsidR="005B05D0" w:rsidRPr="005B05D0">
        <w:rPr>
          <w:sz w:val="24"/>
          <w:szCs w:val="24"/>
        </w:rPr>
        <w:t xml:space="preserve">-33, 490 P.3d 789 </w:t>
      </w:r>
      <w:r w:rsidR="006B0A60">
        <w:rPr>
          <w:sz w:val="24"/>
          <w:szCs w:val="24"/>
        </w:rPr>
        <w:t>(</w:t>
      </w:r>
      <w:r w:rsidR="005B05D0" w:rsidRPr="006B0A60">
        <w:rPr>
          <w:i/>
          <w:sz w:val="24"/>
          <w:szCs w:val="24"/>
        </w:rPr>
        <w:t>cert. granted in part</w:t>
      </w:r>
      <w:r w:rsidR="005B05D0" w:rsidRPr="005B05D0">
        <w:rPr>
          <w:sz w:val="24"/>
          <w:szCs w:val="24"/>
        </w:rPr>
        <w:t xml:space="preserve"> Apr. 12, 2021)</w:t>
      </w:r>
      <w:r w:rsidR="00644568" w:rsidRPr="0040494B">
        <w:rPr>
          <w:i/>
          <w:iCs/>
          <w:sz w:val="24"/>
          <w:szCs w:val="24"/>
        </w:rPr>
        <w:t xml:space="preserve">. </w:t>
      </w:r>
      <w:r w:rsidR="00644568" w:rsidRPr="0040494B">
        <w:rPr>
          <w:sz w:val="24"/>
          <w:szCs w:val="24"/>
        </w:rPr>
        <w:t xml:space="preserve">Although parties to a joint venture owe a fiduciary duty to one another, parties </w:t>
      </w:r>
      <w:r w:rsidR="00DF58E0">
        <w:rPr>
          <w:sz w:val="24"/>
          <w:szCs w:val="24"/>
        </w:rPr>
        <w:t>may</w:t>
      </w:r>
      <w:r w:rsidR="00644568" w:rsidRPr="0040494B">
        <w:rPr>
          <w:sz w:val="24"/>
          <w:szCs w:val="24"/>
        </w:rPr>
        <w:t xml:space="preserve"> modify or disclaim </w:t>
      </w:r>
      <w:r w:rsidR="00DF58E0">
        <w:rPr>
          <w:sz w:val="24"/>
          <w:szCs w:val="24"/>
        </w:rPr>
        <w:t xml:space="preserve">a </w:t>
      </w:r>
      <w:r w:rsidR="00644568" w:rsidRPr="0040494B">
        <w:rPr>
          <w:sz w:val="24"/>
          <w:szCs w:val="24"/>
        </w:rPr>
        <w:t xml:space="preserve">fiduciary relationship. </w:t>
      </w:r>
      <w:r w:rsidR="00644568" w:rsidRPr="006C4B40">
        <w:rPr>
          <w:b/>
          <w:iCs/>
          <w:sz w:val="24"/>
          <w:szCs w:val="24"/>
        </w:rPr>
        <w:t>Rocky Mountain Expl., Inc. v. Davis Graham &amp; Stubbs LLP</w:t>
      </w:r>
      <w:r w:rsidR="00644568" w:rsidRPr="0040494B">
        <w:rPr>
          <w:sz w:val="24"/>
          <w:szCs w:val="24"/>
        </w:rPr>
        <w:t xml:space="preserve">, </w:t>
      </w:r>
      <w:r w:rsidR="006C4B40">
        <w:rPr>
          <w:sz w:val="24"/>
          <w:szCs w:val="24"/>
        </w:rPr>
        <w:t xml:space="preserve">2018 CO 54, ¶ </w:t>
      </w:r>
      <w:r w:rsidR="00461B78">
        <w:rPr>
          <w:sz w:val="24"/>
          <w:szCs w:val="24"/>
        </w:rPr>
        <w:t xml:space="preserve">62, </w:t>
      </w:r>
      <w:r w:rsidR="00644568" w:rsidRPr="0040494B">
        <w:rPr>
          <w:sz w:val="24"/>
          <w:szCs w:val="24"/>
        </w:rPr>
        <w:t>420 P.3d 223</w:t>
      </w:r>
      <w:r w:rsidR="006075D3">
        <w:rPr>
          <w:sz w:val="24"/>
          <w:szCs w:val="24"/>
        </w:rPr>
        <w:t>.</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5" w:name="a7_5"/>
      <w:bookmarkEnd w:id="5"/>
      <w:r w:rsidRPr="003F6E89">
        <w:rPr>
          <w:rFonts w:eastAsia="Times New Roman"/>
          <w:b/>
          <w:sz w:val="24"/>
          <w:szCs w:val="24"/>
        </w:rPr>
        <w:lastRenderedPageBreak/>
        <w:t xml:space="preserve">7:5 </w:t>
      </w:r>
      <w:r w:rsidRPr="003F6E89">
        <w:rPr>
          <w:rFonts w:eastAsia="Times New Roman"/>
          <w:b/>
          <w:sz w:val="24"/>
          <w:szCs w:val="24"/>
        </w:rPr>
        <w:tab/>
        <w:t>JOINT VENTURE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When two or more joint owners occupy a vehicle,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Parker v. Ullom</w:t>
      </w:r>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r w:rsidR="004C27E8" w:rsidRPr="00144917">
        <w:rPr>
          <w:rFonts w:eastAsia="Times New Roman"/>
          <w:b/>
          <w:sz w:val="24"/>
          <w:szCs w:val="24"/>
        </w:rPr>
        <w:t>Bainbrich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r w:rsidR="001715BD" w:rsidRPr="001715BD">
        <w:rPr>
          <w:rFonts w:eastAsia="Times New Roman"/>
          <w:b/>
          <w:sz w:val="24"/>
          <w:szCs w:val="24"/>
        </w:rPr>
        <w:t>Pyles-Knutzen v. Bd. of County Comm’rs</w:t>
      </w:r>
      <w:r w:rsidR="001715BD">
        <w:rPr>
          <w:rFonts w:eastAsia="Times New Roman"/>
          <w:sz w:val="24"/>
          <w:szCs w:val="24"/>
        </w:rPr>
        <w:t xml:space="preserve">, 781 P.2d 164 (Colo. App. 1989); </w:t>
      </w:r>
      <w:r w:rsidR="007C00FE" w:rsidRPr="00144917">
        <w:rPr>
          <w:rFonts w:eastAsia="Times New Roman"/>
          <w:b/>
          <w:sz w:val="24"/>
          <w:szCs w:val="24"/>
        </w:rPr>
        <w:t>Bainbrich</w:t>
      </w:r>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Seal v. Lemmel</w:t>
      </w:r>
      <w:r w:rsidRPr="00144917">
        <w:rPr>
          <w:rFonts w:eastAsia="Times New Roman"/>
          <w:sz w:val="24"/>
          <w:szCs w:val="24"/>
        </w:rPr>
        <w:t xml:space="preserve">, 140 Colo. 387, 344 P.2d 694 (1959); </w:t>
      </w:r>
      <w:r w:rsidRPr="00144917">
        <w:rPr>
          <w:rFonts w:eastAsia="Times New Roman"/>
          <w:b/>
          <w:sz w:val="24"/>
          <w:szCs w:val="24"/>
        </w:rPr>
        <w:t>Denver Tramway Co. v. Orbach</w:t>
      </w:r>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0C951AE2"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r w:rsidRPr="00144917">
        <w:rPr>
          <w:rFonts w:eastAsia="Times New Roman"/>
          <w:b/>
          <w:sz w:val="24"/>
          <w:szCs w:val="24"/>
        </w:rPr>
        <w:t>Bilsten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venturer is not imputed to the other to bar or reduce the latter’s claim against the former. </w:t>
      </w:r>
      <w:r w:rsidRPr="00144917">
        <w:rPr>
          <w:rFonts w:eastAsia="Times New Roman"/>
          <w:b/>
          <w:sz w:val="24"/>
          <w:szCs w:val="24"/>
        </w:rPr>
        <w:t>Price v. Sommermeyer</w:t>
      </w:r>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in order to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xml:space="preserve">, 2015 COA 129, ¶ 13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r w:rsidRPr="00144917">
        <w:rPr>
          <w:rFonts w:eastAsia="Times New Roman"/>
          <w:b/>
          <w:sz w:val="24"/>
          <w:szCs w:val="24"/>
        </w:rPr>
        <w:t>AN/CF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6" w:name="a7_6"/>
      <w:bookmarkEnd w:id="6"/>
      <w:r w:rsidRPr="00144917">
        <w:rPr>
          <w:rFonts w:eastAsia="Times New Roman"/>
          <w:b/>
          <w:sz w:val="24"/>
          <w:szCs w:val="24"/>
        </w:rPr>
        <w:lastRenderedPageBreak/>
        <w:t xml:space="preserve">7:6 </w:t>
      </w:r>
      <w:r w:rsidRPr="00144917">
        <w:rPr>
          <w:rFonts w:eastAsia="Times New Roman"/>
          <w:b/>
          <w:sz w:val="24"/>
          <w:szCs w:val="24"/>
        </w:rPr>
        <w:tab/>
        <w:t>JOINT VENTURE — IMPUTING NEGLIGENCE AMONG JOINT VENTURERS</w:t>
      </w:r>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If a joint venture is proved, and you find by a preponderance of the evidence that one joint venturer was negligent, then all joint venturers are considered to be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1. This instruction applies only when a third party sues a joint venturer or a joint venturer sues a third party. It does not apply when the suit is between the joint venturers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3. The Notes on Use to Instruction 7:5 are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67575857" w14:textId="77777777" w:rsidR="00185D68" w:rsidRDefault="00144917" w:rsidP="003E2169">
      <w:pPr>
        <w:spacing w:after="240"/>
        <w:ind w:firstLine="720"/>
        <w:rPr>
          <w:rFonts w:eastAsia="Times New Roman"/>
          <w:sz w:val="24"/>
          <w:szCs w:val="24"/>
        </w:rPr>
      </w:pPr>
      <w:r w:rsidRPr="00144917">
        <w:rPr>
          <w:rFonts w:eastAsia="Times New Roman"/>
          <w:sz w:val="24"/>
          <w:szCs w:val="24"/>
        </w:rPr>
        <w:t xml:space="preserve">This instruction is supported by </w:t>
      </w:r>
      <w:r w:rsidRPr="00144917">
        <w:rPr>
          <w:rFonts w:eastAsia="Times New Roman"/>
          <w:b/>
          <w:sz w:val="24"/>
          <w:szCs w:val="24"/>
        </w:rPr>
        <w:t>Bebo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p w14:paraId="6D274A23" w14:textId="65E0422B" w:rsidR="003E2169" w:rsidRDefault="003E2169" w:rsidP="003E2169">
      <w:pPr>
        <w:spacing w:after="240"/>
        <w:ind w:firstLine="720"/>
        <w:rPr>
          <w:rFonts w:eastAsia="Times New Roman"/>
          <w:sz w:val="24"/>
          <w:szCs w:val="24"/>
        </w:rPr>
      </w:pPr>
      <w:r>
        <w:rPr>
          <w:rFonts w:eastAsia="Times New Roman"/>
          <w:sz w:val="24"/>
          <w:szCs w:val="24"/>
        </w:rPr>
        <w:br w:type="page"/>
      </w:r>
    </w:p>
    <w:p w14:paraId="56C0BAAC" w14:textId="15FC70F9" w:rsidR="003E2169" w:rsidRDefault="00185D68" w:rsidP="003E2169">
      <w:pPr>
        <w:spacing w:after="240"/>
        <w:jc w:val="center"/>
        <w:rPr>
          <w:rFonts w:eastAsia="Times New Roman"/>
          <w:b/>
          <w:sz w:val="24"/>
          <w:szCs w:val="24"/>
        </w:rPr>
      </w:pPr>
      <w:bookmarkStart w:id="7" w:name="a7_7"/>
      <w:bookmarkEnd w:id="7"/>
      <w:r>
        <w:rPr>
          <w:rFonts w:eastAsia="Times New Roman"/>
          <w:b/>
          <w:sz w:val="24"/>
          <w:szCs w:val="24"/>
        </w:rPr>
        <w:lastRenderedPageBreak/>
        <w:t>C</w:t>
      </w:r>
      <w:r w:rsidR="003E2169" w:rsidRPr="009E3DA4">
        <w:rPr>
          <w:rFonts w:eastAsia="Times New Roman"/>
          <w:b/>
          <w:sz w:val="24"/>
          <w:szCs w:val="24"/>
        </w:rPr>
        <w:t xml:space="preserve">. </w:t>
      </w:r>
      <w:r w:rsidR="003E2169">
        <w:rPr>
          <w:rFonts w:eastAsia="Times New Roman"/>
          <w:b/>
          <w:sz w:val="24"/>
          <w:szCs w:val="24"/>
        </w:rPr>
        <w:t>ENTITIES</w:t>
      </w:r>
    </w:p>
    <w:p w14:paraId="14BAA10A" w14:textId="77777777" w:rsidR="003E2169" w:rsidRDefault="003E2169" w:rsidP="003E2169">
      <w:pPr>
        <w:autoSpaceDE w:val="0"/>
        <w:autoSpaceDN w:val="0"/>
        <w:adjustRightInd w:val="0"/>
        <w:rPr>
          <w:rFonts w:eastAsia="Times New Roman"/>
          <w:b/>
          <w:sz w:val="24"/>
          <w:szCs w:val="24"/>
        </w:rPr>
      </w:pPr>
    </w:p>
    <w:p w14:paraId="6B90E4CE" w14:textId="77777777" w:rsidR="003E2169" w:rsidRPr="003414DF" w:rsidRDefault="003E2169" w:rsidP="003E2169">
      <w:pPr>
        <w:autoSpaceDE w:val="0"/>
        <w:autoSpaceDN w:val="0"/>
        <w:adjustRightInd w:val="0"/>
        <w:rPr>
          <w:rFonts w:eastAsia="Times New Roman"/>
          <w:b/>
          <w:sz w:val="24"/>
          <w:szCs w:val="24"/>
        </w:rPr>
      </w:pPr>
      <w:r>
        <w:rPr>
          <w:rFonts w:eastAsia="Times New Roman"/>
          <w:b/>
          <w:sz w:val="24"/>
          <w:szCs w:val="24"/>
        </w:rPr>
        <w:t>7:7</w:t>
      </w:r>
      <w:r>
        <w:rPr>
          <w:rFonts w:eastAsia="Times New Roman"/>
          <w:b/>
          <w:sz w:val="24"/>
          <w:szCs w:val="24"/>
        </w:rPr>
        <w:tab/>
      </w:r>
      <w:r w:rsidRPr="003414DF">
        <w:rPr>
          <w:rFonts w:eastAsia="Times New Roman"/>
          <w:b/>
          <w:sz w:val="24"/>
          <w:szCs w:val="24"/>
        </w:rPr>
        <w:t xml:space="preserve">ENTITY ACTS THROUGH </w:t>
      </w:r>
      <w:r>
        <w:rPr>
          <w:rFonts w:eastAsia="Times New Roman"/>
          <w:b/>
          <w:sz w:val="24"/>
          <w:szCs w:val="24"/>
        </w:rPr>
        <w:t>INDIVIDUALS</w:t>
      </w:r>
    </w:p>
    <w:p w14:paraId="30A69C1D" w14:textId="77777777" w:rsidR="003E2169" w:rsidRPr="003414DF" w:rsidRDefault="003E2169" w:rsidP="003E2169">
      <w:pPr>
        <w:autoSpaceDE w:val="0"/>
        <w:autoSpaceDN w:val="0"/>
        <w:adjustRightInd w:val="0"/>
        <w:rPr>
          <w:rFonts w:eastAsia="Times New Roman"/>
          <w:b/>
          <w:sz w:val="24"/>
          <w:szCs w:val="24"/>
        </w:rPr>
      </w:pPr>
    </w:p>
    <w:p w14:paraId="02BFBFF5" w14:textId="77777777" w:rsidR="003E2169" w:rsidRPr="00D2171E" w:rsidRDefault="003E2169" w:rsidP="003E2169">
      <w:pPr>
        <w:spacing w:after="240"/>
        <w:ind w:firstLine="720"/>
        <w:rPr>
          <w:rFonts w:eastAsia="Times New Roman"/>
          <w:b/>
          <w:sz w:val="24"/>
          <w:szCs w:val="24"/>
        </w:rPr>
      </w:pPr>
      <w:r w:rsidRPr="00D2171E">
        <w:rPr>
          <w:rFonts w:eastAsia="Times New Roman"/>
          <w:b/>
          <w:sz w:val="24"/>
          <w:szCs w:val="24"/>
        </w:rPr>
        <w:t xml:space="preserve">(The plaintiff) (The defendant), </w:t>
      </w:r>
      <w:r w:rsidRPr="00D2171E">
        <w:rPr>
          <w:rFonts w:eastAsia="Times New Roman"/>
          <w:i/>
          <w:sz w:val="24"/>
          <w:szCs w:val="24"/>
        </w:rPr>
        <w:t>(</w:t>
      </w:r>
      <w:r>
        <w:rPr>
          <w:rFonts w:eastAsia="Times New Roman"/>
          <w:i/>
          <w:sz w:val="24"/>
          <w:szCs w:val="24"/>
        </w:rPr>
        <w:t xml:space="preserve">entity’s </w:t>
      </w:r>
      <w:r w:rsidRPr="00D2171E">
        <w:rPr>
          <w:rFonts w:eastAsia="Times New Roman"/>
          <w:i/>
          <w:sz w:val="24"/>
          <w:szCs w:val="24"/>
        </w:rPr>
        <w:t>name)</w:t>
      </w:r>
      <w:r w:rsidRPr="007E7732">
        <w:rPr>
          <w:rFonts w:eastAsia="Times New Roman"/>
          <w:b/>
          <w:sz w:val="24"/>
          <w:szCs w:val="24"/>
        </w:rPr>
        <w:t>,</w:t>
      </w:r>
      <w:r w:rsidRPr="00D2171E">
        <w:rPr>
          <w:rFonts w:eastAsia="Times New Roman"/>
          <w:b/>
          <w:sz w:val="24"/>
          <w:szCs w:val="24"/>
        </w:rPr>
        <w:t xml:space="preserve"> is a </w:t>
      </w:r>
      <w:r w:rsidRPr="003414DF">
        <w:rPr>
          <w:rFonts w:eastAsia="Times New Roman"/>
          <w:i/>
          <w:sz w:val="24"/>
          <w:szCs w:val="24"/>
        </w:rPr>
        <w:t>(insert appropriate entity designation, e.g., corporation, municipal corporation, non-profit, etc.)</w:t>
      </w:r>
      <w:r w:rsidRPr="006F6214">
        <w:rPr>
          <w:rFonts w:eastAsia="Times New Roman"/>
          <w:sz w:val="24"/>
          <w:szCs w:val="24"/>
        </w:rPr>
        <w:t xml:space="preserve"> </w:t>
      </w:r>
      <w:r w:rsidRPr="00D2171E">
        <w:rPr>
          <w:rFonts w:eastAsia="Times New Roman"/>
          <w:b/>
          <w:sz w:val="24"/>
          <w:szCs w:val="24"/>
        </w:rPr>
        <w:t xml:space="preserve">and can act only through its </w:t>
      </w:r>
      <w:r w:rsidRPr="007E7732">
        <w:rPr>
          <w:rFonts w:eastAsia="Times New Roman"/>
          <w:i/>
          <w:sz w:val="24"/>
          <w:szCs w:val="24"/>
        </w:rPr>
        <w:t>(</w:t>
      </w:r>
      <w:r w:rsidRPr="00687EEF">
        <w:rPr>
          <w:rFonts w:eastAsia="Times New Roman"/>
          <w:i/>
          <w:sz w:val="24"/>
          <w:szCs w:val="24"/>
        </w:rPr>
        <w:t>insert appropriate</w:t>
      </w:r>
      <w:r>
        <w:rPr>
          <w:rFonts w:eastAsia="Times New Roman"/>
          <w:i/>
          <w:sz w:val="24"/>
          <w:szCs w:val="24"/>
        </w:rPr>
        <w:t xml:space="preserve"> individuals</w:t>
      </w:r>
      <w:r w:rsidRPr="00687EEF">
        <w:rPr>
          <w:rFonts w:eastAsia="Times New Roman"/>
          <w:i/>
          <w:sz w:val="24"/>
          <w:szCs w:val="24"/>
        </w:rPr>
        <w:t xml:space="preserve">, e.g., officers, employees, </w:t>
      </w:r>
      <w:r>
        <w:rPr>
          <w:rFonts w:eastAsia="Times New Roman"/>
          <w:i/>
          <w:sz w:val="24"/>
          <w:szCs w:val="24"/>
        </w:rPr>
        <w:t xml:space="preserve">managers, </w:t>
      </w:r>
      <w:r w:rsidRPr="00687EEF">
        <w:rPr>
          <w:rFonts w:eastAsia="Times New Roman"/>
          <w:i/>
          <w:sz w:val="24"/>
          <w:szCs w:val="24"/>
        </w:rPr>
        <w:t>etc.</w:t>
      </w:r>
      <w:r w:rsidRPr="007E7732">
        <w:rPr>
          <w:rFonts w:eastAsia="Times New Roman"/>
          <w:i/>
          <w:sz w:val="24"/>
          <w:szCs w:val="24"/>
        </w:rPr>
        <w:t>)</w:t>
      </w:r>
      <w:r w:rsidRPr="00D2171E">
        <w:rPr>
          <w:rFonts w:eastAsia="Times New Roman"/>
          <w:b/>
          <w:sz w:val="24"/>
          <w:szCs w:val="24"/>
        </w:rPr>
        <w:t xml:space="preserve">. Any act or omission of </w:t>
      </w:r>
      <w:r w:rsidRPr="007E7732">
        <w:rPr>
          <w:rFonts w:eastAsia="Times New Roman"/>
          <w:i/>
          <w:sz w:val="24"/>
          <w:szCs w:val="24"/>
        </w:rPr>
        <w:t>(</w:t>
      </w:r>
      <w:r w:rsidRPr="00687EEF">
        <w:rPr>
          <w:rFonts w:eastAsia="Times New Roman"/>
          <w:i/>
          <w:sz w:val="24"/>
          <w:szCs w:val="24"/>
        </w:rPr>
        <w:t xml:space="preserve">officers, employees, </w:t>
      </w:r>
      <w:r>
        <w:rPr>
          <w:rFonts w:eastAsia="Times New Roman"/>
          <w:i/>
          <w:sz w:val="24"/>
          <w:szCs w:val="24"/>
        </w:rPr>
        <w:t xml:space="preserve">managers, </w:t>
      </w:r>
      <w:r w:rsidRPr="00687EEF">
        <w:rPr>
          <w:rFonts w:eastAsia="Times New Roman"/>
          <w:i/>
          <w:sz w:val="24"/>
          <w:szCs w:val="24"/>
        </w:rPr>
        <w:t>etc</w:t>
      </w:r>
      <w:r>
        <w:rPr>
          <w:rFonts w:eastAsia="Times New Roman"/>
          <w:i/>
          <w:sz w:val="24"/>
          <w:szCs w:val="24"/>
        </w:rPr>
        <w:t>.)</w:t>
      </w:r>
      <w:r w:rsidRPr="00D2171E">
        <w:rPr>
          <w:rFonts w:eastAsia="Times New Roman"/>
          <w:b/>
          <w:sz w:val="24"/>
          <w:szCs w:val="24"/>
        </w:rPr>
        <w:t xml:space="preserve"> while acting within the scope of (his) (her) employment is the act or omission of the (plaintiff) (defendant)</w:t>
      </w:r>
      <w:r>
        <w:rPr>
          <w:rFonts w:eastAsia="Times New Roman"/>
          <w:b/>
          <w:sz w:val="24"/>
          <w:szCs w:val="24"/>
        </w:rPr>
        <w:t>,</w:t>
      </w:r>
      <w:r w:rsidRPr="00D2171E">
        <w:rPr>
          <w:rFonts w:eastAsia="Times New Roman"/>
          <w:b/>
          <w:sz w:val="24"/>
          <w:szCs w:val="24"/>
        </w:rPr>
        <w:t xml:space="preserve"> </w:t>
      </w:r>
      <w:r w:rsidRPr="003414DF">
        <w:rPr>
          <w:rFonts w:eastAsia="Times New Roman"/>
          <w:i/>
          <w:sz w:val="24"/>
          <w:szCs w:val="24"/>
        </w:rPr>
        <w:t>(entity’s name)</w:t>
      </w:r>
      <w:r w:rsidRPr="00D2171E">
        <w:rPr>
          <w:rFonts w:eastAsia="Times New Roman"/>
          <w:b/>
          <w:sz w:val="24"/>
          <w:szCs w:val="24"/>
        </w:rPr>
        <w:t>.</w:t>
      </w:r>
    </w:p>
    <w:p w14:paraId="1133CF0E" w14:textId="77777777" w:rsidR="003E2169" w:rsidRDefault="003E2169" w:rsidP="003E2169">
      <w:pPr>
        <w:autoSpaceDE w:val="0"/>
        <w:autoSpaceDN w:val="0"/>
        <w:adjustRightInd w:val="0"/>
        <w:ind w:firstLine="720"/>
        <w:rPr>
          <w:rFonts w:eastAsia="Times New Roman"/>
          <w:b/>
          <w:sz w:val="24"/>
          <w:szCs w:val="24"/>
        </w:rPr>
      </w:pPr>
    </w:p>
    <w:p w14:paraId="0B9B16A5" w14:textId="77777777" w:rsidR="003E2169" w:rsidRPr="003414DF" w:rsidRDefault="003E2169" w:rsidP="003E2169">
      <w:pPr>
        <w:autoSpaceDE w:val="0"/>
        <w:autoSpaceDN w:val="0"/>
        <w:adjustRightInd w:val="0"/>
        <w:jc w:val="center"/>
        <w:rPr>
          <w:rFonts w:eastAsia="Times New Roman"/>
          <w:b/>
          <w:sz w:val="24"/>
          <w:szCs w:val="24"/>
        </w:rPr>
      </w:pPr>
      <w:r w:rsidRPr="003414DF">
        <w:rPr>
          <w:rFonts w:eastAsia="Times New Roman"/>
          <w:b/>
          <w:sz w:val="24"/>
          <w:szCs w:val="24"/>
        </w:rPr>
        <w:t>Notes on Use</w:t>
      </w:r>
    </w:p>
    <w:p w14:paraId="57C07827" w14:textId="77777777" w:rsidR="003E2169" w:rsidRPr="003414DF" w:rsidRDefault="003E2169" w:rsidP="003E2169">
      <w:pPr>
        <w:autoSpaceDE w:val="0"/>
        <w:autoSpaceDN w:val="0"/>
        <w:adjustRightInd w:val="0"/>
        <w:jc w:val="center"/>
        <w:rPr>
          <w:rFonts w:eastAsia="Times New Roman"/>
          <w:b/>
          <w:sz w:val="24"/>
          <w:szCs w:val="24"/>
        </w:rPr>
      </w:pPr>
    </w:p>
    <w:p w14:paraId="0DCE6390" w14:textId="77777777" w:rsidR="003E2169" w:rsidRPr="003414DF" w:rsidRDefault="003E2169" w:rsidP="003E2169">
      <w:pPr>
        <w:autoSpaceDE w:val="0"/>
        <w:autoSpaceDN w:val="0"/>
        <w:adjustRightInd w:val="0"/>
        <w:ind w:firstLine="720"/>
        <w:rPr>
          <w:rFonts w:eastAsia="Times New Roman"/>
          <w:sz w:val="24"/>
          <w:szCs w:val="24"/>
        </w:rPr>
      </w:pPr>
      <w:r w:rsidRPr="003414DF">
        <w:rPr>
          <w:rFonts w:eastAsia="Times New Roman"/>
          <w:sz w:val="24"/>
          <w:szCs w:val="24"/>
        </w:rPr>
        <w:t xml:space="preserve">1. This instruction should be given in cases involving </w:t>
      </w:r>
      <w:r>
        <w:rPr>
          <w:rFonts w:eastAsia="Times New Roman"/>
          <w:sz w:val="24"/>
          <w:szCs w:val="24"/>
        </w:rPr>
        <w:t>an entity</w:t>
      </w:r>
      <w:r w:rsidRPr="003414DF">
        <w:rPr>
          <w:rFonts w:eastAsia="Times New Roman"/>
          <w:sz w:val="24"/>
          <w:szCs w:val="24"/>
        </w:rPr>
        <w:t xml:space="preserve">. For other agency relationships, </w:t>
      </w:r>
      <w:r w:rsidRPr="00001380">
        <w:rPr>
          <w:rFonts w:eastAsia="Times New Roman"/>
          <w:sz w:val="24"/>
          <w:szCs w:val="24"/>
        </w:rPr>
        <w:t>or specific instructions applicable to respondeat superior liability, use the instructions in Chapter 8</w:t>
      </w:r>
      <w:r w:rsidRPr="003414DF">
        <w:rPr>
          <w:rFonts w:eastAsia="Times New Roman"/>
          <w:sz w:val="24"/>
          <w:szCs w:val="24"/>
        </w:rPr>
        <w:t>.</w:t>
      </w:r>
    </w:p>
    <w:p w14:paraId="41CE344C" w14:textId="77777777" w:rsidR="003E2169" w:rsidRPr="003414DF" w:rsidRDefault="003E2169" w:rsidP="003E2169">
      <w:pPr>
        <w:autoSpaceDE w:val="0"/>
        <w:autoSpaceDN w:val="0"/>
        <w:adjustRightInd w:val="0"/>
        <w:ind w:firstLine="720"/>
        <w:rPr>
          <w:rFonts w:eastAsia="Times New Roman"/>
          <w:sz w:val="24"/>
          <w:szCs w:val="24"/>
        </w:rPr>
      </w:pPr>
    </w:p>
    <w:p w14:paraId="1EB92F2A"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2. </w:t>
      </w:r>
      <w:r w:rsidRPr="00D2171E">
        <w:rPr>
          <w:rFonts w:eastAsia="Times New Roman"/>
          <w:sz w:val="24"/>
          <w:szCs w:val="24"/>
        </w:rPr>
        <w:t xml:space="preserve">When </w:t>
      </w:r>
      <w:r>
        <w:rPr>
          <w:rFonts w:eastAsia="Times New Roman"/>
          <w:sz w:val="24"/>
          <w:szCs w:val="24"/>
        </w:rPr>
        <w:t xml:space="preserve">the </w:t>
      </w:r>
      <w:r w:rsidRPr="00D2171E">
        <w:rPr>
          <w:rFonts w:eastAsia="Times New Roman"/>
          <w:sz w:val="24"/>
          <w:szCs w:val="24"/>
        </w:rPr>
        <w:t>scope of employment is in dispute, Instruction 8:8 should be given with this instruction.</w:t>
      </w:r>
    </w:p>
    <w:p w14:paraId="415312C8"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3. </w:t>
      </w:r>
      <w:r w:rsidRPr="00D2171E">
        <w:rPr>
          <w:rFonts w:eastAsia="Times New Roman"/>
          <w:sz w:val="24"/>
          <w:szCs w:val="24"/>
        </w:rPr>
        <w:t xml:space="preserve">This instruction may be used in contract </w:t>
      </w:r>
      <w:r>
        <w:rPr>
          <w:rFonts w:eastAsia="Times New Roman"/>
          <w:sz w:val="24"/>
          <w:szCs w:val="24"/>
        </w:rPr>
        <w:t>and</w:t>
      </w:r>
      <w:r w:rsidRPr="00D2171E">
        <w:rPr>
          <w:rFonts w:eastAsia="Times New Roman"/>
          <w:sz w:val="24"/>
          <w:szCs w:val="24"/>
        </w:rPr>
        <w:t xml:space="preserve"> tort cases when appropriate.</w:t>
      </w:r>
    </w:p>
    <w:p w14:paraId="2B046929"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4. For an example of how this instruction was correctly used, see </w:t>
      </w:r>
      <w:r w:rsidRPr="00001380">
        <w:rPr>
          <w:rFonts w:eastAsia="Times New Roman"/>
          <w:b/>
          <w:bCs/>
          <w:sz w:val="24"/>
          <w:szCs w:val="24"/>
        </w:rPr>
        <w:t>Lombard v. Colo. Outdoor Educ. Ctr.</w:t>
      </w:r>
      <w:r w:rsidRPr="00001380">
        <w:rPr>
          <w:rFonts w:eastAsia="Times New Roman"/>
          <w:sz w:val="24"/>
          <w:szCs w:val="24"/>
        </w:rPr>
        <w:t>, 266 P.3d 412 (Colo. App. 2011).</w:t>
      </w:r>
    </w:p>
    <w:p w14:paraId="63430FF3" w14:textId="77777777" w:rsidR="003E2169" w:rsidRPr="006842B7" w:rsidRDefault="003E2169" w:rsidP="003E2169">
      <w:pPr>
        <w:keepNext/>
        <w:spacing w:after="240"/>
        <w:jc w:val="center"/>
        <w:rPr>
          <w:rFonts w:eastAsia="Times New Roman"/>
          <w:b/>
          <w:sz w:val="24"/>
          <w:szCs w:val="24"/>
        </w:rPr>
      </w:pPr>
      <w:r w:rsidRPr="006842B7">
        <w:rPr>
          <w:rFonts w:eastAsia="Times New Roman"/>
          <w:b/>
          <w:sz w:val="24"/>
          <w:szCs w:val="24"/>
        </w:rPr>
        <w:t>Source and Authority</w:t>
      </w:r>
    </w:p>
    <w:p w14:paraId="1EC7D71D" w14:textId="77777777" w:rsidR="003E2169" w:rsidRPr="006842B7" w:rsidRDefault="003E2169" w:rsidP="003E2169">
      <w:pPr>
        <w:spacing w:after="240"/>
        <w:ind w:firstLine="720"/>
        <w:rPr>
          <w:rFonts w:eastAsia="Times New Roman"/>
          <w:iCs/>
          <w:sz w:val="24"/>
          <w:szCs w:val="24"/>
        </w:rPr>
      </w:pPr>
      <w:r w:rsidRPr="006842B7">
        <w:rPr>
          <w:rFonts w:eastAsia="Times New Roman"/>
          <w:iCs/>
          <w:sz w:val="24"/>
          <w:szCs w:val="24"/>
        </w:rPr>
        <w:t xml:space="preserve">This instruction is supported by </w:t>
      </w:r>
      <w:r w:rsidRPr="006842B7">
        <w:rPr>
          <w:rFonts w:eastAsia="Times New Roman"/>
          <w:b/>
          <w:iCs/>
          <w:sz w:val="24"/>
          <w:szCs w:val="24"/>
        </w:rPr>
        <w:t>Dallas Creek Water Co v. Huey</w:t>
      </w:r>
      <w:r w:rsidRPr="006842B7">
        <w:rPr>
          <w:rFonts w:eastAsia="Times New Roman"/>
          <w:iCs/>
          <w:sz w:val="24"/>
          <w:szCs w:val="24"/>
        </w:rPr>
        <w:t xml:space="preserve">, 933 P.2d 27 (Colo. 1997); and </w:t>
      </w:r>
      <w:r w:rsidRPr="006842B7">
        <w:rPr>
          <w:rFonts w:eastAsia="Times New Roman"/>
          <w:b/>
          <w:iCs/>
          <w:sz w:val="24"/>
          <w:szCs w:val="24"/>
        </w:rPr>
        <w:t>Colorado Coffee Bean, LLC v. Peaberry Coffee Inc.</w:t>
      </w:r>
      <w:r w:rsidRPr="006842B7">
        <w:rPr>
          <w:rFonts w:eastAsia="Times New Roman"/>
          <w:iCs/>
          <w:sz w:val="24"/>
          <w:szCs w:val="24"/>
        </w:rPr>
        <w:t xml:space="preserve">, 251 P.3d 9 (Colo. App. 2010). </w:t>
      </w:r>
    </w:p>
    <w:p w14:paraId="08882F72" w14:textId="77777777" w:rsidR="001E0F3B" w:rsidRDefault="001E0F3B" w:rsidP="003E2169">
      <w:pPr>
        <w:spacing w:after="240"/>
        <w:ind w:firstLine="720"/>
        <w:rPr>
          <w:rFonts w:eastAsia="Times New Roman"/>
          <w:sz w:val="24"/>
          <w:szCs w:val="24"/>
        </w:rPr>
      </w:pPr>
    </w:p>
    <w:sectPr w:rsidR="001E0F3B"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726A0" w14:textId="77777777" w:rsidR="0068053A" w:rsidRDefault="0068053A" w:rsidP="0054263B">
      <w:r>
        <w:separator/>
      </w:r>
    </w:p>
    <w:p w14:paraId="0B61B287" w14:textId="77777777" w:rsidR="0068053A" w:rsidRDefault="0068053A"/>
  </w:endnote>
  <w:endnote w:type="continuationSeparator" w:id="0">
    <w:p w14:paraId="37227CA5" w14:textId="77777777" w:rsidR="0068053A" w:rsidRDefault="0068053A" w:rsidP="0054263B">
      <w:r>
        <w:continuationSeparator/>
      </w:r>
    </w:p>
    <w:p w14:paraId="41149A3C" w14:textId="77777777" w:rsidR="0068053A" w:rsidRDefault="00680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E8B34B1" w14:textId="77777777" w:rsidR="00B3392C" w:rsidRDefault="00B3392C">
        <w:pPr>
          <w:pStyle w:val="Footer"/>
          <w:jc w:val="center"/>
        </w:pPr>
        <w:r>
          <w:fldChar w:fldCharType="begin"/>
        </w:r>
        <w:r>
          <w:instrText xml:space="preserve"> PAGE   \* MERGEFORMAT </w:instrText>
        </w:r>
        <w:r>
          <w:fldChar w:fldCharType="separate"/>
        </w:r>
        <w:r w:rsidR="005E140E">
          <w:rPr>
            <w:noProof/>
          </w:rPr>
          <w:t>11</w:t>
        </w:r>
        <w:r>
          <w:rPr>
            <w:noProof/>
          </w:rPr>
          <w:fldChar w:fldCharType="end"/>
        </w:r>
      </w:p>
    </w:sdtContent>
  </w:sdt>
  <w:p w14:paraId="6D7165A1" w14:textId="77777777" w:rsidR="00B3392C" w:rsidRDefault="00B3392C">
    <w:pPr>
      <w:pStyle w:val="Footer"/>
    </w:pPr>
  </w:p>
  <w:p w14:paraId="3254D118" w14:textId="77777777" w:rsidR="00B3392C" w:rsidRDefault="00B339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14178" w14:textId="77777777" w:rsidR="0068053A" w:rsidRDefault="0068053A" w:rsidP="0054263B">
      <w:r>
        <w:separator/>
      </w:r>
    </w:p>
    <w:p w14:paraId="237978F4" w14:textId="77777777" w:rsidR="0068053A" w:rsidRDefault="0068053A"/>
  </w:footnote>
  <w:footnote w:type="continuationSeparator" w:id="0">
    <w:p w14:paraId="5F6A5583" w14:textId="77777777" w:rsidR="0068053A" w:rsidRDefault="0068053A" w:rsidP="0054263B">
      <w:r>
        <w:continuationSeparator/>
      </w:r>
    </w:p>
    <w:p w14:paraId="0D5F716A" w14:textId="77777777" w:rsidR="0068053A" w:rsidRDefault="006805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253F8"/>
    <w:rsid w:val="00037111"/>
    <w:rsid w:val="00043F79"/>
    <w:rsid w:val="00051475"/>
    <w:rsid w:val="00052963"/>
    <w:rsid w:val="00085495"/>
    <w:rsid w:val="00091D5F"/>
    <w:rsid w:val="000921F1"/>
    <w:rsid w:val="000962C8"/>
    <w:rsid w:val="000C503A"/>
    <w:rsid w:val="000C6F97"/>
    <w:rsid w:val="000F4D14"/>
    <w:rsid w:val="00107D25"/>
    <w:rsid w:val="001117D9"/>
    <w:rsid w:val="00117F7D"/>
    <w:rsid w:val="00144917"/>
    <w:rsid w:val="0015697F"/>
    <w:rsid w:val="001715BD"/>
    <w:rsid w:val="00172674"/>
    <w:rsid w:val="00180924"/>
    <w:rsid w:val="00185D68"/>
    <w:rsid w:val="001903CB"/>
    <w:rsid w:val="001913B1"/>
    <w:rsid w:val="00191498"/>
    <w:rsid w:val="001A2648"/>
    <w:rsid w:val="001B485E"/>
    <w:rsid w:val="001E092B"/>
    <w:rsid w:val="001E0F3B"/>
    <w:rsid w:val="00200BA5"/>
    <w:rsid w:val="002065D8"/>
    <w:rsid w:val="0021368F"/>
    <w:rsid w:val="0022134E"/>
    <w:rsid w:val="00223286"/>
    <w:rsid w:val="00232221"/>
    <w:rsid w:val="00247305"/>
    <w:rsid w:val="0027754E"/>
    <w:rsid w:val="002A23B0"/>
    <w:rsid w:val="002A2A74"/>
    <w:rsid w:val="002D380B"/>
    <w:rsid w:val="002E0970"/>
    <w:rsid w:val="002E1B2A"/>
    <w:rsid w:val="002E3AB8"/>
    <w:rsid w:val="002F48D6"/>
    <w:rsid w:val="00320613"/>
    <w:rsid w:val="003247EA"/>
    <w:rsid w:val="00336CE4"/>
    <w:rsid w:val="00352111"/>
    <w:rsid w:val="003613FE"/>
    <w:rsid w:val="003937B8"/>
    <w:rsid w:val="003A19E1"/>
    <w:rsid w:val="003A55EC"/>
    <w:rsid w:val="003C266A"/>
    <w:rsid w:val="003C78E1"/>
    <w:rsid w:val="003D370E"/>
    <w:rsid w:val="003E2169"/>
    <w:rsid w:val="003E28B5"/>
    <w:rsid w:val="003E5B38"/>
    <w:rsid w:val="003F108C"/>
    <w:rsid w:val="003F6E89"/>
    <w:rsid w:val="00434371"/>
    <w:rsid w:val="004425AA"/>
    <w:rsid w:val="00456038"/>
    <w:rsid w:val="00461B78"/>
    <w:rsid w:val="00467B80"/>
    <w:rsid w:val="00471618"/>
    <w:rsid w:val="00496805"/>
    <w:rsid w:val="004B1873"/>
    <w:rsid w:val="004C27E8"/>
    <w:rsid w:val="004C62F9"/>
    <w:rsid w:val="004C723A"/>
    <w:rsid w:val="004E7EF1"/>
    <w:rsid w:val="00531F87"/>
    <w:rsid w:val="0054263B"/>
    <w:rsid w:val="00557FCC"/>
    <w:rsid w:val="0059208F"/>
    <w:rsid w:val="005B05D0"/>
    <w:rsid w:val="005B3A78"/>
    <w:rsid w:val="005B4CC9"/>
    <w:rsid w:val="005D012F"/>
    <w:rsid w:val="005D3156"/>
    <w:rsid w:val="005E140E"/>
    <w:rsid w:val="005E712D"/>
    <w:rsid w:val="006075D3"/>
    <w:rsid w:val="00611AC9"/>
    <w:rsid w:val="006272FE"/>
    <w:rsid w:val="00644568"/>
    <w:rsid w:val="00661D05"/>
    <w:rsid w:val="00675252"/>
    <w:rsid w:val="0068053A"/>
    <w:rsid w:val="00682B93"/>
    <w:rsid w:val="0068336D"/>
    <w:rsid w:val="00683FA1"/>
    <w:rsid w:val="006A74B6"/>
    <w:rsid w:val="006B0A60"/>
    <w:rsid w:val="006C4B40"/>
    <w:rsid w:val="006E0D06"/>
    <w:rsid w:val="006E3575"/>
    <w:rsid w:val="006E62F0"/>
    <w:rsid w:val="00702B5A"/>
    <w:rsid w:val="00704DEC"/>
    <w:rsid w:val="0070752A"/>
    <w:rsid w:val="007117A1"/>
    <w:rsid w:val="007119D8"/>
    <w:rsid w:val="007532AB"/>
    <w:rsid w:val="007722A9"/>
    <w:rsid w:val="0077580A"/>
    <w:rsid w:val="00776151"/>
    <w:rsid w:val="00791698"/>
    <w:rsid w:val="007A3A0E"/>
    <w:rsid w:val="007A612E"/>
    <w:rsid w:val="007C00FE"/>
    <w:rsid w:val="007C4A0E"/>
    <w:rsid w:val="007D28E0"/>
    <w:rsid w:val="007D2BCE"/>
    <w:rsid w:val="007E1675"/>
    <w:rsid w:val="007F7129"/>
    <w:rsid w:val="00801691"/>
    <w:rsid w:val="0082168C"/>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27AF0"/>
    <w:rsid w:val="009324BD"/>
    <w:rsid w:val="00935DA8"/>
    <w:rsid w:val="0095709A"/>
    <w:rsid w:val="00973884"/>
    <w:rsid w:val="009902F2"/>
    <w:rsid w:val="00993AFC"/>
    <w:rsid w:val="009B6746"/>
    <w:rsid w:val="009C2EAC"/>
    <w:rsid w:val="009E20C7"/>
    <w:rsid w:val="009E3DA4"/>
    <w:rsid w:val="00A36457"/>
    <w:rsid w:val="00A52208"/>
    <w:rsid w:val="00A65CC9"/>
    <w:rsid w:val="00A70CDA"/>
    <w:rsid w:val="00A73AE6"/>
    <w:rsid w:val="00A80C10"/>
    <w:rsid w:val="00A82002"/>
    <w:rsid w:val="00A85AAA"/>
    <w:rsid w:val="00A95395"/>
    <w:rsid w:val="00AA3D45"/>
    <w:rsid w:val="00AC78F7"/>
    <w:rsid w:val="00AF7D47"/>
    <w:rsid w:val="00B0264D"/>
    <w:rsid w:val="00B3392C"/>
    <w:rsid w:val="00B37722"/>
    <w:rsid w:val="00B4534E"/>
    <w:rsid w:val="00B567C1"/>
    <w:rsid w:val="00B579DF"/>
    <w:rsid w:val="00B6275E"/>
    <w:rsid w:val="00B70D68"/>
    <w:rsid w:val="00B71508"/>
    <w:rsid w:val="00B72D6B"/>
    <w:rsid w:val="00B937E4"/>
    <w:rsid w:val="00B9723E"/>
    <w:rsid w:val="00BA5027"/>
    <w:rsid w:val="00BA510E"/>
    <w:rsid w:val="00BC49BF"/>
    <w:rsid w:val="00BD442A"/>
    <w:rsid w:val="00BE2B09"/>
    <w:rsid w:val="00BE654D"/>
    <w:rsid w:val="00C168CF"/>
    <w:rsid w:val="00C40968"/>
    <w:rsid w:val="00C421DE"/>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4744B"/>
    <w:rsid w:val="00DA2202"/>
    <w:rsid w:val="00DB2C90"/>
    <w:rsid w:val="00DC63A9"/>
    <w:rsid w:val="00DC66A6"/>
    <w:rsid w:val="00DE2930"/>
    <w:rsid w:val="00DF2CB7"/>
    <w:rsid w:val="00DF3BF1"/>
    <w:rsid w:val="00DF58E0"/>
    <w:rsid w:val="00E02822"/>
    <w:rsid w:val="00E058BA"/>
    <w:rsid w:val="00E0776A"/>
    <w:rsid w:val="00E1518B"/>
    <w:rsid w:val="00E172C8"/>
    <w:rsid w:val="00E551EB"/>
    <w:rsid w:val="00E87C31"/>
    <w:rsid w:val="00E970B9"/>
    <w:rsid w:val="00EC17E3"/>
    <w:rsid w:val="00EC3919"/>
    <w:rsid w:val="00EC7C98"/>
    <w:rsid w:val="00ED5E52"/>
    <w:rsid w:val="00ED7176"/>
    <w:rsid w:val="00EE4895"/>
    <w:rsid w:val="00EE54DA"/>
    <w:rsid w:val="00EF4043"/>
    <w:rsid w:val="00F32AA4"/>
    <w:rsid w:val="00F67C60"/>
    <w:rsid w:val="00F764F4"/>
    <w:rsid w:val="00FA676A"/>
    <w:rsid w:val="00FA7B76"/>
    <w:rsid w:val="00FC2CE3"/>
    <w:rsid w:val="00FC3783"/>
    <w:rsid w:val="00FE00D7"/>
    <w:rsid w:val="00FE67EE"/>
    <w:rsid w:val="00FF04A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B5840-9F74-48E2-ABEF-5BD5EB06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2022-01-12T16:44:00Z</dcterms:created>
  <dcterms:modified xsi:type="dcterms:W3CDTF">2022-01-12T16:44:00Z</dcterms:modified>
</cp:coreProperties>
</file>