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7EBF" w14:textId="71046FE0" w:rsidR="00CA41CC" w:rsidRPr="00914128" w:rsidRDefault="007A3A0E" w:rsidP="00914128">
      <w:pPr>
        <w:pStyle w:val="Heading1"/>
      </w:pPr>
      <w:bookmarkStart w:id="0" w:name="_GoBack"/>
      <w:bookmarkEnd w:id="0"/>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3563DF" w:rsidP="00914128">
      <w:pPr>
        <w:pStyle w:val="ToC"/>
      </w:pPr>
      <w:hyperlink w:anchor="a5_1" w:history="1">
        <w:r w:rsidR="00CC6103" w:rsidRPr="00CC6103">
          <w:rPr>
            <w:rStyle w:val="Hyperlink"/>
          </w:rPr>
          <w:t>5:1</w:t>
        </w:r>
      </w:hyperlink>
      <w:r w:rsidR="00CC6103" w:rsidRPr="00CC6103">
        <w:t xml:space="preserve"> </w:t>
      </w:r>
      <w:r w:rsidR="00CC6103" w:rsidRPr="00CC6103">
        <w:tab/>
        <w:t xml:space="preserve">Damages Not </w:t>
      </w:r>
      <w:r w:rsidR="00CC6103">
        <w:t>t</w:t>
      </w:r>
      <w:r w:rsidR="00CC6103" w:rsidRPr="00CC6103">
        <w:t>o Be Inferred</w:t>
      </w:r>
    </w:p>
    <w:p w14:paraId="4452B906" w14:textId="77777777" w:rsidR="00CC6103" w:rsidRDefault="003563DF" w:rsidP="00914128">
      <w:pPr>
        <w:pStyle w:val="ToC"/>
      </w:pPr>
      <w:hyperlink w:anchor="a5_2" w:history="1">
        <w:r w:rsidR="00CC6103" w:rsidRPr="00CC6103">
          <w:rPr>
            <w:rStyle w:val="Hyperlink"/>
          </w:rPr>
          <w:t>5:2</w:t>
        </w:r>
      </w:hyperlink>
      <w:r w:rsidR="00CC6103" w:rsidRPr="00CC6103">
        <w:t xml:space="preserve"> </w:t>
      </w:r>
      <w:r w:rsidR="00CC6103" w:rsidRPr="00CC6103">
        <w:tab/>
        <w:t xml:space="preserve">Affirmative Defense — Failure </w:t>
      </w:r>
      <w:r w:rsidR="00CC6103">
        <w:t>t</w:t>
      </w:r>
      <w:r w:rsidR="00CC6103" w:rsidRPr="00CC6103">
        <w:t>o Mitigate</w:t>
      </w:r>
    </w:p>
    <w:p w14:paraId="3491020F" w14:textId="77777777" w:rsidR="00CC6103" w:rsidRDefault="003563DF" w:rsidP="00914128">
      <w:pPr>
        <w:pStyle w:val="ToC"/>
      </w:pPr>
      <w:hyperlink w:anchor="a5_3" w:history="1">
        <w:r w:rsidR="00CC6103" w:rsidRPr="00CC6103">
          <w:rPr>
            <w:rStyle w:val="Hyperlink"/>
          </w:rPr>
          <w:t>5:3</w:t>
        </w:r>
      </w:hyperlink>
      <w:r w:rsidR="00CC6103" w:rsidRPr="00CC6103">
        <w:t xml:space="preserve"> </w:t>
      </w:r>
      <w:r w:rsidR="00CC6103" w:rsidRPr="00CC6103">
        <w:tab/>
        <w:t xml:space="preserve">Affirmative Defense — Nonuse </w:t>
      </w:r>
      <w:r w:rsidR="00CC6103">
        <w:t>o</w:t>
      </w:r>
      <w:r w:rsidR="00CC6103" w:rsidRPr="00CC6103">
        <w:t>f Safety Belt</w:t>
      </w:r>
    </w:p>
    <w:p w14:paraId="3A08BBFC" w14:textId="77777777" w:rsidR="00CC6103" w:rsidRDefault="003563DF" w:rsidP="00914128">
      <w:pPr>
        <w:pStyle w:val="ToC"/>
      </w:pPr>
      <w:hyperlink w:anchor="a5_4" w:history="1">
        <w:r w:rsidR="00CC6103" w:rsidRPr="00CC6103">
          <w:rPr>
            <w:rStyle w:val="Hyperlink"/>
          </w:rPr>
          <w:t>5:4</w:t>
        </w:r>
      </w:hyperlink>
      <w:r w:rsidR="00CC6103" w:rsidRPr="00CC6103">
        <w:t xml:space="preserve"> </w:t>
      </w:r>
      <w:r w:rsidR="00CC6103" w:rsidRPr="00CC6103">
        <w:tab/>
        <w:t xml:space="preserve">Exemplary </w:t>
      </w:r>
      <w:r w:rsidR="00CC6103">
        <w:t>o</w:t>
      </w:r>
      <w:r w:rsidR="00CC6103" w:rsidRPr="00CC6103">
        <w:t>r Punitive Damages</w:t>
      </w:r>
    </w:p>
    <w:p w14:paraId="7C2097C6" w14:textId="77777777" w:rsidR="00CC6103" w:rsidRDefault="003563DF" w:rsidP="00914128">
      <w:pPr>
        <w:pStyle w:val="ToC"/>
      </w:pPr>
      <w:hyperlink w:anchor="a5_5" w:history="1">
        <w:r w:rsidR="00CC6103" w:rsidRPr="00CC6103">
          <w:rPr>
            <w:rStyle w:val="Hyperlink"/>
          </w:rPr>
          <w:t>5:5</w:t>
        </w:r>
      </w:hyperlink>
      <w:r w:rsidR="00CC6103" w:rsidRPr="00CC6103">
        <w:t xml:space="preserve"> </w:t>
      </w:r>
      <w:r w:rsidR="00CC6103" w:rsidRPr="00CC6103">
        <w:tab/>
        <w:t>Determining Life Expectancy — Mortality Table</w:t>
      </w:r>
    </w:p>
    <w:p w14:paraId="096B6FFC" w14:textId="77777777" w:rsidR="00CC6103" w:rsidRDefault="003563DF" w:rsidP="00914128">
      <w:pPr>
        <w:pStyle w:val="ToC"/>
      </w:pPr>
      <w:hyperlink w:anchor="a5_6" w:history="1">
        <w:r w:rsidR="00CC6103" w:rsidRPr="00CC6103">
          <w:rPr>
            <w:rStyle w:val="Hyperlink"/>
          </w:rPr>
          <w:t>5:6</w:t>
        </w:r>
      </w:hyperlink>
      <w:r w:rsidR="00CC6103" w:rsidRPr="00CC6103">
        <w:t xml:space="preserve"> </w:t>
      </w:r>
      <w:r w:rsidR="00CC6103" w:rsidRPr="00CC6103">
        <w:tab/>
      </w:r>
      <w:proofErr w:type="gramStart"/>
      <w:r w:rsidR="00CC6103" w:rsidRPr="00CC6103">
        <w:t>Uncertainty</w:t>
      </w:r>
      <w:proofErr w:type="gramEnd"/>
      <w:r w:rsidR="00CC6103" w:rsidRPr="00CC6103">
        <w:t xml:space="preserve"> </w:t>
      </w:r>
      <w:r w:rsidR="00CC6103">
        <w:t>a</w:t>
      </w:r>
      <w:r w:rsidR="00CC6103" w:rsidRPr="00CC6103">
        <w:t xml:space="preserve">s </w:t>
      </w:r>
      <w:r w:rsidR="00CC6103">
        <w:t>t</w:t>
      </w:r>
      <w:r w:rsidR="00CC6103" w:rsidRPr="00CC6103">
        <w:t xml:space="preserve">o Amount </w:t>
      </w:r>
      <w:r w:rsidR="00CC6103">
        <w:t>o</w:t>
      </w:r>
      <w:r w:rsidR="00CC6103" w:rsidRPr="00CC6103">
        <w:t>f Damages</w:t>
      </w:r>
    </w:p>
    <w:p w14:paraId="79B3BD22" w14:textId="77777777" w:rsidR="00CC6103" w:rsidRDefault="003563DF" w:rsidP="00914128">
      <w:pPr>
        <w:pStyle w:val="ToC"/>
      </w:pPr>
      <w:hyperlink w:anchor="a5_7" w:history="1">
        <w:r w:rsidR="00CC6103" w:rsidRPr="00CC6103">
          <w:rPr>
            <w:rStyle w:val="Hyperlink"/>
          </w:rPr>
          <w:t>5:7</w:t>
        </w:r>
      </w:hyperlink>
      <w:r w:rsidR="00CC6103" w:rsidRPr="00CC6103">
        <w:t xml:space="preserve"> </w:t>
      </w:r>
      <w:r w:rsidR="00CC6103" w:rsidRPr="00CC6103">
        <w:tab/>
        <w:t xml:space="preserve">Damages </w:t>
      </w:r>
      <w:r w:rsidR="00CC6103">
        <w:t>f</w:t>
      </w:r>
      <w:r w:rsidR="00CC6103" w:rsidRPr="00CC6103">
        <w:t xml:space="preserve">or Wrong </w:t>
      </w:r>
      <w:r w:rsidR="00CC6103">
        <w:t>o</w:t>
      </w:r>
      <w:r w:rsidR="00CC6103"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1" w:name="a5_1"/>
      <w:bookmarkEnd w:id="1"/>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77777777" w:rsidR="00506631" w:rsidRPr="009E3DA4" w:rsidRDefault="00506631" w:rsidP="00506631">
      <w:pPr>
        <w:spacing w:after="240"/>
        <w:ind w:left="720" w:hanging="720"/>
        <w:rPr>
          <w:rFonts w:eastAsia="Times New Roman"/>
          <w:b/>
          <w:sz w:val="24"/>
          <w:szCs w:val="24"/>
        </w:rPr>
      </w:pPr>
      <w:bookmarkStart w:id="2" w:name="a5_2"/>
      <w:bookmarkEnd w:id="2"/>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has proved (his) (her) (its) affirmative defense of plaintiff’s failure to mitigate or minimize damages. The plaintiff has the duty to take reasonable steps under the circumstances to mitigate or minimize (his) (her) (its) damages. Damages, if any, caused by plaintiff’s failure to take such reasonable steps cannot be awarded to the plaintiff.</w:t>
      </w:r>
    </w:p>
    <w:p w14:paraId="4AF81F0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(he) (she) (it)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xml:space="preserve">, 2018 CO 56, ¶ 16;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refusal to consent to </w:t>
      </w:r>
      <w:r w:rsidRPr="00506631">
        <w:rPr>
          <w:rFonts w:eastAsia="Times New Roman"/>
          <w:sz w:val="24"/>
          <w:szCs w:val="24"/>
        </w:rPr>
        <w:lastRenderedPageBreak/>
        <w:t xml:space="preserve">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xml:space="preserve">, 33 Colo. App. 396, 404, 522 P.2d 596, 600 (1974). </w:t>
      </w:r>
    </w:p>
    <w:p w14:paraId="213BB25D" w14:textId="77777777"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2018 CO 56, ¶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3" w:name="a5_3"/>
      <w:bookmarkEnd w:id="3"/>
      <w:r w:rsidRPr="005B122D">
        <w:rPr>
          <w:rFonts w:eastAsia="Times New Roman"/>
          <w:b/>
          <w:sz w:val="24"/>
          <w:szCs w:val="24"/>
        </w:rPr>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4" w:name="a5_4"/>
      <w:bookmarkEnd w:id="4"/>
      <w:r w:rsidRPr="00864C8B">
        <w:rPr>
          <w:rFonts w:eastAsia="Times New Roman"/>
          <w:b/>
          <w:sz w:val="24"/>
          <w:szCs w:val="24"/>
        </w:rPr>
        <w:t xml:space="preserve">5:4 </w:t>
      </w:r>
      <w:r w:rsidRPr="00864C8B">
        <w:rPr>
          <w:rFonts w:eastAsia="Times New Roman"/>
          <w:b/>
          <w:sz w:val="24"/>
          <w:szCs w:val="24"/>
        </w:rPr>
        <w:tab/>
        <w:t>EXEMPLARY OR PUNITIVE DAMAGES</w:t>
      </w:r>
    </w:p>
    <w:p w14:paraId="375C9966"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(his) (her) (its)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1EDF2D3D"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r w:rsidR="00026100">
        <w:rPr>
          <w:rFonts w:eastAsia="Times New Roman"/>
          <w:sz w:val="24"/>
          <w:szCs w:val="24"/>
        </w:rPr>
        <w:t xml:space="preserve"> </w:t>
      </w:r>
      <w:r w:rsidR="00026100">
        <w:rPr>
          <w:rFonts w:eastAsia="Times New Roman"/>
          <w:iCs/>
          <w:sz w:val="24"/>
          <w:szCs w:val="24"/>
        </w:rPr>
        <w:t>(subsequently abrogated by section 13-21-111.5(1.5), C.R.S., effective for cases filed on or after September 7, 2021)</w:t>
      </w:r>
      <w:r w:rsidRPr="00452874">
        <w:rPr>
          <w:rFonts w:eastAsia="Times New Roman"/>
          <w:sz w:val="24"/>
          <w:szCs w:val="24"/>
        </w:rPr>
        <w:t>.</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5" w:name="a5_5"/>
      <w:bookmarkEnd w:id="5"/>
      <w:r w:rsidRPr="00301CFB">
        <w:rPr>
          <w:rFonts w:eastAsia="Times New Roman"/>
          <w:b/>
          <w:sz w:val="24"/>
          <w:szCs w:val="24"/>
        </w:rPr>
        <w:t xml:space="preserve">5:5 </w:t>
      </w:r>
      <w:r w:rsidRPr="00301CFB">
        <w:rPr>
          <w:rFonts w:eastAsia="Times New Roman"/>
          <w:b/>
          <w:sz w:val="24"/>
          <w:szCs w:val="24"/>
        </w:rPr>
        <w:tab/>
        <w:t>DETERMINING LIFE EXPECTANCY — MORTALITY TABLE</w:t>
      </w:r>
    </w:p>
    <w:p w14:paraId="317F262C" w14:textId="77777777" w:rsidR="00301CFB" w:rsidRPr="00301CFB" w:rsidRDefault="00301CFB" w:rsidP="00301CFB">
      <w:pPr>
        <w:spacing w:after="240"/>
        <w:ind w:firstLine="720"/>
        <w:rPr>
          <w:rFonts w:eastAsia="Times New Roman"/>
          <w:b/>
          <w:sz w:val="24"/>
          <w:szCs w:val="24"/>
        </w:rPr>
      </w:pPr>
      <w:r w:rsidRPr="00301CFB">
        <w:rPr>
          <w:rFonts w:eastAsia="Times New Roman"/>
          <w:b/>
          <w:sz w:val="24"/>
          <w:szCs w:val="24"/>
        </w:rPr>
        <w:t xml:space="preserve">At the beginning of this trial, plaintiff, </w:t>
      </w:r>
      <w:r w:rsidRPr="00301CFB">
        <w:rPr>
          <w:rFonts w:eastAsia="Times New Roman"/>
          <w:i/>
          <w:sz w:val="24"/>
          <w:szCs w:val="24"/>
        </w:rPr>
        <w:t>(name)</w:t>
      </w:r>
      <w:r w:rsidRPr="00301CFB">
        <w:rPr>
          <w:rFonts w:eastAsia="Times New Roman"/>
          <w:b/>
          <w:sz w:val="24"/>
          <w:szCs w:val="24"/>
        </w:rPr>
        <w:t xml:space="preserve">, had a life expectancy of </w:t>
      </w:r>
      <w:r w:rsidRPr="00301CFB">
        <w:rPr>
          <w:rFonts w:eastAsia="Times New Roman"/>
          <w:i/>
          <w:sz w:val="24"/>
          <w:szCs w:val="24"/>
        </w:rPr>
        <w:t>(insert appropriate number of years)</w:t>
      </w:r>
      <w:r w:rsidRPr="00301CFB">
        <w:rPr>
          <w:rFonts w:eastAsia="Times New Roman"/>
          <w:b/>
          <w:sz w:val="24"/>
          <w:szCs w:val="24"/>
        </w:rPr>
        <w:t xml:space="preserve"> years. This expectancy is taken from the United States census bureau mortality table.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3BB87F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1. This instruction assumes the age of the party seeking to use this instruction is not in dispute. If the party’s age is disputed, this instruction must be appropriately modified.</w:t>
      </w:r>
    </w:p>
    <w:p w14:paraId="1C5B22C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 xml:space="preserve">2. This instruction should not be given unless there is sufficient evidence that the plaintiff’s injuries will be permanent. </w:t>
      </w:r>
      <w:r w:rsidRPr="00301CFB">
        <w:rPr>
          <w:rFonts w:eastAsia="Times New Roman"/>
          <w:i/>
          <w:sz w:val="24"/>
          <w:szCs w:val="24"/>
        </w:rPr>
        <w:t>See</w:t>
      </w:r>
      <w:r w:rsidRPr="00301CFB">
        <w:rPr>
          <w:rFonts w:eastAsia="Times New Roman"/>
          <w:sz w:val="24"/>
          <w:szCs w:val="24"/>
        </w:rPr>
        <w:t xml:space="preserve"> </w:t>
      </w:r>
      <w:r w:rsidRPr="00301CFB">
        <w:rPr>
          <w:rFonts w:eastAsia="Times New Roman"/>
          <w:b/>
          <w:sz w:val="24"/>
          <w:szCs w:val="24"/>
        </w:rPr>
        <w:t>Alcon v. Spicer</w:t>
      </w:r>
      <w:r w:rsidRPr="00301CFB">
        <w:rPr>
          <w:rFonts w:eastAsia="Times New Roman"/>
          <w:sz w:val="24"/>
          <w:szCs w:val="24"/>
        </w:rPr>
        <w:t xml:space="preserve">, 113 P.3d 735 (Colo. 2005); </w:t>
      </w:r>
      <w:r w:rsidRPr="00301CFB">
        <w:rPr>
          <w:rFonts w:eastAsia="Times New Roman"/>
          <w:b/>
          <w:sz w:val="24"/>
          <w:szCs w:val="24"/>
        </w:rPr>
        <w:t>Rio Grande S. R.R. v. Nichols</w:t>
      </w:r>
      <w:r w:rsidRPr="00301CFB">
        <w:rPr>
          <w:rFonts w:eastAsia="Times New Roman"/>
          <w:sz w:val="24"/>
          <w:szCs w:val="24"/>
        </w:rPr>
        <w:t>, 52 Colo. 300, 123 P. 318 (1912).</w:t>
      </w:r>
    </w:p>
    <w:p w14:paraId="6F515021"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3.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1D7BF229"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4. The use of the most recent United States census bureau mortality table is mandated by section 13-25-102, C.R.S.</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7777777" w:rsidR="005B122D" w:rsidRDefault="00301CFB" w:rsidP="00506631">
      <w:pPr>
        <w:spacing w:after="240"/>
        <w:ind w:firstLine="720"/>
        <w:rPr>
          <w:rFonts w:eastAsia="Times New Roman"/>
          <w:sz w:val="24"/>
          <w:szCs w:val="24"/>
        </w:rPr>
      </w:pPr>
      <w:r w:rsidRPr="00301CFB">
        <w:rPr>
          <w:rFonts w:eastAsia="Times New Roman"/>
          <w:sz w:val="24"/>
          <w:szCs w:val="24"/>
        </w:rPr>
        <w:t>This instruction is</w:t>
      </w:r>
      <w:r w:rsidR="00840F42">
        <w:rPr>
          <w:rFonts w:eastAsia="Times New Roman"/>
          <w:sz w:val="24"/>
          <w:szCs w:val="24"/>
        </w:rPr>
        <w:t xml:space="preserve"> supported by section 13-25-102</w:t>
      </w:r>
      <w:r w:rsidRPr="00301CFB">
        <w:rPr>
          <w:rFonts w:eastAsia="Times New Roman"/>
          <w:sz w:val="24"/>
          <w:szCs w:val="24"/>
        </w:rPr>
        <w:t xml:space="preserve"> and the cases cited in the Notes on Use. </w:t>
      </w:r>
      <w:r w:rsidRPr="00301CFB">
        <w:rPr>
          <w:rFonts w:eastAsia="Times New Roman"/>
          <w:i/>
          <w:sz w:val="24"/>
          <w:szCs w:val="24"/>
        </w:rPr>
        <w:t>See also</w:t>
      </w:r>
      <w:r w:rsidRPr="00301CFB">
        <w:rPr>
          <w:rFonts w:eastAsia="Times New Roman"/>
          <w:sz w:val="24"/>
          <w:szCs w:val="24"/>
        </w:rPr>
        <w:t xml:space="preserve"> </w:t>
      </w:r>
      <w:r w:rsidRPr="00301CFB">
        <w:rPr>
          <w:rFonts w:eastAsia="Times New Roman"/>
          <w:b/>
          <w:sz w:val="24"/>
          <w:szCs w:val="24"/>
        </w:rPr>
        <w:t>Colo. Fuel &amp; Iron Corp. v. Indus. Comm’n</w:t>
      </w:r>
      <w:r w:rsidRPr="00301CFB">
        <w:rPr>
          <w:rFonts w:eastAsia="Times New Roman"/>
          <w:sz w:val="24"/>
          <w:szCs w:val="24"/>
        </w:rPr>
        <w:t xml:space="preserve">, 148 Colo. 557, 367 P.2d 597 (1961); </w:t>
      </w:r>
      <w:r w:rsidRPr="00301CFB">
        <w:rPr>
          <w:rFonts w:eastAsia="Times New Roman"/>
          <w:b/>
          <w:sz w:val="24"/>
          <w:szCs w:val="24"/>
        </w:rPr>
        <w:t>City of Ft. Collins v. Smith</w:t>
      </w:r>
      <w:r w:rsidRPr="00301CFB">
        <w:rPr>
          <w:rFonts w:eastAsia="Times New Roman"/>
          <w:sz w:val="24"/>
          <w:szCs w:val="24"/>
        </w:rPr>
        <w:t>, 84 Colo. 511, 272 P. 6 (1928).</w:t>
      </w: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6" w:name="a5_6"/>
      <w:bookmarkEnd w:id="6"/>
      <w:r w:rsidRPr="00BC758C">
        <w:rPr>
          <w:rFonts w:eastAsia="Times New Roman"/>
          <w:b/>
          <w:sz w:val="24"/>
          <w:szCs w:val="24"/>
        </w:rPr>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7" w:name="a5_7"/>
      <w:bookmarkEnd w:id="7"/>
      <w:r w:rsidRPr="00E14212">
        <w:rPr>
          <w:rFonts w:eastAsia="Times New Roman"/>
          <w:b/>
          <w:sz w:val="24"/>
          <w:szCs w:val="24"/>
        </w:rPr>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in conjunction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F6DD2" w14:textId="77777777" w:rsidR="003563DF" w:rsidRDefault="003563DF" w:rsidP="0054263B">
      <w:r>
        <w:separator/>
      </w:r>
    </w:p>
    <w:p w14:paraId="0444EB0F" w14:textId="77777777" w:rsidR="003563DF" w:rsidRDefault="003563DF"/>
  </w:endnote>
  <w:endnote w:type="continuationSeparator" w:id="0">
    <w:p w14:paraId="35E11CE5" w14:textId="77777777" w:rsidR="003563DF" w:rsidRDefault="003563DF" w:rsidP="0054263B">
      <w:r>
        <w:continuationSeparator/>
      </w:r>
    </w:p>
    <w:p w14:paraId="181E4B0B" w14:textId="77777777" w:rsidR="003563DF" w:rsidRDefault="0035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B22238">
          <w:rPr>
            <w:noProof/>
          </w:rPr>
          <w:t>5</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F67B5" w14:textId="77777777" w:rsidR="003563DF" w:rsidRDefault="003563DF" w:rsidP="0054263B">
      <w:r>
        <w:separator/>
      </w:r>
    </w:p>
    <w:p w14:paraId="2E7A4D4B" w14:textId="77777777" w:rsidR="003563DF" w:rsidRDefault="003563DF"/>
  </w:footnote>
  <w:footnote w:type="continuationSeparator" w:id="0">
    <w:p w14:paraId="3E0F1C39" w14:textId="77777777" w:rsidR="003563DF" w:rsidRDefault="003563DF" w:rsidP="0054263B">
      <w:r>
        <w:continuationSeparator/>
      </w:r>
    </w:p>
    <w:p w14:paraId="64BA8382" w14:textId="77777777" w:rsidR="003563DF" w:rsidRDefault="003563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26100"/>
    <w:rsid w:val="00037111"/>
    <w:rsid w:val="00052C46"/>
    <w:rsid w:val="00085495"/>
    <w:rsid w:val="000921F1"/>
    <w:rsid w:val="00093931"/>
    <w:rsid w:val="000C0F3E"/>
    <w:rsid w:val="000C6F97"/>
    <w:rsid w:val="001117D9"/>
    <w:rsid w:val="001146FE"/>
    <w:rsid w:val="001305D1"/>
    <w:rsid w:val="00172674"/>
    <w:rsid w:val="00182044"/>
    <w:rsid w:val="001903CB"/>
    <w:rsid w:val="001913B1"/>
    <w:rsid w:val="00191498"/>
    <w:rsid w:val="001A2648"/>
    <w:rsid w:val="001C5769"/>
    <w:rsid w:val="001E55E8"/>
    <w:rsid w:val="00200BA5"/>
    <w:rsid w:val="002065D8"/>
    <w:rsid w:val="0021368F"/>
    <w:rsid w:val="0022134E"/>
    <w:rsid w:val="00223286"/>
    <w:rsid w:val="00235B34"/>
    <w:rsid w:val="002A23B0"/>
    <w:rsid w:val="002E0970"/>
    <w:rsid w:val="00301CFB"/>
    <w:rsid w:val="003247EA"/>
    <w:rsid w:val="00336CE4"/>
    <w:rsid w:val="00352111"/>
    <w:rsid w:val="003563DF"/>
    <w:rsid w:val="003613FE"/>
    <w:rsid w:val="00376A34"/>
    <w:rsid w:val="003937B8"/>
    <w:rsid w:val="003B32F5"/>
    <w:rsid w:val="003F108C"/>
    <w:rsid w:val="004255C6"/>
    <w:rsid w:val="004425AA"/>
    <w:rsid w:val="00452874"/>
    <w:rsid w:val="00456038"/>
    <w:rsid w:val="00467B80"/>
    <w:rsid w:val="00471618"/>
    <w:rsid w:val="004B6778"/>
    <w:rsid w:val="004C62F9"/>
    <w:rsid w:val="004D60E5"/>
    <w:rsid w:val="004E7EF1"/>
    <w:rsid w:val="00506631"/>
    <w:rsid w:val="00511CB9"/>
    <w:rsid w:val="00522AFB"/>
    <w:rsid w:val="00531E26"/>
    <w:rsid w:val="00531F87"/>
    <w:rsid w:val="0053688F"/>
    <w:rsid w:val="0054263B"/>
    <w:rsid w:val="00557FCC"/>
    <w:rsid w:val="0058333E"/>
    <w:rsid w:val="005917DB"/>
    <w:rsid w:val="005B122D"/>
    <w:rsid w:val="005B3A78"/>
    <w:rsid w:val="005B41A9"/>
    <w:rsid w:val="005C5B4C"/>
    <w:rsid w:val="005D1DD8"/>
    <w:rsid w:val="005D3156"/>
    <w:rsid w:val="005F208B"/>
    <w:rsid w:val="006272FE"/>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32AB"/>
    <w:rsid w:val="00755E9A"/>
    <w:rsid w:val="00771A76"/>
    <w:rsid w:val="007A3A0E"/>
    <w:rsid w:val="007A612E"/>
    <w:rsid w:val="007D2BCE"/>
    <w:rsid w:val="007D6198"/>
    <w:rsid w:val="007E1675"/>
    <w:rsid w:val="007F7129"/>
    <w:rsid w:val="00801691"/>
    <w:rsid w:val="008066E2"/>
    <w:rsid w:val="0082168C"/>
    <w:rsid w:val="0083264A"/>
    <w:rsid w:val="00832DB4"/>
    <w:rsid w:val="00837F81"/>
    <w:rsid w:val="00840F42"/>
    <w:rsid w:val="008446B7"/>
    <w:rsid w:val="00845F81"/>
    <w:rsid w:val="00850A48"/>
    <w:rsid w:val="00853ECF"/>
    <w:rsid w:val="0086380E"/>
    <w:rsid w:val="00864C8B"/>
    <w:rsid w:val="00875064"/>
    <w:rsid w:val="008A149A"/>
    <w:rsid w:val="008B1617"/>
    <w:rsid w:val="008C05F9"/>
    <w:rsid w:val="008D78F2"/>
    <w:rsid w:val="008E41F1"/>
    <w:rsid w:val="008F4C42"/>
    <w:rsid w:val="00902A25"/>
    <w:rsid w:val="00914128"/>
    <w:rsid w:val="0091711B"/>
    <w:rsid w:val="00935DA8"/>
    <w:rsid w:val="0095709A"/>
    <w:rsid w:val="009902F2"/>
    <w:rsid w:val="009A6C2E"/>
    <w:rsid w:val="009B6746"/>
    <w:rsid w:val="009D3104"/>
    <w:rsid w:val="009E20C7"/>
    <w:rsid w:val="009E3DA4"/>
    <w:rsid w:val="009F47F0"/>
    <w:rsid w:val="00A35384"/>
    <w:rsid w:val="00A36457"/>
    <w:rsid w:val="00A400B9"/>
    <w:rsid w:val="00A73AE6"/>
    <w:rsid w:val="00A769CC"/>
    <w:rsid w:val="00A80C10"/>
    <w:rsid w:val="00AA25F3"/>
    <w:rsid w:val="00AA6D6E"/>
    <w:rsid w:val="00AB011A"/>
    <w:rsid w:val="00AB6188"/>
    <w:rsid w:val="00B0264D"/>
    <w:rsid w:val="00B06831"/>
    <w:rsid w:val="00B22238"/>
    <w:rsid w:val="00B37722"/>
    <w:rsid w:val="00B567C1"/>
    <w:rsid w:val="00B579DF"/>
    <w:rsid w:val="00B6275E"/>
    <w:rsid w:val="00B70D68"/>
    <w:rsid w:val="00B72D6B"/>
    <w:rsid w:val="00B937E4"/>
    <w:rsid w:val="00BA750F"/>
    <w:rsid w:val="00BC49BF"/>
    <w:rsid w:val="00BC758C"/>
    <w:rsid w:val="00BE2B09"/>
    <w:rsid w:val="00BE654D"/>
    <w:rsid w:val="00BF6B6D"/>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08C9"/>
    <w:rsid w:val="00CD4A7D"/>
    <w:rsid w:val="00CD4B6C"/>
    <w:rsid w:val="00CE593D"/>
    <w:rsid w:val="00D05926"/>
    <w:rsid w:val="00D06D8D"/>
    <w:rsid w:val="00D121AA"/>
    <w:rsid w:val="00D333AA"/>
    <w:rsid w:val="00D40E5F"/>
    <w:rsid w:val="00D8688D"/>
    <w:rsid w:val="00D97DD0"/>
    <w:rsid w:val="00DB2C90"/>
    <w:rsid w:val="00DC63A9"/>
    <w:rsid w:val="00DC66A6"/>
    <w:rsid w:val="00DD6C4A"/>
    <w:rsid w:val="00DE2930"/>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488A"/>
    <w:rsid w:val="00EF4E84"/>
    <w:rsid w:val="00F17B86"/>
    <w:rsid w:val="00F32AA4"/>
    <w:rsid w:val="00F764F4"/>
    <w:rsid w:val="00FA7B76"/>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7498</Words>
  <Characters>42740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2022-01-12T16:44:00Z</dcterms:created>
  <dcterms:modified xsi:type="dcterms:W3CDTF">2022-01-12T16:44:00Z</dcterms:modified>
</cp:coreProperties>
</file>