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9A35" w14:textId="29761FAF" w:rsidR="00CA41CC" w:rsidRPr="00914128" w:rsidRDefault="0068336D" w:rsidP="00914128">
      <w:pPr>
        <w:pStyle w:val="Heading1"/>
      </w:pPr>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000000"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000000" w:rsidP="00914128">
      <w:pPr>
        <w:pStyle w:val="ToC"/>
      </w:pPr>
      <w:hyperlink w:anchor="a30_01" w:history="1">
        <w:r w:rsidR="00770AB7" w:rsidRPr="00AE1C04">
          <w:rPr>
            <w:rStyle w:val="Hyperlink"/>
          </w:rPr>
          <w:t>30:1</w:t>
        </w:r>
      </w:hyperlink>
      <w:r w:rsidR="00770AB7" w:rsidRPr="00AE1C04">
        <w:tab/>
        <w:t>Contract Formation ― In Dispute</w:t>
      </w:r>
    </w:p>
    <w:p w14:paraId="13A6BC2F" w14:textId="77777777" w:rsidR="00AE1C04" w:rsidRDefault="00000000"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000000"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000000"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000000"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000000"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000000"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000000"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000000"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000000"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000000" w:rsidP="00A73FC9">
      <w:pPr>
        <w:pStyle w:val="ToC"/>
      </w:pPr>
      <w:hyperlink w:anchor="a30_11" w:history="1">
        <w:r w:rsidR="00770AB7" w:rsidRPr="00AE1C04">
          <w:rPr>
            <w:rStyle w:val="Hyperlink"/>
          </w:rPr>
          <w:t>30:11</w:t>
        </w:r>
      </w:hyperlink>
      <w:r w:rsidR="00770AB7" w:rsidRPr="00AE1C04">
        <w:tab/>
        <w:t xml:space="preserve">Contract Performance — Breach </w:t>
      </w:r>
      <w:r w:rsidR="00770AB7">
        <w:t xml:space="preserve">of </w:t>
      </w:r>
      <w:r w:rsidR="00770AB7" w:rsidRPr="00AE1C04">
        <w:t>Contract Defined</w:t>
      </w:r>
    </w:p>
    <w:p w14:paraId="6CC9DDD5" w14:textId="77777777" w:rsidR="00AE1C04" w:rsidRDefault="00000000"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000000"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000000"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000000"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000000"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000000"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000000" w:rsidP="00A73FC9">
      <w:pPr>
        <w:pStyle w:val="ToC"/>
      </w:pPr>
      <w:hyperlink w:anchor="IntroNoteC" w:history="1">
        <w:r w:rsidR="003F4A7F" w:rsidRPr="006F590D">
          <w:rPr>
            <w:rStyle w:val="Hyperlink"/>
          </w:rPr>
          <w:t>Introductory Note</w:t>
        </w:r>
      </w:hyperlink>
    </w:p>
    <w:p w14:paraId="0592BB4E" w14:textId="77777777" w:rsidR="003F4A7F" w:rsidRDefault="00000000"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000000"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000000"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000000"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000000"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000000"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000000" w:rsidP="00A73FC9">
      <w:pPr>
        <w:pStyle w:val="ToC"/>
      </w:pPr>
      <w:hyperlink w:anchor="a30_24" w:history="1">
        <w:r w:rsidR="00770AB7" w:rsidRPr="00AC646C">
          <w:rPr>
            <w:rStyle w:val="Hyperlink"/>
          </w:rPr>
          <w:t>30:24</w:t>
        </w:r>
      </w:hyperlink>
      <w:r w:rsidR="00AB477F">
        <w:tab/>
        <w:t xml:space="preserve">Defense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000000"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000000"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000000"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000000"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000000"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000000" w:rsidP="00A73FC9">
      <w:pPr>
        <w:pStyle w:val="ToC"/>
      </w:pPr>
      <w:hyperlink w:anchor="IntroNoteD" w:history="1">
        <w:r w:rsidR="00AC646C" w:rsidRPr="006F590D">
          <w:rPr>
            <w:rStyle w:val="Hyperlink"/>
          </w:rPr>
          <w:t>Introductory Note</w:t>
        </w:r>
      </w:hyperlink>
    </w:p>
    <w:p w14:paraId="576EBBDD" w14:textId="77777777" w:rsidR="00AC646C" w:rsidRDefault="00000000" w:rsidP="00A73FC9">
      <w:pPr>
        <w:pStyle w:val="ToC"/>
      </w:pPr>
      <w:hyperlink w:anchor="a30_30" w:history="1">
        <w:r w:rsidR="00770AB7" w:rsidRPr="00AC646C">
          <w:rPr>
            <w:rStyle w:val="Hyperlink"/>
          </w:rPr>
          <w:t>30:30</w:t>
        </w:r>
      </w:hyperlink>
      <w:r w:rsidR="00770AB7" w:rsidRPr="00AC646C">
        <w:tab/>
        <w:t>Contract Interpretation — Disputed Term</w:t>
      </w:r>
    </w:p>
    <w:p w14:paraId="4E29E2A1" w14:textId="77777777" w:rsidR="00AC646C" w:rsidRDefault="00000000"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000000"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000000"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000000"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000000" w:rsidP="00A73FC9">
      <w:pPr>
        <w:pStyle w:val="ToC"/>
      </w:pPr>
      <w:hyperlink w:anchor="a30_35" w:history="1">
        <w:r w:rsidR="00770AB7" w:rsidRPr="00AC646C">
          <w:rPr>
            <w:rStyle w:val="Hyperlink"/>
          </w:rPr>
          <w:t>30:35</w:t>
        </w:r>
      </w:hyperlink>
      <w:r w:rsidR="00770AB7" w:rsidRPr="00AC646C">
        <w:tab/>
        <w:t>Contract Interpretation — Construction Against Drafter</w:t>
      </w:r>
    </w:p>
    <w:p w14:paraId="3FAABF3E" w14:textId="77777777" w:rsidR="00AC646C" w:rsidRDefault="00000000"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000000" w:rsidP="00A73FC9">
      <w:pPr>
        <w:pStyle w:val="ToC"/>
      </w:pPr>
      <w:hyperlink w:anchor="IntroNoteE" w:history="1">
        <w:r w:rsidR="00AC646C" w:rsidRPr="006F590D">
          <w:rPr>
            <w:rStyle w:val="Hyperlink"/>
          </w:rPr>
          <w:t>Introductory Note</w:t>
        </w:r>
      </w:hyperlink>
    </w:p>
    <w:p w14:paraId="38AB42C7" w14:textId="77777777" w:rsidR="00AC646C" w:rsidRDefault="00000000"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000000"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000000"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000000"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000000"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000000"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000000"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000000"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000000"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000000"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6FB56603" w:rsidR="00AC646C" w:rsidRDefault="00000000" w:rsidP="00A73FC9">
      <w:pPr>
        <w:pStyle w:val="ToC"/>
      </w:pPr>
      <w:hyperlink w:anchor="a30_47" w:history="1">
        <w:r w:rsidR="00770AB7" w:rsidRPr="00AC646C">
          <w:rPr>
            <w:rStyle w:val="Hyperlink"/>
          </w:rPr>
          <w:t>30:47</w:t>
        </w:r>
      </w:hyperlink>
      <w:r w:rsidR="00AB477F">
        <w:tab/>
        <w:t xml:space="preserve">Definition — </w:t>
      </w:r>
      <w:r w:rsidR="00770AB7" w:rsidRPr="00AC646C">
        <w:t>Contract Price Agreed Upon</w:t>
      </w:r>
    </w:p>
    <w:p w14:paraId="0E17F2AA" w14:textId="28A878ED" w:rsidR="00AC646C" w:rsidRDefault="00000000" w:rsidP="00A73FC9">
      <w:pPr>
        <w:pStyle w:val="ToC"/>
      </w:pPr>
      <w:hyperlink w:anchor="a30_48" w:history="1">
        <w:r w:rsidR="00770AB7" w:rsidRPr="00AC646C">
          <w:rPr>
            <w:rStyle w:val="Hyperlink"/>
          </w:rPr>
          <w:t>30:48</w:t>
        </w:r>
      </w:hyperlink>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DED6FAD" w:rsidR="00AC646C" w:rsidRDefault="00000000" w:rsidP="00A73FC9">
      <w:pPr>
        <w:pStyle w:val="ToC"/>
      </w:pPr>
      <w:hyperlink w:anchor="a30_49" w:history="1">
        <w:r w:rsidR="00770AB7" w:rsidRPr="00AC646C">
          <w:rPr>
            <w:rStyle w:val="Hyperlink"/>
          </w:rPr>
          <w:t>30:49</w:t>
        </w:r>
      </w:hyperlink>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39BA702A" w:rsidR="00AC646C" w:rsidRDefault="00000000" w:rsidP="00A73FC9">
      <w:pPr>
        <w:pStyle w:val="ToC"/>
      </w:pPr>
      <w:hyperlink w:anchor="a30_50" w:history="1">
        <w:r w:rsidR="00770AB7" w:rsidRPr="00AC646C">
          <w:rPr>
            <w:rStyle w:val="Hyperlink"/>
          </w:rPr>
          <w:t>30:50</w:t>
        </w:r>
      </w:hyperlink>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4F392167" w:rsidR="00AC646C" w:rsidRDefault="00000000" w:rsidP="00A73FC9">
      <w:pPr>
        <w:pStyle w:val="ToC"/>
      </w:pPr>
      <w:hyperlink w:anchor="a30_51" w:history="1">
        <w:r w:rsidR="00770AB7" w:rsidRPr="00AC646C">
          <w:rPr>
            <w:rStyle w:val="Hyperlink"/>
          </w:rPr>
          <w:t>30:51</w:t>
        </w:r>
      </w:hyperlink>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2330F979" w:rsidR="00AC646C" w:rsidRDefault="00000000" w:rsidP="00A73FC9">
      <w:pPr>
        <w:pStyle w:val="ToC"/>
      </w:pPr>
      <w:hyperlink w:anchor="a30_52" w:history="1">
        <w:r w:rsidR="00770AB7" w:rsidRPr="00AC646C">
          <w:rPr>
            <w:rStyle w:val="Hyperlink"/>
          </w:rPr>
          <w:t>30:52</w:t>
        </w:r>
      </w:hyperlink>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000000"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Covenant Against Encumbrances</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77777777" w:rsidR="002B5FCF" w:rsidRDefault="00000000" w:rsidP="002B5FCF">
      <w:pPr>
        <w:pStyle w:val="ToC"/>
      </w:pPr>
      <w:hyperlink w:anchor="a30_54" w:history="1">
        <w:r w:rsidR="00770AB7" w:rsidRPr="00AC646C">
          <w:rPr>
            <w:rStyle w:val="Hyperlink"/>
          </w:rPr>
          <w:t>30:54</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7777777" w:rsidR="00AC646C" w:rsidRDefault="00000000" w:rsidP="002B5FCF">
      <w:pPr>
        <w:pStyle w:val="ToC"/>
      </w:pPr>
      <w:hyperlink w:anchor="a30_55" w:history="1">
        <w:r w:rsidR="00770AB7" w:rsidRPr="00AC646C">
          <w:rPr>
            <w:rStyle w:val="Hyperlink"/>
          </w:rPr>
          <w:t>30:55</w:t>
        </w:r>
      </w:hyperlink>
      <w:r w:rsidR="00AB477F">
        <w:tab/>
        <w:t xml:space="preserve">Definition — </w:t>
      </w:r>
      <w:r w:rsidR="00770AB7" w:rsidRPr="00AC646C">
        <w:t>Building Contractor’s Implied Warranties</w:t>
      </w:r>
    </w:p>
    <w:p w14:paraId="303BC84D" w14:textId="77777777" w:rsidR="00AC646C" w:rsidRDefault="00000000" w:rsidP="002B5FCF">
      <w:pPr>
        <w:pStyle w:val="ToC"/>
      </w:pPr>
      <w:hyperlink w:anchor="a30_56" w:history="1">
        <w:r w:rsidR="00770AB7" w:rsidRPr="00AC646C">
          <w:rPr>
            <w:rStyle w:val="Hyperlink"/>
          </w:rPr>
          <w:t>30:56</w:t>
        </w:r>
      </w:hyperlink>
      <w:r w:rsidR="00AB477F">
        <w:tab/>
        <w:t xml:space="preserve">Claim — Real Estate Commission — </w:t>
      </w:r>
      <w:r w:rsidR="00770AB7" w:rsidRPr="00AC646C">
        <w:t xml:space="preserve">Elements </w:t>
      </w:r>
      <w:r w:rsidR="00770AB7">
        <w:t xml:space="preserve">of </w:t>
      </w:r>
      <w:r w:rsidR="00770AB7" w:rsidRPr="00AC646C">
        <w:t>Liability</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0" w:name="IntroNote"/>
      <w:bookmarkEnd w:id="0"/>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1" w:name="a30_01"/>
      <w:bookmarkEnd w:id="1"/>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7777777"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79AC0EBB" w14:textId="24C58018" w:rsidR="004B3F74" w:rsidRDefault="008F3AE7" w:rsidP="008F3AE7">
      <w:pPr>
        <w:spacing w:after="240"/>
        <w:ind w:firstLine="720"/>
        <w:rPr>
          <w:rFonts w:eastAsia="Times New Roman"/>
          <w:sz w:val="24"/>
          <w:szCs w:val="24"/>
        </w:rPr>
      </w:pPr>
      <w:r w:rsidRPr="008F3AE7">
        <w:rPr>
          <w:rFonts w:eastAsia="Times New Roman"/>
          <w:sz w:val="24"/>
          <w:szCs w:val="24"/>
        </w:rPr>
        <w:t xml:space="preserve">2. </w:t>
      </w:r>
      <w:r w:rsidR="004B3F74">
        <w:rPr>
          <w:rFonts w:eastAsia="Times New Roman"/>
          <w:sz w:val="24"/>
          <w:szCs w:val="24"/>
        </w:rPr>
        <w:t xml:space="preserve">A party seeking to enforce a contract generally must show that the parties agreed to definite material terms. </w:t>
      </w:r>
      <w:r w:rsidR="003E47F0" w:rsidRPr="00E075AD">
        <w:rPr>
          <w:rFonts w:eastAsia="Times New Roman"/>
          <w:b/>
          <w:bCs/>
          <w:sz w:val="24"/>
          <w:szCs w:val="24"/>
        </w:rPr>
        <w:t>Doe v. Univ</w:t>
      </w:r>
      <w:r w:rsidR="003E47F0">
        <w:rPr>
          <w:rFonts w:eastAsia="Times New Roman"/>
          <w:b/>
          <w:bCs/>
          <w:sz w:val="24"/>
          <w:szCs w:val="24"/>
        </w:rPr>
        <w:t>.</w:t>
      </w:r>
      <w:r w:rsidR="003E47F0" w:rsidRPr="00E075AD">
        <w:rPr>
          <w:rFonts w:eastAsia="Times New Roman"/>
          <w:b/>
          <w:bCs/>
          <w:sz w:val="24"/>
          <w:szCs w:val="24"/>
        </w:rPr>
        <w:t xml:space="preserve"> of Denver</w:t>
      </w:r>
      <w:r w:rsidR="003E47F0">
        <w:rPr>
          <w:rFonts w:eastAsia="Times New Roman"/>
          <w:sz w:val="24"/>
          <w:szCs w:val="24"/>
        </w:rPr>
        <w:t>, 2022 COA 57, ¶ 45</w:t>
      </w:r>
      <w:r w:rsidR="00275682">
        <w:rPr>
          <w:rFonts w:eastAsia="Times New Roman"/>
          <w:sz w:val="24"/>
          <w:szCs w:val="24"/>
        </w:rPr>
        <w:t>, 516 P.3d 946, 955</w:t>
      </w:r>
      <w:r w:rsidR="003E47F0">
        <w:rPr>
          <w:rFonts w:eastAsia="Times New Roman"/>
          <w:sz w:val="24"/>
          <w:szCs w:val="24"/>
        </w:rPr>
        <w:t xml:space="preserve"> (“[T]he contractual term providing for a ‘thorough, impartial and fair’ investigation . . . is sufficiently definite and certain to be enforced under Colorado contract law.”); </w:t>
      </w:r>
      <w:r w:rsidR="004B3F74" w:rsidRPr="009D7322">
        <w:rPr>
          <w:rFonts w:eastAsia="Times New Roman"/>
          <w:b/>
          <w:bCs/>
          <w:sz w:val="24"/>
          <w:szCs w:val="24"/>
        </w:rPr>
        <w:t>Tuscany Custom Homes, LLC v. Westover</w:t>
      </w:r>
      <w:r w:rsidR="004B3F74">
        <w:rPr>
          <w:rFonts w:eastAsia="Times New Roman"/>
          <w:sz w:val="24"/>
          <w:szCs w:val="24"/>
        </w:rPr>
        <w:t>, 2020 COA 178, ¶ 56, 490 P.3d 1039, 1049 (</w:t>
      </w:r>
      <w:r w:rsidR="00011100">
        <w:rPr>
          <w:rFonts w:eastAsia="Times New Roman"/>
          <w:sz w:val="24"/>
          <w:szCs w:val="24"/>
        </w:rPr>
        <w:t>plaintiffs</w:t>
      </w:r>
      <w:r w:rsidR="004B3F74">
        <w:rPr>
          <w:rFonts w:eastAsia="Times New Roman"/>
          <w:sz w:val="24"/>
          <w:szCs w:val="24"/>
        </w:rPr>
        <w:t xml:space="preserve"> did not </w:t>
      </w:r>
      <w:r w:rsidR="00011100">
        <w:rPr>
          <w:rFonts w:eastAsia="Times New Roman"/>
          <w:sz w:val="24"/>
          <w:szCs w:val="24"/>
        </w:rPr>
        <w:t>“</w:t>
      </w:r>
      <w:r w:rsidR="004B3F74">
        <w:rPr>
          <w:rFonts w:eastAsia="Times New Roman"/>
          <w:sz w:val="24"/>
          <w:szCs w:val="24"/>
        </w:rPr>
        <w:t>carry their burden to present sufficient admissible evidence of an enforceable settlement agreement”).</w:t>
      </w:r>
      <w:r w:rsidR="004B3F74" w:rsidRPr="008F3AE7">
        <w:rPr>
          <w:rFonts w:eastAsia="Times New Roman"/>
          <w:sz w:val="24"/>
          <w:szCs w:val="24"/>
        </w:rPr>
        <w:t xml:space="preserve"> </w:t>
      </w:r>
    </w:p>
    <w:p w14:paraId="4B1C4FF4" w14:textId="4B9EED7A" w:rsidR="008F3AE7" w:rsidRPr="008F3AE7" w:rsidRDefault="004B3F74" w:rsidP="008F3AE7">
      <w:pPr>
        <w:spacing w:after="240"/>
        <w:ind w:firstLine="720"/>
        <w:rPr>
          <w:rFonts w:eastAsia="Times New Roman"/>
          <w:sz w:val="24"/>
          <w:szCs w:val="24"/>
        </w:rPr>
      </w:pPr>
      <w:r>
        <w:rPr>
          <w:rFonts w:eastAsia="Times New Roman"/>
          <w:sz w:val="24"/>
          <w:szCs w:val="24"/>
        </w:rPr>
        <w:t xml:space="preserve">3. </w:t>
      </w:r>
      <w:r w:rsidR="008F3AE7" w:rsidRPr="008F3AE7">
        <w:rPr>
          <w:rFonts w:eastAsia="Times New Roman"/>
          <w:sz w:val="24"/>
          <w:szCs w:val="24"/>
        </w:rPr>
        <w:t xml:space="preserve">“The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008F3AE7" w:rsidRPr="008F3AE7">
        <w:rPr>
          <w:rFonts w:eastAsia="Times New Roman"/>
          <w:b/>
          <w:sz w:val="24"/>
          <w:szCs w:val="24"/>
        </w:rPr>
        <w:t>Sunshine v. M. R. Mansfield Realty, Inc.</w:t>
      </w:r>
      <w:r w:rsidR="008F3AE7"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008F3AE7" w:rsidRPr="008F3AE7">
        <w:rPr>
          <w:rFonts w:eastAsia="Times New Roman"/>
          <w:b/>
          <w:sz w:val="24"/>
          <w:szCs w:val="24"/>
        </w:rPr>
        <w:t>Costello v. Cook</w:t>
      </w:r>
      <w:r w:rsidR="008F3AE7" w:rsidRPr="008F3AE7">
        <w:rPr>
          <w:rFonts w:eastAsia="Times New Roman"/>
          <w:sz w:val="24"/>
          <w:szCs w:val="24"/>
        </w:rPr>
        <w:t>,</w:t>
      </w:r>
      <w:r w:rsidR="008F3AE7" w:rsidRPr="008F3AE7">
        <w:rPr>
          <w:rFonts w:eastAsia="Times New Roman"/>
          <w:b/>
          <w:sz w:val="24"/>
          <w:szCs w:val="24"/>
        </w:rPr>
        <w:t xml:space="preserve"> </w:t>
      </w:r>
      <w:r w:rsidR="008F3AE7" w:rsidRPr="008F3AE7">
        <w:rPr>
          <w:rFonts w:eastAsia="Times New Roman"/>
          <w:sz w:val="24"/>
          <w:szCs w:val="24"/>
        </w:rPr>
        <w:t xml:space="preserve">852 P.2d 1330 (Colo. App. 1993). Also, a contract will not fail for indefiniteness if missing terms can be supplied by law, presumption, or custom. </w:t>
      </w:r>
      <w:r w:rsidR="008F3AE7" w:rsidRPr="008F3AE7">
        <w:rPr>
          <w:rFonts w:eastAsia="Times New Roman"/>
          <w:b/>
          <w:sz w:val="24"/>
          <w:szCs w:val="24"/>
        </w:rPr>
        <w:t>Winston Fin. Group, Inc. v. Fults Mgmt. Inc.</w:t>
      </w:r>
      <w:r w:rsidR="008F3AE7" w:rsidRPr="008F3AE7">
        <w:rPr>
          <w:rFonts w:eastAsia="Times New Roman"/>
          <w:sz w:val="24"/>
          <w:szCs w:val="24"/>
        </w:rPr>
        <w:t>, 872 P.2d 1356 (Colo. App. 1994). And, a contract is not fatally vague or indefinite simply because the parties disagree</w:t>
      </w:r>
      <w:r w:rsidR="00275682" w:rsidRPr="008F3AE7">
        <w:rPr>
          <w:rFonts w:eastAsia="Times New Roman"/>
          <w:sz w:val="24"/>
          <w:szCs w:val="24"/>
        </w:rPr>
        <w:t xml:space="preserve"> </w:t>
      </w:r>
      <w:r w:rsidR="008F3AE7" w:rsidRPr="008F3AE7">
        <w:rPr>
          <w:rFonts w:eastAsia="Times New Roman"/>
          <w:sz w:val="24"/>
          <w:szCs w:val="24"/>
        </w:rPr>
        <w:t xml:space="preserve">as to its meaning. </w:t>
      </w:r>
      <w:r w:rsidR="008F3AE7" w:rsidRPr="008F3AE7">
        <w:rPr>
          <w:rFonts w:eastAsia="Times New Roman"/>
          <w:b/>
          <w:sz w:val="24"/>
          <w:szCs w:val="24"/>
        </w:rPr>
        <w:t>Hauser v. Rose Health Care Sys.</w:t>
      </w:r>
      <w:r w:rsidR="008F3AE7" w:rsidRPr="008F3AE7">
        <w:rPr>
          <w:rFonts w:eastAsia="Times New Roman"/>
          <w:sz w:val="24"/>
          <w:szCs w:val="24"/>
        </w:rPr>
        <w:t xml:space="preserve">, 857 P.2d 524 (Colo. App. 1993); </w:t>
      </w:r>
      <w:r w:rsidR="008F3AE7" w:rsidRPr="008F3AE7">
        <w:rPr>
          <w:rFonts w:eastAsia="Times New Roman"/>
          <w:i/>
          <w:sz w:val="24"/>
          <w:szCs w:val="24"/>
        </w:rPr>
        <w:t>see</w:t>
      </w:r>
      <w:r w:rsidR="008F3AE7" w:rsidRPr="008F3AE7">
        <w:rPr>
          <w:rFonts w:eastAsia="Times New Roman"/>
          <w:sz w:val="24"/>
          <w:szCs w:val="24"/>
        </w:rPr>
        <w:t xml:space="preserve"> </w:t>
      </w:r>
      <w:r w:rsidR="008F3AE7" w:rsidRPr="008F3AE7">
        <w:rPr>
          <w:rFonts w:eastAsia="Times New Roman"/>
          <w:b/>
          <w:sz w:val="24"/>
          <w:szCs w:val="24"/>
        </w:rPr>
        <w:t>In re May</w:t>
      </w:r>
      <w:r w:rsidR="008F3AE7" w:rsidRPr="008F3AE7">
        <w:rPr>
          <w:rFonts w:eastAsia="Times New Roman"/>
          <w:sz w:val="24"/>
          <w:szCs w:val="24"/>
        </w:rPr>
        <w:t xml:space="preserve">, 756 P.2d 362, 369 (Colo. 1988) (“The fact that the parties have different opinions about the interpretation of the contract does not of itself create an ambiguity.”). However, where a mistake is made by one party on the basic nature of a material contract provision, a resulting unconscionable contract may be avoided. </w:t>
      </w:r>
      <w:r w:rsidR="008F3AE7" w:rsidRPr="008F3AE7">
        <w:rPr>
          <w:rFonts w:eastAsia="Times New Roman"/>
          <w:b/>
          <w:sz w:val="24"/>
          <w:szCs w:val="24"/>
        </w:rPr>
        <w:t>Sumerel v. Goodyear Tire &amp; Rubber Co.</w:t>
      </w:r>
      <w:r w:rsidR="008F3AE7"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008F3AE7" w:rsidRPr="008F3AE7">
        <w:rPr>
          <w:rFonts w:eastAsia="Times New Roman"/>
          <w:smallCaps/>
          <w:sz w:val="24"/>
          <w:szCs w:val="24"/>
        </w:rPr>
        <w:t>Restatement (Second) of Contracts</w:t>
      </w:r>
      <w:r w:rsidR="008F3AE7" w:rsidRPr="008F3AE7">
        <w:rPr>
          <w:rFonts w:eastAsia="Times New Roman"/>
          <w:sz w:val="24"/>
          <w:szCs w:val="24"/>
        </w:rPr>
        <w:t xml:space="preserve"> §§ 153-54 (1981)).</w:t>
      </w:r>
    </w:p>
    <w:p w14:paraId="18342E1E" w14:textId="723476D1" w:rsidR="008F3AE7" w:rsidRPr="008F3AE7" w:rsidRDefault="004B3F74" w:rsidP="008F3AE7">
      <w:pPr>
        <w:spacing w:after="240"/>
        <w:ind w:firstLine="720"/>
        <w:rPr>
          <w:rFonts w:eastAsia="Times New Roman"/>
          <w:b/>
          <w:sz w:val="24"/>
          <w:szCs w:val="24"/>
        </w:rPr>
      </w:pPr>
      <w:r>
        <w:rPr>
          <w:rFonts w:eastAsia="Times New Roman"/>
          <w:sz w:val="24"/>
          <w:szCs w:val="24"/>
        </w:rPr>
        <w:t>4</w:t>
      </w:r>
      <w:r w:rsidR="008F3AE7" w:rsidRPr="008F3AE7">
        <w:rPr>
          <w:rFonts w:eastAsia="Times New Roman"/>
          <w:sz w:val="24"/>
          <w:szCs w:val="24"/>
        </w:rPr>
        <w:t xml:space="preserve">. Generally, there can be no binding contract if further negotiations are required to come to an agreement as to important and essential terms of the contract. </w:t>
      </w:r>
      <w:r w:rsidR="008F3AE7" w:rsidRPr="008F3AE7">
        <w:rPr>
          <w:rFonts w:eastAsia="Times New Roman"/>
          <w:b/>
          <w:sz w:val="24"/>
          <w:szCs w:val="24"/>
        </w:rPr>
        <w:t>Sumerel</w:t>
      </w:r>
      <w:r w:rsidR="008F3AE7" w:rsidRPr="008F3AE7">
        <w:rPr>
          <w:rFonts w:eastAsia="Times New Roman"/>
          <w:sz w:val="24"/>
          <w:szCs w:val="24"/>
        </w:rPr>
        <w:t xml:space="preserve">, 232 P.3d at 136-37 (discussion to resolve dispute did not include offer sufficiently definite to be capable of acceptance); </w:t>
      </w:r>
      <w:r w:rsidR="008F3AE7" w:rsidRPr="008F3AE7">
        <w:rPr>
          <w:rFonts w:eastAsia="Times New Roman"/>
          <w:b/>
          <w:sz w:val="24"/>
          <w:szCs w:val="24"/>
        </w:rPr>
        <w:t>DiFrancesco v. Particle Interconnect Corp.</w:t>
      </w:r>
      <w:r w:rsidR="008F3AE7"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61BF3359" w:rsidR="008F3AE7" w:rsidRDefault="004B3F74" w:rsidP="008F3AE7">
      <w:pPr>
        <w:spacing w:after="240"/>
        <w:ind w:firstLine="720"/>
        <w:rPr>
          <w:rFonts w:eastAsia="Times New Roman"/>
          <w:sz w:val="24"/>
          <w:szCs w:val="24"/>
        </w:rPr>
      </w:pPr>
      <w:r>
        <w:rPr>
          <w:rFonts w:eastAsia="Times New Roman"/>
          <w:sz w:val="24"/>
          <w:szCs w:val="24"/>
        </w:rPr>
        <w:t>5</w:t>
      </w:r>
      <w:r w:rsidR="008F3AE7" w:rsidRPr="008F3AE7">
        <w:rPr>
          <w:rFonts w:eastAsia="Times New Roman"/>
          <w:sz w:val="24"/>
          <w:szCs w:val="24"/>
        </w:rPr>
        <w:t xml:space="preserve">. Where extrinsic evidence shows that parties did not intend the contract to be a binding agreement, and where they have previously agreed that their written promises would not bind them, such contract is a mere sham and lacks any legal effect. </w:t>
      </w:r>
      <w:r w:rsidR="008F3AE7" w:rsidRPr="008F3AE7">
        <w:rPr>
          <w:rFonts w:eastAsia="Times New Roman"/>
          <w:b/>
          <w:sz w:val="24"/>
          <w:szCs w:val="24"/>
        </w:rPr>
        <w:t>Landmark Towers Ass’n, Inc. v. UMB Bank, N.A</w:t>
      </w:r>
      <w:r w:rsidR="008F3AE7" w:rsidRPr="008F3AE7">
        <w:rPr>
          <w:rFonts w:eastAsia="Times New Roman"/>
          <w:sz w:val="24"/>
          <w:szCs w:val="24"/>
        </w:rPr>
        <w:t>, 2016 COA 61, ¶ 63</w:t>
      </w:r>
      <w:r w:rsidR="00676566">
        <w:rPr>
          <w:rFonts w:eastAsia="Times New Roman"/>
          <w:sz w:val="24"/>
          <w:szCs w:val="24"/>
        </w:rPr>
        <w:t>, 436 P.3d 1126</w:t>
      </w:r>
      <w:r w:rsidR="008F3AE7"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008F3AE7"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2" w:name="a30_02"/>
      <w:bookmarkEnd w:id="2"/>
      <w:r>
        <w:rPr>
          <w:rFonts w:eastAsia="Times New Roman"/>
          <w:b/>
          <w:sz w:val="24"/>
          <w:szCs w:val="24"/>
        </w:rPr>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4EF23CD3" w:rsidR="00EF5096" w:rsidRDefault="004B3F74" w:rsidP="00EF5096">
      <w:pPr>
        <w:spacing w:after="240"/>
        <w:ind w:firstLine="720"/>
        <w:rPr>
          <w:rFonts w:eastAsia="Times New Roman"/>
          <w:sz w:val="24"/>
          <w:szCs w:val="24"/>
        </w:rPr>
      </w:pPr>
      <w:r>
        <w:rPr>
          <w:rFonts w:eastAsia="Times New Roman"/>
          <w:sz w:val="24"/>
          <w:szCs w:val="24"/>
        </w:rPr>
        <w:t xml:space="preserve">1. </w:t>
      </w:r>
      <w:r w:rsidR="00EF5096" w:rsidRPr="00EF5096">
        <w:rPr>
          <w:rFonts w:eastAsia="Times New Roman"/>
          <w:sz w:val="24"/>
          <w:szCs w:val="24"/>
        </w:rPr>
        <w:t xml:space="preserve">This instruction is supported by </w:t>
      </w:r>
      <w:r w:rsidRPr="0074358E">
        <w:rPr>
          <w:rFonts w:eastAsia="Times New Roman"/>
          <w:b/>
          <w:sz w:val="24"/>
          <w:szCs w:val="24"/>
        </w:rPr>
        <w:t>Yaekle v. Andrews</w:t>
      </w:r>
      <w:r w:rsidRPr="00CB0006">
        <w:rPr>
          <w:rFonts w:eastAsia="Times New Roman"/>
          <w:bCs/>
          <w:sz w:val="24"/>
          <w:szCs w:val="24"/>
        </w:rPr>
        <w:t>, 195 P.3d 1101, 1107 (Colo</w:t>
      </w:r>
      <w:r>
        <w:rPr>
          <w:rFonts w:eastAsia="Times New Roman"/>
          <w:bCs/>
          <w:sz w:val="24"/>
          <w:szCs w:val="24"/>
        </w:rPr>
        <w:t>.</w:t>
      </w:r>
      <w:r w:rsidRPr="00CB0006">
        <w:rPr>
          <w:rFonts w:eastAsia="Times New Roman"/>
          <w:bCs/>
          <w:sz w:val="24"/>
          <w:szCs w:val="24"/>
        </w:rPr>
        <w:t xml:space="preserve"> 2008) (“common law contract principles . . . allow for the formation of contracts without signatures of the parties bound by them”);</w:t>
      </w:r>
      <w:r w:rsidRPr="00EF5096">
        <w:rPr>
          <w:rFonts w:eastAsia="Times New Roman"/>
          <w:sz w:val="24"/>
          <w:szCs w:val="24"/>
        </w:rPr>
        <w:t xml:space="preserve"> </w:t>
      </w:r>
      <w:r w:rsidR="00EF5096" w:rsidRPr="00EF5096">
        <w:rPr>
          <w:rFonts w:eastAsia="Times New Roman"/>
          <w:b/>
          <w:sz w:val="24"/>
          <w:szCs w:val="24"/>
        </w:rPr>
        <w:t>E-21 Engineering v. Steve Stock &amp; Associates, Inc.</w:t>
      </w:r>
      <w:r w:rsidR="00EF5096" w:rsidRPr="00EF5096">
        <w:rPr>
          <w:rFonts w:eastAsia="Times New Roman"/>
          <w:sz w:val="24"/>
          <w:szCs w:val="24"/>
        </w:rPr>
        <w:t xml:space="preserve">, 252 P.3d 36 (Colo. App. 2010) (contracts may be formed without signatures of the parties bound by them). </w:t>
      </w:r>
      <w:r w:rsidR="00EF5096" w:rsidRPr="00EF5096">
        <w:rPr>
          <w:rFonts w:eastAsia="Times New Roman"/>
          <w:i/>
          <w:sz w:val="24"/>
          <w:szCs w:val="24"/>
        </w:rPr>
        <w:t>See also</w:t>
      </w:r>
      <w:r w:rsidR="00EF5096" w:rsidRPr="00EF5096">
        <w:rPr>
          <w:rFonts w:eastAsia="Times New Roman"/>
          <w:sz w:val="24"/>
          <w:szCs w:val="24"/>
        </w:rPr>
        <w:t xml:space="preserve"> </w:t>
      </w:r>
      <w:r w:rsidR="00EF5096" w:rsidRPr="00EF5096">
        <w:rPr>
          <w:rFonts w:eastAsia="Times New Roman"/>
          <w:b/>
          <w:sz w:val="24"/>
          <w:szCs w:val="24"/>
        </w:rPr>
        <w:t>Lee v. Great Empire Broad., Inc.</w:t>
      </w:r>
      <w:r w:rsidR="00EF5096" w:rsidRPr="00EF5096">
        <w:rPr>
          <w:rFonts w:eastAsia="Times New Roman"/>
          <w:sz w:val="24"/>
          <w:szCs w:val="24"/>
        </w:rPr>
        <w:t xml:space="preserve">, 794 P.2d 1032 (Colo. App. 1989) (employment agreement); </w:t>
      </w:r>
      <w:r w:rsidR="00EF5096" w:rsidRPr="00EF5096">
        <w:rPr>
          <w:rFonts w:eastAsia="Times New Roman"/>
          <w:smallCaps/>
          <w:sz w:val="24"/>
          <w:szCs w:val="24"/>
        </w:rPr>
        <w:t>Restatement (Second) of Contracts</w:t>
      </w:r>
      <w:r w:rsidR="00EF5096" w:rsidRPr="00EF5096">
        <w:rPr>
          <w:rFonts w:eastAsia="Times New Roman"/>
          <w:sz w:val="24"/>
          <w:szCs w:val="24"/>
        </w:rPr>
        <w:t xml:space="preserve"> § 4 (1981) (“A promise may be stated in words either oral or written, or may be inferred wholly or partly from conduct.”).</w:t>
      </w:r>
    </w:p>
    <w:p w14:paraId="2AFBE69F" w14:textId="77777777" w:rsidR="004B3F74" w:rsidRDefault="004B3F74" w:rsidP="004B3F74">
      <w:pPr>
        <w:spacing w:after="240"/>
        <w:ind w:firstLine="720"/>
        <w:rPr>
          <w:rFonts w:eastAsia="Times New Roman"/>
          <w:sz w:val="24"/>
          <w:szCs w:val="24"/>
        </w:rPr>
      </w:pPr>
      <w:r>
        <w:rPr>
          <w:rFonts w:eastAsia="Times New Roman"/>
          <w:sz w:val="24"/>
          <w:szCs w:val="24"/>
        </w:rPr>
        <w:t xml:space="preserve">2. Agreements between spouses falling within the Colorado Marital Agreements Act (CMAA) and Uniform Premarital and Marital Agreements Act must be in writing. </w:t>
      </w:r>
      <w:r w:rsidRPr="00CB0006">
        <w:rPr>
          <w:rFonts w:eastAsia="Times New Roman"/>
          <w:b/>
          <w:bCs/>
          <w:sz w:val="24"/>
          <w:szCs w:val="24"/>
        </w:rPr>
        <w:t>In re Marriage of Zander</w:t>
      </w:r>
      <w:r>
        <w:rPr>
          <w:rFonts w:eastAsia="Times New Roman"/>
          <w:sz w:val="24"/>
          <w:szCs w:val="24"/>
        </w:rPr>
        <w:t>, 2021 CO 12, ¶ 20, 480 P.3d 676, 681 (because the agreement “was neither in writing nor signed by both parties, it did not fulfill the requisite legal formalities under the CMAA” and was not enforceable).</w:t>
      </w:r>
    </w:p>
    <w:p w14:paraId="46A7B5F2" w14:textId="1F9FF855" w:rsidR="004B3F74" w:rsidRDefault="004B3F74" w:rsidP="004B3F74">
      <w:pPr>
        <w:spacing w:after="240"/>
        <w:ind w:firstLine="720"/>
        <w:rPr>
          <w:rFonts w:eastAsia="Times New Roman"/>
          <w:sz w:val="24"/>
          <w:szCs w:val="24"/>
        </w:rPr>
      </w:pPr>
      <w:r>
        <w:rPr>
          <w:rFonts w:eastAsia="Times New Roman"/>
          <w:sz w:val="24"/>
          <w:szCs w:val="24"/>
        </w:rPr>
        <w:t xml:space="preserve">3. The HealthCare Availability Act requires arbitration agreements to be in writing and signed by the parties. </w:t>
      </w:r>
      <w:r w:rsidRPr="00CB0006">
        <w:rPr>
          <w:rFonts w:eastAsia="Times New Roman"/>
          <w:b/>
          <w:bCs/>
          <w:sz w:val="24"/>
          <w:szCs w:val="24"/>
        </w:rPr>
        <w:t>Johnson v. Rowan, Inc</w:t>
      </w:r>
      <w:r w:rsidRPr="003B308A">
        <w:rPr>
          <w:rFonts w:eastAsia="Times New Roman"/>
          <w:b/>
          <w:sz w:val="24"/>
          <w:szCs w:val="24"/>
        </w:rPr>
        <w:t>.</w:t>
      </w:r>
      <w:r>
        <w:rPr>
          <w:rFonts w:eastAsia="Times New Roman"/>
          <w:sz w:val="24"/>
          <w:szCs w:val="24"/>
        </w:rPr>
        <w:t xml:space="preserve">, 2021 COA 7, ¶ 51, 488 P.3d 1174, 1183 (“The formation of a contract </w:t>
      </w:r>
      <w:r w:rsidR="00011100">
        <w:rPr>
          <w:rFonts w:eastAsia="Times New Roman"/>
          <w:sz w:val="24"/>
          <w:szCs w:val="24"/>
        </w:rPr>
        <w:t xml:space="preserve">. . . </w:t>
      </w:r>
      <w:r>
        <w:rPr>
          <w:rFonts w:eastAsia="Times New Roman"/>
          <w:sz w:val="24"/>
          <w:szCs w:val="24"/>
        </w:rPr>
        <w:t>under common law principles is not determinative, however, because the Act imposes more stringent requirements for contract formation than does the common law of contracts.”).</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3" w:name="a30_03"/>
      <w:bookmarkEnd w:id="3"/>
      <w:r w:rsidRPr="005D1F16">
        <w:rPr>
          <w:rFonts w:eastAsia="Times New Roman"/>
          <w:b/>
          <w:sz w:val="24"/>
          <w:szCs w:val="24"/>
        </w:rPr>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in conjunction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Griffin v. State Farm Fire &amp; Cas. Co.</w:t>
      </w:r>
      <w:r w:rsidR="005D1F16" w:rsidRPr="005D1F16">
        <w:rPr>
          <w:rFonts w:eastAsia="Times New Roman"/>
          <w:sz w:val="24"/>
          <w:szCs w:val="24"/>
        </w:rPr>
        <w:t>, 104 P.3d 283 (Colo. App. 2004).</w:t>
      </w:r>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4" w:name="a30_04"/>
      <w:bookmarkEnd w:id="4"/>
      <w:r w:rsidRPr="003E773D">
        <w:rPr>
          <w:rFonts w:eastAsia="Times New Roman"/>
          <w:b/>
          <w:sz w:val="24"/>
          <w:szCs w:val="24"/>
        </w:rPr>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w:t>
      </w:r>
      <w:r w:rsidRPr="00D30894">
        <w:rPr>
          <w:rFonts w:eastAsia="Times New Roman"/>
          <w:sz w:val="24"/>
          <w:szCs w:val="24"/>
        </w:rPr>
        <w:t>th</w:t>
      </w:r>
      <w:r w:rsidRPr="003E773D">
        <w:rPr>
          <w:rFonts w:eastAsia="Times New Roman"/>
          <w:sz w:val="24"/>
          <w:szCs w:val="24"/>
        </w:rPr>
        <w:t xml:space="preserve"> ed. 1999).</w:t>
      </w:r>
    </w:p>
    <w:p w14:paraId="666D4204" w14:textId="1F23638E"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 xml:space="preserve">Minneapolis &amp; St. Louis Ry. </w:t>
      </w:r>
      <w:r w:rsidR="00275682" w:rsidRPr="003E773D">
        <w:rPr>
          <w:rFonts w:eastAsia="Times New Roman"/>
          <w:b/>
          <w:iCs/>
          <w:sz w:val="24"/>
          <w:szCs w:val="24"/>
        </w:rPr>
        <w:t>V</w:t>
      </w:r>
      <w:r w:rsidRPr="003E773D">
        <w:rPr>
          <w:rFonts w:eastAsia="Times New Roman"/>
          <w:b/>
          <w:iCs/>
          <w:sz w:val="24"/>
          <w:szCs w:val="24"/>
        </w:rPr>
        <w:t>.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w:t>
      </w:r>
      <w:r w:rsidRPr="00D30894">
        <w:rPr>
          <w:rFonts w:eastAsia="Times New Roman"/>
          <w:sz w:val="24"/>
          <w:szCs w:val="24"/>
        </w:rPr>
        <w:t>th</w:t>
      </w:r>
      <w:r w:rsidRPr="003E773D">
        <w:rPr>
          <w:rFonts w:eastAsia="Times New Roman"/>
          <w:sz w:val="24"/>
          <w:szCs w:val="24"/>
        </w:rPr>
        <w:t xml:space="preserve">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5" w:name="a30_05"/>
      <w:bookmarkEnd w:id="5"/>
      <w:r w:rsidRPr="00C018F8">
        <w:rPr>
          <w:rFonts w:eastAsia="Times New Roman"/>
          <w:b/>
          <w:sz w:val="24"/>
          <w:szCs w:val="24"/>
        </w:rPr>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6" w:name="a30_06"/>
      <w:bookmarkEnd w:id="6"/>
      <w:r w:rsidRPr="00C018F8">
        <w:rPr>
          <w:rFonts w:eastAsia="Times New Roman"/>
          <w:b/>
          <w:sz w:val="24"/>
          <w:szCs w:val="24"/>
        </w:rPr>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7" w:name="a30_07"/>
      <w:bookmarkEnd w:id="7"/>
      <w:r w:rsidRPr="00317364">
        <w:rPr>
          <w:rFonts w:eastAsia="Times New Roman"/>
          <w:b/>
          <w:sz w:val="24"/>
          <w:szCs w:val="24"/>
        </w:rPr>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578A57AA"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41F01A2C"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w:t>
      </w:r>
      <w:r w:rsidR="003333C4">
        <w:rPr>
          <w:rFonts w:eastAsia="Times New Roman"/>
          <w:bCs/>
          <w:sz w:val="24"/>
          <w:szCs w:val="24"/>
        </w:rPr>
        <w:t xml:space="preserve">use it comes from a third party.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Cronk v. Intermountain Rural Elec.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765 P.2d 619 (Colo. App. 1988); </w:t>
      </w:r>
      <w:r w:rsidRPr="00317364">
        <w:rPr>
          <w:rFonts w:eastAsia="Times New Roman"/>
          <w:b/>
          <w:bCs/>
          <w:sz w:val="24"/>
          <w:szCs w:val="24"/>
        </w:rPr>
        <w:t>Galie v. RAM Assocs. Mgmt. 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E1233F"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 xml:space="preserve">Dep’t of Transp. </w:t>
      </w:r>
      <w:r w:rsidR="00275682" w:rsidRPr="00317364">
        <w:rPr>
          <w:rFonts w:eastAsia="Times New Roman"/>
          <w:b/>
          <w:bCs/>
          <w:sz w:val="24"/>
          <w:szCs w:val="24"/>
        </w:rPr>
        <w:t>V</w:t>
      </w:r>
      <w:r w:rsidRPr="00317364">
        <w:rPr>
          <w:rFonts w:eastAsia="Times New Roman"/>
          <w:b/>
          <w:bCs/>
          <w:sz w:val="24"/>
          <w:szCs w:val="24"/>
        </w:rPr>
        <w:t>.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 xml:space="preserve">Bd. </w:t>
      </w:r>
      <w:r w:rsidR="00275682" w:rsidRPr="00317364">
        <w:rPr>
          <w:rFonts w:eastAsia="Times New Roman"/>
          <w:b/>
          <w:bCs/>
          <w:sz w:val="24"/>
          <w:szCs w:val="24"/>
        </w:rPr>
        <w:t>O</w:t>
      </w:r>
      <w:r w:rsidRPr="00317364">
        <w:rPr>
          <w:rFonts w:eastAsia="Times New Roman"/>
          <w:b/>
          <w:bCs/>
          <w:sz w:val="24"/>
          <w:szCs w:val="24"/>
        </w:rPr>
        <w:t>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8" w:name="a30_08"/>
      <w:bookmarkEnd w:id="8"/>
      <w:r w:rsidRPr="00317364">
        <w:rPr>
          <w:rFonts w:eastAsia="Times New Roman"/>
          <w:b/>
          <w:sz w:val="24"/>
          <w:szCs w:val="24"/>
        </w:rPr>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arties to an employment or noncompete agreement cannot contractually obligate a court to blue pencil noncompete provisions that it determines are unreasonable.”)</w:t>
      </w:r>
      <w:r>
        <w:rPr>
          <w:rFonts w:eastAsia="Times New Roman"/>
          <w:bCs/>
          <w:sz w:val="24"/>
          <w:szCs w:val="24"/>
        </w:rPr>
        <w:t>.</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9" w:name="a30_09"/>
      <w:bookmarkEnd w:id="9"/>
      <w:r w:rsidRPr="00427199">
        <w:rPr>
          <w:rFonts w:eastAsia="Times New Roman"/>
          <w:b/>
          <w:sz w:val="24"/>
          <w:szCs w:val="24"/>
        </w:rPr>
        <w:t xml:space="preserve">30:9 </w:t>
      </w:r>
      <w:r w:rsidRPr="00427199">
        <w:rPr>
          <w:rFonts w:eastAsia="Times New Roman"/>
          <w:b/>
          <w:sz w:val="24"/>
          <w:szCs w:val="24"/>
        </w:rPr>
        <w:tab/>
        <w:t>CONTRACT FORMATION ― THIRD-PARTY BENEFICIARY</w:t>
      </w:r>
    </w:p>
    <w:p w14:paraId="3F9DD42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(he) (she) (it)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427199">
        <w:rPr>
          <w:rFonts w:eastAsia="Times New Roman"/>
          <w:b/>
          <w:bCs/>
          <w:sz w:val="24"/>
          <w:szCs w:val="24"/>
        </w:rPr>
        <w:t>Jardel Enters., Inc. v. Triconsultants, Inc.</w:t>
      </w:r>
      <w:r w:rsidRPr="00427199">
        <w:rPr>
          <w:rFonts w:eastAsia="Times New Roman"/>
          <w:bCs/>
          <w:sz w:val="24"/>
          <w:szCs w:val="24"/>
        </w:rPr>
        <w:t xml:space="preserve">, 770 P.2d 1301 (Colo. App. 1988); </w:t>
      </w:r>
      <w:r w:rsidRPr="00427199">
        <w:rPr>
          <w:rFonts w:eastAsia="Times New Roman"/>
          <w:b/>
          <w:bCs/>
          <w:sz w:val="24"/>
          <w:szCs w:val="24"/>
        </w:rPr>
        <w:t>Galie v. RAM Assocs. 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xml:space="preserve">, is not as restricted as Semler contends; it ‘precludes attorney liability to non-clients absent fraud, malicious conduct, or negligent misrepresentation.’” (quoting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0" w:name="a30_10"/>
      <w:bookmarkEnd w:id="10"/>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on (his) (her) (its)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[his] [her] [its] part of the contract) (or) (Plaintiff is excused from performance. Plaintiff is excused from performance of [his] [her] [its]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54B6D028"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2025A943"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City of 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w:t>
      </w:r>
      <w:r w:rsidR="006459DB">
        <w:rPr>
          <w:rFonts w:eastAsia="Times New Roman"/>
          <w:bCs/>
          <w:sz w:val="24"/>
          <w:szCs w:val="24"/>
        </w:rPr>
        <w:t>, 474 P.3d 1231, 1238</w:t>
      </w:r>
      <w:r w:rsidR="00753103">
        <w:rPr>
          <w:rFonts w:eastAsia="Times New Roman"/>
          <w:bCs/>
          <w:sz w:val="24"/>
          <w:szCs w:val="24"/>
        </w:rPr>
        <w:t xml:space="preserve">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642ED21"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sidRPr="00FB3EF4">
        <w:rPr>
          <w:rFonts w:eastAsia="Times New Roman"/>
          <w:b/>
          <w:bCs/>
          <w:sz w:val="24"/>
          <w:szCs w:val="24"/>
        </w:rPr>
        <w:t>.</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w:t>
      </w:r>
      <w:r w:rsidR="00275682">
        <w:rPr>
          <w:rFonts w:eastAsia="Times New Roman"/>
          <w:bCs/>
          <w:sz w:val="24"/>
          <w:szCs w:val="24"/>
        </w:rPr>
        <w:t>, 488 P.3d 324, 334-35</w:t>
      </w:r>
      <w:r>
        <w:rPr>
          <w:rFonts w:eastAsia="Times New Roman"/>
          <w:bCs/>
          <w:sz w:val="24"/>
          <w:szCs w:val="24"/>
        </w:rPr>
        <w:t xml:space="preserve">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1" w:name="a30_11"/>
      <w:bookmarkEnd w:id="11"/>
      <w:r w:rsidRPr="00DD5492">
        <w:rPr>
          <w:rFonts w:eastAsia="Times New Roman"/>
          <w:b/>
          <w:sz w:val="24"/>
          <w:szCs w:val="24"/>
        </w:rPr>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breach is not material if the other party received substantially what (he) (she) (it)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2629788E" w:rsidR="00DD5492" w:rsidRPr="008E39FC"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“[d]eviation from contract duties in trifling particulars . . . does not constitute a material breach”); an</w:t>
      </w:r>
      <w:r w:rsidRPr="008E39FC">
        <w:rPr>
          <w:rFonts w:eastAsia="Times New Roman"/>
          <w:bCs/>
          <w:sz w:val="24"/>
          <w:szCs w:val="24"/>
        </w:rPr>
        <w:t xml:space="preserve">d </w:t>
      </w:r>
      <w:r w:rsidR="004B3F74" w:rsidRPr="008E39FC">
        <w:rPr>
          <w:b/>
          <w:bCs/>
          <w:sz w:val="24"/>
          <w:szCs w:val="24"/>
        </w:rPr>
        <w:t>Coors v. Security Life of Denver Insurance Co</w:t>
      </w:r>
      <w:r w:rsidR="004B3F74" w:rsidRPr="005A7E19">
        <w:rPr>
          <w:b/>
          <w:i/>
          <w:iCs/>
          <w:sz w:val="24"/>
          <w:szCs w:val="24"/>
        </w:rPr>
        <w:t>.</w:t>
      </w:r>
      <w:r w:rsidR="004B3F74" w:rsidRPr="008E39FC">
        <w:rPr>
          <w:sz w:val="24"/>
          <w:szCs w:val="24"/>
        </w:rPr>
        <w:t>, 112 P.3d 59, 64</w:t>
      </w:r>
      <w:r w:rsidR="004B3F74" w:rsidRPr="008E39FC">
        <w:rPr>
          <w:i/>
          <w:iCs/>
          <w:sz w:val="24"/>
          <w:szCs w:val="24"/>
        </w:rPr>
        <w:t xml:space="preserve"> </w:t>
      </w:r>
      <w:r w:rsidR="004B3F74" w:rsidRPr="008E39FC">
        <w:rPr>
          <w:sz w:val="24"/>
          <w:szCs w:val="24"/>
        </w:rPr>
        <w:t>(Colo. 2005) (“Under contract</w:t>
      </w:r>
      <w:r w:rsidR="004B3F74" w:rsidRPr="008E39FC">
        <w:rPr>
          <w:b/>
          <w:bCs/>
          <w:sz w:val="24"/>
          <w:szCs w:val="24"/>
        </w:rPr>
        <w:t xml:space="preserve"> </w:t>
      </w:r>
      <w:r w:rsidR="004B3F74" w:rsidRPr="008E39FC">
        <w:rPr>
          <w:sz w:val="24"/>
          <w:szCs w:val="24"/>
        </w:rPr>
        <w:t>law, a party to a contract</w:t>
      </w:r>
      <w:r w:rsidR="004B3F74" w:rsidRPr="008E39FC">
        <w:rPr>
          <w:b/>
          <w:bCs/>
          <w:sz w:val="24"/>
          <w:szCs w:val="24"/>
        </w:rPr>
        <w:t xml:space="preserve"> </w:t>
      </w:r>
      <w:r w:rsidR="004B3F74" w:rsidRPr="008E39FC">
        <w:rPr>
          <w:sz w:val="24"/>
          <w:szCs w:val="24"/>
        </w:rPr>
        <w:t>cannot claim its benefit where he is the first to violate its</w:t>
      </w:r>
      <w:r w:rsidR="004B3F74" w:rsidRPr="008E39FC">
        <w:rPr>
          <w:b/>
          <w:bCs/>
          <w:sz w:val="24"/>
          <w:szCs w:val="24"/>
        </w:rPr>
        <w:t xml:space="preserve"> </w:t>
      </w:r>
      <w:r w:rsidR="004B3F74" w:rsidRPr="008E39FC">
        <w:rPr>
          <w:sz w:val="24"/>
          <w:szCs w:val="24"/>
        </w:rPr>
        <w:t xml:space="preserve">terms.”). </w:t>
      </w:r>
    </w:p>
    <w:p w14:paraId="25BCA9C5" w14:textId="77777777" w:rsidR="003E47F0" w:rsidRDefault="004B3F74" w:rsidP="005A7E19">
      <w:pPr>
        <w:spacing w:after="240"/>
        <w:ind w:firstLine="720"/>
        <w:rPr>
          <w:rFonts w:eastAsia="Times New Roman"/>
          <w:bCs/>
          <w:sz w:val="24"/>
          <w:szCs w:val="24"/>
        </w:rPr>
      </w:pPr>
      <w:r>
        <w:rPr>
          <w:rFonts w:eastAsia="Times New Roman"/>
          <w:bCs/>
          <w:sz w:val="24"/>
          <w:szCs w:val="24"/>
        </w:rPr>
        <w:t xml:space="preserve">3. The scope of an insured’s promise to cooperate depends on the specific policy provision at issue, and whether there has been a breach of contract is a question of fact to be decided by the jury. </w:t>
      </w:r>
      <w:r w:rsidRPr="004A6200">
        <w:rPr>
          <w:rFonts w:eastAsia="Times New Roman"/>
          <w:b/>
          <w:sz w:val="24"/>
          <w:szCs w:val="24"/>
        </w:rPr>
        <w:t>State Farm</w:t>
      </w:r>
      <w:r>
        <w:rPr>
          <w:rFonts w:eastAsia="Times New Roman"/>
          <w:b/>
          <w:sz w:val="24"/>
          <w:szCs w:val="24"/>
        </w:rPr>
        <w:t xml:space="preserve"> Mut. Auto. Ins. Co.</w:t>
      </w:r>
      <w:r w:rsidRPr="004A6200">
        <w:rPr>
          <w:rFonts w:eastAsia="Times New Roman"/>
          <w:b/>
          <w:sz w:val="24"/>
          <w:szCs w:val="24"/>
        </w:rPr>
        <w:t xml:space="preserve"> v. Goddard</w:t>
      </w:r>
      <w:r w:rsidRPr="00C0406C">
        <w:rPr>
          <w:rFonts w:eastAsia="Times New Roman"/>
          <w:sz w:val="24"/>
          <w:szCs w:val="24"/>
        </w:rPr>
        <w:t>,</w:t>
      </w:r>
      <w:r>
        <w:rPr>
          <w:rFonts w:eastAsia="Times New Roman"/>
          <w:bCs/>
          <w:sz w:val="24"/>
          <w:szCs w:val="24"/>
        </w:rPr>
        <w:t xml:space="preserve"> 2021 COA 15, ¶ 45, 484 P.3d 765 (jury found that defendant breached promises to State Farm by submitting the issue of damages to arbitration and by failing to comply with State Farm’s requests for information).</w:t>
      </w:r>
    </w:p>
    <w:p w14:paraId="487678D5" w14:textId="2FE99AB1" w:rsidR="00FB3EF4" w:rsidRDefault="003E47F0" w:rsidP="005A7E19">
      <w:pPr>
        <w:spacing w:after="240"/>
        <w:ind w:firstLine="720"/>
        <w:rPr>
          <w:rFonts w:eastAsia="Times New Roman"/>
          <w:bCs/>
          <w:sz w:val="24"/>
          <w:szCs w:val="24"/>
        </w:rPr>
      </w:pPr>
      <w:r>
        <w:rPr>
          <w:rFonts w:eastAsia="Times New Roman"/>
          <w:bCs/>
          <w:sz w:val="24"/>
          <w:szCs w:val="24"/>
        </w:rPr>
        <w:t>4.</w:t>
      </w:r>
      <w:r w:rsidRPr="003E47F0">
        <w:rPr>
          <w:rFonts w:eastAsia="Times New Roman"/>
          <w:bCs/>
          <w:sz w:val="24"/>
          <w:szCs w:val="24"/>
        </w:rPr>
        <w:t xml:space="preserve"> </w:t>
      </w:r>
      <w:r>
        <w:rPr>
          <w:rFonts w:eastAsia="Times New Roman"/>
          <w:bCs/>
          <w:sz w:val="24"/>
          <w:szCs w:val="24"/>
        </w:rPr>
        <w:t>A material breach excuses the injured party from further performance and allow</w:t>
      </w:r>
      <w:r w:rsidR="00736474">
        <w:rPr>
          <w:rFonts w:eastAsia="Times New Roman"/>
          <w:bCs/>
          <w:sz w:val="24"/>
          <w:szCs w:val="24"/>
        </w:rPr>
        <w:t>s</w:t>
      </w:r>
      <w:r>
        <w:rPr>
          <w:rFonts w:eastAsia="Times New Roman"/>
          <w:bCs/>
          <w:sz w:val="24"/>
          <w:szCs w:val="24"/>
        </w:rPr>
        <w:t xml:space="preserve"> the recovery of damages. </w:t>
      </w:r>
      <w:r w:rsidRPr="00357ACC">
        <w:rPr>
          <w:rFonts w:eastAsia="Times New Roman"/>
          <w:b/>
          <w:sz w:val="24"/>
          <w:szCs w:val="24"/>
        </w:rPr>
        <w:t xml:space="preserve">Gravina Siding </w:t>
      </w:r>
      <w:r w:rsidR="00736474">
        <w:rPr>
          <w:rFonts w:eastAsia="Times New Roman"/>
          <w:b/>
          <w:sz w:val="24"/>
          <w:szCs w:val="24"/>
        </w:rPr>
        <w:t>&amp;</w:t>
      </w:r>
      <w:r w:rsidRPr="00357ACC">
        <w:rPr>
          <w:rFonts w:eastAsia="Times New Roman"/>
          <w:b/>
          <w:sz w:val="24"/>
          <w:szCs w:val="24"/>
        </w:rPr>
        <w:t xml:space="preserve"> Windows Co. v. Gravina</w:t>
      </w:r>
      <w:r>
        <w:rPr>
          <w:rFonts w:eastAsia="Times New Roman"/>
          <w:bCs/>
          <w:sz w:val="24"/>
          <w:szCs w:val="24"/>
        </w:rPr>
        <w:t>, 2022 COA 50, ¶ 28</w:t>
      </w:r>
      <w:r w:rsidR="00275682">
        <w:rPr>
          <w:rFonts w:eastAsia="Times New Roman"/>
          <w:bCs/>
          <w:sz w:val="24"/>
          <w:szCs w:val="24"/>
        </w:rPr>
        <w:t>, 516 P.3d 37, 45</w:t>
      </w:r>
      <w:r>
        <w:rPr>
          <w:rFonts w:eastAsia="Times New Roman"/>
          <w:bCs/>
          <w:sz w:val="24"/>
          <w:szCs w:val="24"/>
        </w:rPr>
        <w:t xml:space="preserve"> (“by failing to complete the work in a timely and satisfactory manner, Gravina breached material terms of the contract and . . . [the plaintiffs] were entitled to terminate the agreement and recover actual damages”); </w:t>
      </w:r>
      <w:r w:rsidRPr="00357ACC">
        <w:rPr>
          <w:rFonts w:eastAsia="Times New Roman"/>
          <w:b/>
          <w:sz w:val="24"/>
          <w:szCs w:val="24"/>
        </w:rPr>
        <w:t>Morris v. Belfor USA Grp., Inc</w:t>
      </w:r>
      <w:r w:rsidRPr="00FB3EF4">
        <w:rPr>
          <w:rFonts w:eastAsia="Times New Roman"/>
          <w:b/>
          <w:bCs/>
          <w:sz w:val="24"/>
          <w:szCs w:val="24"/>
        </w:rPr>
        <w:t>.</w:t>
      </w:r>
      <w:r>
        <w:rPr>
          <w:rFonts w:eastAsia="Times New Roman"/>
          <w:bCs/>
          <w:sz w:val="24"/>
          <w:szCs w:val="24"/>
        </w:rPr>
        <w:t>, 201 P.3d 1253 (Colo. App. 2008).</w:t>
      </w:r>
    </w:p>
    <w:p w14:paraId="2F4FA74C" w14:textId="58DD9A54" w:rsidR="00527AD3" w:rsidRDefault="00527AD3" w:rsidP="005A7E19">
      <w:pPr>
        <w:spacing w:after="240"/>
        <w:ind w:firstLine="720"/>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2" w:name="a30_12"/>
      <w:bookmarkEnd w:id="12"/>
      <w:r>
        <w:rPr>
          <w:rFonts w:eastAsia="Times New Roman"/>
          <w:b/>
          <w:sz w:val="24"/>
          <w:szCs w:val="24"/>
        </w:rPr>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(substantially performs) (or) (substantially complies with) the terms of a contract when the party performs the essential obligations under the contract, and the other party receives substantially what (he) (she) (it)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527AD3">
        <w:rPr>
          <w:rFonts w:eastAsia="Times New Roman"/>
          <w:b/>
          <w:bCs/>
          <w:sz w:val="24"/>
          <w:szCs w:val="24"/>
          <w:lang w:val="es-US"/>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Blood v. 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641EEF55"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Grp</w:t>
      </w:r>
      <w:r w:rsidR="003E47F0">
        <w:rPr>
          <w:rFonts w:eastAsia="Times New Roman"/>
          <w:b/>
          <w:bCs/>
          <w:sz w:val="24"/>
          <w:szCs w:val="24"/>
        </w:rPr>
        <w:t>.</w:t>
      </w:r>
      <w:r w:rsidRPr="00527AD3">
        <w:rPr>
          <w:rFonts w:eastAsia="Times New Roman"/>
          <w:b/>
          <w:bCs/>
          <w:sz w:val="24"/>
          <w:szCs w:val="24"/>
        </w:rPr>
        <w:t>,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16C3F1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w:t>
      </w:r>
      <w:r w:rsidR="003E47F0">
        <w:rPr>
          <w:rFonts w:eastAsia="Times New Roman"/>
          <w:bCs/>
          <w:sz w:val="24"/>
          <w:szCs w:val="24"/>
        </w:rPr>
        <w:t>by partial performance</w:t>
      </w:r>
      <w:r w:rsidR="003E47F0" w:rsidRPr="00527AD3">
        <w:rPr>
          <w:rFonts w:eastAsia="Times New Roman"/>
          <w:bCs/>
          <w:sz w:val="24"/>
          <w:szCs w:val="24"/>
        </w:rPr>
        <w:t xml:space="preserve"> </w:t>
      </w:r>
      <w:r w:rsidRPr="00527AD3">
        <w:rPr>
          <w:rFonts w:eastAsia="Times New Roman"/>
          <w:bCs/>
          <w:sz w:val="24"/>
          <w:szCs w:val="24"/>
        </w:rPr>
        <w:t xml:space="preserve">to the extent those benefits exceed the loss caused by the party’s breach. </w:t>
      </w:r>
      <w:r w:rsidR="003E47F0" w:rsidRPr="00357ACC">
        <w:rPr>
          <w:rFonts w:eastAsia="Times New Roman"/>
          <w:b/>
          <w:sz w:val="24"/>
          <w:szCs w:val="24"/>
        </w:rPr>
        <w:t>Gravina</w:t>
      </w:r>
      <w:r w:rsidR="003E47F0">
        <w:rPr>
          <w:rFonts w:eastAsia="Times New Roman"/>
          <w:bCs/>
          <w:sz w:val="24"/>
          <w:szCs w:val="24"/>
        </w:rPr>
        <w:t xml:space="preserve"> </w:t>
      </w:r>
      <w:r w:rsidR="003E47F0" w:rsidRPr="00357ACC">
        <w:rPr>
          <w:rFonts w:eastAsia="Times New Roman"/>
          <w:b/>
          <w:sz w:val="24"/>
          <w:szCs w:val="24"/>
        </w:rPr>
        <w:t xml:space="preserve">Siding </w:t>
      </w:r>
      <w:r w:rsidR="00736474">
        <w:rPr>
          <w:rFonts w:eastAsia="Times New Roman"/>
          <w:b/>
          <w:sz w:val="24"/>
          <w:szCs w:val="24"/>
        </w:rPr>
        <w:t>&amp;</w:t>
      </w:r>
      <w:r w:rsidR="003E47F0" w:rsidRPr="00357ACC">
        <w:rPr>
          <w:rFonts w:eastAsia="Times New Roman"/>
          <w:b/>
          <w:sz w:val="24"/>
          <w:szCs w:val="24"/>
        </w:rPr>
        <w:t xml:space="preserve"> Windows Co. v. Gravina</w:t>
      </w:r>
      <w:r w:rsidR="003E47F0">
        <w:rPr>
          <w:rFonts w:eastAsia="Times New Roman"/>
          <w:bCs/>
          <w:sz w:val="24"/>
          <w:szCs w:val="24"/>
        </w:rPr>
        <w:t>, 2022 COA 50, ¶¶ 44, 76-77</w:t>
      </w:r>
      <w:r w:rsidR="004B108D">
        <w:rPr>
          <w:rFonts w:eastAsia="Times New Roman"/>
          <w:bCs/>
          <w:sz w:val="24"/>
          <w:szCs w:val="24"/>
        </w:rPr>
        <w:t>, 516 P.3d 37, 47</w:t>
      </w:r>
      <w:r w:rsidR="003E47F0">
        <w:rPr>
          <w:rFonts w:eastAsia="Times New Roman"/>
          <w:bCs/>
          <w:sz w:val="24"/>
          <w:szCs w:val="24"/>
        </w:rPr>
        <w:t xml:space="preserve"> (the non-breaching plaintiffs “received a benefit in the form of installation of siding on a portion of their home[,] done at Gravina’s expense,” for which </w:t>
      </w:r>
      <w:r w:rsidR="003E47F0" w:rsidRPr="00D30894">
        <w:rPr>
          <w:rFonts w:eastAsia="Times New Roman"/>
          <w:bCs/>
          <w:sz w:val="24"/>
          <w:szCs w:val="24"/>
        </w:rPr>
        <w:t>Gravina</w:t>
      </w:r>
      <w:r w:rsidR="003E47F0" w:rsidRPr="00357ACC">
        <w:rPr>
          <w:rFonts w:eastAsia="Times New Roman"/>
          <w:b/>
          <w:sz w:val="24"/>
          <w:szCs w:val="24"/>
        </w:rPr>
        <w:t xml:space="preserve"> </w:t>
      </w:r>
      <w:r w:rsidR="003E47F0">
        <w:rPr>
          <w:rFonts w:eastAsia="Times New Roman"/>
          <w:bCs/>
          <w:sz w:val="24"/>
          <w:szCs w:val="24"/>
        </w:rPr>
        <w:t xml:space="preserve">was entitled to recover);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3" w:name="a30_13"/>
      <w:bookmarkEnd w:id="13"/>
      <w:r w:rsidRPr="00527AD3">
        <w:rPr>
          <w:rFonts w:eastAsia="Times New Roman"/>
          <w:b/>
          <w:sz w:val="24"/>
          <w:szCs w:val="24"/>
        </w:rPr>
        <w:t xml:space="preserve">30:13 </w:t>
      </w:r>
      <w:r w:rsidRPr="00527AD3">
        <w:rPr>
          <w:rFonts w:eastAsia="Times New Roman"/>
          <w:b/>
          <w:sz w:val="24"/>
          <w:szCs w:val="24"/>
        </w:rPr>
        <w:tab/>
        <w:t>CONTRACT PERFORMANCE — ANTICIPATORY BREACH</w:t>
      </w:r>
    </w:p>
    <w:p w14:paraId="33B42EA8"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to a contract who shows a clear and definite intention not to perform the contract before the time when (his) (her) (its)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4" w:name="a30_14"/>
      <w:bookmarkEnd w:id="14"/>
      <w:r w:rsidRPr="00527AD3">
        <w:rPr>
          <w:rFonts w:eastAsia="Times New Roman"/>
          <w:b/>
          <w:bCs/>
          <w:sz w:val="24"/>
          <w:szCs w:val="24"/>
        </w:rPr>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057BB249"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003E47F0" w:rsidRPr="005D74C0">
        <w:rPr>
          <w:rFonts w:eastAsia="Times New Roman"/>
          <w:b/>
          <w:sz w:val="24"/>
          <w:szCs w:val="24"/>
        </w:rPr>
        <w:t>Shull v. Sexton</w:t>
      </w:r>
      <w:r w:rsidR="003E47F0">
        <w:rPr>
          <w:rFonts w:eastAsia="Times New Roman"/>
          <w:bCs/>
          <w:sz w:val="24"/>
          <w:szCs w:val="24"/>
        </w:rPr>
        <w:t>, 154 Colo. 311, 390 P.2d 313 (1964); and</w:t>
      </w:r>
      <w:r w:rsidR="003E47F0" w:rsidRPr="00527AD3">
        <w:rPr>
          <w:rFonts w:eastAsia="Times New Roman"/>
          <w:bCs/>
          <w:sz w:val="24"/>
          <w:szCs w:val="24"/>
        </w:rPr>
        <w:t xml:space="preserve">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00736474" w:rsidRPr="005D74C0">
        <w:rPr>
          <w:rFonts w:eastAsia="Times New Roman"/>
          <w:b/>
          <w:sz w:val="24"/>
          <w:szCs w:val="24"/>
        </w:rPr>
        <w:t xml:space="preserve">Gravina Siding </w:t>
      </w:r>
      <w:r w:rsidR="00736474">
        <w:rPr>
          <w:rFonts w:eastAsia="Times New Roman"/>
          <w:b/>
          <w:sz w:val="24"/>
          <w:szCs w:val="24"/>
        </w:rPr>
        <w:t>&amp;</w:t>
      </w:r>
      <w:r w:rsidR="00736474" w:rsidRPr="005D74C0">
        <w:rPr>
          <w:rFonts w:eastAsia="Times New Roman"/>
          <w:b/>
          <w:sz w:val="24"/>
          <w:szCs w:val="24"/>
        </w:rPr>
        <w:t xml:space="preserve"> Windows Co.</w:t>
      </w:r>
      <w:r w:rsidR="00736474">
        <w:rPr>
          <w:rFonts w:eastAsia="Times New Roman"/>
          <w:b/>
          <w:sz w:val="24"/>
          <w:szCs w:val="24"/>
        </w:rPr>
        <w:t xml:space="preserve"> v. </w:t>
      </w:r>
      <w:r w:rsidR="003E47F0" w:rsidRPr="005D74C0">
        <w:rPr>
          <w:rFonts w:eastAsia="Times New Roman"/>
          <w:b/>
          <w:sz w:val="24"/>
          <w:szCs w:val="24"/>
        </w:rPr>
        <w:t>Gravina</w:t>
      </w:r>
      <w:r w:rsidR="003E47F0">
        <w:rPr>
          <w:rFonts w:eastAsia="Times New Roman"/>
          <w:bCs/>
          <w:sz w:val="24"/>
          <w:szCs w:val="24"/>
        </w:rPr>
        <w:t>, 2022 COA 50, ¶ 20</w:t>
      </w:r>
      <w:r w:rsidR="00D30894">
        <w:rPr>
          <w:rFonts w:eastAsia="Times New Roman"/>
          <w:bCs/>
          <w:sz w:val="24"/>
          <w:szCs w:val="24"/>
        </w:rPr>
        <w:t>, 516 P.3d 37, 43</w:t>
      </w:r>
      <w:r w:rsidR="003E47F0">
        <w:rPr>
          <w:rFonts w:eastAsia="Times New Roman"/>
          <w:bCs/>
          <w:sz w:val="24"/>
          <w:szCs w:val="24"/>
        </w:rPr>
        <w:t xml:space="preserve"> (“if a contract contains no explicit provision concerning the time for a party’s performance of obligations, the party must perform within a ‘reasonable time’ as determined by the circumstances of the case”)</w:t>
      </w:r>
      <w:r w:rsidR="0070700B">
        <w:rPr>
          <w:rFonts w:eastAsia="Times New Roman"/>
          <w:bCs/>
          <w:sz w:val="24"/>
          <w:szCs w:val="24"/>
        </w:rPr>
        <w:t xml:space="preserve">; </w:t>
      </w:r>
      <w:r w:rsidRPr="00527AD3">
        <w:rPr>
          <w:rFonts w:eastAsia="Times New Roman"/>
          <w:b/>
          <w:bCs/>
          <w:sz w:val="24"/>
          <w:szCs w:val="24"/>
        </w:rPr>
        <w:t>Ranta Const., Inc. v. Anderson</w:t>
      </w:r>
      <w:r w:rsidRPr="00527AD3">
        <w:rPr>
          <w:rFonts w:eastAsia="Times New Roman"/>
          <w:bCs/>
          <w:sz w:val="24"/>
          <w:szCs w:val="24"/>
        </w:rPr>
        <w:t>, 190 P.3d 835</w:t>
      </w:r>
      <w:r w:rsidR="0070700B">
        <w:rPr>
          <w:rFonts w:eastAsia="Times New Roman"/>
          <w:bCs/>
          <w:sz w:val="24"/>
          <w:szCs w:val="24"/>
        </w:rPr>
        <w:t>, 841</w:t>
      </w:r>
      <w:r w:rsidRPr="00527AD3">
        <w:rPr>
          <w:rFonts w:eastAsia="Times New Roman"/>
          <w:bCs/>
          <w:sz w:val="24"/>
          <w:szCs w:val="24"/>
        </w:rPr>
        <w:t xml:space="preserve"> (Colo. App. 2008)</w:t>
      </w:r>
      <w:r w:rsidR="0070700B" w:rsidRPr="0070700B">
        <w:rPr>
          <w:rFonts w:eastAsia="Times New Roman"/>
          <w:bCs/>
          <w:sz w:val="24"/>
          <w:szCs w:val="24"/>
        </w:rPr>
        <w:t xml:space="preserve"> </w:t>
      </w:r>
      <w:r w:rsidR="0070700B">
        <w:rPr>
          <w:rFonts w:eastAsia="Times New Roman"/>
          <w:bCs/>
          <w:sz w:val="24"/>
          <w:szCs w:val="24"/>
        </w:rPr>
        <w:t>(“‘[I]n the absence of a specific time for performance in the contract, the law implies a reasonable time,’ measured by the circumstances of the case.” (</w:t>
      </w:r>
      <w:r w:rsidR="0070700B">
        <w:t xml:space="preserve">quoting </w:t>
      </w:r>
      <w:r w:rsidR="0070700B" w:rsidRPr="00FB3EF4">
        <w:rPr>
          <w:rStyle w:val="Emphasis"/>
          <w:b/>
          <w:bCs/>
          <w:i w:val="0"/>
          <w:iCs w:val="0"/>
        </w:rPr>
        <w:t>Adams v. City of Westminster</w:t>
      </w:r>
      <w:r w:rsidR="0070700B" w:rsidRPr="00FB3EF4">
        <w:t>, 140 P.3d 8, 11 (Colo. App. 2005)</w:t>
      </w:r>
      <w:r w:rsidR="0070700B">
        <w:t>)</w:t>
      </w:r>
      <w:r w:rsidR="0070700B">
        <w:rPr>
          <w:rFonts w:eastAsia="Times New Roman"/>
          <w:bCs/>
          <w:sz w:val="24"/>
          <w:szCs w:val="24"/>
        </w:rPr>
        <w:t>)</w:t>
      </w:r>
      <w:r w:rsidRPr="00527AD3">
        <w:rPr>
          <w:rFonts w:eastAsia="Times New Roman"/>
          <w:bCs/>
          <w:sz w:val="24"/>
          <w:szCs w:val="24"/>
        </w:rPr>
        <w:t>.</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5" w:name="a30_15"/>
      <w:bookmarkEnd w:id="15"/>
      <w:r w:rsidRPr="00F57A28">
        <w:rPr>
          <w:rFonts w:eastAsia="Times New Roman"/>
          <w:b/>
          <w:bCs/>
          <w:sz w:val="24"/>
          <w:szCs w:val="24"/>
        </w:rPr>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36175FA1"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39BC6A5F" w14:textId="66FCF7FB" w:rsidR="00986A4E" w:rsidRDefault="00986A4E" w:rsidP="00F57A28">
      <w:pPr>
        <w:spacing w:after="240"/>
        <w:ind w:firstLine="720"/>
        <w:rPr>
          <w:rFonts w:eastAsia="Times New Roman"/>
          <w:bCs/>
          <w:sz w:val="24"/>
          <w:szCs w:val="24"/>
        </w:rPr>
      </w:pPr>
      <w:r>
        <w:rPr>
          <w:rFonts w:eastAsia="Times New Roman"/>
          <w:bCs/>
          <w:sz w:val="24"/>
          <w:szCs w:val="24"/>
        </w:rPr>
        <w:t>4</w:t>
      </w:r>
      <w:r w:rsidRPr="0000321C">
        <w:rPr>
          <w:rFonts w:eastAsia="Times New Roman"/>
          <w:bCs/>
          <w:sz w:val="24"/>
          <w:szCs w:val="24"/>
        </w:rPr>
        <w:t xml:space="preserve">.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357ACC">
        <w:rPr>
          <w:rFonts w:eastAsia="Times New Roman"/>
          <w:b/>
          <w:sz w:val="24"/>
          <w:szCs w:val="24"/>
        </w:rPr>
        <w:t>Gregory v. Safeco Ins. Co.</w:t>
      </w:r>
      <w:r>
        <w:rPr>
          <w:rFonts w:eastAsia="Times New Roman"/>
          <w:bCs/>
          <w:sz w:val="24"/>
          <w:szCs w:val="24"/>
        </w:rPr>
        <w:t>, 2022 COA 45, ¶ 38, 514 P.3d 971, 979 (“Gregory’s policy [required] that she report hail damage within 365 days . . . [therefore] Gregory’s timely notice of loss was a condition precedent to her contractual right to recover for the hail damage to her home.”)</w:t>
      </w:r>
      <w:r w:rsidRPr="0000321C">
        <w:rPr>
          <w:rFonts w:eastAsia="Times New Roman"/>
          <w:bCs/>
          <w:sz w:val="24"/>
          <w:szCs w:val="24"/>
        </w:rPr>
        <w:t>.</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6" w:name="a30_16"/>
      <w:bookmarkEnd w:id="16"/>
      <w:r w:rsidRPr="00B96786">
        <w:rPr>
          <w:rFonts w:eastAsia="Times New Roman"/>
          <w:b/>
          <w:bCs/>
          <w:sz w:val="24"/>
          <w:szCs w:val="24"/>
        </w:rPr>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A party performs a contract in good faith when (his) (her) (its)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r w:rsidRPr="00B96786">
        <w:rPr>
          <w:rFonts w:eastAsia="Times New Roman"/>
          <w:bCs/>
          <w:sz w:val="24"/>
          <w:szCs w:val="24"/>
        </w:rPr>
        <w:t>None.</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State Farm Mut. Auto. Ins. Co. v. Nissen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Davis v. M.L.G.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ADT Sec. Servs.,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Nissen</w:t>
      </w:r>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Dupre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r w:rsidRPr="00EA3B32">
        <w:rPr>
          <w:rFonts w:eastAsia="Times New Roman"/>
          <w:b/>
          <w:bCs/>
          <w:sz w:val="24"/>
          <w:szCs w:val="24"/>
        </w:rPr>
        <w:t>Spaur v. Allstate Ins. Co.</w:t>
      </w:r>
      <w:r w:rsidRPr="00EA3B32">
        <w:rPr>
          <w:rFonts w:eastAsia="Times New Roman"/>
          <w:bCs/>
          <w:sz w:val="24"/>
          <w:szCs w:val="24"/>
        </w:rPr>
        <w:t xml:space="preserve">, 942 P.2d 1261 (Colo. App. 1996); </w:t>
      </w:r>
      <w:r w:rsidRPr="00EA3B32">
        <w:rPr>
          <w:rFonts w:eastAsia="Times New Roman"/>
          <w:b/>
          <w:bCs/>
          <w:sz w:val="24"/>
          <w:szCs w:val="24"/>
        </w:rPr>
        <w:t>Shean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712 P.2d 990-91.</w:t>
      </w:r>
    </w:p>
    <w:p w14:paraId="4F2B5946" w14:textId="4EDF274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712 P.2d at 990;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Spaur</w:t>
      </w:r>
      <w:r w:rsidRPr="00EA3B32">
        <w:rPr>
          <w:rFonts w:eastAsia="Times New Roman"/>
          <w:bCs/>
          <w:sz w:val="24"/>
          <w:szCs w:val="24"/>
        </w:rPr>
        <w:t xml:space="preserve">, 942 P.2d 1265; </w:t>
      </w:r>
      <w:r w:rsidRPr="00EA3B32">
        <w:rPr>
          <w:rFonts w:eastAsia="Times New Roman"/>
          <w:b/>
          <w:bCs/>
          <w:sz w:val="24"/>
          <w:szCs w:val="24"/>
        </w:rPr>
        <w:t>Shelter Mut. Ins. Co. v. Breit</w:t>
      </w:r>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24, 490 P.3d 1063 (a party signing an agreement is presumed to know its contents and to have assented to its terms)</w:t>
      </w:r>
      <w:r w:rsidRPr="00EA3B32">
        <w:rPr>
          <w:rFonts w:eastAsia="Times New Roman"/>
          <w:bCs/>
          <w:sz w:val="24"/>
          <w:szCs w:val="24"/>
        </w:rPr>
        <w:t>.</w:t>
      </w:r>
    </w:p>
    <w:p w14:paraId="4D0C9FD5" w14:textId="462F0CF5"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w:t>
      </w:r>
      <w:r w:rsidR="0070700B">
        <w:rPr>
          <w:rFonts w:eastAsia="Times New Roman"/>
          <w:bCs/>
          <w:sz w:val="24"/>
          <w:szCs w:val="24"/>
        </w:rPr>
        <w:t xml:space="preserve">The implied </w:t>
      </w:r>
      <w:r w:rsidR="0015641B">
        <w:rPr>
          <w:rFonts w:eastAsia="Times New Roman"/>
          <w:bCs/>
          <w:sz w:val="24"/>
          <w:szCs w:val="24"/>
        </w:rPr>
        <w:t xml:space="preserve">contractual </w:t>
      </w:r>
      <w:r w:rsidR="0070700B">
        <w:rPr>
          <w:rFonts w:eastAsia="Times New Roman"/>
          <w:bCs/>
          <w:sz w:val="24"/>
          <w:szCs w:val="24"/>
        </w:rPr>
        <w:t xml:space="preserve">duty of good faith and fair dealing may displace tort duties applicable to the same conduct under the economic loss rule. </w:t>
      </w:r>
      <w:r w:rsidR="0070700B" w:rsidRPr="00FA35C9">
        <w:rPr>
          <w:rFonts w:eastAsia="Times New Roman"/>
          <w:b/>
          <w:sz w:val="24"/>
          <w:szCs w:val="24"/>
        </w:rPr>
        <w:t>Dream Finders Homes LLC v. Wey</w:t>
      </w:r>
      <w:r w:rsidR="0070700B">
        <w:rPr>
          <w:rFonts w:eastAsia="Times New Roman"/>
          <w:b/>
          <w:sz w:val="24"/>
          <w:szCs w:val="24"/>
        </w:rPr>
        <w:t>er</w:t>
      </w:r>
      <w:r w:rsidR="0070700B" w:rsidRPr="00FA35C9">
        <w:rPr>
          <w:rFonts w:eastAsia="Times New Roman"/>
          <w:b/>
          <w:sz w:val="24"/>
          <w:szCs w:val="24"/>
        </w:rPr>
        <w:t>haeuser NR Co</w:t>
      </w:r>
      <w:r w:rsidR="0070700B">
        <w:rPr>
          <w:rFonts w:eastAsia="Times New Roman"/>
          <w:b/>
          <w:sz w:val="24"/>
          <w:szCs w:val="24"/>
        </w:rPr>
        <w:t>.</w:t>
      </w:r>
      <w:r w:rsidR="0070700B" w:rsidRPr="00CF7D11">
        <w:rPr>
          <w:rFonts w:eastAsia="Times New Roman"/>
          <w:sz w:val="24"/>
          <w:szCs w:val="24"/>
        </w:rPr>
        <w:t>,</w:t>
      </w:r>
      <w:r w:rsidR="0070700B">
        <w:rPr>
          <w:rFonts w:eastAsia="Times New Roman"/>
          <w:bCs/>
          <w:sz w:val="24"/>
          <w:szCs w:val="24"/>
        </w:rPr>
        <w:t xml:space="preserve"> 2021 COA 143, ¶¶ 68-69, 506 P.3d 108, 123 (</w:t>
      </w:r>
      <w:r w:rsidR="00736474">
        <w:rPr>
          <w:rFonts w:eastAsia="Times New Roman"/>
          <w:bCs/>
          <w:sz w:val="24"/>
          <w:szCs w:val="24"/>
        </w:rPr>
        <w:t>Defendant</w:t>
      </w:r>
      <w:r w:rsidR="0070700B">
        <w:rPr>
          <w:rFonts w:eastAsia="Times New Roman"/>
          <w:bCs/>
          <w:sz w:val="24"/>
          <w:szCs w:val="24"/>
        </w:rPr>
        <w:t xml:space="preserve"> owed a</w:t>
      </w:r>
      <w:r w:rsidR="0015641B">
        <w:rPr>
          <w:rFonts w:eastAsia="Times New Roman"/>
          <w:bCs/>
          <w:sz w:val="24"/>
          <w:szCs w:val="24"/>
        </w:rPr>
        <w:t>n implied</w:t>
      </w:r>
      <w:r w:rsidR="0070700B">
        <w:rPr>
          <w:rFonts w:eastAsia="Times New Roman"/>
          <w:bCs/>
          <w:sz w:val="24"/>
          <w:szCs w:val="24"/>
        </w:rPr>
        <w:t xml:space="preserve"> contractual duty </w:t>
      </w:r>
      <w:r w:rsidR="0015641B">
        <w:rPr>
          <w:rFonts w:eastAsia="Times New Roman"/>
          <w:bCs/>
          <w:sz w:val="24"/>
          <w:szCs w:val="24"/>
        </w:rPr>
        <w:t xml:space="preserve">of good faith and fair dealing </w:t>
      </w:r>
      <w:r w:rsidR="0070700B">
        <w:rPr>
          <w:rFonts w:eastAsia="Times New Roman"/>
          <w:bCs/>
          <w:sz w:val="24"/>
          <w:szCs w:val="24"/>
        </w:rPr>
        <w:t xml:space="preserve">not to misrepresent the quality and safety </w:t>
      </w:r>
      <w:r w:rsidR="00736474">
        <w:rPr>
          <w:rFonts w:eastAsia="Times New Roman"/>
          <w:bCs/>
          <w:sz w:val="24"/>
          <w:szCs w:val="24"/>
        </w:rPr>
        <w:t xml:space="preserve">of </w:t>
      </w:r>
      <w:r w:rsidR="0070700B">
        <w:rPr>
          <w:rFonts w:eastAsia="Times New Roman"/>
          <w:bCs/>
          <w:sz w:val="24"/>
          <w:szCs w:val="24"/>
        </w:rPr>
        <w:t>its product and a concurrent tort duty not to misrepresent the condition and safety of the same product. “Because the duties overlapped . . . a breach of the duties support a claim for breach of contract but not a tort claim.”).</w:t>
      </w:r>
    </w:p>
    <w:p w14:paraId="785C7A34" w14:textId="49CC3C0A"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r w:rsidRPr="00EA3B32">
        <w:rPr>
          <w:rFonts w:eastAsia="Times New Roman"/>
          <w:b/>
          <w:bCs/>
          <w:sz w:val="24"/>
          <w:szCs w:val="24"/>
        </w:rPr>
        <w:t>City of Boulder v. Pub. Serv. Co.</w:t>
      </w:r>
      <w:r w:rsidRPr="00EA3B32">
        <w:rPr>
          <w:rFonts w:eastAsia="Times New Roman"/>
          <w:bCs/>
          <w:sz w:val="24"/>
          <w:szCs w:val="24"/>
        </w:rPr>
        <w:t xml:space="preserve">, 996 P.2d 198 (Colo. App. 1999); </w:t>
      </w:r>
      <w:r w:rsidRPr="00EA3B32">
        <w:rPr>
          <w:rFonts w:eastAsia="Times New Roman"/>
          <w:b/>
          <w:bCs/>
          <w:sz w:val="24"/>
          <w:szCs w:val="24"/>
        </w:rPr>
        <w:t>Soderlun v. Pub. Serv.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Pr="00EA3B32">
        <w:rPr>
          <w:rFonts w:eastAsia="Times New Roman"/>
          <w:b/>
          <w:bCs/>
          <w:sz w:val="24"/>
          <w:szCs w:val="24"/>
        </w:rPr>
        <w:t>Mortg. Fin., Inc. v. Podleski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Newflower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r w:rsidRPr="00EA3B32">
        <w:rPr>
          <w:rFonts w:eastAsia="Times New Roman"/>
          <w:b/>
          <w:bCs/>
          <w:sz w:val="24"/>
          <w:szCs w:val="24"/>
        </w:rPr>
        <w:t>Lutfi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151 P.3d 685 (Colo. App. 2006).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908 P.2d at 498-99.</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cmt. e (1981));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Ranta Constr., Inc. v. Anderson</w:t>
      </w:r>
      <w:r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924 P.2d at 154.</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r w:rsidRPr="00EA3B32">
        <w:rPr>
          <w:rFonts w:eastAsia="Times New Roman"/>
          <w:b/>
          <w:bCs/>
          <w:sz w:val="24"/>
          <w:szCs w:val="24"/>
        </w:rPr>
        <w:t>Soderlun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944 P.2d at 623.</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7" w:name="a30_17"/>
      <w:bookmarkEnd w:id="17"/>
      <w:r>
        <w:rPr>
          <w:rFonts w:eastAsia="Times New Roman"/>
          <w:b/>
          <w:bCs/>
          <w:sz w:val="24"/>
          <w:szCs w:val="24"/>
        </w:rPr>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(him) (her) (it)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t>C. DEFENSES</w:t>
      </w:r>
    </w:p>
    <w:p w14:paraId="30EF67A7" w14:textId="77777777" w:rsidR="00F755B7" w:rsidRPr="0054263B" w:rsidRDefault="00F755B7" w:rsidP="00F755B7">
      <w:pPr>
        <w:keepNext/>
        <w:spacing w:after="240"/>
        <w:jc w:val="center"/>
        <w:rPr>
          <w:rFonts w:eastAsia="Times New Roman"/>
          <w:b/>
          <w:sz w:val="24"/>
          <w:szCs w:val="24"/>
        </w:rPr>
      </w:pPr>
      <w:bookmarkStart w:id="18" w:name="IntroNoteC"/>
      <w:bookmarkEnd w:id="18"/>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Bailey v. 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xml:space="preserve">, 176 P.3d 737 (Colo. 2007) (contract for renewal authority to acquire certain property by eminent domain condemnation if necessary not void);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70CD4F95" w14:textId="28CAA926" w:rsidR="00753103" w:rsidRPr="00A84688"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r w:rsidRPr="00A84688">
        <w:rPr>
          <w:rFonts w:eastAsia="Times New Roman"/>
          <w:bCs/>
          <w:sz w:val="24"/>
          <w:szCs w:val="24"/>
        </w:rPr>
        <w:t xml:space="preserve"> </w:t>
      </w:r>
      <w:r w:rsidR="0015641B">
        <w:rPr>
          <w:rFonts w:eastAsia="Times New Roman"/>
          <w:bCs/>
          <w:sz w:val="24"/>
          <w:szCs w:val="24"/>
        </w:rPr>
        <w:t xml:space="preserve">A contract term that violates </w:t>
      </w:r>
      <w:r w:rsidR="0070700B">
        <w:rPr>
          <w:rFonts w:eastAsia="Times New Roman"/>
          <w:bCs/>
          <w:sz w:val="24"/>
          <w:szCs w:val="24"/>
        </w:rPr>
        <w:t xml:space="preserve">Colorado Rule of Professional Conduct 5.6(a), which governs restrictions on the practice of law after departure from a firm, </w:t>
      </w:r>
      <w:r w:rsidR="006454FD">
        <w:rPr>
          <w:rFonts w:eastAsia="Times New Roman"/>
          <w:bCs/>
          <w:sz w:val="24"/>
          <w:szCs w:val="24"/>
        </w:rPr>
        <w:t>is void as against</w:t>
      </w:r>
      <w:r w:rsidR="0070700B">
        <w:rPr>
          <w:rFonts w:eastAsia="Times New Roman"/>
          <w:bCs/>
          <w:sz w:val="24"/>
          <w:szCs w:val="24"/>
        </w:rPr>
        <w:t xml:space="preserve"> public policy</w:t>
      </w:r>
      <w:r w:rsidR="006454FD">
        <w:rPr>
          <w:rFonts w:eastAsia="Times New Roman"/>
          <w:bCs/>
          <w:sz w:val="24"/>
          <w:szCs w:val="24"/>
        </w:rPr>
        <w:t>,</w:t>
      </w:r>
      <w:r w:rsidR="0015641B">
        <w:rPr>
          <w:rFonts w:eastAsia="Times New Roman"/>
          <w:bCs/>
          <w:sz w:val="24"/>
          <w:szCs w:val="24"/>
        </w:rPr>
        <w:t xml:space="preserve"> </w:t>
      </w:r>
      <w:r w:rsidR="0070700B">
        <w:rPr>
          <w:rFonts w:eastAsia="Times New Roman"/>
          <w:bCs/>
          <w:sz w:val="24"/>
          <w:szCs w:val="24"/>
        </w:rPr>
        <w:t xml:space="preserve">but </w:t>
      </w:r>
      <w:r w:rsidR="006454FD">
        <w:rPr>
          <w:rFonts w:eastAsia="Times New Roman"/>
          <w:bCs/>
          <w:sz w:val="24"/>
          <w:szCs w:val="24"/>
        </w:rPr>
        <w:t>the remainder of the agr</w:t>
      </w:r>
      <w:r w:rsidR="0070700B">
        <w:rPr>
          <w:rFonts w:eastAsia="Times New Roman"/>
          <w:bCs/>
          <w:sz w:val="24"/>
          <w:szCs w:val="24"/>
        </w:rPr>
        <w:t xml:space="preserve">eement </w:t>
      </w:r>
      <w:r w:rsidR="006454FD">
        <w:rPr>
          <w:rFonts w:eastAsia="Times New Roman"/>
          <w:bCs/>
          <w:sz w:val="24"/>
          <w:szCs w:val="24"/>
        </w:rPr>
        <w:t xml:space="preserve">is </w:t>
      </w:r>
      <w:r w:rsidR="0070700B">
        <w:rPr>
          <w:rFonts w:eastAsia="Times New Roman"/>
          <w:bCs/>
          <w:sz w:val="24"/>
          <w:szCs w:val="24"/>
        </w:rPr>
        <w:t xml:space="preserve">enforceable. </w:t>
      </w:r>
      <w:r w:rsidR="0070700B" w:rsidRPr="002E2D9E">
        <w:rPr>
          <w:rFonts w:eastAsia="Times New Roman"/>
          <w:b/>
          <w:sz w:val="24"/>
          <w:szCs w:val="24"/>
        </w:rPr>
        <w:t>Johnson Family Law</w:t>
      </w:r>
      <w:r w:rsidR="0070700B">
        <w:rPr>
          <w:rFonts w:eastAsia="Times New Roman"/>
          <w:b/>
          <w:sz w:val="24"/>
          <w:szCs w:val="24"/>
        </w:rPr>
        <w:t>,</w:t>
      </w:r>
      <w:r w:rsidR="0070700B" w:rsidRPr="002E2D9E">
        <w:rPr>
          <w:rFonts w:eastAsia="Times New Roman"/>
          <w:b/>
          <w:sz w:val="24"/>
          <w:szCs w:val="24"/>
        </w:rPr>
        <w:t xml:space="preserve"> P.C. v. Bursek</w:t>
      </w:r>
      <w:r w:rsidR="0070700B" w:rsidRPr="00162471">
        <w:rPr>
          <w:rFonts w:eastAsia="Times New Roman"/>
          <w:sz w:val="24"/>
          <w:szCs w:val="24"/>
        </w:rPr>
        <w:t>,</w:t>
      </w:r>
      <w:r w:rsidR="0070700B" w:rsidRPr="002E2D9E">
        <w:rPr>
          <w:rFonts w:eastAsia="Times New Roman"/>
          <w:b/>
          <w:sz w:val="24"/>
          <w:szCs w:val="24"/>
        </w:rPr>
        <w:t xml:space="preserve"> </w:t>
      </w:r>
      <w:r w:rsidR="0070700B">
        <w:rPr>
          <w:rFonts w:eastAsia="Times New Roman"/>
          <w:bCs/>
          <w:sz w:val="24"/>
          <w:szCs w:val="24"/>
        </w:rPr>
        <w:t>2022 COA 48, ¶ 62</w:t>
      </w:r>
      <w:r w:rsidR="00275682">
        <w:rPr>
          <w:rFonts w:eastAsia="Times New Roman"/>
          <w:bCs/>
          <w:sz w:val="24"/>
          <w:szCs w:val="24"/>
        </w:rPr>
        <w:t>, 515 P.3d 179, 191</w:t>
      </w:r>
      <w:r w:rsidR="0070700B">
        <w:rPr>
          <w:rFonts w:eastAsia="Times New Roman"/>
          <w:bCs/>
          <w:sz w:val="24"/>
          <w:szCs w:val="24"/>
        </w:rPr>
        <w:t xml:space="preserve"> (“we conclude that the provisions of the Agreement imposing the $1,052 per client fee are void as a matter of public policy, but the rest of the Agreement remains enforceable”).</w:t>
      </w:r>
    </w:p>
    <w:p w14:paraId="7F791D4C" w14:textId="34AF46DD" w:rsidR="00F755B7" w:rsidRDefault="00753103" w:rsidP="00F755B7">
      <w:pPr>
        <w:spacing w:after="240"/>
        <w:ind w:firstLine="720"/>
        <w:rPr>
          <w:rFonts w:eastAsia="Times New Roman"/>
          <w:bCs/>
          <w:sz w:val="24"/>
          <w:szCs w:val="24"/>
        </w:rPr>
      </w:pPr>
      <w:r>
        <w:rPr>
          <w:rFonts w:eastAsia="Times New Roman"/>
          <w:bCs/>
          <w:sz w:val="24"/>
          <w:szCs w:val="24"/>
        </w:rPr>
        <w:t>8</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31, 490 P.3d 1063, 1071 (“We conclude that the two exculpatory agreements are clear: The purchaser of the boots and the holder of the ticket are ‘to assume all risks of skiing, whether inherent to skiing or not.’”)</w:t>
      </w:r>
      <w:r w:rsidR="00F755B7" w:rsidRPr="00F755B7">
        <w:rPr>
          <w:rFonts w:eastAsia="Times New Roman"/>
          <w:bCs/>
          <w:sz w:val="24"/>
          <w:szCs w:val="24"/>
        </w:rPr>
        <w:t>.</w:t>
      </w:r>
    </w:p>
    <w:p w14:paraId="6630CA06" w14:textId="6B81F56D" w:rsidR="00753103" w:rsidRPr="00F755B7" w:rsidRDefault="00753103" w:rsidP="00F755B7">
      <w:pPr>
        <w:spacing w:after="240"/>
        <w:ind w:firstLine="720"/>
        <w:rPr>
          <w:rFonts w:eastAsia="Times New Roman"/>
          <w:bCs/>
          <w:sz w:val="24"/>
          <w:szCs w:val="24"/>
        </w:rPr>
      </w:pPr>
      <w:r>
        <w:rPr>
          <w:rFonts w:eastAsia="Times New Roman"/>
          <w:bCs/>
          <w:sz w:val="24"/>
          <w:szCs w:val="24"/>
        </w:rPr>
        <w:t>9</w:t>
      </w:r>
      <w:r w:rsidRPr="002612AD">
        <w:rPr>
          <w:rFonts w:eastAsia="Times New Roman"/>
          <w:bCs/>
          <w:sz w:val="24"/>
          <w:szCs w:val="24"/>
        </w:rPr>
        <w:t xml:space="preserve">. </w:t>
      </w:r>
      <w:r w:rsidRPr="00A6332F">
        <w:rPr>
          <w:color w:val="1E1E1E"/>
          <w:sz w:val="24"/>
          <w:szCs w:val="24"/>
          <w:shd w:val="clear" w:color="auto" w:fill="FFFFFF"/>
        </w:rPr>
        <w:t xml:space="preserve">Whether a contract disclaimer is clear and conspicuous is a question of law for the court. </w:t>
      </w:r>
      <w:r w:rsidRPr="00A6332F">
        <w:rPr>
          <w:b/>
          <w:color w:val="1E1E1E"/>
          <w:sz w:val="24"/>
          <w:szCs w:val="24"/>
          <w:shd w:val="clear" w:color="auto" w:fill="FFFFFF"/>
        </w:rPr>
        <w:t>Cummings v. Arapahoe Cty</w:t>
      </w:r>
      <w:r>
        <w:rPr>
          <w:b/>
          <w:color w:val="1E1E1E"/>
          <w:sz w:val="24"/>
          <w:szCs w:val="24"/>
          <w:shd w:val="clear" w:color="auto" w:fill="FFFFFF"/>
        </w:rPr>
        <w:t>.</w:t>
      </w:r>
      <w:r w:rsidRPr="00A6332F">
        <w:rPr>
          <w:b/>
          <w:color w:val="1E1E1E"/>
          <w:sz w:val="24"/>
          <w:szCs w:val="24"/>
          <w:shd w:val="clear" w:color="auto" w:fill="FFFFFF"/>
        </w:rPr>
        <w:t xml:space="preserve"> Sheriff’s Dep</w:t>
      </w:r>
      <w:r>
        <w:rPr>
          <w:b/>
          <w:color w:val="1E1E1E"/>
          <w:sz w:val="24"/>
          <w:szCs w:val="24"/>
          <w:shd w:val="clear" w:color="auto" w:fill="FFFFFF"/>
        </w:rPr>
        <w:t>’</w:t>
      </w:r>
      <w:r w:rsidRPr="00A6332F">
        <w:rPr>
          <w:b/>
          <w:color w:val="1E1E1E"/>
          <w:sz w:val="24"/>
          <w:szCs w:val="24"/>
          <w:shd w:val="clear" w:color="auto" w:fill="FFFFFF"/>
        </w:rPr>
        <w:t>t</w:t>
      </w:r>
      <w:r w:rsidRPr="00A6332F">
        <w:rPr>
          <w:color w:val="1E1E1E"/>
          <w:sz w:val="24"/>
          <w:szCs w:val="24"/>
          <w:shd w:val="clear" w:color="auto" w:fill="FFFFFF"/>
        </w:rPr>
        <w:t>, 20</w:t>
      </w:r>
      <w:r>
        <w:rPr>
          <w:color w:val="1E1E1E"/>
          <w:sz w:val="24"/>
          <w:szCs w:val="24"/>
          <w:shd w:val="clear" w:color="auto" w:fill="FFFFFF"/>
        </w:rPr>
        <w:t>1</w:t>
      </w:r>
      <w:r w:rsidRPr="00A6332F">
        <w:rPr>
          <w:color w:val="1E1E1E"/>
          <w:sz w:val="24"/>
          <w:szCs w:val="24"/>
          <w:shd w:val="clear" w:color="auto" w:fill="FFFFFF"/>
        </w:rPr>
        <w:t>8 COA 136</w:t>
      </w:r>
      <w:r w:rsidR="00891A22">
        <w:rPr>
          <w:color w:val="1E1E1E"/>
          <w:sz w:val="24"/>
          <w:szCs w:val="24"/>
          <w:shd w:val="clear" w:color="auto" w:fill="FFFFFF"/>
        </w:rPr>
        <w:t>,</w:t>
      </w:r>
      <w:r w:rsidRPr="00A6332F">
        <w:rPr>
          <w:color w:val="1E1E1E"/>
          <w:sz w:val="24"/>
          <w:szCs w:val="24"/>
          <w:shd w:val="clear" w:color="auto" w:fill="FFFFFF"/>
        </w:rPr>
        <w:t xml:space="preserve"> ¶ 56</w:t>
      </w:r>
      <w:r>
        <w:rPr>
          <w:color w:val="1E1E1E"/>
          <w:sz w:val="24"/>
          <w:szCs w:val="24"/>
          <w:shd w:val="clear" w:color="auto" w:fill="FFFFFF"/>
        </w:rPr>
        <w:t>, 440 P.3d 1179</w:t>
      </w:r>
      <w:r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Pr>
          <w:color w:val="1E1E1E"/>
          <w:sz w:val="24"/>
          <w:szCs w:val="24"/>
          <w:shd w:val="clear" w:color="auto" w:fill="FFFFFF"/>
        </w:rPr>
        <w:t>.</w:t>
      </w:r>
    </w:p>
    <w:p w14:paraId="6465F7F9" w14:textId="5D7D7972" w:rsidR="00F755B7" w:rsidRDefault="00753103" w:rsidP="00F755B7">
      <w:pPr>
        <w:spacing w:after="240"/>
        <w:ind w:firstLine="720"/>
        <w:rPr>
          <w:rFonts w:eastAsia="Times New Roman"/>
          <w:bCs/>
          <w:sz w:val="24"/>
          <w:szCs w:val="24"/>
        </w:rPr>
      </w:pPr>
      <w:r>
        <w:rPr>
          <w:rFonts w:eastAsia="Times New Roman"/>
          <w:bCs/>
          <w:sz w:val="24"/>
          <w:szCs w:val="24"/>
        </w:rPr>
        <w:t>10</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1A8E9B9" w14:textId="058C41F9" w:rsidR="0070700B" w:rsidRPr="00F755B7" w:rsidRDefault="0070700B" w:rsidP="00F755B7">
      <w:pPr>
        <w:spacing w:after="240"/>
        <w:ind w:firstLine="720"/>
        <w:rPr>
          <w:rFonts w:eastAsia="Times New Roman"/>
          <w:bCs/>
          <w:sz w:val="24"/>
          <w:szCs w:val="24"/>
        </w:rPr>
      </w:pPr>
      <w:r>
        <w:rPr>
          <w:rFonts w:eastAsia="Times New Roman"/>
          <w:bCs/>
          <w:sz w:val="24"/>
          <w:szCs w:val="24"/>
        </w:rPr>
        <w:t xml:space="preserve">11. Contractual limitations of liability and exculpatory agreements are different in kind.  Ambiguous exculpatory agreements are void; the meaning of ambiguous contractual limitations clauses must be resolved by the trier of fact. </w:t>
      </w:r>
      <w:r w:rsidRPr="002E2D9E">
        <w:rPr>
          <w:rFonts w:eastAsia="Times New Roman"/>
          <w:b/>
          <w:sz w:val="24"/>
          <w:szCs w:val="24"/>
        </w:rPr>
        <w:t>Johnson Nathan Strohe, P.C. v. MEP Eng</w:t>
      </w:r>
      <w:r>
        <w:rPr>
          <w:rFonts w:eastAsia="Times New Roman"/>
          <w:b/>
          <w:sz w:val="24"/>
          <w:szCs w:val="24"/>
        </w:rPr>
        <w:t>’</w:t>
      </w:r>
      <w:r w:rsidRPr="002E2D9E">
        <w:rPr>
          <w:rFonts w:eastAsia="Times New Roman"/>
          <w:b/>
          <w:sz w:val="24"/>
          <w:szCs w:val="24"/>
        </w:rPr>
        <w:t>g, Inc.</w:t>
      </w:r>
      <w:r w:rsidR="00162471">
        <w:rPr>
          <w:rFonts w:eastAsia="Times New Roman"/>
          <w:sz w:val="24"/>
          <w:szCs w:val="24"/>
        </w:rPr>
        <w:t>,</w:t>
      </w:r>
      <w:r>
        <w:rPr>
          <w:rFonts w:eastAsia="Times New Roman"/>
          <w:bCs/>
          <w:sz w:val="24"/>
          <w:szCs w:val="24"/>
        </w:rPr>
        <w:t xml:space="preserve"> 2021 COA 125, ¶¶ 17, 29, 501 P.3d 826, 830, 832 (clause limiting liability to “twice The Engineer’s fee . . . as consequential damages” was ambiguous, but not void).</w:t>
      </w:r>
    </w:p>
    <w:p w14:paraId="36E705F7" w14:textId="5F72AC2B" w:rsidR="00F755B7" w:rsidRPr="00F755B7" w:rsidRDefault="00753103" w:rsidP="00F755B7">
      <w:pPr>
        <w:spacing w:after="240"/>
        <w:ind w:firstLine="720"/>
        <w:rPr>
          <w:rFonts w:eastAsia="Times New Roman"/>
          <w:bCs/>
          <w:sz w:val="24"/>
          <w:szCs w:val="24"/>
        </w:rPr>
      </w:pPr>
      <w:r>
        <w:rPr>
          <w:rFonts w:eastAsia="Times New Roman"/>
          <w:bCs/>
          <w:sz w:val="24"/>
          <w:szCs w:val="24"/>
        </w:rPr>
        <w:t>1</w:t>
      </w:r>
      <w:r w:rsidR="0070700B">
        <w:rPr>
          <w:rFonts w:eastAsia="Times New Roman"/>
          <w:bCs/>
          <w:sz w:val="24"/>
          <w:szCs w:val="24"/>
        </w:rPr>
        <w:t>2</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4D43D11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70700B">
        <w:rPr>
          <w:rFonts w:eastAsia="Times New Roman"/>
          <w:bCs/>
          <w:sz w:val="24"/>
          <w:szCs w:val="24"/>
        </w:rPr>
        <w:t>3</w:t>
      </w:r>
      <w:r w:rsidRPr="00F755B7">
        <w:rPr>
          <w:rFonts w:eastAsia="Times New Roman"/>
          <w:bCs/>
          <w:sz w:val="24"/>
          <w:szCs w:val="24"/>
        </w:rPr>
        <w:t xml:space="preserve">.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19" w:name="a30_18"/>
      <w:bookmarkEnd w:id="19"/>
      <w:r w:rsidRPr="002E1D1B">
        <w:rPr>
          <w:rFonts w:eastAsia="Times New Roman"/>
          <w:b/>
          <w:bCs/>
          <w:sz w:val="24"/>
          <w:szCs w:val="24"/>
        </w:rPr>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5. The defendant’s reliance caused (him) (her)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(1960). On many occasions, the courts have also stated the rule that the defrauded person, having 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0" w:name="a30_19"/>
      <w:bookmarkEnd w:id="20"/>
      <w:r w:rsidRPr="002E1D1B">
        <w:rPr>
          <w:rFonts w:eastAsia="Times New Roman"/>
          <w:b/>
          <w:bCs/>
          <w:sz w:val="24"/>
          <w:szCs w:val="24"/>
        </w:rPr>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At the time the defendant entered into the (claimed) contract, the defendant was not acting of (his) (her)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1" w:name="a30_20"/>
      <w:bookmarkEnd w:id="21"/>
      <w:r w:rsidRPr="00BC29F9">
        <w:rPr>
          <w:rFonts w:eastAsia="Times New Roman"/>
          <w:b/>
          <w:bCs/>
          <w:sz w:val="24"/>
          <w:szCs w:val="24"/>
        </w:rPr>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At the time the defendant entered into the (claimed) contract, the defendant was not acting of (his) (her)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2" w:name="a30_21"/>
      <w:bookmarkEnd w:id="22"/>
      <w:r w:rsidRPr="00BC29F9">
        <w:rPr>
          <w:rFonts w:eastAsia="Times New Roman"/>
          <w:b/>
          <w:bCs/>
          <w:sz w:val="24"/>
          <w:szCs w:val="24"/>
        </w:rPr>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3" w:name="a30_22"/>
      <w:bookmarkEnd w:id="23"/>
      <w:r w:rsidRPr="00BC29F9">
        <w:rPr>
          <w:rFonts w:eastAsia="Times New Roman"/>
          <w:b/>
          <w:bCs/>
          <w:sz w:val="24"/>
          <w:szCs w:val="24"/>
        </w:rPr>
        <w:t>30:22</w:t>
      </w:r>
      <w:r w:rsidRPr="00BC29F9">
        <w:rPr>
          <w:rFonts w:eastAsia="Times New Roman"/>
          <w:b/>
          <w:bCs/>
          <w:sz w:val="24"/>
          <w:szCs w:val="24"/>
        </w:rPr>
        <w:tab/>
        <w:t>DEFENSE ― MENTAL INCAPACITY</w:t>
      </w:r>
    </w:p>
    <w:p w14:paraId="7DF5007C"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(he) (she)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in conjunction with Instruction 34:12, which defines the term “insane delusion.”</w:t>
      </w:r>
    </w:p>
    <w:p w14:paraId="2BC5D6A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in conjunction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4" w:name="a30_23"/>
      <w:bookmarkEnd w:id="24"/>
      <w:r w:rsidRPr="00BC29F9">
        <w:rPr>
          <w:rFonts w:eastAsia="Times New Roman"/>
          <w:b/>
          <w:bCs/>
          <w:sz w:val="24"/>
          <w:szCs w:val="24"/>
        </w:rPr>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not be given if the parties in their contract have impliedly or expressly dealt with the contingency giving rise to the claim of impossibility and have allocated the risk of the contingency taking place in a manner that would be inconsistent with paragraph 1 of this instruction. 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26DACDB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xml:space="preserve">, 176 P.3d 737 (Colo. 2007). </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5" w:name="a30_24"/>
      <w:bookmarkEnd w:id="25"/>
      <w:r w:rsidRPr="0000321C">
        <w:rPr>
          <w:rFonts w:eastAsia="Times New Roman"/>
          <w:b/>
          <w:bCs/>
          <w:sz w:val="24"/>
          <w:szCs w:val="24"/>
        </w:rPr>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1. By words or conduct, or both, the plaintiff caused the defendant not to perform (his) (her) (its) obligation as required by the (claimed) contract; and</w:t>
      </w:r>
    </w:p>
    <w:p w14:paraId="68F958F6"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2. The plaintiff actually knew, or knew there was a substantial likelihood, (his) (her)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6" w:name="a30_25"/>
      <w:bookmarkEnd w:id="26"/>
      <w:r w:rsidRPr="0000321C">
        <w:rPr>
          <w:rFonts w:eastAsia="Times New Roman"/>
          <w:b/>
          <w:bCs/>
          <w:sz w:val="24"/>
          <w:szCs w:val="24"/>
        </w:rPr>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(his) (her) (its)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(him) (her)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Tripp v. 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6874739"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nonwaiving party of some benefit. </w:t>
      </w:r>
      <w:r w:rsidR="00260CCC" w:rsidRPr="004C3FF2">
        <w:rPr>
          <w:rFonts w:eastAsia="Times New Roman"/>
          <w:b/>
          <w:bCs/>
          <w:sz w:val="24"/>
          <w:szCs w:val="24"/>
        </w:rPr>
        <w:t>Avicanna Inc. v. Mewhinney</w:t>
      </w:r>
      <w:r w:rsidR="00260CCC" w:rsidRPr="004C3FF2">
        <w:rPr>
          <w:rFonts w:eastAsia="Times New Roman"/>
          <w:bCs/>
          <w:sz w:val="24"/>
          <w:szCs w:val="24"/>
        </w:rPr>
        <w:t>, 2019 COA 129, ¶ 13</w:t>
      </w:r>
      <w:r w:rsidR="006459DB">
        <w:rPr>
          <w:rFonts w:eastAsia="Times New Roman"/>
          <w:bCs/>
          <w:sz w:val="24"/>
          <w:szCs w:val="24"/>
        </w:rPr>
        <w:t>, 487 P.3d 1110</w:t>
      </w:r>
      <w:r w:rsidR="00260CCC" w:rsidRPr="004C3FF2">
        <w:rPr>
          <w:rFonts w:eastAsia="Times New Roman"/>
          <w:bCs/>
          <w:sz w:val="24"/>
          <w:szCs w:val="24"/>
        </w:rPr>
        <w:t xml:space="preserve"> (enforcing unambiguous forum selection clause</w:t>
      </w:r>
      <w:r w:rsidR="00260CCC" w:rsidRPr="004C3FF2">
        <w:rPr>
          <w:sz w:val="24"/>
          <w:szCs w:val="24"/>
        </w:rPr>
        <w:t xml:space="preserve">); </w:t>
      </w:r>
      <w:r w:rsidR="00260CCC" w:rsidRPr="004C3FF2">
        <w:rPr>
          <w:rFonts w:eastAsia="Times New Roman"/>
          <w:b/>
          <w:bCs/>
          <w:sz w:val="24"/>
          <w:szCs w:val="24"/>
        </w:rPr>
        <w:t>Fravert v. Fesler</w:t>
      </w:r>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7" w:name="a30_26"/>
      <w:bookmarkEnd w:id="27"/>
      <w:r w:rsidRPr="0000321C">
        <w:rPr>
          <w:rFonts w:eastAsia="Times New Roman"/>
          <w:b/>
          <w:bCs/>
          <w:sz w:val="24"/>
          <w:szCs w:val="24"/>
        </w:rPr>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8" w:name="a30_27"/>
      <w:bookmarkEnd w:id="28"/>
      <w:r w:rsidRPr="00E43BF9">
        <w:rPr>
          <w:rFonts w:eastAsia="Times New Roman"/>
          <w:b/>
          <w:bCs/>
          <w:sz w:val="24"/>
          <w:szCs w:val="24"/>
        </w:rPr>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Before any party to the contract fully performed all (his) (her) (its)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29" w:name="a30_28"/>
      <w:bookmarkEnd w:id="29"/>
      <w:r w:rsidRPr="00E43BF9">
        <w:rPr>
          <w:rFonts w:eastAsia="Times New Roman"/>
          <w:b/>
          <w:bCs/>
          <w:sz w:val="24"/>
          <w:szCs w:val="24"/>
        </w:rPr>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3. The defendant has fully performed the (duty) (duties) (he) (she) (it)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0" w:name="a30_29"/>
      <w:bookmarkEnd w:id="30"/>
      <w:r w:rsidRPr="00E43BF9">
        <w:rPr>
          <w:rFonts w:eastAsia="Times New Roman"/>
          <w:b/>
          <w:bCs/>
          <w:sz w:val="24"/>
          <w:szCs w:val="24"/>
        </w:rPr>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1" w:name="IntroNoteD"/>
      <w:bookmarkEnd w:id="31"/>
      <w:r w:rsidRPr="00F755B7">
        <w:rPr>
          <w:rFonts w:eastAsia="Times New Roman"/>
          <w:b/>
          <w:sz w:val="24"/>
          <w:szCs w:val="24"/>
        </w:rPr>
        <w:t>Introductory Note</w:t>
      </w:r>
    </w:p>
    <w:p w14:paraId="773B3753" w14:textId="29E1E777"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6B7995" w:rsidRPr="004A6200">
        <w:rPr>
          <w:rFonts w:eastAsia="Times New Roman"/>
          <w:b/>
          <w:sz w:val="24"/>
          <w:szCs w:val="24"/>
        </w:rPr>
        <w:t>People ex rel. Rein  v. Jacobs</w:t>
      </w:r>
      <w:r w:rsidR="006B7995">
        <w:rPr>
          <w:rFonts w:eastAsia="Times New Roman"/>
          <w:bCs/>
          <w:sz w:val="24"/>
          <w:szCs w:val="24"/>
        </w:rPr>
        <w:t xml:space="preserve">, 2020 CO 50, ¶ 43, 465 P.3d 1;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2015 CO 11, ¶ 34, 343 P.3d 951</w:t>
      </w:r>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8BF8C82"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t>
      </w:r>
      <w:r w:rsidR="006B7995">
        <w:rPr>
          <w:rFonts w:eastAsia="Times New Roman"/>
          <w:bCs/>
          <w:sz w:val="24"/>
          <w:szCs w:val="24"/>
        </w:rPr>
        <w:t>Determining</w:t>
      </w:r>
      <w:r w:rsidR="006B7995" w:rsidRPr="00C63547">
        <w:rPr>
          <w:rFonts w:eastAsia="Times New Roman"/>
          <w:bCs/>
          <w:sz w:val="24"/>
          <w:szCs w:val="24"/>
        </w:rPr>
        <w:t xml:space="preserve"> </w:t>
      </w:r>
      <w:r w:rsidR="00C63547" w:rsidRPr="00C63547">
        <w:rPr>
          <w:rFonts w:eastAsia="Times New Roman"/>
          <w:bCs/>
          <w:sz w:val="24"/>
          <w:szCs w:val="24"/>
        </w:rPr>
        <w:t xml:space="preserve">whether an ambiguity exists in a written contract is a question of law for the court. </w:t>
      </w:r>
      <w:r w:rsidR="006B7995" w:rsidRPr="006D0BA6">
        <w:rPr>
          <w:rFonts w:eastAsia="Times New Roman"/>
          <w:b/>
          <w:sz w:val="24"/>
          <w:szCs w:val="24"/>
        </w:rPr>
        <w:t>Jacobs</w:t>
      </w:r>
      <w:r w:rsidR="006B7995">
        <w:rPr>
          <w:rFonts w:eastAsia="Times New Roman"/>
          <w:bCs/>
          <w:sz w:val="24"/>
          <w:szCs w:val="24"/>
        </w:rPr>
        <w:t>, 2020 CO 50, ¶ 49, 465 P.3d at 12 (“</w:t>
      </w:r>
      <w:r w:rsidR="00B15998">
        <w:rPr>
          <w:rFonts w:eastAsia="Times New Roman"/>
          <w:bCs/>
          <w:sz w:val="24"/>
          <w:szCs w:val="24"/>
        </w:rPr>
        <w:t>[W]</w:t>
      </w:r>
      <w:r w:rsidR="006B7995">
        <w:rPr>
          <w:rFonts w:eastAsia="Times New Roman"/>
          <w:bCs/>
          <w:sz w:val="24"/>
          <w:szCs w:val="24"/>
        </w:rPr>
        <w:t>e conclude, as a matter of law, that the Inclusion Agreement did not provide Jacobs with a legal fill and re-fill source for the ponds</w:t>
      </w:r>
      <w:r w:rsidR="00B15998">
        <w:rPr>
          <w:rFonts w:eastAsia="Times New Roman"/>
          <w:bCs/>
          <w:sz w:val="24"/>
          <w:szCs w:val="24"/>
        </w:rPr>
        <w:t>.</w:t>
      </w:r>
      <w:r w:rsidR="006B7995">
        <w:rPr>
          <w:rFonts w:eastAsia="Times New Roman"/>
          <w:bCs/>
          <w:sz w:val="24"/>
          <w:szCs w:val="24"/>
        </w:rPr>
        <w:t xml:space="preserve">”); </w:t>
      </w:r>
      <w:r w:rsidR="00C63547" w:rsidRPr="00C63547">
        <w:rPr>
          <w:rFonts w:eastAsia="Times New Roman"/>
          <w:b/>
          <w:bCs/>
          <w:sz w:val="24"/>
          <w:szCs w:val="24"/>
        </w:rPr>
        <w:t>Nat’l Cas. Co. v. Great Sw. Fire Ins. Co.</w:t>
      </w:r>
      <w:r w:rsidR="00C63547" w:rsidRPr="00C63547">
        <w:rPr>
          <w:rFonts w:eastAsia="Times New Roman"/>
          <w:bCs/>
          <w:sz w:val="24"/>
          <w:szCs w:val="24"/>
        </w:rPr>
        <w:t>, 833 P.2d 741 (Colo. 1992)</w:t>
      </w:r>
      <w:r w:rsidR="006B7995">
        <w:rPr>
          <w:rFonts w:eastAsia="Times New Roman"/>
          <w:bCs/>
          <w:sz w:val="24"/>
          <w:szCs w:val="24"/>
        </w:rPr>
        <w:t xml:space="preserve">; </w:t>
      </w:r>
      <w:r w:rsidR="006B7995" w:rsidRPr="00DF4635">
        <w:rPr>
          <w:rFonts w:eastAsia="Times New Roman"/>
          <w:b/>
          <w:sz w:val="24"/>
          <w:szCs w:val="24"/>
        </w:rPr>
        <w:t>Hess v. Hobart</w:t>
      </w:r>
      <w:r w:rsidR="006B7995">
        <w:rPr>
          <w:rFonts w:eastAsia="Times New Roman"/>
          <w:bCs/>
          <w:sz w:val="24"/>
          <w:szCs w:val="24"/>
        </w:rPr>
        <w:t>, 2020 COA 139M2, ¶ 10, 477 P.3d 771, 774 (“</w:t>
      </w:r>
      <w:r w:rsidR="00B15998">
        <w:rPr>
          <w:rFonts w:eastAsia="Times New Roman"/>
          <w:bCs/>
          <w:sz w:val="24"/>
          <w:szCs w:val="24"/>
        </w:rPr>
        <w:t>[W]</w:t>
      </w:r>
      <w:r w:rsidR="006B7995">
        <w:rPr>
          <w:rFonts w:eastAsia="Times New Roman"/>
          <w:bCs/>
          <w:sz w:val="24"/>
          <w:szCs w:val="24"/>
        </w:rPr>
        <w:t>e conclude that the phrase reserving ‘a life estate in all mineral rights’ unambiguously conveys a life estate” without any sharing of income with the fee holder</w:t>
      </w:r>
      <w:r w:rsidR="00B15998">
        <w:rPr>
          <w:rFonts w:eastAsia="Times New Roman"/>
          <w:bCs/>
          <w:sz w:val="24"/>
          <w:szCs w:val="24"/>
        </w:rPr>
        <w:t>.</w:t>
      </w:r>
      <w:r w:rsidR="006B7995">
        <w:rPr>
          <w:rFonts w:eastAsia="Times New Roman"/>
          <w:bCs/>
          <w:sz w:val="24"/>
          <w:szCs w:val="24"/>
        </w:rPr>
        <w:t>)</w:t>
      </w:r>
      <w:r w:rsidR="00C63547" w:rsidRPr="00C63547">
        <w:rPr>
          <w:rFonts w:eastAsia="Times New Roman"/>
          <w:bCs/>
          <w:sz w:val="24"/>
          <w:szCs w:val="24"/>
        </w:rPr>
        <w:t xml:space="preserve">. The provisions of a contract are ambiguous when they are susceptible to more than one reasonable interpretation. </w:t>
      </w:r>
      <w:r w:rsidR="00C63547" w:rsidRPr="00C63547">
        <w:rPr>
          <w:rFonts w:eastAsia="Times New Roman"/>
          <w:b/>
          <w:bCs/>
          <w:sz w:val="24"/>
          <w:szCs w:val="24"/>
        </w:rPr>
        <w:t>Am. Family Mut.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r w:rsidR="004D74F2" w:rsidRPr="00934CAE">
        <w:rPr>
          <w:b/>
          <w:sz w:val="24"/>
          <w:szCs w:val="24"/>
        </w:rPr>
        <w:t>Morley v. U</w:t>
      </w:r>
      <w:r w:rsidR="009A0224">
        <w:rPr>
          <w:b/>
          <w:sz w:val="24"/>
          <w:szCs w:val="24"/>
        </w:rPr>
        <w:t>nited</w:t>
      </w:r>
      <w:r w:rsidR="004D74F2" w:rsidRPr="00934CAE">
        <w:rPr>
          <w:b/>
          <w:sz w:val="24"/>
          <w:szCs w:val="24"/>
        </w:rPr>
        <w:t xml:space="preserve"> Servs. Auto. Ass’n</w:t>
      </w:r>
      <w:r w:rsidR="004D74F2">
        <w:rPr>
          <w:sz w:val="24"/>
          <w:szCs w:val="24"/>
        </w:rPr>
        <w:t>, 2019 COA 169, ¶ 16</w:t>
      </w:r>
      <w:r w:rsidR="009A0224">
        <w:rPr>
          <w:sz w:val="24"/>
          <w:szCs w:val="24"/>
        </w:rPr>
        <w:t>, 465 P.3d 71</w:t>
      </w:r>
      <w:r w:rsidR="004D74F2">
        <w:rPr>
          <w:sz w:val="24"/>
          <w:szCs w:val="24"/>
        </w:rPr>
        <w:t xml:space="preserve">; </w:t>
      </w:r>
      <w:r w:rsidRPr="00B01305">
        <w:rPr>
          <w:b/>
          <w:bCs/>
          <w:sz w:val="24"/>
          <w:szCs w:val="24"/>
        </w:rPr>
        <w:t>Filatov v. Turnage</w:t>
      </w:r>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ut the court may conclude that a contract is ambiguous even if the parties d</w:t>
      </w:r>
      <w:r w:rsidR="00934CAE">
        <w:rPr>
          <w:rFonts w:eastAsia="Times New Roman"/>
          <w:bCs/>
          <w:sz w:val="24"/>
          <w:szCs w:val="24"/>
        </w:rPr>
        <w:t>o</w:t>
      </w:r>
      <w:r w:rsidR="00C63547" w:rsidRPr="00C63547">
        <w:rPr>
          <w:rFonts w:eastAsia="Times New Roman"/>
          <w:bCs/>
          <w:sz w:val="24"/>
          <w:szCs w:val="24"/>
        </w:rPr>
        <w:t xml:space="preserve"> not so argue. </w:t>
      </w:r>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
    <w:p w14:paraId="2F692392" w14:textId="6E5B8E53"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 14</w:t>
      </w:r>
      <w:r w:rsidR="00275682">
        <w:rPr>
          <w:rFonts w:eastAsia="Times New Roman"/>
          <w:bCs/>
          <w:sz w:val="24"/>
          <w:szCs w:val="24"/>
        </w:rPr>
        <w:t>, 433 P.3d at 41</w:t>
      </w:r>
      <w:r w:rsidRPr="00812A4B">
        <w:rPr>
          <w:rFonts w:eastAsia="Times New Roman"/>
          <w:bCs/>
          <w:sz w:val="24"/>
          <w:szCs w:val="24"/>
        </w:rPr>
        <w:t xml:space="preserve">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F9437B2"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r w:rsidR="0070700B" w:rsidRPr="003D18F5">
        <w:rPr>
          <w:rFonts w:eastAsia="Times New Roman"/>
          <w:b/>
          <w:sz w:val="24"/>
          <w:szCs w:val="24"/>
        </w:rPr>
        <w:t>French v. Centura Health Corp</w:t>
      </w:r>
      <w:r w:rsidR="0070700B" w:rsidRPr="00721341">
        <w:rPr>
          <w:rFonts w:eastAsia="Times New Roman"/>
          <w:b/>
          <w:bCs/>
          <w:sz w:val="24"/>
          <w:szCs w:val="24"/>
        </w:rPr>
        <w:t>.</w:t>
      </w:r>
      <w:r w:rsidR="0070700B">
        <w:rPr>
          <w:rFonts w:eastAsia="Times New Roman"/>
          <w:bCs/>
          <w:sz w:val="24"/>
          <w:szCs w:val="24"/>
        </w:rPr>
        <w:t xml:space="preserve">, 2022 CO 20, ¶ 25, 509 P.3d 443, 449 (“In interpreting a contract, our primary goal is to give effect to the parties’ intent.”);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6241DAD9"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For a discussion of contractual conditions implied in fact or by law, see </w:t>
      </w:r>
      <w:r w:rsidR="00C63547" w:rsidRPr="00C63547">
        <w:rPr>
          <w:rFonts w:eastAsia="Times New Roman"/>
          <w:b/>
          <w:bCs/>
          <w:sz w:val="24"/>
          <w:szCs w:val="24"/>
        </w:rPr>
        <w:t>Lane v. Urgitis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145 P.3d 672 (Colo. 2006).</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2" w:name="a30_30"/>
      <w:bookmarkEnd w:id="32"/>
      <w:r w:rsidRPr="00C63547">
        <w:rPr>
          <w:rFonts w:eastAsia="Times New Roman"/>
          <w:b/>
          <w:bCs/>
          <w:sz w:val="24"/>
          <w:szCs w:val="24"/>
        </w:rPr>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3" w:name="a30_31"/>
      <w:bookmarkEnd w:id="33"/>
      <w:r w:rsidRPr="00C63547">
        <w:rPr>
          <w:rFonts w:eastAsia="Times New Roman"/>
          <w:b/>
          <w:bCs/>
          <w:sz w:val="24"/>
          <w:szCs w:val="24"/>
        </w:rPr>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1EBF5CF5" w14:textId="61DE4004" w:rsidR="00321DC6" w:rsidRDefault="00321DC6" w:rsidP="00883159">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r w:rsidRPr="00A6332F">
        <w:rPr>
          <w:rFonts w:eastAsia="Times New Roman"/>
          <w:b/>
          <w:bCs/>
          <w:sz w:val="24"/>
          <w:szCs w:val="24"/>
        </w:rPr>
        <w:t>Klun v. Klun</w:t>
      </w:r>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r w:rsidRPr="00EF62AA">
        <w:rPr>
          <w:rFonts w:eastAsia="Times New Roman"/>
          <w:b/>
          <w:bCs/>
          <w:sz w:val="24"/>
          <w:szCs w:val="24"/>
        </w:rPr>
        <w:t>Pepcol Mfg. v. Denver Union Corp.,</w:t>
      </w:r>
      <w:r w:rsidR="00EA32B8">
        <w:rPr>
          <w:rFonts w:eastAsia="Times New Roman"/>
          <w:bCs/>
          <w:sz w:val="24"/>
          <w:szCs w:val="24"/>
        </w:rPr>
        <w:t xml:space="preserve"> 687 P.2d 1310 (Colo. 1984).</w:t>
      </w:r>
    </w:p>
    <w:p w14:paraId="528C3361" w14:textId="1B839DBF" w:rsidR="00C63547" w:rsidRPr="00C63547" w:rsidRDefault="00321DC6" w:rsidP="00883159">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r w:rsidR="00C63547" w:rsidRPr="00C63547">
        <w:rPr>
          <w:rFonts w:eastAsia="Times New Roman"/>
          <w:b/>
          <w:bCs/>
          <w:sz w:val="24"/>
          <w:szCs w:val="24"/>
        </w:rPr>
        <w:t>Hildebrand v. New Vista Homes II, LLC</w:t>
      </w:r>
      <w:r w:rsidR="00C63547" w:rsidRPr="00C63547">
        <w:rPr>
          <w:rFonts w:eastAsia="Times New Roman"/>
          <w:bCs/>
          <w:sz w:val="24"/>
          <w:szCs w:val="24"/>
        </w:rPr>
        <w:t xml:space="preserve">, 252 P.3d 1159 (Colo. App. 2010). In cases involving an ambiguity in a written contract, the jury’s function is to determine the intention of the parties as a question of fact. </w:t>
      </w:r>
      <w:r w:rsidR="00C63547" w:rsidRPr="00C63547">
        <w:rPr>
          <w:rFonts w:eastAsia="Times New Roman"/>
          <w:b/>
          <w:bCs/>
          <w:sz w:val="24"/>
          <w:szCs w:val="24"/>
        </w:rPr>
        <w:t>Fire Ins. Exch. v. Rael</w:t>
      </w:r>
      <w:r w:rsidR="00C63547"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3C34F7A0"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
    <w:p w14:paraId="6632F31F" w14:textId="570C89DE"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r w:rsidR="00883159" w:rsidRPr="00883159">
        <w:rPr>
          <w:rFonts w:eastAsia="Times New Roman"/>
          <w:b/>
          <w:bCs/>
          <w:sz w:val="24"/>
          <w:szCs w:val="24"/>
        </w:rPr>
        <w:t>Owners Ins. Co. v. Dakota Station II Condo</w:t>
      </w:r>
      <w:r w:rsidR="00777C59">
        <w:rPr>
          <w:rFonts w:eastAsia="Times New Roman"/>
          <w:b/>
          <w:bCs/>
          <w:sz w:val="24"/>
          <w:szCs w:val="24"/>
        </w:rPr>
        <w:t>.</w:t>
      </w:r>
      <w:r w:rsidR="00883159" w:rsidRPr="00883159">
        <w:rPr>
          <w:rFonts w:eastAsia="Times New Roman"/>
          <w:b/>
          <w:bCs/>
          <w:sz w:val="24"/>
          <w:szCs w:val="24"/>
        </w:rPr>
        <w:t xml:space="preserve"> Ass’n</w:t>
      </w:r>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 Cas.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Bengtson v. USAA Prop. &amp; Cas. 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xml:space="preserve">, 15 P.3d at 778.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73B7A1FC"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Main Elec., Ltd. v. Printz Servs. 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
    <w:p w14:paraId="34E97FDF" w14:textId="66CE306A"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4" w:name="a30_32"/>
      <w:bookmarkEnd w:id="34"/>
      <w:r w:rsidRPr="00E32C6D">
        <w:rPr>
          <w:rFonts w:eastAsia="Times New Roman"/>
          <w:b/>
          <w:bCs/>
          <w:sz w:val="24"/>
          <w:szCs w:val="24"/>
        </w:rPr>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3572E59B"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w:t>
      </w:r>
      <w:r w:rsidR="004F6C99" w:rsidRPr="00E32C6D">
        <w:rPr>
          <w:rFonts w:eastAsia="Times New Roman"/>
          <w:b/>
          <w:bCs/>
          <w:sz w:val="24"/>
          <w:szCs w:val="24"/>
        </w:rPr>
        <w:t>Federal Deposit Insurance Corp. v. Fisher</w:t>
      </w:r>
      <w:r w:rsidR="004F6C99" w:rsidRPr="00E32C6D">
        <w:rPr>
          <w:rFonts w:eastAsia="Times New Roman"/>
          <w:bCs/>
          <w:sz w:val="24"/>
          <w:szCs w:val="24"/>
        </w:rPr>
        <w:t xml:space="preserve">, 2013 COA 5, ¶ 11, 292 P.3d 934; </w:t>
      </w:r>
      <w:r w:rsidR="004F6C99" w:rsidRPr="003D18F5">
        <w:rPr>
          <w:rFonts w:eastAsia="Times New Roman"/>
          <w:b/>
          <w:sz w:val="24"/>
          <w:szCs w:val="24"/>
        </w:rPr>
        <w:t>Taubman Cherry Creek Shopping C</w:t>
      </w:r>
      <w:r w:rsidR="004F6C99">
        <w:rPr>
          <w:rFonts w:eastAsia="Times New Roman"/>
          <w:b/>
          <w:sz w:val="24"/>
          <w:szCs w:val="24"/>
        </w:rPr>
        <w:t>en</w:t>
      </w:r>
      <w:r w:rsidR="004F6C99" w:rsidRPr="003D18F5">
        <w:rPr>
          <w:rFonts w:eastAsia="Times New Roman"/>
          <w:b/>
          <w:sz w:val="24"/>
          <w:szCs w:val="24"/>
        </w:rPr>
        <w:t>t</w:t>
      </w:r>
      <w:r w:rsidR="004F6C99">
        <w:rPr>
          <w:rFonts w:eastAsia="Times New Roman"/>
          <w:b/>
          <w:sz w:val="24"/>
          <w:szCs w:val="24"/>
        </w:rPr>
        <w:t>e</w:t>
      </w:r>
      <w:r w:rsidR="004F6C99" w:rsidRPr="003D18F5">
        <w:rPr>
          <w:rFonts w:eastAsia="Times New Roman"/>
          <w:b/>
          <w:sz w:val="24"/>
          <w:szCs w:val="24"/>
        </w:rPr>
        <w:t>r, LLC v. Neiman-Marcus Gr</w:t>
      </w:r>
      <w:r w:rsidR="004F6C99">
        <w:rPr>
          <w:rFonts w:eastAsia="Times New Roman"/>
          <w:b/>
          <w:sz w:val="24"/>
          <w:szCs w:val="24"/>
        </w:rPr>
        <w:t>ou</w:t>
      </w:r>
      <w:r w:rsidR="004F6C99" w:rsidRPr="003D18F5">
        <w:rPr>
          <w:rFonts w:eastAsia="Times New Roman"/>
          <w:b/>
          <w:sz w:val="24"/>
          <w:szCs w:val="24"/>
        </w:rPr>
        <w:t>p, Inc.</w:t>
      </w:r>
      <w:r w:rsidR="004F6C99">
        <w:rPr>
          <w:rFonts w:eastAsia="Times New Roman"/>
          <w:bCs/>
          <w:sz w:val="24"/>
          <w:szCs w:val="24"/>
        </w:rPr>
        <w:t xml:space="preserve">, 251 P.3d 1091 (Colo. App. 2010); </w:t>
      </w:r>
      <w:r w:rsidRPr="00E32C6D">
        <w:rPr>
          <w:rFonts w:eastAsia="Times New Roman"/>
          <w:bCs/>
          <w:sz w:val="24"/>
          <w:szCs w:val="24"/>
        </w:rPr>
        <w:t xml:space="preserve">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2C087AA7" w14:textId="68D10EA5" w:rsidR="006B7995" w:rsidRDefault="006B7995" w:rsidP="00E32C6D">
      <w:pPr>
        <w:spacing w:after="240"/>
        <w:ind w:firstLine="720"/>
        <w:rPr>
          <w:rFonts w:eastAsia="Times New Roman"/>
          <w:bCs/>
          <w:sz w:val="24"/>
          <w:szCs w:val="24"/>
        </w:rPr>
      </w:pPr>
      <w:r>
        <w:rPr>
          <w:rFonts w:eastAsia="Times New Roman"/>
          <w:bCs/>
          <w:sz w:val="24"/>
          <w:szCs w:val="24"/>
        </w:rPr>
        <w:t xml:space="preserve">3. Oil leases, like all contracts, must be interpreted in their entirety, harmonizing and giving effect to all provisions. </w:t>
      </w:r>
      <w:r w:rsidRPr="00FE6136">
        <w:rPr>
          <w:rFonts w:eastAsia="Times New Roman"/>
          <w:b/>
          <w:sz w:val="24"/>
          <w:szCs w:val="24"/>
        </w:rPr>
        <w:t>Bd</w:t>
      </w:r>
      <w:r>
        <w:rPr>
          <w:rFonts w:eastAsia="Times New Roman"/>
          <w:b/>
          <w:sz w:val="24"/>
          <w:szCs w:val="24"/>
        </w:rPr>
        <w:t>.</w:t>
      </w:r>
      <w:r w:rsidRPr="00FE6136">
        <w:rPr>
          <w:rFonts w:eastAsia="Times New Roman"/>
          <w:b/>
          <w:sz w:val="24"/>
          <w:szCs w:val="24"/>
        </w:rPr>
        <w:t xml:space="preserve"> of Cty</w:t>
      </w:r>
      <w:r>
        <w:rPr>
          <w:rFonts w:eastAsia="Times New Roman"/>
          <w:b/>
          <w:sz w:val="24"/>
          <w:szCs w:val="24"/>
        </w:rPr>
        <w:t>.</w:t>
      </w:r>
      <w:r w:rsidRPr="00FE6136">
        <w:rPr>
          <w:rFonts w:eastAsia="Times New Roman"/>
          <w:b/>
          <w:sz w:val="24"/>
          <w:szCs w:val="24"/>
        </w:rPr>
        <w:t xml:space="preserve"> Comm</w:t>
      </w:r>
      <w:r>
        <w:rPr>
          <w:rFonts w:eastAsia="Times New Roman"/>
          <w:b/>
          <w:sz w:val="24"/>
          <w:szCs w:val="24"/>
        </w:rPr>
        <w:t>’</w:t>
      </w:r>
      <w:r w:rsidRPr="00FE6136">
        <w:rPr>
          <w:rFonts w:eastAsia="Times New Roman"/>
          <w:b/>
          <w:sz w:val="24"/>
          <w:szCs w:val="24"/>
        </w:rPr>
        <w:t>rs v. Crestone Peak Res</w:t>
      </w:r>
      <w:r>
        <w:rPr>
          <w:rFonts w:eastAsia="Times New Roman"/>
          <w:b/>
          <w:sz w:val="24"/>
          <w:szCs w:val="24"/>
        </w:rPr>
        <w:t>.</w:t>
      </w:r>
      <w:r w:rsidRPr="00FE6136">
        <w:rPr>
          <w:rFonts w:eastAsia="Times New Roman"/>
          <w:b/>
          <w:sz w:val="24"/>
          <w:szCs w:val="24"/>
        </w:rPr>
        <w:t xml:space="preserve"> Operating LLC</w:t>
      </w:r>
      <w:r>
        <w:rPr>
          <w:rFonts w:eastAsia="Times New Roman"/>
          <w:bCs/>
          <w:sz w:val="24"/>
          <w:szCs w:val="24"/>
        </w:rPr>
        <w:t>, 2021 COA 67, ¶ 26</w:t>
      </w:r>
      <w:r w:rsidR="006459DB">
        <w:rPr>
          <w:rFonts w:eastAsia="Times New Roman"/>
          <w:bCs/>
          <w:sz w:val="24"/>
          <w:szCs w:val="24"/>
        </w:rPr>
        <w:t>, 493 P.3d 917, 922</w:t>
      </w:r>
      <w:r>
        <w:rPr>
          <w:rFonts w:eastAsia="Times New Roman"/>
          <w:bCs/>
          <w:sz w:val="24"/>
          <w:szCs w:val="24"/>
        </w:rPr>
        <w:t xml:space="preserve"> (“Boulder’s position (that production includes extraction) renders the leases’ clauses for shut-in royalties inoperative.”).</w:t>
      </w:r>
    </w:p>
    <w:p w14:paraId="372BCC06" w14:textId="73FA1C2D" w:rsidR="004F6C99" w:rsidRPr="00E32C6D" w:rsidRDefault="004F6C99" w:rsidP="00E32C6D">
      <w:pPr>
        <w:spacing w:after="240"/>
        <w:ind w:firstLine="720"/>
        <w:rPr>
          <w:rFonts w:eastAsia="Times New Roman"/>
          <w:bCs/>
          <w:sz w:val="24"/>
          <w:szCs w:val="24"/>
        </w:rPr>
      </w:pPr>
      <w:r>
        <w:rPr>
          <w:rFonts w:eastAsia="Times New Roman"/>
          <w:bCs/>
          <w:sz w:val="24"/>
          <w:szCs w:val="24"/>
        </w:rPr>
        <w:t>4.</w:t>
      </w:r>
      <w:r w:rsidRPr="004F6C99">
        <w:rPr>
          <w:rFonts w:eastAsia="Times New Roman"/>
          <w:bCs/>
          <w:sz w:val="24"/>
          <w:szCs w:val="24"/>
        </w:rPr>
        <w:t xml:space="preserve"> </w:t>
      </w:r>
      <w:r>
        <w:rPr>
          <w:rFonts w:eastAsia="Times New Roman"/>
          <w:bCs/>
          <w:sz w:val="24"/>
          <w:szCs w:val="24"/>
        </w:rPr>
        <w:t xml:space="preserve">For contract terms outside of the four corners of the contract to be incorporated by reference into the contract, the term to be incorporated generally must be clearly and expressly identified. </w:t>
      </w:r>
      <w:r w:rsidRPr="00353039">
        <w:rPr>
          <w:rFonts w:eastAsia="Times New Roman"/>
          <w:b/>
          <w:bCs/>
          <w:sz w:val="24"/>
          <w:szCs w:val="24"/>
        </w:rPr>
        <w:t>French v. Centura Health Corp</w:t>
      </w:r>
      <w:r>
        <w:rPr>
          <w:rFonts w:eastAsia="Times New Roman"/>
          <w:b/>
          <w:bCs/>
          <w:sz w:val="24"/>
          <w:szCs w:val="24"/>
        </w:rPr>
        <w:t>.</w:t>
      </w:r>
      <w:r w:rsidRPr="003D18F5">
        <w:rPr>
          <w:rFonts w:eastAsia="Times New Roman"/>
          <w:sz w:val="24"/>
          <w:szCs w:val="24"/>
        </w:rPr>
        <w:t>,</w:t>
      </w:r>
      <w:r>
        <w:rPr>
          <w:rFonts w:eastAsia="Times New Roman"/>
          <w:b/>
          <w:bCs/>
          <w:sz w:val="24"/>
          <w:szCs w:val="24"/>
        </w:rPr>
        <w:t xml:space="preserve"> </w:t>
      </w:r>
      <w:r w:rsidRPr="00357ACC">
        <w:rPr>
          <w:rFonts w:eastAsia="Times New Roman"/>
          <w:sz w:val="24"/>
          <w:szCs w:val="24"/>
        </w:rPr>
        <w:t>2022 CO 20, ¶ 29</w:t>
      </w:r>
      <w:r w:rsidR="00275682">
        <w:rPr>
          <w:rFonts w:eastAsia="Times New Roman"/>
          <w:sz w:val="24"/>
          <w:szCs w:val="24"/>
        </w:rPr>
        <w:t>, 509 P.3d 443, 449</w:t>
      </w:r>
      <w:r w:rsidRPr="00357ACC">
        <w:rPr>
          <w:rFonts w:eastAsia="Times New Roman"/>
          <w:sz w:val="24"/>
          <w:szCs w:val="24"/>
        </w:rPr>
        <w:t xml:space="preserve"> (“</w:t>
      </w:r>
      <w:r>
        <w:rPr>
          <w:rFonts w:eastAsia="Times New Roman"/>
          <w:sz w:val="24"/>
          <w:szCs w:val="24"/>
        </w:rPr>
        <w:t>Because French had no knowledge of and did not clearly and knowingly assent” to the defendant’s list of rates, the price term was left open and “the trial court properly tasked the jury with determining the reasonable value of the goods and services.</w:t>
      </w:r>
      <w:r w:rsidRPr="00357ACC">
        <w:rPr>
          <w:rFonts w:eastAsia="Times New Roman"/>
          <w:sz w:val="24"/>
          <w:szCs w:val="24"/>
        </w:rPr>
        <w:t>”)</w:t>
      </w:r>
      <w:r>
        <w:rPr>
          <w:rFonts w:eastAsia="Times New Roman"/>
          <w:sz w:val="24"/>
          <w:szCs w:val="24"/>
        </w:rPr>
        <w:t>.</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5" w:name="a30_33"/>
      <w:bookmarkEnd w:id="35"/>
      <w:r w:rsidRPr="00E32C6D">
        <w:rPr>
          <w:rFonts w:eastAsia="Times New Roman"/>
          <w:b/>
          <w:bCs/>
          <w:sz w:val="24"/>
          <w:szCs w:val="24"/>
        </w:rPr>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Allstate Insurance Co. v. Huizar</w:t>
      </w:r>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023AAB6A"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r w:rsidRPr="00777C59">
        <w:rPr>
          <w:rFonts w:eastAsia="Times New Roman"/>
          <w:bCs/>
          <w:sz w:val="24"/>
          <w:szCs w:val="24"/>
        </w:rPr>
        <w:t xml:space="preserve"> meaning of words used in contracts. </w:t>
      </w:r>
      <w:r w:rsidRPr="00777C59">
        <w:rPr>
          <w:rFonts w:eastAsia="Times New Roman"/>
          <w:b/>
          <w:bCs/>
          <w:sz w:val="24"/>
          <w:szCs w:val="24"/>
        </w:rPr>
        <w:t>Owners Ins. Co. v. Dakota Station II Condo</w:t>
      </w:r>
      <w:r>
        <w:rPr>
          <w:rFonts w:eastAsia="Times New Roman"/>
          <w:b/>
          <w:bCs/>
          <w:sz w:val="24"/>
          <w:szCs w:val="24"/>
        </w:rPr>
        <w:t>. Ass’n</w:t>
      </w:r>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r w:rsidRPr="00777C59">
        <w:rPr>
          <w:rFonts w:eastAsia="Times New Roman"/>
          <w:b/>
          <w:bCs/>
          <w:sz w:val="24"/>
          <w:szCs w:val="24"/>
        </w:rPr>
        <w:t>Renfandt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w:t>
      </w:r>
      <w:r w:rsidR="00275682">
        <w:rPr>
          <w:rFonts w:eastAsia="Times New Roman"/>
          <w:bCs/>
          <w:sz w:val="24"/>
          <w:szCs w:val="24"/>
        </w:rPr>
        <w:t>.</w:t>
      </w:r>
      <w:r w:rsidRPr="00777C59">
        <w:rPr>
          <w:rFonts w:eastAsia="Times New Roman"/>
          <w:bCs/>
          <w:sz w:val="24"/>
          <w:szCs w:val="24"/>
        </w:rPr>
        <w:t>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6" w:name="a30_34"/>
      <w:bookmarkEnd w:id="36"/>
      <w:r w:rsidRPr="00FE48F2">
        <w:rPr>
          <w:rFonts w:eastAsia="Times New Roman"/>
          <w:b/>
          <w:bCs/>
          <w:sz w:val="24"/>
          <w:szCs w:val="24"/>
        </w:rPr>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7A23FFB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2020 COA 58, ¶ 9</w:t>
      </w:r>
      <w:r w:rsidR="006459DB">
        <w:rPr>
          <w:rFonts w:eastAsia="Times New Roman"/>
          <w:bCs/>
          <w:sz w:val="24"/>
          <w:szCs w:val="24"/>
        </w:rPr>
        <w:t>, 465 P.3d 105, 107</w:t>
      </w:r>
      <w:r w:rsidRPr="00777C59">
        <w:rPr>
          <w:rFonts w:eastAsia="Times New Roman"/>
          <w:bCs/>
          <w:sz w:val="24"/>
          <w:szCs w:val="24"/>
        </w:rPr>
        <w:t xml:space="preserve">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7" w:name="a30_35"/>
      <w:bookmarkEnd w:id="37"/>
      <w:r w:rsidRPr="008857D3">
        <w:rPr>
          <w:rFonts w:eastAsia="Times New Roman"/>
          <w:b/>
          <w:bCs/>
          <w:sz w:val="24"/>
          <w:szCs w:val="24"/>
        </w:rPr>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8" w:name="a30_36"/>
      <w:bookmarkEnd w:id="38"/>
      <w:r w:rsidRPr="00C737F3">
        <w:rPr>
          <w:rFonts w:eastAsia="Times New Roman"/>
          <w:b/>
          <w:bCs/>
          <w:sz w:val="24"/>
          <w:szCs w:val="24"/>
        </w:rPr>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t>E. DAMAGES</w:t>
      </w:r>
    </w:p>
    <w:p w14:paraId="0C46ADBB" w14:textId="77777777" w:rsidR="00A63D35" w:rsidRPr="0054263B" w:rsidRDefault="00A63D35" w:rsidP="00A63D35">
      <w:pPr>
        <w:keepNext/>
        <w:spacing w:after="240"/>
        <w:jc w:val="center"/>
        <w:rPr>
          <w:rFonts w:eastAsia="Times New Roman"/>
          <w:b/>
          <w:sz w:val="24"/>
          <w:szCs w:val="24"/>
        </w:rPr>
      </w:pPr>
      <w:bookmarkStart w:id="39" w:name="IntroNoteE"/>
      <w:bookmarkEnd w:id="39"/>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0" w:name="a30_37"/>
      <w:bookmarkEnd w:id="40"/>
      <w:r w:rsidRPr="00E14F99">
        <w:rPr>
          <w:rFonts w:eastAsia="Times New Roman"/>
          <w:b/>
          <w:bCs/>
          <w:sz w:val="24"/>
          <w:szCs w:val="24"/>
        </w:rPr>
        <w:t>30:37</w:t>
      </w:r>
      <w:r w:rsidRPr="00E14F99">
        <w:rPr>
          <w:rFonts w:eastAsia="Times New Roman"/>
          <w:b/>
          <w:bCs/>
          <w:sz w:val="24"/>
          <w:szCs w:val="24"/>
        </w:rPr>
        <w:tab/>
        <w:t>DAMAGES ― INTRODUCTION</w:t>
      </w:r>
    </w:p>
    <w:p w14:paraId="10DAC338"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on (his) (her) (its) claim of breach of contract, then you must award (him) (her) (it)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1" w:name="a30_38"/>
      <w:bookmarkEnd w:id="41"/>
      <w:r w:rsidRPr="00E14F99">
        <w:rPr>
          <w:rFonts w:eastAsia="Times New Roman"/>
          <w:b/>
          <w:bCs/>
          <w:sz w:val="24"/>
          <w:szCs w:val="24"/>
        </w:rPr>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general damages have been proved, you shall award:</w:t>
      </w:r>
    </w:p>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30:53.</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Kaiser v. Market 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57735BE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 52</w:t>
      </w:r>
      <w:r w:rsidR="00275682">
        <w:rPr>
          <w:rFonts w:eastAsia="Times New Roman"/>
          <w:bCs/>
          <w:sz w:val="24"/>
          <w:szCs w:val="24"/>
        </w:rPr>
        <w:t>, 370 P.3d at 364</w:t>
      </w:r>
      <w:r w:rsidRPr="00930778">
        <w:rPr>
          <w:rFonts w:eastAsia="Times New Roman"/>
          <w:bCs/>
          <w:sz w:val="24"/>
          <w:szCs w:val="24"/>
        </w:rPr>
        <w:t xml:space="preserve">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2" w:name="a30_39"/>
      <w:bookmarkEnd w:id="42"/>
      <w:r w:rsidRPr="00930778">
        <w:rPr>
          <w:rFonts w:eastAsia="Times New Roman"/>
          <w:b/>
          <w:bCs/>
          <w:sz w:val="24"/>
          <w:szCs w:val="24"/>
        </w:rPr>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3" w:name="a30_40"/>
      <w:bookmarkEnd w:id="43"/>
      <w:r w:rsidRPr="00930778">
        <w:rPr>
          <w:rFonts w:eastAsia="Times New Roman"/>
          <w:b/>
          <w:bCs/>
          <w:sz w:val="24"/>
          <w:szCs w:val="24"/>
        </w:rPr>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4B163D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Pr="00930778">
        <w:rPr>
          <w:rFonts w:eastAsia="Times New Roman"/>
          <w:bCs/>
          <w:sz w:val="24"/>
          <w:szCs w:val="24"/>
        </w:rPr>
        <w:t xml:space="preserve">. </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4" w:name="a30_41"/>
      <w:bookmarkEnd w:id="44"/>
      <w:r w:rsidRPr="00B538B9">
        <w:rPr>
          <w:rFonts w:eastAsia="Times New Roman"/>
          <w:b/>
          <w:bCs/>
          <w:sz w:val="24"/>
          <w:szCs w:val="24"/>
        </w:rPr>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5" w:name="a30_42"/>
      <w:bookmarkEnd w:id="45"/>
      <w:r w:rsidRPr="00B538B9">
        <w:rPr>
          <w:rFonts w:eastAsia="Times New Roman"/>
          <w:b/>
          <w:bCs/>
          <w:sz w:val="24"/>
          <w:szCs w:val="24"/>
        </w:rPr>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w:t>
      </w:r>
      <w:r w:rsidR="007E4729" w:rsidRPr="00647C5D">
        <w:rPr>
          <w:rFonts w:eastAsia="Times New Roman"/>
          <w:b/>
          <w:bCs/>
          <w:sz w:val="24"/>
          <w:szCs w:val="24"/>
        </w:rPr>
        <w:t>Kroesen v. Shenandoah Homeowners Ass’n</w:t>
      </w:r>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6" w:name="a30_43"/>
      <w:bookmarkEnd w:id="46"/>
      <w:r w:rsidRPr="00190BD9">
        <w:rPr>
          <w:rFonts w:eastAsia="Times New Roman"/>
          <w:b/>
          <w:bCs/>
          <w:sz w:val="24"/>
          <w:szCs w:val="24"/>
        </w:rPr>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7" w:name="a30_44"/>
      <w:bookmarkEnd w:id="47"/>
      <w:r w:rsidRPr="00190BD9">
        <w:rPr>
          <w:rFonts w:eastAsia="Times New Roman"/>
          <w:b/>
          <w:bCs/>
          <w:sz w:val="24"/>
          <w:szCs w:val="24"/>
        </w:rPr>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8" w:name="a30_45"/>
      <w:bookmarkEnd w:id="48"/>
      <w:r w:rsidRPr="00190BD9">
        <w:rPr>
          <w:rFonts w:eastAsia="Times New Roman"/>
          <w:b/>
          <w:bCs/>
          <w:sz w:val="24"/>
          <w:szCs w:val="24"/>
        </w:rPr>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[he] [she]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49" w:name="a30_46"/>
      <w:bookmarkEnd w:id="49"/>
      <w:r w:rsidRPr="00190BD9">
        <w:rPr>
          <w:rFonts w:eastAsia="Times New Roman"/>
          <w:b/>
          <w:bCs/>
          <w:sz w:val="24"/>
          <w:szCs w:val="24"/>
        </w:rPr>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0" w:name="a30_47"/>
      <w:bookmarkEnd w:id="50"/>
      <w:r w:rsidRPr="00190BD9">
        <w:rPr>
          <w:rFonts w:eastAsia="Times New Roman"/>
          <w:b/>
          <w:bCs/>
          <w:sz w:val="24"/>
          <w:szCs w:val="24"/>
        </w:rPr>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1" w:name="a30_48"/>
      <w:bookmarkEnd w:id="51"/>
      <w:r w:rsidRPr="008B39B8">
        <w:rPr>
          <w:rFonts w:eastAsia="Times New Roman"/>
          <w:b/>
          <w:bCs/>
          <w:sz w:val="24"/>
          <w:szCs w:val="24"/>
        </w:rPr>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2" w:name="a30_49"/>
      <w:bookmarkEnd w:id="52"/>
      <w:r w:rsidRPr="008B39B8">
        <w:rPr>
          <w:rFonts w:eastAsia="Times New Roman"/>
          <w:b/>
          <w:bCs/>
          <w:sz w:val="24"/>
          <w:szCs w:val="24"/>
        </w:rPr>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3" w:name="a30_50"/>
      <w:bookmarkEnd w:id="53"/>
      <w:r w:rsidRPr="008B39B8">
        <w:rPr>
          <w:rFonts w:eastAsia="Times New Roman"/>
          <w:b/>
          <w:bCs/>
          <w:sz w:val="24"/>
          <w:szCs w:val="24"/>
        </w:rPr>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4" w:name="a30_51"/>
      <w:bookmarkEnd w:id="54"/>
      <w:r w:rsidRPr="00A76271">
        <w:rPr>
          <w:rFonts w:eastAsia="Times New Roman"/>
          <w:b/>
          <w:bCs/>
          <w:sz w:val="24"/>
          <w:szCs w:val="24"/>
        </w:rPr>
        <w:t xml:space="preserve">30:51 </w:t>
      </w:r>
      <w:r w:rsidRPr="00A76271">
        <w:rPr>
          <w:rFonts w:eastAsia="Times New Roman"/>
          <w:b/>
          <w:bCs/>
          <w:sz w:val="24"/>
          <w:szCs w:val="24"/>
        </w:rPr>
        <w:tab/>
        <w:t>DAMAGES ― BROKER’S FOR BREACH OF REAL ESTATE COMMISSION CONTRACT</w:t>
      </w:r>
    </w:p>
    <w:p w14:paraId="4CF0B7B9"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(That percentage of the sales price the defendant agreed to pay the plaintiff as [his] [her]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30:56 (listing elements of liability for a real estate commission claim), this instruction should be used as the insertion in Instruction 30:38.</w:t>
      </w:r>
    </w:p>
    <w:p w14:paraId="6E363A2F"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[his] [her]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30:56.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5" w:name="a30_52"/>
      <w:bookmarkEnd w:id="55"/>
      <w:r>
        <w:rPr>
          <w:rFonts w:eastAsia="Times New Roman"/>
          <w:b/>
          <w:bCs/>
          <w:sz w:val="24"/>
          <w:szCs w:val="24"/>
        </w:rPr>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6" w:name="a30_53"/>
      <w:bookmarkEnd w:id="56"/>
      <w:r w:rsidRPr="00A76271">
        <w:rPr>
          <w:rFonts w:eastAsia="Times New Roman"/>
          <w:b/>
          <w:bCs/>
          <w:sz w:val="24"/>
          <w:szCs w:val="24"/>
        </w:rPr>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p w14:paraId="3BB169D3" w14:textId="77777777" w:rsidR="00A76271" w:rsidRDefault="00A76271">
      <w:pPr>
        <w:rPr>
          <w:rFonts w:eastAsia="Times New Roman"/>
          <w:bCs/>
          <w:sz w:val="24"/>
          <w:szCs w:val="24"/>
        </w:rPr>
      </w:pPr>
      <w:r>
        <w:rPr>
          <w:rFonts w:eastAsia="Times New Roman"/>
          <w:bCs/>
          <w:sz w:val="24"/>
          <w:szCs w:val="24"/>
        </w:rPr>
        <w:br w:type="page"/>
      </w:r>
    </w:p>
    <w:p w14:paraId="203589CA" w14:textId="77777777" w:rsidR="00A76271" w:rsidRDefault="00A76271" w:rsidP="00A76271">
      <w:pPr>
        <w:spacing w:after="240"/>
        <w:jc w:val="center"/>
        <w:rPr>
          <w:rFonts w:eastAsia="Times New Roman"/>
          <w:b/>
          <w:sz w:val="24"/>
          <w:szCs w:val="24"/>
        </w:rPr>
      </w:pPr>
      <w:r w:rsidRPr="00A76271">
        <w:rPr>
          <w:rFonts w:eastAsia="Times New Roman"/>
          <w:b/>
          <w:sz w:val="24"/>
          <w:szCs w:val="24"/>
        </w:rPr>
        <w:t>F. PARTICULAR CONTRACTS</w:t>
      </w:r>
    </w:p>
    <w:p w14:paraId="40F3BE75" w14:textId="77777777" w:rsidR="00A76271" w:rsidRPr="009E3DA4" w:rsidRDefault="00A76271" w:rsidP="00A76271">
      <w:pPr>
        <w:spacing w:after="240"/>
        <w:ind w:left="720" w:hanging="720"/>
        <w:rPr>
          <w:rFonts w:eastAsia="Times New Roman"/>
          <w:b/>
          <w:sz w:val="24"/>
          <w:szCs w:val="24"/>
        </w:rPr>
      </w:pPr>
      <w:bookmarkStart w:id="57" w:name="a30_54"/>
      <w:bookmarkEnd w:id="57"/>
      <w:r w:rsidRPr="00A76271">
        <w:rPr>
          <w:rFonts w:eastAsia="Times New Roman"/>
          <w:b/>
          <w:bCs/>
          <w:sz w:val="24"/>
          <w:szCs w:val="24"/>
        </w:rPr>
        <w:t xml:space="preserve">30:54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p w14:paraId="61DE718F"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on (his) (her) claim of breach of implied warranty, you must find both of the following have been proved by a preponderance of the evidence:</w:t>
      </w:r>
    </w:p>
    <w:p w14:paraId="2DB759BC"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[he] [she]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either one or both of these statements has not been proved, then your verdict must be for the defendant.</w:t>
      </w:r>
    </w:p>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30:55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232F6BAE" w14:textId="77777777" w:rsidR="006B7995" w:rsidRDefault="00A76271" w:rsidP="00D21951">
      <w:pPr>
        <w:spacing w:after="240"/>
        <w:ind w:firstLine="720"/>
        <w:rPr>
          <w:rFonts w:eastAsia="Times New Roman"/>
          <w:bCs/>
          <w:sz w:val="24"/>
          <w:szCs w:val="24"/>
        </w:rPr>
      </w:pPr>
      <w:r w:rsidRPr="00A76271">
        <w:rPr>
          <w:rFonts w:eastAsia="Times New Roman"/>
          <w:bCs/>
          <w:sz w:val="24"/>
          <w:szCs w:val="24"/>
        </w:rPr>
        <w:t xml:space="preserve">2. </w:t>
      </w:r>
      <w:r w:rsidR="006B7995">
        <w:rPr>
          <w:rFonts w:eastAsia="Times New Roman"/>
          <w:bCs/>
          <w:sz w:val="24"/>
          <w:szCs w:val="24"/>
        </w:rPr>
        <w:t xml:space="preserve">This instruction, as revised by the trial court, was cited with approval in </w:t>
      </w:r>
      <w:r w:rsidR="006B7995" w:rsidRPr="001B22B7">
        <w:rPr>
          <w:rFonts w:eastAsia="Times New Roman"/>
          <w:b/>
          <w:sz w:val="24"/>
          <w:szCs w:val="24"/>
        </w:rPr>
        <w:t>Brooktree Village Homeowners Ass’n v. Brooktree Village</w:t>
      </w:r>
      <w:r w:rsidR="006B7995">
        <w:rPr>
          <w:rFonts w:eastAsia="Times New Roman"/>
          <w:b/>
          <w:sz w:val="24"/>
          <w:szCs w:val="24"/>
        </w:rPr>
        <w:t>,</w:t>
      </w:r>
      <w:r w:rsidR="006B7995" w:rsidRPr="001B22B7">
        <w:rPr>
          <w:rFonts w:eastAsia="Times New Roman"/>
          <w:b/>
          <w:sz w:val="24"/>
          <w:szCs w:val="24"/>
        </w:rPr>
        <w:t xml:space="preserve"> LLC</w:t>
      </w:r>
      <w:r w:rsidR="006B7995">
        <w:rPr>
          <w:rFonts w:eastAsia="Times New Roman"/>
          <w:bCs/>
          <w:sz w:val="24"/>
          <w:szCs w:val="24"/>
        </w:rPr>
        <w:t>, 2020 COA 165, ¶ 53, 479 P.3d 86, 97 (affirming jury verdict awarding damages to homeowner association for developer and builder’s breach of implied warranties in construction of common areas).</w:t>
      </w:r>
    </w:p>
    <w:p w14:paraId="573A4B65" w14:textId="334AE68C" w:rsidR="00A76271" w:rsidRPr="00A76271" w:rsidRDefault="006B7995" w:rsidP="00D21951">
      <w:pPr>
        <w:spacing w:after="240"/>
        <w:ind w:firstLine="720"/>
        <w:rPr>
          <w:rFonts w:eastAsia="Times New Roman"/>
          <w:bCs/>
          <w:sz w:val="24"/>
          <w:szCs w:val="24"/>
        </w:rPr>
      </w:pPr>
      <w:r>
        <w:rPr>
          <w:rFonts w:eastAsia="Times New Roman"/>
          <w:bCs/>
          <w:sz w:val="24"/>
          <w:szCs w:val="24"/>
        </w:rPr>
        <w:t xml:space="preserve">3. </w:t>
      </w:r>
      <w:r w:rsidR="00A76271" w:rsidRPr="00A76271">
        <w:rPr>
          <w:rFonts w:eastAsia="Times New Roman"/>
          <w:bCs/>
          <w:sz w:val="24"/>
          <w:szCs w:val="24"/>
        </w:rPr>
        <w:t xml:space="preserve">The failure to correct defects caused by hazards of soil, weather, labor, and other like conditions that are the responsibility of the builder is a failure to construct the building in a workmanlike manner. </w:t>
      </w:r>
      <w:r w:rsidR="00A76271" w:rsidRPr="00A76271">
        <w:rPr>
          <w:rFonts w:eastAsia="Times New Roman"/>
          <w:b/>
          <w:bCs/>
          <w:sz w:val="24"/>
          <w:szCs w:val="24"/>
        </w:rPr>
        <w:t>Newcomb v. Schaeffler</w:t>
      </w:r>
      <w:r w:rsidR="00A76271" w:rsidRPr="00A76271">
        <w:rPr>
          <w:rFonts w:eastAsia="Times New Roman"/>
          <w:bCs/>
          <w:sz w:val="24"/>
          <w:szCs w:val="24"/>
        </w:rPr>
        <w:t>, 131 Colo. 56, 279 P.2d 409 (1955).</w:t>
      </w:r>
    </w:p>
    <w:p w14:paraId="726B5334" w14:textId="47F4E6E2" w:rsidR="00A76271" w:rsidRPr="00A76271" w:rsidRDefault="006B7995" w:rsidP="00A76271">
      <w:pPr>
        <w:spacing w:after="240"/>
        <w:ind w:firstLine="720"/>
        <w:rPr>
          <w:rFonts w:eastAsia="Times New Roman"/>
          <w:bCs/>
          <w:sz w:val="24"/>
          <w:szCs w:val="24"/>
        </w:rPr>
      </w:pPr>
      <w:r>
        <w:rPr>
          <w:rFonts w:eastAsia="Times New Roman"/>
          <w:bCs/>
          <w:sz w:val="24"/>
          <w:szCs w:val="24"/>
        </w:rPr>
        <w:t>4</w:t>
      </w:r>
      <w:r w:rsidR="00A76271" w:rsidRPr="00A76271">
        <w:rPr>
          <w:rFonts w:eastAsia="Times New Roman"/>
          <w:bCs/>
          <w:sz w:val="24"/>
          <w:szCs w:val="24"/>
        </w:rPr>
        <w:t xml:space="preserve">. Privity is an essential element of claims for breach of implied warranties arising from transactions involving real property. </w:t>
      </w:r>
      <w:r w:rsidR="00A76271" w:rsidRPr="00A76271">
        <w:rPr>
          <w:rFonts w:eastAsia="Times New Roman"/>
          <w:b/>
          <w:bCs/>
          <w:sz w:val="24"/>
          <w:szCs w:val="24"/>
        </w:rPr>
        <w:t>Forest City Stapleton Inc. v. Rogers</w:t>
      </w:r>
      <w:r w:rsidR="00A76271"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00A76271" w:rsidRPr="00A76271">
        <w:rPr>
          <w:rFonts w:eastAsia="Times New Roman"/>
          <w:bCs/>
          <w:i/>
          <w:sz w:val="24"/>
          <w:szCs w:val="24"/>
        </w:rPr>
        <w:t>See</w:t>
      </w:r>
      <w:r w:rsidR="00A76271" w:rsidRPr="00A76271">
        <w:rPr>
          <w:rFonts w:eastAsia="Times New Roman"/>
          <w:bCs/>
          <w:sz w:val="24"/>
          <w:szCs w:val="24"/>
        </w:rPr>
        <w:t xml:space="preserve"> </w:t>
      </w:r>
      <w:r w:rsidR="00A76271" w:rsidRPr="00A76271">
        <w:rPr>
          <w:rFonts w:eastAsia="Times New Roman"/>
          <w:b/>
          <w:bCs/>
          <w:sz w:val="24"/>
          <w:szCs w:val="24"/>
        </w:rPr>
        <w:t>H.B. Bolas Enters., Inc. v. Zarlengo</w:t>
      </w:r>
      <w:r w:rsidR="00A76271" w:rsidRPr="00A76271">
        <w:rPr>
          <w:rFonts w:eastAsia="Times New Roman"/>
          <w:bCs/>
          <w:sz w:val="24"/>
          <w:szCs w:val="24"/>
        </w:rPr>
        <w:t xml:space="preserve">, 156 Colo. 530, 400 P.2d 447 (1965); </w:t>
      </w:r>
      <w:r w:rsidR="00A76271" w:rsidRPr="00A76271">
        <w:rPr>
          <w:rFonts w:eastAsia="Times New Roman"/>
          <w:bCs/>
          <w:i/>
          <w:sz w:val="24"/>
          <w:szCs w:val="24"/>
        </w:rPr>
        <w:t xml:space="preserve">see also </w:t>
      </w:r>
      <w:r w:rsidR="00A76271" w:rsidRPr="00A76271">
        <w:rPr>
          <w:rFonts w:eastAsia="Times New Roman"/>
          <w:b/>
          <w:bCs/>
          <w:sz w:val="24"/>
          <w:szCs w:val="24"/>
        </w:rPr>
        <w:t>Gallegos v. Graff</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00A76271" w:rsidRPr="00A76271">
        <w:rPr>
          <w:rFonts w:eastAsia="Times New Roman"/>
          <w:b/>
          <w:bCs/>
          <w:sz w:val="24"/>
          <w:szCs w:val="24"/>
        </w:rPr>
        <w:t>Utz v. Moss</w:t>
      </w:r>
      <w:r w:rsidR="00A76271"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00A76271" w:rsidRPr="00A76271">
        <w:rPr>
          <w:rFonts w:eastAsia="Times New Roman"/>
          <w:bCs/>
          <w:i/>
          <w:sz w:val="24"/>
          <w:szCs w:val="24"/>
        </w:rPr>
        <w:t>But see</w:t>
      </w:r>
      <w:r w:rsidR="00A76271" w:rsidRPr="00A76271">
        <w:rPr>
          <w:rFonts w:eastAsia="Times New Roman"/>
          <w:bCs/>
          <w:sz w:val="24"/>
          <w:szCs w:val="24"/>
        </w:rPr>
        <w:t xml:space="preserve"> </w:t>
      </w:r>
      <w:r w:rsidR="00A76271" w:rsidRPr="00A76271">
        <w:rPr>
          <w:rFonts w:eastAsia="Times New Roman"/>
          <w:b/>
          <w:bCs/>
          <w:sz w:val="24"/>
          <w:szCs w:val="24"/>
        </w:rPr>
        <w:t>Duncan v. Schuster-Graham Homes, Inc.</w:t>
      </w:r>
      <w:r w:rsidR="00A76271"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194A4CFD" w:rsidR="00A76271" w:rsidRPr="00A76271" w:rsidRDefault="006B7995" w:rsidP="00A76271">
      <w:pPr>
        <w:spacing w:after="240"/>
        <w:ind w:firstLine="720"/>
        <w:rPr>
          <w:rFonts w:eastAsia="Times New Roman"/>
          <w:bCs/>
          <w:sz w:val="24"/>
          <w:szCs w:val="24"/>
        </w:rPr>
      </w:pPr>
      <w:r>
        <w:rPr>
          <w:rFonts w:eastAsia="Times New Roman"/>
          <w:bCs/>
          <w:sz w:val="24"/>
          <w:szCs w:val="24"/>
        </w:rPr>
        <w:t>5</w:t>
      </w:r>
      <w:r w:rsidR="003333C4">
        <w:rPr>
          <w:rFonts w:eastAsia="Times New Roman"/>
          <w:bCs/>
          <w:sz w:val="24"/>
          <w:szCs w:val="24"/>
        </w:rPr>
        <w:t xml:space="preserve">.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r w:rsidR="00A76271" w:rsidRPr="00A76271">
        <w:rPr>
          <w:rFonts w:eastAsia="Times New Roman"/>
          <w:b/>
          <w:bCs/>
          <w:sz w:val="24"/>
          <w:szCs w:val="24"/>
        </w:rPr>
        <w:t>Rusch v. Lincoln-Devore Testing 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sidR="003333C4">
        <w:rPr>
          <w:rFonts w:eastAsia="Times New Roman"/>
          <w:bCs/>
          <w:sz w:val="24"/>
          <w:szCs w:val="24"/>
        </w:rPr>
        <w:t>.</w:t>
      </w:r>
      <w:r w:rsidR="00A76271" w:rsidRPr="00A76271">
        <w:rPr>
          <w:rFonts w:eastAsia="Times New Roman"/>
          <w:bCs/>
          <w:sz w:val="24"/>
          <w:szCs w:val="24"/>
        </w:rPr>
        <w:t xml:space="preserve"> </w:t>
      </w:r>
    </w:p>
    <w:p w14:paraId="085C6842" w14:textId="52783411" w:rsidR="00A76271" w:rsidRPr="00A76271" w:rsidRDefault="006B7995" w:rsidP="00A76271">
      <w:pPr>
        <w:spacing w:after="240"/>
        <w:ind w:firstLine="720"/>
        <w:rPr>
          <w:rFonts w:eastAsia="Times New Roman"/>
          <w:bCs/>
          <w:sz w:val="24"/>
          <w:szCs w:val="24"/>
        </w:rPr>
      </w:pPr>
      <w:r>
        <w:rPr>
          <w:rFonts w:eastAsia="Times New Roman"/>
          <w:bCs/>
          <w:sz w:val="24"/>
          <w:szCs w:val="24"/>
        </w:rPr>
        <w:t>6</w:t>
      </w:r>
      <w:r w:rsidR="00A76271" w:rsidRPr="00A76271">
        <w:rPr>
          <w:rFonts w:eastAsia="Times New Roman"/>
          <w:bCs/>
          <w:sz w:val="24"/>
          <w:szCs w:val="24"/>
        </w:rPr>
        <w:t>.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687245D1" w:rsidR="00A76271" w:rsidRPr="00A76271" w:rsidRDefault="006B7995" w:rsidP="00A76271">
      <w:pPr>
        <w:spacing w:after="240"/>
        <w:ind w:firstLine="720"/>
        <w:rPr>
          <w:rFonts w:eastAsia="Times New Roman"/>
          <w:bCs/>
          <w:sz w:val="24"/>
          <w:szCs w:val="24"/>
        </w:rPr>
      </w:pPr>
      <w:r>
        <w:rPr>
          <w:rFonts w:eastAsia="Times New Roman"/>
          <w:bCs/>
          <w:sz w:val="24"/>
          <w:szCs w:val="24"/>
        </w:rPr>
        <w:t>7</w:t>
      </w:r>
      <w:r w:rsidR="00A76271" w:rsidRPr="00A76271">
        <w:rPr>
          <w:rFonts w:eastAsia="Times New Roman"/>
          <w:bCs/>
          <w:sz w:val="24"/>
          <w:szCs w:val="24"/>
        </w:rPr>
        <w:t xml:space="preserve">.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00A76271" w:rsidRPr="00A76271">
        <w:rPr>
          <w:rFonts w:eastAsia="Times New Roman"/>
          <w:b/>
          <w:bCs/>
          <w:sz w:val="24"/>
          <w:szCs w:val="24"/>
        </w:rPr>
        <w:t>Weller v. Cosmopolitan Homes, Inc.</w:t>
      </w:r>
      <w:r w:rsidR="00A76271" w:rsidRPr="00A76271">
        <w:rPr>
          <w:rFonts w:eastAsia="Times New Roman"/>
          <w:bCs/>
          <w:sz w:val="24"/>
          <w:szCs w:val="24"/>
        </w:rPr>
        <w:t xml:space="preserve">, 44 Colo. App. 470, 471, 622 P.2d 577, 578 (1980), </w:t>
      </w:r>
      <w:r w:rsidR="00A76271" w:rsidRPr="00A76271">
        <w:rPr>
          <w:rFonts w:eastAsia="Times New Roman"/>
          <w:bCs/>
          <w:i/>
          <w:sz w:val="24"/>
          <w:szCs w:val="24"/>
        </w:rPr>
        <w:t>aff’d</w:t>
      </w:r>
      <w:r w:rsidR="00A76271" w:rsidRPr="00A76271">
        <w:rPr>
          <w:rFonts w:eastAsia="Times New Roman"/>
          <w:bCs/>
          <w:sz w:val="24"/>
          <w:szCs w:val="24"/>
        </w:rPr>
        <w:t xml:space="preserve">, 663 P.2d 1041 (Colo. 1983) (limiting the rule of the case “to latent defects which the purchaser was unable to discover prior to purchase”);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Johnson v. Graham</w:t>
      </w:r>
      <w:r w:rsidR="00A76271" w:rsidRPr="00A76271">
        <w:rPr>
          <w:rFonts w:eastAsia="Times New Roman"/>
          <w:bCs/>
          <w:sz w:val="24"/>
          <w:szCs w:val="24"/>
        </w:rPr>
        <w:t xml:space="preserve">, 679 P.2d 1090 (Colo. App. 1983) (undiscovered failure to install drain or properly compact soil could be considered latent defects), </w:t>
      </w:r>
      <w:r w:rsidR="00A76271" w:rsidRPr="00A76271">
        <w:rPr>
          <w:rFonts w:eastAsia="Times New Roman"/>
          <w:bCs/>
          <w:i/>
          <w:sz w:val="24"/>
          <w:szCs w:val="24"/>
        </w:rPr>
        <w:t>rev’d in part on other grounds sub nom.</w:t>
      </w:r>
      <w:r w:rsidR="00A76271" w:rsidRPr="00A76271">
        <w:rPr>
          <w:rFonts w:eastAsia="Times New Roman"/>
          <w:bCs/>
          <w:sz w:val="24"/>
          <w:szCs w:val="24"/>
        </w:rPr>
        <w:t xml:space="preserve"> </w:t>
      </w:r>
      <w:r w:rsidR="00A76271" w:rsidRPr="00A76271">
        <w:rPr>
          <w:rFonts w:eastAsia="Times New Roman"/>
          <w:b/>
          <w:bCs/>
          <w:sz w:val="24"/>
          <w:szCs w:val="24"/>
        </w:rPr>
        <w:t>Tri-Aspen Constr. Co. v. Johnson</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714 P.2d 484 (Colo. 1986). </w:t>
      </w:r>
    </w:p>
    <w:p w14:paraId="2EEA4D1D" w14:textId="02ED545F" w:rsidR="00A76271" w:rsidRPr="00A76271" w:rsidRDefault="006B7995" w:rsidP="00A76271">
      <w:pPr>
        <w:spacing w:after="240"/>
        <w:ind w:firstLine="720"/>
        <w:rPr>
          <w:rFonts w:eastAsia="Times New Roman"/>
          <w:bCs/>
          <w:sz w:val="24"/>
          <w:szCs w:val="24"/>
        </w:rPr>
      </w:pPr>
      <w:r>
        <w:rPr>
          <w:rFonts w:eastAsia="Times New Roman"/>
          <w:bCs/>
          <w:sz w:val="24"/>
          <w:szCs w:val="24"/>
        </w:rPr>
        <w:t>8</w:t>
      </w:r>
      <w:r w:rsidR="00A76271" w:rsidRPr="00A76271">
        <w:rPr>
          <w:rFonts w:eastAsia="Times New Roman"/>
          <w:bCs/>
          <w:sz w:val="24"/>
          <w:szCs w:val="24"/>
        </w:rPr>
        <w:t xml:space="preserve">. To be liable as a builder under this instruction the defendant must have been a person regularly engaged in the “business of building” so that the sale is commercial in nature, rather than casual or personal. </w:t>
      </w:r>
      <w:r w:rsidR="00A76271" w:rsidRPr="00A76271">
        <w:rPr>
          <w:rFonts w:eastAsia="Times New Roman"/>
          <w:b/>
          <w:bCs/>
          <w:sz w:val="24"/>
          <w:szCs w:val="24"/>
        </w:rPr>
        <w:t>Mazurek v. Nielsen</w:t>
      </w:r>
      <w:r w:rsidR="00A76271" w:rsidRPr="00A76271">
        <w:rPr>
          <w:rFonts w:eastAsia="Times New Roman"/>
          <w:bCs/>
          <w:sz w:val="24"/>
          <w:szCs w:val="24"/>
        </w:rPr>
        <w:t xml:space="preserve">, 42 Colo. App. 386, 599 P.2d 269; </w:t>
      </w:r>
      <w:r w:rsidR="00A76271" w:rsidRPr="00A76271">
        <w:rPr>
          <w:rFonts w:eastAsia="Times New Roman"/>
          <w:bCs/>
          <w:i/>
          <w:sz w:val="24"/>
          <w:szCs w:val="24"/>
        </w:rPr>
        <w:t>accord</w:t>
      </w:r>
      <w:r w:rsidR="00A76271" w:rsidRPr="00A76271">
        <w:rPr>
          <w:rFonts w:eastAsia="Times New Roman"/>
          <w:bCs/>
          <w:sz w:val="24"/>
          <w:szCs w:val="24"/>
        </w:rPr>
        <w:t xml:space="preserve"> </w:t>
      </w:r>
      <w:r w:rsidR="00A76271" w:rsidRPr="00A76271">
        <w:rPr>
          <w:rFonts w:eastAsia="Times New Roman"/>
          <w:b/>
          <w:bCs/>
          <w:sz w:val="24"/>
          <w:szCs w:val="24"/>
        </w:rPr>
        <w:t>Erickson v. Oberlohr</w:t>
      </w:r>
      <w:r w:rsidR="00A76271"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00A76271" w:rsidRPr="00A76271">
        <w:rPr>
          <w:rFonts w:eastAsia="Times New Roman"/>
          <w:b/>
          <w:bCs/>
          <w:sz w:val="24"/>
          <w:szCs w:val="24"/>
        </w:rPr>
        <w:t>Sloat v. Matheny</w:t>
      </w:r>
      <w:r w:rsidR="00A76271" w:rsidRPr="00A76271">
        <w:rPr>
          <w:rFonts w:eastAsia="Times New Roman"/>
          <w:bCs/>
          <w:sz w:val="24"/>
          <w:szCs w:val="24"/>
        </w:rPr>
        <w:t xml:space="preserve">, 625 P.2d 1031 (Colo. 1981);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Davies v. Bradley</w:t>
      </w:r>
      <w:r w:rsidR="00A76271"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65CA7423" w:rsidR="00A76271" w:rsidRPr="00A76271" w:rsidRDefault="006B7995" w:rsidP="00A76271">
      <w:pPr>
        <w:spacing w:after="240"/>
        <w:ind w:firstLine="720"/>
        <w:rPr>
          <w:rFonts w:eastAsia="Times New Roman"/>
          <w:bCs/>
          <w:sz w:val="24"/>
          <w:szCs w:val="24"/>
        </w:rPr>
      </w:pPr>
      <w:r>
        <w:rPr>
          <w:rFonts w:eastAsia="Times New Roman"/>
          <w:bCs/>
          <w:sz w:val="24"/>
          <w:szCs w:val="24"/>
        </w:rPr>
        <w:t>9</w:t>
      </w:r>
      <w:r w:rsidR="00A76271" w:rsidRPr="00A76271">
        <w:rPr>
          <w:rFonts w:eastAsia="Times New Roman"/>
          <w:bCs/>
          <w:sz w:val="24"/>
          <w:szCs w:val="24"/>
        </w:rPr>
        <w:t xml:space="preserve">.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00A76271" w:rsidRPr="00A76271">
        <w:rPr>
          <w:rFonts w:eastAsia="Times New Roman"/>
          <w:bCs/>
          <w:i/>
          <w:sz w:val="24"/>
          <w:szCs w:val="24"/>
        </w:rPr>
        <w:t>Id</w:t>
      </w:r>
      <w:r w:rsidR="00A76271" w:rsidRPr="00A76271">
        <w:rPr>
          <w:rFonts w:eastAsia="Times New Roman"/>
          <w:bCs/>
          <w:sz w:val="24"/>
          <w:szCs w:val="24"/>
        </w:rPr>
        <w:t>.</w:t>
      </w:r>
    </w:p>
    <w:p w14:paraId="41313813" w14:textId="22D64254" w:rsidR="00A76271" w:rsidRPr="00A76271" w:rsidRDefault="006B7995" w:rsidP="00A76271">
      <w:pPr>
        <w:spacing w:after="240"/>
        <w:ind w:firstLine="720"/>
        <w:rPr>
          <w:rFonts w:eastAsia="Times New Roman"/>
          <w:bCs/>
          <w:sz w:val="24"/>
          <w:szCs w:val="24"/>
        </w:rPr>
      </w:pPr>
      <w:r>
        <w:rPr>
          <w:rFonts w:eastAsia="Times New Roman"/>
          <w:bCs/>
          <w:sz w:val="24"/>
          <w:szCs w:val="24"/>
        </w:rPr>
        <w:t>10</w:t>
      </w:r>
      <w:r w:rsidR="00A76271" w:rsidRPr="00A76271">
        <w:rPr>
          <w:rFonts w:eastAsia="Times New Roman"/>
          <w:bCs/>
          <w:sz w:val="24"/>
          <w:szCs w:val="24"/>
        </w:rPr>
        <w:t xml:space="preserve">. An implied warranty comparable to the warranties covered by this instruction may arise from the sale of land by a commercial developer who improves land and sells it for an express purpose. </w:t>
      </w:r>
      <w:r w:rsidR="00A76271" w:rsidRPr="00A76271">
        <w:rPr>
          <w:rFonts w:eastAsia="Times New Roman"/>
          <w:bCs/>
          <w:i/>
          <w:sz w:val="24"/>
          <w:szCs w:val="24"/>
        </w:rPr>
        <w:t>See, e.g.</w:t>
      </w:r>
      <w:r w:rsidR="00A76271" w:rsidRPr="00A76271">
        <w:rPr>
          <w:rFonts w:eastAsia="Times New Roman"/>
          <w:bCs/>
          <w:sz w:val="24"/>
          <w:szCs w:val="24"/>
        </w:rPr>
        <w:t xml:space="preserve">, </w:t>
      </w:r>
      <w:r w:rsidR="00A76271" w:rsidRPr="00A76271">
        <w:rPr>
          <w:rFonts w:eastAsia="Times New Roman"/>
          <w:b/>
          <w:bCs/>
          <w:sz w:val="24"/>
          <w:szCs w:val="24"/>
        </w:rPr>
        <w:t>Rusch</w:t>
      </w:r>
      <w:r w:rsidR="00A76271" w:rsidRPr="00A76271">
        <w:rPr>
          <w:rFonts w:eastAsia="Times New Roman"/>
          <w:bCs/>
          <w:sz w:val="24"/>
          <w:szCs w:val="24"/>
        </w:rPr>
        <w:t>, 698 P.2d at 835 (recognizing an implied warranty of fitness for a particular purpose).</w:t>
      </w:r>
    </w:p>
    <w:p w14:paraId="18410127" w14:textId="10BB524E" w:rsidR="00A76271" w:rsidRPr="00A76271" w:rsidRDefault="006B7995" w:rsidP="00A76271">
      <w:pPr>
        <w:spacing w:after="240"/>
        <w:ind w:firstLine="720"/>
        <w:rPr>
          <w:rFonts w:eastAsia="Times New Roman"/>
          <w:bCs/>
          <w:sz w:val="24"/>
          <w:szCs w:val="24"/>
        </w:rPr>
      </w:pPr>
      <w:r>
        <w:rPr>
          <w:rFonts w:eastAsia="Times New Roman"/>
          <w:bCs/>
          <w:sz w:val="24"/>
          <w:szCs w:val="24"/>
        </w:rPr>
        <w:t>11</w:t>
      </w:r>
      <w:r w:rsidR="00A76271" w:rsidRPr="00A76271">
        <w:rPr>
          <w:rFonts w:eastAsia="Times New Roman"/>
          <w:bCs/>
          <w:sz w:val="24"/>
          <w:szCs w:val="24"/>
        </w:rPr>
        <w:t>.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77777777" w:rsidR="00D21951" w:rsidRPr="009E3DA4" w:rsidRDefault="00D21951" w:rsidP="00D21951">
      <w:pPr>
        <w:spacing w:after="240"/>
        <w:ind w:left="720" w:hanging="720"/>
        <w:rPr>
          <w:rFonts w:eastAsia="Times New Roman"/>
          <w:b/>
          <w:sz w:val="24"/>
          <w:szCs w:val="24"/>
        </w:rPr>
      </w:pPr>
      <w:bookmarkStart w:id="58" w:name="a30_55"/>
      <w:bookmarkEnd w:id="58"/>
      <w:r w:rsidRPr="00D21951">
        <w:rPr>
          <w:rFonts w:eastAsia="Times New Roman"/>
          <w:b/>
          <w:bCs/>
          <w:sz w:val="24"/>
          <w:szCs w:val="24"/>
        </w:rPr>
        <w:t xml:space="preserve">30:55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30:54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77777777" w:rsidR="008D41E0" w:rsidRPr="009E3DA4" w:rsidRDefault="008D41E0" w:rsidP="008D41E0">
      <w:pPr>
        <w:spacing w:after="240"/>
        <w:ind w:left="720" w:hanging="720"/>
        <w:rPr>
          <w:rFonts w:eastAsia="Times New Roman"/>
          <w:b/>
          <w:sz w:val="24"/>
          <w:szCs w:val="24"/>
        </w:rPr>
      </w:pPr>
      <w:bookmarkStart w:id="59" w:name="a30_56"/>
      <w:bookmarkEnd w:id="59"/>
      <w:r w:rsidRPr="008D41E0">
        <w:rPr>
          <w:rFonts w:eastAsia="Times New Roman"/>
          <w:b/>
          <w:bCs/>
          <w:sz w:val="24"/>
          <w:szCs w:val="24"/>
        </w:rPr>
        <w:t xml:space="preserve">30:56 </w:t>
      </w:r>
      <w:r w:rsidRPr="008D41E0">
        <w:rPr>
          <w:rFonts w:eastAsia="Times New Roman"/>
          <w:b/>
          <w:bCs/>
          <w:sz w:val="24"/>
          <w:szCs w:val="24"/>
        </w:rPr>
        <w:tab/>
        <w:t>CLAIM ― REAL ESTATE COMMISSION ― ELEMENTS OF LIABILITY</w:t>
      </w:r>
    </w:p>
    <w:p w14:paraId="2C528581"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on (his) (her)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Lieff v. 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3D747BE" w14:textId="77777777" w:rsidR="00A76271" w:rsidRPr="00A76271" w:rsidRDefault="008D41E0" w:rsidP="00A76271">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Re/Max Suburban, Inc. v. Widener</w:t>
      </w:r>
      <w:r w:rsidRPr="008D41E0">
        <w:rPr>
          <w:rFonts w:eastAsia="Times New Roman"/>
          <w:bCs/>
          <w:sz w:val="24"/>
          <w:szCs w:val="24"/>
        </w:rPr>
        <w:t>, 633 P.2d 530 (Colo. App. 1981) (broker not entitled to commission when sale failed to close due to fault of broker).</w:t>
      </w:r>
    </w:p>
    <w:sectPr w:rsidR="00A76271" w:rsidRPr="00A76271"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750D" w14:textId="77777777" w:rsidR="00007D94" w:rsidRDefault="00007D94" w:rsidP="0054263B">
      <w:r>
        <w:separator/>
      </w:r>
    </w:p>
    <w:p w14:paraId="608D2F5D" w14:textId="77777777" w:rsidR="00007D94" w:rsidRDefault="00007D94"/>
  </w:endnote>
  <w:endnote w:type="continuationSeparator" w:id="0">
    <w:p w14:paraId="0CA11101" w14:textId="77777777" w:rsidR="00007D94" w:rsidRDefault="00007D94" w:rsidP="0054263B">
      <w:r>
        <w:continuationSeparator/>
      </w:r>
    </w:p>
    <w:p w14:paraId="1A15FDB3" w14:textId="77777777" w:rsidR="00007D94" w:rsidRDefault="0000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3505C874" w14:textId="77777777" w:rsidR="00162471" w:rsidRDefault="0016247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9E7E541" w14:textId="77777777" w:rsidR="00162471" w:rsidRDefault="00162471">
    <w:pPr>
      <w:pStyle w:val="Footer"/>
    </w:pPr>
  </w:p>
  <w:p w14:paraId="1052C3A9" w14:textId="77777777" w:rsidR="00162471" w:rsidRDefault="00162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F12C" w14:textId="77777777" w:rsidR="00007D94" w:rsidRDefault="00007D94" w:rsidP="0054263B">
      <w:r>
        <w:separator/>
      </w:r>
    </w:p>
    <w:p w14:paraId="274C075E" w14:textId="77777777" w:rsidR="00007D94" w:rsidRDefault="00007D94"/>
  </w:footnote>
  <w:footnote w:type="continuationSeparator" w:id="0">
    <w:p w14:paraId="256C6EF3" w14:textId="77777777" w:rsidR="00007D94" w:rsidRDefault="00007D94" w:rsidP="0054263B">
      <w:r>
        <w:continuationSeparator/>
      </w:r>
    </w:p>
    <w:p w14:paraId="4BE92EBA" w14:textId="77777777" w:rsidR="00007D94" w:rsidRDefault="00007D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0941725">
    <w:abstractNumId w:val="0"/>
  </w:num>
  <w:num w:numId="2" w16cid:durableId="1707364070">
    <w:abstractNumId w:val="1"/>
  </w:num>
  <w:num w:numId="3" w16cid:durableId="126623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07D94"/>
    <w:rsid w:val="00011100"/>
    <w:rsid w:val="00020CF1"/>
    <w:rsid w:val="00037111"/>
    <w:rsid w:val="0006367C"/>
    <w:rsid w:val="00074558"/>
    <w:rsid w:val="00074E3E"/>
    <w:rsid w:val="00077957"/>
    <w:rsid w:val="000824C8"/>
    <w:rsid w:val="00082B8A"/>
    <w:rsid w:val="00085495"/>
    <w:rsid w:val="000921F1"/>
    <w:rsid w:val="0009462F"/>
    <w:rsid w:val="000962C8"/>
    <w:rsid w:val="000A040F"/>
    <w:rsid w:val="000B1B7A"/>
    <w:rsid w:val="000C204E"/>
    <w:rsid w:val="000C503A"/>
    <w:rsid w:val="000C6F97"/>
    <w:rsid w:val="000D4856"/>
    <w:rsid w:val="000F205C"/>
    <w:rsid w:val="00107803"/>
    <w:rsid w:val="001117D9"/>
    <w:rsid w:val="00112C8E"/>
    <w:rsid w:val="00112FF9"/>
    <w:rsid w:val="00124328"/>
    <w:rsid w:val="00125209"/>
    <w:rsid w:val="00126B7A"/>
    <w:rsid w:val="001333F4"/>
    <w:rsid w:val="001436C0"/>
    <w:rsid w:val="00144917"/>
    <w:rsid w:val="0015641B"/>
    <w:rsid w:val="001608FF"/>
    <w:rsid w:val="00162471"/>
    <w:rsid w:val="001671A9"/>
    <w:rsid w:val="00172259"/>
    <w:rsid w:val="00172674"/>
    <w:rsid w:val="00172700"/>
    <w:rsid w:val="00174BB5"/>
    <w:rsid w:val="0018388B"/>
    <w:rsid w:val="00184ADB"/>
    <w:rsid w:val="001903CB"/>
    <w:rsid w:val="00190BD9"/>
    <w:rsid w:val="001913B1"/>
    <w:rsid w:val="00191498"/>
    <w:rsid w:val="00191C86"/>
    <w:rsid w:val="001A2648"/>
    <w:rsid w:val="001A2D0C"/>
    <w:rsid w:val="001A5FFB"/>
    <w:rsid w:val="001C6755"/>
    <w:rsid w:val="001E0F3B"/>
    <w:rsid w:val="001F0193"/>
    <w:rsid w:val="001F1E78"/>
    <w:rsid w:val="00200BA5"/>
    <w:rsid w:val="00202B81"/>
    <w:rsid w:val="002032E9"/>
    <w:rsid w:val="00205E29"/>
    <w:rsid w:val="002065D8"/>
    <w:rsid w:val="0021368F"/>
    <w:rsid w:val="0021730E"/>
    <w:rsid w:val="00217435"/>
    <w:rsid w:val="0022134E"/>
    <w:rsid w:val="00223286"/>
    <w:rsid w:val="0022376C"/>
    <w:rsid w:val="00225507"/>
    <w:rsid w:val="00227D3A"/>
    <w:rsid w:val="00234064"/>
    <w:rsid w:val="0024062B"/>
    <w:rsid w:val="0024597C"/>
    <w:rsid w:val="002472C0"/>
    <w:rsid w:val="00247DD6"/>
    <w:rsid w:val="002547C3"/>
    <w:rsid w:val="00260CCC"/>
    <w:rsid w:val="002654B4"/>
    <w:rsid w:val="00266772"/>
    <w:rsid w:val="00267805"/>
    <w:rsid w:val="00273777"/>
    <w:rsid w:val="00275682"/>
    <w:rsid w:val="00290935"/>
    <w:rsid w:val="00293F7E"/>
    <w:rsid w:val="002A23B0"/>
    <w:rsid w:val="002A6EC7"/>
    <w:rsid w:val="002B5FCF"/>
    <w:rsid w:val="002D0987"/>
    <w:rsid w:val="002D163D"/>
    <w:rsid w:val="002D295C"/>
    <w:rsid w:val="002E0970"/>
    <w:rsid w:val="002E1D1B"/>
    <w:rsid w:val="002E562A"/>
    <w:rsid w:val="002F0E75"/>
    <w:rsid w:val="002F48D6"/>
    <w:rsid w:val="00304398"/>
    <w:rsid w:val="0030601B"/>
    <w:rsid w:val="00316D33"/>
    <w:rsid w:val="00317364"/>
    <w:rsid w:val="00320613"/>
    <w:rsid w:val="00321DC6"/>
    <w:rsid w:val="0032367C"/>
    <w:rsid w:val="003247EA"/>
    <w:rsid w:val="00324C57"/>
    <w:rsid w:val="003259EE"/>
    <w:rsid w:val="0033011F"/>
    <w:rsid w:val="003333C4"/>
    <w:rsid w:val="00333886"/>
    <w:rsid w:val="00335934"/>
    <w:rsid w:val="00336CE4"/>
    <w:rsid w:val="00345533"/>
    <w:rsid w:val="00351D52"/>
    <w:rsid w:val="00352111"/>
    <w:rsid w:val="00352433"/>
    <w:rsid w:val="00352696"/>
    <w:rsid w:val="00353044"/>
    <w:rsid w:val="00355C52"/>
    <w:rsid w:val="003613FE"/>
    <w:rsid w:val="00367D0F"/>
    <w:rsid w:val="00371A9C"/>
    <w:rsid w:val="00382177"/>
    <w:rsid w:val="003837B6"/>
    <w:rsid w:val="003937B8"/>
    <w:rsid w:val="003A2F1C"/>
    <w:rsid w:val="003A5A75"/>
    <w:rsid w:val="003B308A"/>
    <w:rsid w:val="003B31A1"/>
    <w:rsid w:val="003C4FD1"/>
    <w:rsid w:val="003D027F"/>
    <w:rsid w:val="003D1B54"/>
    <w:rsid w:val="003D370E"/>
    <w:rsid w:val="003E472A"/>
    <w:rsid w:val="003E47F0"/>
    <w:rsid w:val="003E5B38"/>
    <w:rsid w:val="003E773D"/>
    <w:rsid w:val="003F108C"/>
    <w:rsid w:val="003F4A7F"/>
    <w:rsid w:val="003F6E89"/>
    <w:rsid w:val="00405443"/>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FB2"/>
    <w:rsid w:val="00473B65"/>
    <w:rsid w:val="00474A7E"/>
    <w:rsid w:val="00474B1B"/>
    <w:rsid w:val="0048175E"/>
    <w:rsid w:val="0048541F"/>
    <w:rsid w:val="00491DC0"/>
    <w:rsid w:val="0049313F"/>
    <w:rsid w:val="004978F9"/>
    <w:rsid w:val="004A1210"/>
    <w:rsid w:val="004A2D52"/>
    <w:rsid w:val="004A32E6"/>
    <w:rsid w:val="004B0E7F"/>
    <w:rsid w:val="004B108D"/>
    <w:rsid w:val="004B3F74"/>
    <w:rsid w:val="004B753E"/>
    <w:rsid w:val="004C25F7"/>
    <w:rsid w:val="004C330E"/>
    <w:rsid w:val="004C3FF2"/>
    <w:rsid w:val="004C62F9"/>
    <w:rsid w:val="004C723A"/>
    <w:rsid w:val="004D0F36"/>
    <w:rsid w:val="004D2C99"/>
    <w:rsid w:val="004D5700"/>
    <w:rsid w:val="004D74F2"/>
    <w:rsid w:val="004E0408"/>
    <w:rsid w:val="004E7EF1"/>
    <w:rsid w:val="004F003D"/>
    <w:rsid w:val="004F6C99"/>
    <w:rsid w:val="00502D97"/>
    <w:rsid w:val="005065E6"/>
    <w:rsid w:val="0051385E"/>
    <w:rsid w:val="005156F1"/>
    <w:rsid w:val="00516447"/>
    <w:rsid w:val="00516994"/>
    <w:rsid w:val="0052537F"/>
    <w:rsid w:val="00527A18"/>
    <w:rsid w:val="00527AD3"/>
    <w:rsid w:val="0053029A"/>
    <w:rsid w:val="00531F87"/>
    <w:rsid w:val="0053544D"/>
    <w:rsid w:val="0054263B"/>
    <w:rsid w:val="00547D97"/>
    <w:rsid w:val="00550AFD"/>
    <w:rsid w:val="00555B52"/>
    <w:rsid w:val="00555BA5"/>
    <w:rsid w:val="00557FCC"/>
    <w:rsid w:val="005648EF"/>
    <w:rsid w:val="0057771F"/>
    <w:rsid w:val="005A22A6"/>
    <w:rsid w:val="005A7E19"/>
    <w:rsid w:val="005B27FE"/>
    <w:rsid w:val="005B3A78"/>
    <w:rsid w:val="005C56C9"/>
    <w:rsid w:val="005C5CCB"/>
    <w:rsid w:val="005D1AD3"/>
    <w:rsid w:val="005D1F16"/>
    <w:rsid w:val="005D3156"/>
    <w:rsid w:val="005E712D"/>
    <w:rsid w:val="005E7146"/>
    <w:rsid w:val="005F1017"/>
    <w:rsid w:val="005F19FD"/>
    <w:rsid w:val="005F5A94"/>
    <w:rsid w:val="00604F03"/>
    <w:rsid w:val="006053F6"/>
    <w:rsid w:val="006248A0"/>
    <w:rsid w:val="006272FE"/>
    <w:rsid w:val="00631BFF"/>
    <w:rsid w:val="006353DF"/>
    <w:rsid w:val="00642649"/>
    <w:rsid w:val="006451C7"/>
    <w:rsid w:val="006454FD"/>
    <w:rsid w:val="006459DB"/>
    <w:rsid w:val="00647C5D"/>
    <w:rsid w:val="00647CC5"/>
    <w:rsid w:val="00651A64"/>
    <w:rsid w:val="00661D05"/>
    <w:rsid w:val="0066482C"/>
    <w:rsid w:val="00675252"/>
    <w:rsid w:val="00676566"/>
    <w:rsid w:val="00681A2C"/>
    <w:rsid w:val="00682B93"/>
    <w:rsid w:val="0068336D"/>
    <w:rsid w:val="00683FA1"/>
    <w:rsid w:val="00685E76"/>
    <w:rsid w:val="00687304"/>
    <w:rsid w:val="00697DF2"/>
    <w:rsid w:val="006A74B6"/>
    <w:rsid w:val="006B2344"/>
    <w:rsid w:val="006B2457"/>
    <w:rsid w:val="006B26D7"/>
    <w:rsid w:val="006B7995"/>
    <w:rsid w:val="006C5791"/>
    <w:rsid w:val="006D1D57"/>
    <w:rsid w:val="006E0D06"/>
    <w:rsid w:val="006E1A5A"/>
    <w:rsid w:val="006E33D5"/>
    <w:rsid w:val="006E3575"/>
    <w:rsid w:val="006E62F0"/>
    <w:rsid w:val="006F590D"/>
    <w:rsid w:val="006F7581"/>
    <w:rsid w:val="006F7DC0"/>
    <w:rsid w:val="00702B5A"/>
    <w:rsid w:val="0070700B"/>
    <w:rsid w:val="0070752A"/>
    <w:rsid w:val="007119D8"/>
    <w:rsid w:val="0071225B"/>
    <w:rsid w:val="00713866"/>
    <w:rsid w:val="00716C9E"/>
    <w:rsid w:val="00720705"/>
    <w:rsid w:val="00721341"/>
    <w:rsid w:val="007216DA"/>
    <w:rsid w:val="00724230"/>
    <w:rsid w:val="00726E21"/>
    <w:rsid w:val="007340B5"/>
    <w:rsid w:val="00736474"/>
    <w:rsid w:val="00753103"/>
    <w:rsid w:val="007532AB"/>
    <w:rsid w:val="007532F7"/>
    <w:rsid w:val="00760809"/>
    <w:rsid w:val="00766F81"/>
    <w:rsid w:val="00770AB7"/>
    <w:rsid w:val="00770FFC"/>
    <w:rsid w:val="007760D1"/>
    <w:rsid w:val="0077696B"/>
    <w:rsid w:val="00777C59"/>
    <w:rsid w:val="00783F23"/>
    <w:rsid w:val="00785E7D"/>
    <w:rsid w:val="00787065"/>
    <w:rsid w:val="00792028"/>
    <w:rsid w:val="007A087B"/>
    <w:rsid w:val="007A3A0E"/>
    <w:rsid w:val="007A612E"/>
    <w:rsid w:val="007B1633"/>
    <w:rsid w:val="007D0461"/>
    <w:rsid w:val="007D168F"/>
    <w:rsid w:val="007D198E"/>
    <w:rsid w:val="007D2BCE"/>
    <w:rsid w:val="007D39CC"/>
    <w:rsid w:val="007E1675"/>
    <w:rsid w:val="007E4729"/>
    <w:rsid w:val="007E7C7D"/>
    <w:rsid w:val="007F7129"/>
    <w:rsid w:val="00801691"/>
    <w:rsid w:val="00806282"/>
    <w:rsid w:val="00813A6B"/>
    <w:rsid w:val="0082168C"/>
    <w:rsid w:val="00826FD6"/>
    <w:rsid w:val="0083254A"/>
    <w:rsid w:val="0083264A"/>
    <w:rsid w:val="00832DB4"/>
    <w:rsid w:val="0083763B"/>
    <w:rsid w:val="00837F81"/>
    <w:rsid w:val="00845F81"/>
    <w:rsid w:val="00846B11"/>
    <w:rsid w:val="00850A48"/>
    <w:rsid w:val="00851A69"/>
    <w:rsid w:val="00853ECF"/>
    <w:rsid w:val="008557E1"/>
    <w:rsid w:val="0086735A"/>
    <w:rsid w:val="008703EF"/>
    <w:rsid w:val="00871AA8"/>
    <w:rsid w:val="00875064"/>
    <w:rsid w:val="008812A8"/>
    <w:rsid w:val="00881431"/>
    <w:rsid w:val="00883159"/>
    <w:rsid w:val="008857D3"/>
    <w:rsid w:val="008859AF"/>
    <w:rsid w:val="00891731"/>
    <w:rsid w:val="00891A22"/>
    <w:rsid w:val="00895065"/>
    <w:rsid w:val="008A1099"/>
    <w:rsid w:val="008A475A"/>
    <w:rsid w:val="008A6339"/>
    <w:rsid w:val="008A637B"/>
    <w:rsid w:val="008B1617"/>
    <w:rsid w:val="008B39B8"/>
    <w:rsid w:val="008C1739"/>
    <w:rsid w:val="008C7F8F"/>
    <w:rsid w:val="008D1995"/>
    <w:rsid w:val="008D2D56"/>
    <w:rsid w:val="008D41E0"/>
    <w:rsid w:val="008D4A28"/>
    <w:rsid w:val="008D609F"/>
    <w:rsid w:val="008D7ECC"/>
    <w:rsid w:val="008E39FC"/>
    <w:rsid w:val="008E41F1"/>
    <w:rsid w:val="008E51AF"/>
    <w:rsid w:val="008F3AE7"/>
    <w:rsid w:val="008F4C42"/>
    <w:rsid w:val="008F746C"/>
    <w:rsid w:val="008F7C04"/>
    <w:rsid w:val="009007E8"/>
    <w:rsid w:val="009022AA"/>
    <w:rsid w:val="0090292A"/>
    <w:rsid w:val="00902A25"/>
    <w:rsid w:val="00906766"/>
    <w:rsid w:val="00914128"/>
    <w:rsid w:val="00930778"/>
    <w:rsid w:val="00932723"/>
    <w:rsid w:val="00934CAE"/>
    <w:rsid w:val="009355C5"/>
    <w:rsid w:val="00935DA8"/>
    <w:rsid w:val="00936D0A"/>
    <w:rsid w:val="00950692"/>
    <w:rsid w:val="00950960"/>
    <w:rsid w:val="00952BBB"/>
    <w:rsid w:val="0095709A"/>
    <w:rsid w:val="00965404"/>
    <w:rsid w:val="009725D8"/>
    <w:rsid w:val="00973884"/>
    <w:rsid w:val="00986A4E"/>
    <w:rsid w:val="009902F2"/>
    <w:rsid w:val="009931B9"/>
    <w:rsid w:val="00995B5B"/>
    <w:rsid w:val="009A0224"/>
    <w:rsid w:val="009A5AA6"/>
    <w:rsid w:val="009B6746"/>
    <w:rsid w:val="009C0C3F"/>
    <w:rsid w:val="009D31CE"/>
    <w:rsid w:val="009D5D97"/>
    <w:rsid w:val="009E20C7"/>
    <w:rsid w:val="009E3DA4"/>
    <w:rsid w:val="009F581C"/>
    <w:rsid w:val="00A005E6"/>
    <w:rsid w:val="00A06ED6"/>
    <w:rsid w:val="00A073DD"/>
    <w:rsid w:val="00A10F3D"/>
    <w:rsid w:val="00A110C7"/>
    <w:rsid w:val="00A166F5"/>
    <w:rsid w:val="00A22F5A"/>
    <w:rsid w:val="00A36457"/>
    <w:rsid w:val="00A50F20"/>
    <w:rsid w:val="00A575BC"/>
    <w:rsid w:val="00A57F9C"/>
    <w:rsid w:val="00A61589"/>
    <w:rsid w:val="00A632A0"/>
    <w:rsid w:val="00A63D35"/>
    <w:rsid w:val="00A677E8"/>
    <w:rsid w:val="00A725B4"/>
    <w:rsid w:val="00A73AE6"/>
    <w:rsid w:val="00A73FC9"/>
    <w:rsid w:val="00A76271"/>
    <w:rsid w:val="00A76341"/>
    <w:rsid w:val="00A80C10"/>
    <w:rsid w:val="00A82D0A"/>
    <w:rsid w:val="00A85AAA"/>
    <w:rsid w:val="00A92C18"/>
    <w:rsid w:val="00AB18AB"/>
    <w:rsid w:val="00AB2019"/>
    <w:rsid w:val="00AB477F"/>
    <w:rsid w:val="00AB71A7"/>
    <w:rsid w:val="00AC646C"/>
    <w:rsid w:val="00AC78F7"/>
    <w:rsid w:val="00AD4B56"/>
    <w:rsid w:val="00AE1C04"/>
    <w:rsid w:val="00AF40E1"/>
    <w:rsid w:val="00AF7D47"/>
    <w:rsid w:val="00B01305"/>
    <w:rsid w:val="00B0264D"/>
    <w:rsid w:val="00B14905"/>
    <w:rsid w:val="00B15998"/>
    <w:rsid w:val="00B32103"/>
    <w:rsid w:val="00B338E2"/>
    <w:rsid w:val="00B35185"/>
    <w:rsid w:val="00B37722"/>
    <w:rsid w:val="00B407E5"/>
    <w:rsid w:val="00B456F5"/>
    <w:rsid w:val="00B538B9"/>
    <w:rsid w:val="00B567C1"/>
    <w:rsid w:val="00B579DF"/>
    <w:rsid w:val="00B6275E"/>
    <w:rsid w:val="00B70D68"/>
    <w:rsid w:val="00B7181F"/>
    <w:rsid w:val="00B719C2"/>
    <w:rsid w:val="00B72D6B"/>
    <w:rsid w:val="00B73408"/>
    <w:rsid w:val="00B80FD1"/>
    <w:rsid w:val="00B83FB5"/>
    <w:rsid w:val="00B937E4"/>
    <w:rsid w:val="00B96786"/>
    <w:rsid w:val="00B97801"/>
    <w:rsid w:val="00BA2389"/>
    <w:rsid w:val="00BA27A8"/>
    <w:rsid w:val="00BA510E"/>
    <w:rsid w:val="00BB32CE"/>
    <w:rsid w:val="00BB344E"/>
    <w:rsid w:val="00BC29F9"/>
    <w:rsid w:val="00BC2AD1"/>
    <w:rsid w:val="00BC49BF"/>
    <w:rsid w:val="00BC60AE"/>
    <w:rsid w:val="00BC65EF"/>
    <w:rsid w:val="00BE2B09"/>
    <w:rsid w:val="00BE654D"/>
    <w:rsid w:val="00BE6634"/>
    <w:rsid w:val="00BF2361"/>
    <w:rsid w:val="00BF5DF3"/>
    <w:rsid w:val="00C018F8"/>
    <w:rsid w:val="00C0406C"/>
    <w:rsid w:val="00C10B57"/>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2D29"/>
    <w:rsid w:val="00C93B0B"/>
    <w:rsid w:val="00C94C5E"/>
    <w:rsid w:val="00CA41CC"/>
    <w:rsid w:val="00CA7EF2"/>
    <w:rsid w:val="00CB008B"/>
    <w:rsid w:val="00CC0502"/>
    <w:rsid w:val="00CC1AC8"/>
    <w:rsid w:val="00CC6A95"/>
    <w:rsid w:val="00CC7E17"/>
    <w:rsid w:val="00CD4A7D"/>
    <w:rsid w:val="00CE1F43"/>
    <w:rsid w:val="00CE2DF4"/>
    <w:rsid w:val="00CE48C8"/>
    <w:rsid w:val="00CE593D"/>
    <w:rsid w:val="00CF07F1"/>
    <w:rsid w:val="00CF7D11"/>
    <w:rsid w:val="00D00330"/>
    <w:rsid w:val="00D0050C"/>
    <w:rsid w:val="00D014AE"/>
    <w:rsid w:val="00D05926"/>
    <w:rsid w:val="00D06D8D"/>
    <w:rsid w:val="00D16901"/>
    <w:rsid w:val="00D21951"/>
    <w:rsid w:val="00D22D5F"/>
    <w:rsid w:val="00D23BD0"/>
    <w:rsid w:val="00D30894"/>
    <w:rsid w:val="00D333AA"/>
    <w:rsid w:val="00D347CA"/>
    <w:rsid w:val="00D50C3D"/>
    <w:rsid w:val="00D51E80"/>
    <w:rsid w:val="00D53848"/>
    <w:rsid w:val="00D53AC5"/>
    <w:rsid w:val="00D5484F"/>
    <w:rsid w:val="00D6366B"/>
    <w:rsid w:val="00D7327C"/>
    <w:rsid w:val="00D8125F"/>
    <w:rsid w:val="00D83251"/>
    <w:rsid w:val="00D90E67"/>
    <w:rsid w:val="00D93394"/>
    <w:rsid w:val="00D95B2C"/>
    <w:rsid w:val="00DA1796"/>
    <w:rsid w:val="00DA2814"/>
    <w:rsid w:val="00DA3650"/>
    <w:rsid w:val="00DB2C90"/>
    <w:rsid w:val="00DC0393"/>
    <w:rsid w:val="00DC63A9"/>
    <w:rsid w:val="00DC66A6"/>
    <w:rsid w:val="00DC7533"/>
    <w:rsid w:val="00DD5492"/>
    <w:rsid w:val="00DE0611"/>
    <w:rsid w:val="00DE2930"/>
    <w:rsid w:val="00DF2CB7"/>
    <w:rsid w:val="00DF3BF1"/>
    <w:rsid w:val="00DF7595"/>
    <w:rsid w:val="00E007F8"/>
    <w:rsid w:val="00E0479A"/>
    <w:rsid w:val="00E048FF"/>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4C0C"/>
    <w:rsid w:val="00E7526A"/>
    <w:rsid w:val="00E767E4"/>
    <w:rsid w:val="00E82266"/>
    <w:rsid w:val="00E87248"/>
    <w:rsid w:val="00E87C31"/>
    <w:rsid w:val="00E87FFB"/>
    <w:rsid w:val="00E93068"/>
    <w:rsid w:val="00E95556"/>
    <w:rsid w:val="00E970B9"/>
    <w:rsid w:val="00EA32B8"/>
    <w:rsid w:val="00EA3B32"/>
    <w:rsid w:val="00EB1050"/>
    <w:rsid w:val="00EB113C"/>
    <w:rsid w:val="00EB132E"/>
    <w:rsid w:val="00EB5133"/>
    <w:rsid w:val="00EC16F4"/>
    <w:rsid w:val="00EC17E3"/>
    <w:rsid w:val="00EC3919"/>
    <w:rsid w:val="00EC7C98"/>
    <w:rsid w:val="00ED5E52"/>
    <w:rsid w:val="00ED6904"/>
    <w:rsid w:val="00ED7176"/>
    <w:rsid w:val="00ED75EA"/>
    <w:rsid w:val="00EE2F9A"/>
    <w:rsid w:val="00EF4043"/>
    <w:rsid w:val="00EF5096"/>
    <w:rsid w:val="00F022D4"/>
    <w:rsid w:val="00F062A4"/>
    <w:rsid w:val="00F06ADD"/>
    <w:rsid w:val="00F32AA4"/>
    <w:rsid w:val="00F53AFD"/>
    <w:rsid w:val="00F573CF"/>
    <w:rsid w:val="00F57A28"/>
    <w:rsid w:val="00F57A2B"/>
    <w:rsid w:val="00F658E5"/>
    <w:rsid w:val="00F755B7"/>
    <w:rsid w:val="00F75F0D"/>
    <w:rsid w:val="00F764F4"/>
    <w:rsid w:val="00F8503C"/>
    <w:rsid w:val="00F86F49"/>
    <w:rsid w:val="00FA333E"/>
    <w:rsid w:val="00FA605C"/>
    <w:rsid w:val="00FA6AD7"/>
    <w:rsid w:val="00FA7B76"/>
    <w:rsid w:val="00FB29B2"/>
    <w:rsid w:val="00FB3EF4"/>
    <w:rsid w:val="00FC4239"/>
    <w:rsid w:val="00FC4EC7"/>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15:docId w15:val="{9AEEC96A-BFB3-4926-956F-A41E3884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E47F0"/>
    <w:rPr>
      <w:sz w:val="22"/>
      <w:szCs w:val="26"/>
    </w:rPr>
  </w:style>
  <w:style w:type="character" w:styleId="Emphasis">
    <w:name w:val="Emphasis"/>
    <w:basedOn w:val="DefaultParagraphFont"/>
    <w:uiPriority w:val="20"/>
    <w:qFormat/>
    <w:rsid w:val="00707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6959-FDDA-49E8-8F51-C83D5EB0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33642</Words>
  <Characters>191765</Characters>
  <Application>Microsoft Office Word</Application>
  <DocSecurity>0</DocSecurity>
  <Lines>1598</Lines>
  <Paragraphs>449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2</cp:revision>
  <dcterms:created xsi:type="dcterms:W3CDTF">2023-03-07T17:34:00Z</dcterms:created>
  <dcterms:modified xsi:type="dcterms:W3CDTF">2023-03-07T17:34:00Z</dcterms:modified>
</cp:coreProperties>
</file>