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87421" w14:textId="0454506B" w:rsidR="00CA41CC" w:rsidRPr="00914128" w:rsidRDefault="0068336D" w:rsidP="00914128">
      <w:pPr>
        <w:pStyle w:val="Heading1"/>
      </w:pPr>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000000" w:rsidP="00914128">
      <w:pPr>
        <w:pStyle w:val="ToC"/>
      </w:pPr>
      <w:hyperlink w:anchor="a24_01" w:history="1">
        <w:r w:rsidR="00CD23A0" w:rsidRPr="00CD23A0">
          <w:rPr>
            <w:rStyle w:val="Hyperlink"/>
          </w:rPr>
          <w:t>24:1</w:t>
        </w:r>
      </w:hyperlink>
      <w:r w:rsidR="00CD23A0" w:rsidRPr="00CD23A0">
        <w:t xml:space="preserve"> </w:t>
      </w:r>
      <w:r w:rsidR="00CD23A0" w:rsidRPr="00CD23A0">
        <w:tab/>
        <w:t xml:space="preserve">Elements </w:t>
      </w:r>
      <w:r w:rsidR="00CD23A0">
        <w:t>o</w:t>
      </w:r>
      <w:r w:rsidR="00CD23A0" w:rsidRPr="00CD23A0">
        <w:t>f Liability</w:t>
      </w:r>
    </w:p>
    <w:p w14:paraId="6422AD9A" w14:textId="77777777" w:rsidR="00CD23A0" w:rsidRDefault="00000000" w:rsidP="00914128">
      <w:pPr>
        <w:pStyle w:val="ToC"/>
      </w:pPr>
      <w:hyperlink w:anchor="a24_02" w:history="1">
        <w:r w:rsidR="00CD23A0" w:rsidRPr="00CD23A0">
          <w:rPr>
            <w:rStyle w:val="Hyperlink"/>
          </w:rPr>
          <w:t>24:2</w:t>
        </w:r>
      </w:hyperlink>
      <w:r w:rsidR="00CD23A0" w:rsidRPr="00CD23A0">
        <w:t xml:space="preserve"> </w:t>
      </w:r>
      <w:r w:rsidR="00CD23A0" w:rsidRPr="00CD23A0">
        <w:tab/>
        <w:t>Intentional Conduct — Defined</w:t>
      </w:r>
    </w:p>
    <w:p w14:paraId="216ACC1B" w14:textId="77777777" w:rsidR="00CD23A0" w:rsidRDefault="00000000" w:rsidP="00914128">
      <w:pPr>
        <w:pStyle w:val="ToC"/>
      </w:pPr>
      <w:hyperlink w:anchor="a24_03" w:history="1">
        <w:r w:rsidR="00CD23A0" w:rsidRPr="00CD23A0">
          <w:rPr>
            <w:rStyle w:val="Hyperlink"/>
          </w:rPr>
          <w:t>24:3</w:t>
        </w:r>
      </w:hyperlink>
      <w:r w:rsidR="00CD23A0" w:rsidRPr="00CD23A0">
        <w:t xml:space="preserve"> </w:t>
      </w:r>
      <w:r w:rsidR="00CD23A0" w:rsidRPr="00CD23A0">
        <w:tab/>
        <w:t>Improper — Defined</w:t>
      </w:r>
    </w:p>
    <w:p w14:paraId="1924F583" w14:textId="77777777" w:rsidR="00CD23A0" w:rsidRDefault="00000000" w:rsidP="00914128">
      <w:pPr>
        <w:pStyle w:val="ToC"/>
      </w:pPr>
      <w:hyperlink w:anchor="a24_04" w:history="1">
        <w:r w:rsidR="00CD23A0" w:rsidRPr="00CD23A0">
          <w:rPr>
            <w:rStyle w:val="Hyperlink"/>
          </w:rPr>
          <w:t>24:4</w:t>
        </w:r>
      </w:hyperlink>
      <w:r w:rsidR="00CD23A0" w:rsidRPr="00CD23A0">
        <w:t xml:space="preserve"> </w:t>
      </w:r>
      <w:r w:rsidR="00CD23A0" w:rsidRPr="00CD23A0">
        <w:tab/>
        <w:t>Interference — Defined</w:t>
      </w:r>
    </w:p>
    <w:p w14:paraId="39EB63EE" w14:textId="77777777" w:rsidR="00CD23A0" w:rsidRDefault="00000000" w:rsidP="00914128">
      <w:pPr>
        <w:pStyle w:val="ToC"/>
      </w:pPr>
      <w:hyperlink w:anchor="a24_05" w:history="1">
        <w:r w:rsidR="00CD23A0" w:rsidRPr="00CD23A0">
          <w:rPr>
            <w:rStyle w:val="Hyperlink"/>
          </w:rPr>
          <w:t>24:5</w:t>
        </w:r>
      </w:hyperlink>
      <w:r w:rsidR="00CD23A0" w:rsidRPr="00CD23A0">
        <w:t xml:space="preserve"> </w:t>
      </w:r>
      <w:r w:rsidR="00CD23A0" w:rsidRPr="00CD23A0">
        <w:tab/>
        <w:t xml:space="preserve">Contracts Terminable </w:t>
      </w:r>
      <w:r w:rsidR="00CD23A0">
        <w:t>a</w:t>
      </w:r>
      <w:r w:rsidR="00CD23A0" w:rsidRPr="00CD23A0">
        <w:t xml:space="preserve">t Will </w:t>
      </w:r>
      <w:r w:rsidR="00CD23A0">
        <w:t>o</w:t>
      </w:r>
      <w:r w:rsidR="00CD23A0" w:rsidRPr="00CD23A0">
        <w:t>r Voidable</w:t>
      </w:r>
    </w:p>
    <w:p w14:paraId="166563ED" w14:textId="77777777" w:rsidR="00CD23A0" w:rsidRDefault="00000000" w:rsidP="00914128">
      <w:pPr>
        <w:pStyle w:val="ToC"/>
      </w:pPr>
      <w:hyperlink w:anchor="a24_06" w:history="1">
        <w:r w:rsidR="00CD23A0" w:rsidRPr="00CD23A0">
          <w:rPr>
            <w:rStyle w:val="Hyperlink"/>
          </w:rPr>
          <w:t>24:6</w:t>
        </w:r>
      </w:hyperlink>
      <w:r w:rsidR="00CD23A0" w:rsidRPr="00CD23A0">
        <w:t xml:space="preserve"> </w:t>
      </w:r>
      <w:r w:rsidR="00CD23A0" w:rsidRPr="00CD23A0">
        <w:tab/>
        <w:t>Affirmative Defense — Privilege — When Existent — When Lost</w:t>
      </w:r>
    </w:p>
    <w:p w14:paraId="4AB732FE" w14:textId="77777777" w:rsidR="00CD23A0" w:rsidRDefault="00000000" w:rsidP="00914128">
      <w:pPr>
        <w:pStyle w:val="ToC"/>
      </w:pPr>
      <w:hyperlink w:anchor="a24_07" w:history="1">
        <w:r w:rsidR="00AB607E"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0" w:name="a24_01"/>
      <w:bookmarkEnd w:id="0"/>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on (his) (her)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[his] [her]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[insert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Sav.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3532519F"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00681CDC">
        <w:rPr>
          <w:b/>
          <w:bCs/>
          <w:sz w:val="24"/>
          <w:szCs w:val="24"/>
        </w:rPr>
        <w:t>Falcon Broadband, Inc. v. Banning Lewis Ranch Metro. Dist</w:t>
      </w:r>
      <w:r w:rsidR="00681CDC" w:rsidRPr="00681CDC">
        <w:rPr>
          <w:b/>
          <w:sz w:val="24"/>
          <w:szCs w:val="24"/>
        </w:rPr>
        <w:t>. No. 1</w:t>
      </w:r>
      <w:r w:rsidR="00681CDC">
        <w:rPr>
          <w:sz w:val="24"/>
          <w:szCs w:val="24"/>
        </w:rPr>
        <w:t>, 2018 COA 92, ¶ 54</w:t>
      </w:r>
      <w:r w:rsidR="000E0D01">
        <w:rPr>
          <w:sz w:val="24"/>
          <w:szCs w:val="24"/>
        </w:rPr>
        <w:t>, 474 P.3d 1231, 1244</w:t>
      </w:r>
      <w:r w:rsidR="00681CDC">
        <w:rPr>
          <w:sz w:val="24"/>
          <w:szCs w:val="24"/>
        </w:rPr>
        <w:t xml:space="preserve"> (“So if for any reason a contract is entirely void, there is no liability for causing its breach.” (quoting </w:t>
      </w:r>
      <w:r w:rsidR="00681CDC" w:rsidRPr="00681CDC">
        <w:rPr>
          <w:smallCaps/>
          <w:sz w:val="24"/>
          <w:szCs w:val="24"/>
        </w:rPr>
        <w:t>Restatement (Second) of Torts</w:t>
      </w:r>
      <w:r w:rsidR="00681CDC">
        <w:rPr>
          <w:sz w:val="24"/>
          <w:szCs w:val="24"/>
        </w:rPr>
        <w:t xml:space="preserve"> § 766 cmt. f (1979))</w:t>
      </w:r>
      <w:r w:rsidR="00FF1C25">
        <w:rPr>
          <w:sz w:val="24"/>
          <w:szCs w:val="24"/>
        </w:rPr>
        <w:t>)</w:t>
      </w:r>
      <w:r w:rsidR="00681CDC">
        <w:rPr>
          <w:sz w:val="24"/>
          <w:szCs w:val="24"/>
        </w:rPr>
        <w:t xml:space="preserve">;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r w:rsidRPr="001E1DB5">
        <w:rPr>
          <w:rFonts w:eastAsia="Times New Roman"/>
          <w:b/>
          <w:sz w:val="24"/>
          <w:szCs w:val="24"/>
        </w:rPr>
        <w:t>L &amp; M Enters., Inc. v. City of Golden</w:t>
      </w:r>
      <w:r w:rsidRPr="001E1DB5">
        <w:rPr>
          <w:rFonts w:eastAsia="Times New Roman"/>
          <w:sz w:val="24"/>
          <w:szCs w:val="24"/>
        </w:rPr>
        <w:t>, 852 P.2d 1337 (Colo. App. 1993).</w:t>
      </w:r>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w:t>
      </w:r>
      <w:r w:rsidRPr="001E1DB5">
        <w:rPr>
          <w:rFonts w:eastAsia="Times New Roman"/>
          <w:sz w:val="24"/>
          <w:szCs w:val="24"/>
        </w:rPr>
        <w:lastRenderedPageBreak/>
        <w:t xml:space="preserve">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17FA1243"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r w:rsidRPr="001E1DB5">
        <w:rPr>
          <w:rFonts w:eastAsia="Times New Roman"/>
          <w:b/>
          <w:sz w:val="24"/>
          <w:szCs w:val="24"/>
        </w:rPr>
        <w:t>Trimble v. City &amp; Cty. of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r w:rsidRPr="001E1DB5">
        <w:rPr>
          <w:rFonts w:eastAsia="Times New Roman"/>
          <w:b/>
          <w:sz w:val="24"/>
          <w:szCs w:val="24"/>
        </w:rPr>
        <w:t>Friedman &amp; Son, Inc. v. Safeway Stores, Inc.</w:t>
      </w:r>
      <w:r w:rsidRPr="001E1DB5">
        <w:rPr>
          <w:rFonts w:eastAsia="Times New Roman"/>
          <w:sz w:val="24"/>
          <w:szCs w:val="24"/>
        </w:rPr>
        <w:t xml:space="preserve">, 712 P.2d 1128 (Colo. App. 1985).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xml:space="preserve">, 712 P.2d </w:t>
      </w:r>
      <w:r w:rsidR="001033B3">
        <w:rPr>
          <w:rFonts w:eastAsia="Times New Roman"/>
          <w:sz w:val="24"/>
          <w:szCs w:val="24"/>
        </w:rPr>
        <w:t xml:space="preserve">at </w:t>
      </w:r>
      <w:r w:rsidRPr="001E1DB5">
        <w:rPr>
          <w:rFonts w:eastAsia="Times New Roman"/>
          <w:sz w:val="24"/>
          <w:szCs w:val="24"/>
        </w:rPr>
        <w:t>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12. A personal representative of a decedent’s estate may not be held personally liable for tortiously interfering with a contract between the decedent and a third party. </w:t>
      </w:r>
      <w:r w:rsidRPr="001E1DB5">
        <w:rPr>
          <w:rFonts w:eastAsia="Times New Roman"/>
          <w:b/>
          <w:sz w:val="24"/>
          <w:szCs w:val="24"/>
        </w:rPr>
        <w:t>Colo. Nat’l Bank of Denver v. Friedman</w:t>
      </w:r>
      <w:r w:rsidRPr="001E1DB5">
        <w:rPr>
          <w:rFonts w:eastAsia="Times New Roman"/>
          <w:sz w:val="24"/>
          <w:szCs w:val="24"/>
        </w:rPr>
        <w:t>, 846 P.2d 159 (Colo. 1993).</w:t>
      </w:r>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13. A claim for tortious interference with contract cannot be maintained among parties to the same contract. </w:t>
      </w:r>
      <w:r w:rsidRPr="001E1DB5">
        <w:rPr>
          <w:rFonts w:eastAsia="Times New Roman"/>
          <w:b/>
          <w:sz w:val="24"/>
          <w:szCs w:val="24"/>
        </w:rPr>
        <w:t>MDM Grp. Assocs.,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14. Under the Colorado Governmental Immunity Act, a municipality is immune from liability for the tort of intentional interference with a contractual obligation. </w:t>
      </w:r>
      <w:r w:rsidRPr="001E1DB5">
        <w:rPr>
          <w:rFonts w:eastAsia="Times New Roman"/>
          <w:b/>
          <w:sz w:val="24"/>
          <w:szCs w:val="24"/>
        </w:rPr>
        <w:t>Grimm Constr. Co. v. Denver Bd. of Water Comm’rs</w:t>
      </w:r>
      <w:r w:rsidRPr="001E1DB5">
        <w:rPr>
          <w:rFonts w:eastAsia="Times New Roman"/>
          <w:sz w:val="24"/>
          <w:szCs w:val="24"/>
        </w:rPr>
        <w:t>, 835 P.2d 599 (Colo. App. 1992).</w:t>
      </w:r>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1" w:name="a24_02"/>
      <w:bookmarkEnd w:id="1"/>
      <w:r w:rsidRPr="00CB62DC">
        <w:rPr>
          <w:rFonts w:eastAsia="Times New Roman"/>
          <w:b/>
          <w:sz w:val="24"/>
          <w:szCs w:val="24"/>
        </w:rPr>
        <w:lastRenderedPageBreak/>
        <w:t xml:space="preserve">24:2 </w:t>
      </w:r>
      <w:r w:rsidRPr="00CB62DC">
        <w:rPr>
          <w:rFonts w:eastAsia="Times New Roman"/>
          <w:b/>
          <w:sz w:val="24"/>
          <w:szCs w:val="24"/>
        </w:rPr>
        <w:tab/>
        <w:t>INTENTIONAL CONDUCT — DEFINED</w:t>
      </w:r>
    </w:p>
    <w:p w14:paraId="44456280"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Conduct is intentional if a person acts or speaks for the purpose, in whole or in part, of bringing about a particular result, or if a person knows his or her 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smallCaps/>
          <w:sz w:val="24"/>
          <w:szCs w:val="24"/>
        </w:rPr>
        <w:t>Restatement (Second) of Torts</w:t>
      </w:r>
      <w:r w:rsidRPr="00CB62DC">
        <w:rPr>
          <w:rFonts w:eastAsia="Times New Roman"/>
          <w:sz w:val="24"/>
          <w:szCs w:val="24"/>
        </w:rPr>
        <w:t xml:space="preserve"> § 766 (1979) cmts. j, r, s; and 2 </w:t>
      </w:r>
      <w:r w:rsidRPr="00CB62DC">
        <w:rPr>
          <w:rFonts w:eastAsia="Times New Roman"/>
          <w:smallCaps/>
          <w:sz w:val="24"/>
          <w:szCs w:val="24"/>
        </w:rPr>
        <w:t>F. Harper et al., Harper, James, and Gray on Torts</w:t>
      </w:r>
      <w:r w:rsidRPr="00CB62DC">
        <w:rPr>
          <w:rFonts w:eastAsia="Times New Roman"/>
          <w:sz w:val="24"/>
          <w:szCs w:val="24"/>
        </w:rPr>
        <w:t xml:space="preserve"> § 6.8 (3d ed. 2006).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2" w:name="a24_03"/>
      <w:bookmarkEnd w:id="2"/>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5ED2A919"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w:t>
      </w:r>
      <w:r w:rsidR="00DB5F6A">
        <w:rPr>
          <w:rFonts w:eastAsia="Times New Roman"/>
          <w:sz w:val="24"/>
          <w:szCs w:val="24"/>
        </w:rPr>
        <w:t xml:space="preserve">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Trimble v. City and Cty. of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w:t>
      </w:r>
      <w:r w:rsidRPr="00CB62DC">
        <w:rPr>
          <w:rFonts w:eastAsia="Times New Roman"/>
          <w:sz w:val="24"/>
          <w:szCs w:val="24"/>
        </w:rPr>
        <w:lastRenderedPageBreak/>
        <w:t xml:space="preserve">sought to be advanced by the actor, the social interests in protecting the freedom of action of the 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improper).</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3" w:name="a24_04"/>
      <w:bookmarkEnd w:id="3"/>
      <w:r w:rsidRPr="009E5CC5">
        <w:rPr>
          <w:rFonts w:eastAsia="Times New Roman"/>
          <w:b/>
          <w:sz w:val="24"/>
          <w:szCs w:val="24"/>
        </w:rPr>
        <w:t xml:space="preserve">24:4 </w:t>
      </w:r>
      <w:r w:rsidRPr="009E5CC5">
        <w:rPr>
          <w:rFonts w:eastAsia="Times New Roman"/>
          <w:b/>
          <w:sz w:val="24"/>
          <w:szCs w:val="24"/>
        </w:rPr>
        <w:tab/>
        <w:t>INTERFERENCE —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4" w:name="a24_05"/>
      <w:bookmarkEnd w:id="4"/>
      <w:r w:rsidRPr="001300D4">
        <w:rPr>
          <w:rFonts w:eastAsia="Times New Roman"/>
          <w:b/>
          <w:sz w:val="24"/>
          <w:szCs w:val="24"/>
        </w:rPr>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Dolton v. Capitol Fed. Sav.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enforcement of the contract because of some defense making the contract voidable (statute of 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f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5" w:name="a24_06"/>
      <w:bookmarkEnd w:id="5"/>
      <w:r w:rsidRPr="00392F02">
        <w:rPr>
          <w:rFonts w:eastAsia="Times New Roman"/>
          <w:b/>
          <w:sz w:val="24"/>
          <w:szCs w:val="24"/>
        </w:rPr>
        <w:t xml:space="preserve">24:6 </w:t>
      </w:r>
      <w:r w:rsidRPr="00392F02">
        <w:rPr>
          <w:rFonts w:eastAsia="Times New Roman"/>
          <w:b/>
          <w:sz w:val="24"/>
          <w:szCs w:val="24"/>
        </w:rPr>
        <w:tab/>
        <w:t>AFFIRMATIVE DEFENSE — PRIVILEGE — WHEN EXISTENT — WHEN LOST</w:t>
      </w:r>
    </w:p>
    <w:p w14:paraId="209B6376"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For the defendant to establish (his) (her) (its) affirmative defense of privilege (he) (she) (it)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(Insert those facts that the defendant claims gives him or her a privilege and that, if true, would give the defendant a privilege as a matter of law.)</w:t>
      </w:r>
    </w:p>
    <w:p w14:paraId="299E95EC"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[his] [her] [its] affirmative defense of privilege, that defense is lost if the plaintiff proves that the defendant abused [his] [her] [its] privilege. The defendant abused [his] [her] [its]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12A30770"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w:t>
      </w:r>
      <w:r w:rsidR="00DB5F6A">
        <w:rPr>
          <w:rFonts w:eastAsia="Times New Roman"/>
          <w:sz w:val="24"/>
          <w:szCs w:val="24"/>
        </w:rPr>
        <w:t xml:space="preserve"> a qualified, not an absolute, </w:t>
      </w:r>
      <w:r w:rsidRPr="00392F02">
        <w:rPr>
          <w:rFonts w:eastAsia="Times New Roman"/>
          <w:sz w:val="24"/>
          <w:szCs w:val="24"/>
        </w:rPr>
        <w:t>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74857B39"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00BB7675" w:rsidRPr="00D67871">
        <w:rPr>
          <w:rFonts w:eastAsia="Times New Roman"/>
          <w:b/>
          <w:bCs/>
          <w:sz w:val="24"/>
          <w:szCs w:val="24"/>
        </w:rPr>
        <w:t>Begley v. Ireson</w:t>
      </w:r>
      <w:r w:rsidR="00BB7675">
        <w:rPr>
          <w:rFonts w:eastAsia="Times New Roman"/>
          <w:sz w:val="24"/>
          <w:szCs w:val="24"/>
        </w:rPr>
        <w:t xml:space="preserve">, 2020 COA 157, ¶ 26, 490 P.3d 963, 970 (“[W]e conclude that the litigation privilege may protect an attorney from liability for his nondefamatory statements.”);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Dolton v. Capitol Fed. Sav. &amp;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642 P.2d 21 (Colo. App. 1981) (privilege expressly adopted in case of companion tort of intentional interference with a prospective business advantage). “Wrongful means” includes the commission of independent torts, such as conversion and breach of fiduciary duty. </w:t>
      </w:r>
      <w:r w:rsidRPr="00392F02">
        <w:rPr>
          <w:rFonts w:eastAsia="Times New Roman"/>
          <w:b/>
          <w:sz w:val="24"/>
          <w:szCs w:val="24"/>
        </w:rPr>
        <w:t>Harris Grp., Inc.</w:t>
      </w:r>
      <w:r w:rsidRPr="00392F02">
        <w:rPr>
          <w:rFonts w:eastAsia="Times New Roman"/>
          <w:sz w:val="24"/>
          <w:szCs w:val="24"/>
        </w:rPr>
        <w:t>, 209 P.3d at 1200</w:t>
      </w:r>
      <w:r w:rsidR="00DB5F6A">
        <w:rPr>
          <w:rFonts w:eastAsia="Times New Roman"/>
          <w:sz w:val="24"/>
          <w:szCs w:val="24"/>
        </w:rPr>
        <w:t>.</w:t>
      </w:r>
      <w:r w:rsidRPr="00392F02">
        <w:rPr>
          <w:rFonts w:eastAsia="Times New Roman"/>
          <w:sz w:val="24"/>
          <w:szCs w:val="24"/>
        </w:rPr>
        <w:t xml:space="preserve">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2B47DED0"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(1) One who intentionally causes a third person not to enter into a prospective contractual relation with another who is his competitor or not to continue an 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(a) the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the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his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his purpose is at least in part to advance his interest in competing with the other. </w:t>
      </w:r>
    </w:p>
    <w:p w14:paraId="56AC6419" w14:textId="2C907E18"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does not prevent his causing a breach of an existing contract with the other from 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r w:rsidRPr="00392F02">
        <w:rPr>
          <w:rFonts w:eastAsia="Times New Roman"/>
          <w:b/>
          <w:sz w:val="24"/>
          <w:szCs w:val="24"/>
        </w:rPr>
        <w:t>Boettcher DTC Bldg. Joint Venture v. Falcon Ventures</w:t>
      </w:r>
      <w:r w:rsidRPr="00392F02">
        <w:rPr>
          <w:rFonts w:eastAsia="Times New Roman"/>
          <w:sz w:val="24"/>
          <w:szCs w:val="24"/>
        </w:rPr>
        <w:t>, 762 P.2d 788 (Colo. App. 1988).</w:t>
      </w:r>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6. Though an agent or corporate officer may be privileged to interfere with a contract between the principal and another, such privilege is only a qualified privilege that may be lost if the agent abuses the privilege by acting improperly. </w:t>
      </w:r>
      <w:r w:rsidRPr="00392F02">
        <w:rPr>
          <w:rFonts w:eastAsia="Times New Roman"/>
          <w:b/>
          <w:sz w:val="24"/>
          <w:szCs w:val="24"/>
        </w:rPr>
        <w:t>Trimble v. City &amp; Cty. of Denver</w:t>
      </w:r>
      <w:r w:rsidRPr="00392F02">
        <w:rPr>
          <w:rFonts w:eastAsia="Times New Roman"/>
          <w:sz w:val="24"/>
          <w:szCs w:val="24"/>
        </w:rPr>
        <w:t xml:space="preserve">, 697 P.2d 716 (Colo. 1985) (agent abused privilege when the interference was not done for bona fide 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6" w:name="a24_07"/>
      <w:bookmarkEnd w:id="6"/>
      <w:r w:rsidRPr="00B649E0">
        <w:rPr>
          <w:rFonts w:eastAsia="Times New Roman"/>
          <w:b/>
          <w:sz w:val="24"/>
          <w:szCs w:val="24"/>
        </w:rPr>
        <w:t xml:space="preserve">24:7 </w:t>
      </w:r>
      <w:r w:rsidRPr="00B649E0">
        <w:rPr>
          <w:rFonts w:eastAsia="Times New Roman"/>
          <w:b/>
          <w:sz w:val="24"/>
          <w:szCs w:val="24"/>
        </w:rPr>
        <w:tab/>
        <w:t>ACTUAL OR NOMINAL DAMAGES</w:t>
      </w:r>
    </w:p>
    <w:p w14:paraId="4BB2D1F5"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If you find in favor of the plaintiff but do not find any actual damages, you shall award (him) (her) (it)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Hein Enters., Ltd. v. San Francisco 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r w:rsidRPr="00B649E0">
        <w:rPr>
          <w:rFonts w:eastAsia="Times New Roman"/>
          <w:b/>
          <w:sz w:val="24"/>
          <w:szCs w:val="24"/>
        </w:rPr>
        <w:t>Rywalt v. Writer Corp.</w:t>
      </w:r>
      <w:r w:rsidRPr="00B649E0">
        <w:rPr>
          <w:rFonts w:eastAsia="Times New Roman"/>
          <w:sz w:val="24"/>
          <w:szCs w:val="24"/>
        </w:rPr>
        <w:t xml:space="preserve">, 34 Colo. App. 334, 526 P.2d 316 (1974). On the other hand, if the plaintiff proves he or she sustained some damages, but produces insufficient evidence from which the amount of such damages can be determined, the plaintiff is nonetheless entitled to nominal damages. </w:t>
      </w:r>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Under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Punitive Damages for Interference With</w:t>
      </w:r>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r w:rsidRPr="00B649E0">
        <w:rPr>
          <w:rFonts w:eastAsia="Times New Roman"/>
          <w:b/>
          <w:sz w:val="24"/>
          <w:szCs w:val="24"/>
        </w:rPr>
        <w:t>Mem’l Gardens, Inc. v. Olympian Sales &amp; Mgmt. Consultants, Inc.</w:t>
      </w:r>
      <w:r w:rsidRPr="00B649E0">
        <w:rPr>
          <w:rFonts w:eastAsia="Times New Roman"/>
          <w:sz w:val="24"/>
          <w:szCs w:val="24"/>
        </w:rPr>
        <w:t>, 690 P.2d 207 (Colo. 1984).</w:t>
      </w:r>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r w:rsidRPr="00B649E0">
        <w:rPr>
          <w:rFonts w:eastAsia="Times New Roman"/>
          <w:b/>
          <w:sz w:val="24"/>
          <w:szCs w:val="24"/>
        </w:rPr>
        <w:t>Swartz v. Bianco Family Tr.</w:t>
      </w:r>
      <w:r w:rsidRPr="00B649E0">
        <w:rPr>
          <w:rFonts w:eastAsia="Times New Roman"/>
          <w:sz w:val="24"/>
          <w:szCs w:val="24"/>
        </w:rPr>
        <w:t xml:space="preserve">, 874 P.2d 430 (Colo. App. 1993). Litigation costs incurred by a party in separate litigation may sometimes be an appropriate measure of compensatory damages against another party. </w:t>
      </w:r>
      <w:r w:rsidRPr="00B649E0">
        <w:rPr>
          <w:rFonts w:eastAsia="Times New Roman"/>
          <w:b/>
          <w:sz w:val="24"/>
          <w:szCs w:val="24"/>
        </w:rPr>
        <w:t>Rocky Mtn. Festivals, Inc. v. Parsons Corp.</w:t>
      </w:r>
      <w:r w:rsidRPr="00B649E0">
        <w:rPr>
          <w:rFonts w:eastAsia="Times New Roman"/>
          <w:sz w:val="24"/>
          <w:szCs w:val="24"/>
        </w:rPr>
        <w:t>, 242 P.3d 1067 (Colo. 2010).</w:t>
      </w:r>
      <w:r w:rsidRPr="00CB62DC">
        <w:rPr>
          <w:rFonts w:eastAsia="Times New Roman"/>
          <w:sz w:val="24"/>
          <w:szCs w:val="24"/>
        </w:rPr>
        <w:t xml:space="preserve"> </w:t>
      </w:r>
    </w:p>
    <w:sectPr w:rsidR="007C4B23"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6610" w14:textId="77777777" w:rsidR="00F971CE" w:rsidRDefault="00F971CE" w:rsidP="0054263B">
      <w:r>
        <w:separator/>
      </w:r>
    </w:p>
    <w:p w14:paraId="6FAF6CD2" w14:textId="77777777" w:rsidR="00F971CE" w:rsidRDefault="00F971CE"/>
  </w:endnote>
  <w:endnote w:type="continuationSeparator" w:id="0">
    <w:p w14:paraId="57D4C275" w14:textId="77777777" w:rsidR="00F971CE" w:rsidRDefault="00F971CE" w:rsidP="0054263B">
      <w:r>
        <w:continuationSeparator/>
      </w:r>
    </w:p>
    <w:p w14:paraId="1834D5FA" w14:textId="77777777" w:rsidR="00F971CE" w:rsidRDefault="00F97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572759">
          <w:rPr>
            <w:noProof/>
          </w:rPr>
          <w:t>17</w:t>
        </w:r>
        <w:r>
          <w:rPr>
            <w:noProof/>
          </w:rPr>
          <w:fldChar w:fldCharType="end"/>
        </w:r>
      </w:p>
    </w:sdtContent>
  </w:sdt>
  <w:p w14:paraId="1C970442" w14:textId="77777777" w:rsidR="0047374D" w:rsidRDefault="0047374D">
    <w:pPr>
      <w:pStyle w:val="Footer"/>
    </w:pPr>
  </w:p>
  <w:p w14:paraId="688B27A0"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65ADE" w14:textId="77777777" w:rsidR="00F971CE" w:rsidRDefault="00F971CE" w:rsidP="0054263B">
      <w:r>
        <w:separator/>
      </w:r>
    </w:p>
    <w:p w14:paraId="7978B61C" w14:textId="77777777" w:rsidR="00F971CE" w:rsidRDefault="00F971CE"/>
  </w:footnote>
  <w:footnote w:type="continuationSeparator" w:id="0">
    <w:p w14:paraId="450DEEA8" w14:textId="77777777" w:rsidR="00F971CE" w:rsidRDefault="00F971CE" w:rsidP="0054263B">
      <w:r>
        <w:continuationSeparator/>
      </w:r>
    </w:p>
    <w:p w14:paraId="42896E69" w14:textId="77777777" w:rsidR="00F971CE" w:rsidRDefault="00F971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043998">
    <w:abstractNumId w:val="0"/>
  </w:num>
  <w:num w:numId="2" w16cid:durableId="1148667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7111"/>
    <w:rsid w:val="0006367C"/>
    <w:rsid w:val="00074558"/>
    <w:rsid w:val="000824C8"/>
    <w:rsid w:val="00085495"/>
    <w:rsid w:val="000921F1"/>
    <w:rsid w:val="0009462F"/>
    <w:rsid w:val="000962C8"/>
    <w:rsid w:val="00096B51"/>
    <w:rsid w:val="000A040F"/>
    <w:rsid w:val="000B1B7A"/>
    <w:rsid w:val="000C204E"/>
    <w:rsid w:val="000C503A"/>
    <w:rsid w:val="000C6F97"/>
    <w:rsid w:val="000D4856"/>
    <w:rsid w:val="000E0D01"/>
    <w:rsid w:val="000F205C"/>
    <w:rsid w:val="000F52EA"/>
    <w:rsid w:val="001033B3"/>
    <w:rsid w:val="001117D9"/>
    <w:rsid w:val="00112C8E"/>
    <w:rsid w:val="00112FF9"/>
    <w:rsid w:val="00116A3D"/>
    <w:rsid w:val="00125209"/>
    <w:rsid w:val="00126B7A"/>
    <w:rsid w:val="001300D4"/>
    <w:rsid w:val="001303C5"/>
    <w:rsid w:val="00135ACD"/>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81CE2"/>
    <w:rsid w:val="00290935"/>
    <w:rsid w:val="00293941"/>
    <w:rsid w:val="00293F7E"/>
    <w:rsid w:val="00294028"/>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2F02"/>
    <w:rsid w:val="003937B8"/>
    <w:rsid w:val="003A26AE"/>
    <w:rsid w:val="003A2F1C"/>
    <w:rsid w:val="003A5A75"/>
    <w:rsid w:val="003B5ABE"/>
    <w:rsid w:val="003D027F"/>
    <w:rsid w:val="003D1B54"/>
    <w:rsid w:val="003D370E"/>
    <w:rsid w:val="003E1C13"/>
    <w:rsid w:val="003E472A"/>
    <w:rsid w:val="003E5B38"/>
    <w:rsid w:val="003F108C"/>
    <w:rsid w:val="003F5F1E"/>
    <w:rsid w:val="003F6E89"/>
    <w:rsid w:val="004311BD"/>
    <w:rsid w:val="00434371"/>
    <w:rsid w:val="004425AA"/>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1A04"/>
    <w:rsid w:val="004C62F9"/>
    <w:rsid w:val="004C723A"/>
    <w:rsid w:val="004D2C99"/>
    <w:rsid w:val="004E0408"/>
    <w:rsid w:val="004E7EF1"/>
    <w:rsid w:val="004F003D"/>
    <w:rsid w:val="004F4A6E"/>
    <w:rsid w:val="00502D97"/>
    <w:rsid w:val="005065E6"/>
    <w:rsid w:val="0051385E"/>
    <w:rsid w:val="00516447"/>
    <w:rsid w:val="0052537F"/>
    <w:rsid w:val="00525B6D"/>
    <w:rsid w:val="00527A18"/>
    <w:rsid w:val="00531F87"/>
    <w:rsid w:val="0053544D"/>
    <w:rsid w:val="0054263B"/>
    <w:rsid w:val="00547D97"/>
    <w:rsid w:val="00550AFD"/>
    <w:rsid w:val="00557FCC"/>
    <w:rsid w:val="005648EF"/>
    <w:rsid w:val="00572759"/>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7686C"/>
    <w:rsid w:val="00681CDC"/>
    <w:rsid w:val="00682B93"/>
    <w:rsid w:val="0068336D"/>
    <w:rsid w:val="00683A76"/>
    <w:rsid w:val="00683FA1"/>
    <w:rsid w:val="00685E76"/>
    <w:rsid w:val="00687304"/>
    <w:rsid w:val="00697DF2"/>
    <w:rsid w:val="006A74B6"/>
    <w:rsid w:val="006A7F32"/>
    <w:rsid w:val="006B2457"/>
    <w:rsid w:val="006B26D7"/>
    <w:rsid w:val="006D00EC"/>
    <w:rsid w:val="006E0D06"/>
    <w:rsid w:val="006E3575"/>
    <w:rsid w:val="006E62F0"/>
    <w:rsid w:val="006F7581"/>
    <w:rsid w:val="006F7DC0"/>
    <w:rsid w:val="00702B5A"/>
    <w:rsid w:val="00706593"/>
    <w:rsid w:val="0070752A"/>
    <w:rsid w:val="007119D8"/>
    <w:rsid w:val="0071225B"/>
    <w:rsid w:val="00712E33"/>
    <w:rsid w:val="00713866"/>
    <w:rsid w:val="007216DA"/>
    <w:rsid w:val="00724230"/>
    <w:rsid w:val="00726E21"/>
    <w:rsid w:val="007340B5"/>
    <w:rsid w:val="0073440D"/>
    <w:rsid w:val="007532AB"/>
    <w:rsid w:val="00766F81"/>
    <w:rsid w:val="00770FFC"/>
    <w:rsid w:val="00787065"/>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2204F"/>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06F8A"/>
    <w:rsid w:val="00914128"/>
    <w:rsid w:val="00916349"/>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86958"/>
    <w:rsid w:val="00A9205E"/>
    <w:rsid w:val="00A92C18"/>
    <w:rsid w:val="00AB1D6F"/>
    <w:rsid w:val="00AB2019"/>
    <w:rsid w:val="00AB607E"/>
    <w:rsid w:val="00AB71A7"/>
    <w:rsid w:val="00AC78F7"/>
    <w:rsid w:val="00AD4B56"/>
    <w:rsid w:val="00AD61CD"/>
    <w:rsid w:val="00AF40E1"/>
    <w:rsid w:val="00AF7D47"/>
    <w:rsid w:val="00B01C12"/>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7D3"/>
    <w:rsid w:val="00BB344E"/>
    <w:rsid w:val="00BB436B"/>
    <w:rsid w:val="00BB7675"/>
    <w:rsid w:val="00BC49BF"/>
    <w:rsid w:val="00BC60AE"/>
    <w:rsid w:val="00BC65EF"/>
    <w:rsid w:val="00BC789A"/>
    <w:rsid w:val="00BD2373"/>
    <w:rsid w:val="00BE2B09"/>
    <w:rsid w:val="00BE654D"/>
    <w:rsid w:val="00BE6634"/>
    <w:rsid w:val="00BF5DF3"/>
    <w:rsid w:val="00C161A1"/>
    <w:rsid w:val="00C21D93"/>
    <w:rsid w:val="00C225C9"/>
    <w:rsid w:val="00C26751"/>
    <w:rsid w:val="00C40968"/>
    <w:rsid w:val="00C473A2"/>
    <w:rsid w:val="00C525DB"/>
    <w:rsid w:val="00C60E95"/>
    <w:rsid w:val="00C610EC"/>
    <w:rsid w:val="00C6215B"/>
    <w:rsid w:val="00C724B6"/>
    <w:rsid w:val="00C84E71"/>
    <w:rsid w:val="00C87463"/>
    <w:rsid w:val="00C8797B"/>
    <w:rsid w:val="00C93B0B"/>
    <w:rsid w:val="00C94C5E"/>
    <w:rsid w:val="00CA41CC"/>
    <w:rsid w:val="00CA7EF2"/>
    <w:rsid w:val="00CB008B"/>
    <w:rsid w:val="00CB5C67"/>
    <w:rsid w:val="00CB62DC"/>
    <w:rsid w:val="00CC0502"/>
    <w:rsid w:val="00CC1AC8"/>
    <w:rsid w:val="00CC6A95"/>
    <w:rsid w:val="00CC7E17"/>
    <w:rsid w:val="00CD23A0"/>
    <w:rsid w:val="00CD4A7D"/>
    <w:rsid w:val="00CE593D"/>
    <w:rsid w:val="00CF07F1"/>
    <w:rsid w:val="00D00330"/>
    <w:rsid w:val="00D0050C"/>
    <w:rsid w:val="00D014AE"/>
    <w:rsid w:val="00D0525F"/>
    <w:rsid w:val="00D05926"/>
    <w:rsid w:val="00D06D8D"/>
    <w:rsid w:val="00D16901"/>
    <w:rsid w:val="00D23BD0"/>
    <w:rsid w:val="00D27649"/>
    <w:rsid w:val="00D333AA"/>
    <w:rsid w:val="00D347CA"/>
    <w:rsid w:val="00D51E80"/>
    <w:rsid w:val="00D53848"/>
    <w:rsid w:val="00D53AC5"/>
    <w:rsid w:val="00D54276"/>
    <w:rsid w:val="00D5484F"/>
    <w:rsid w:val="00D652F5"/>
    <w:rsid w:val="00D66858"/>
    <w:rsid w:val="00D767EB"/>
    <w:rsid w:val="00D8125F"/>
    <w:rsid w:val="00D90E67"/>
    <w:rsid w:val="00DA1796"/>
    <w:rsid w:val="00DA2814"/>
    <w:rsid w:val="00DB2405"/>
    <w:rsid w:val="00DB2C90"/>
    <w:rsid w:val="00DB5F6A"/>
    <w:rsid w:val="00DC0393"/>
    <w:rsid w:val="00DC63A9"/>
    <w:rsid w:val="00DC66A6"/>
    <w:rsid w:val="00DC7533"/>
    <w:rsid w:val="00DE2930"/>
    <w:rsid w:val="00DF2CB7"/>
    <w:rsid w:val="00DF3BF1"/>
    <w:rsid w:val="00DF7595"/>
    <w:rsid w:val="00E007F8"/>
    <w:rsid w:val="00E02575"/>
    <w:rsid w:val="00E058BA"/>
    <w:rsid w:val="00E111AA"/>
    <w:rsid w:val="00E172C8"/>
    <w:rsid w:val="00E21120"/>
    <w:rsid w:val="00E24B1E"/>
    <w:rsid w:val="00E24E10"/>
    <w:rsid w:val="00E24F9F"/>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2CDB"/>
    <w:rsid w:val="00EC3919"/>
    <w:rsid w:val="00EC7C98"/>
    <w:rsid w:val="00ED5E52"/>
    <w:rsid w:val="00ED7176"/>
    <w:rsid w:val="00ED75EA"/>
    <w:rsid w:val="00EF4043"/>
    <w:rsid w:val="00EF6C90"/>
    <w:rsid w:val="00F022D4"/>
    <w:rsid w:val="00F062A4"/>
    <w:rsid w:val="00F32AA4"/>
    <w:rsid w:val="00F41683"/>
    <w:rsid w:val="00F573CF"/>
    <w:rsid w:val="00F57A2B"/>
    <w:rsid w:val="00F60050"/>
    <w:rsid w:val="00F658E5"/>
    <w:rsid w:val="00F764F4"/>
    <w:rsid w:val="00F82676"/>
    <w:rsid w:val="00F86F49"/>
    <w:rsid w:val="00F971CE"/>
    <w:rsid w:val="00FA333E"/>
    <w:rsid w:val="00FA7B76"/>
    <w:rsid w:val="00FC544C"/>
    <w:rsid w:val="00FD2DF4"/>
    <w:rsid w:val="00FD7D4E"/>
    <w:rsid w:val="00FE00D7"/>
    <w:rsid w:val="00FE156B"/>
    <w:rsid w:val="00FE1F3D"/>
    <w:rsid w:val="00FE5FC9"/>
    <w:rsid w:val="00FF171F"/>
    <w:rsid w:val="00FF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5260</Words>
  <Characters>29983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2023-03-07T17:25:00Z</dcterms:created>
  <dcterms:modified xsi:type="dcterms:W3CDTF">2023-03-07T17:25:00Z</dcterms:modified>
</cp:coreProperties>
</file>