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41AE" w14:textId="3047D1BB" w:rsidR="00CA41CC" w:rsidRPr="00914128" w:rsidRDefault="0068336D" w:rsidP="00914128">
      <w:pPr>
        <w:pStyle w:val="Heading1"/>
      </w:pPr>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000000" w:rsidP="0068336D">
      <w:pPr>
        <w:pStyle w:val="Heading1"/>
        <w:jc w:val="left"/>
        <w:rPr>
          <w:b w:val="0"/>
          <w:caps w:val="0"/>
        </w:rPr>
      </w:pPr>
      <w:hyperlink w:anchor="Intro" w:history="1">
        <w:r w:rsidR="0068336D"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000000" w:rsidP="00914128">
      <w:pPr>
        <w:pStyle w:val="ToC"/>
      </w:pPr>
      <w:hyperlink w:anchor="a6_1" w:history="1">
        <w:r w:rsidR="00320613" w:rsidRPr="0083763B">
          <w:rPr>
            <w:rStyle w:val="Hyperlink"/>
          </w:rPr>
          <w:t>6:1</w:t>
        </w:r>
      </w:hyperlink>
      <w:r w:rsidR="00320613" w:rsidRPr="0083763B">
        <w:t xml:space="preserve"> </w:t>
      </w:r>
      <w:r w:rsidR="00320613" w:rsidRPr="0083763B">
        <w:tab/>
        <w:t>Personal Injuries — Adults</w:t>
      </w:r>
    </w:p>
    <w:p w14:paraId="33035E3A" w14:textId="77777777" w:rsidR="0083763B" w:rsidRDefault="00000000" w:rsidP="00914128">
      <w:pPr>
        <w:pStyle w:val="ToC"/>
      </w:pPr>
      <w:hyperlink w:anchor="a6_1A" w:history="1">
        <w:r w:rsidR="00320613" w:rsidRPr="0083763B">
          <w:rPr>
            <w:rStyle w:val="Hyperlink"/>
          </w:rPr>
          <w:t>6:1</w:t>
        </w:r>
        <w:r w:rsidR="00320613">
          <w:rPr>
            <w:rStyle w:val="Hyperlink"/>
            <w:caps/>
          </w:rPr>
          <w:t>A</w:t>
        </w:r>
      </w:hyperlink>
      <w:r w:rsidR="00320613" w:rsidRPr="0083763B">
        <w:t xml:space="preserve"> </w:t>
      </w:r>
      <w:r w:rsidR="00320613" w:rsidRPr="0083763B">
        <w:tab/>
        <w:t xml:space="preserve">Special Interrogatories </w:t>
      </w:r>
      <w:r w:rsidR="00320613">
        <w:t>t</w:t>
      </w:r>
      <w:r w:rsidR="00320613" w:rsidRPr="0083763B">
        <w:t xml:space="preserve">o </w:t>
      </w:r>
      <w:r w:rsidR="00320613">
        <w:t>t</w:t>
      </w:r>
      <w:r w:rsidR="00320613" w:rsidRPr="0083763B">
        <w:t xml:space="preserve">he Jury </w:t>
      </w:r>
      <w:r w:rsidR="00320613">
        <w:t>t</w:t>
      </w:r>
      <w:r w:rsidR="00320613" w:rsidRPr="0083763B">
        <w:t xml:space="preserve">o Determine </w:t>
      </w:r>
      <w:r w:rsidR="00320613">
        <w:t>t</w:t>
      </w:r>
      <w:r w:rsidR="00320613" w:rsidRPr="0083763B">
        <w:t xml:space="preserve">he </w:t>
      </w:r>
      <w:proofErr w:type="gramStart"/>
      <w:r w:rsidR="00320613" w:rsidRPr="0083763B">
        <w:t>Amount</w:t>
      </w:r>
      <w:proofErr w:type="gramEnd"/>
      <w:r w:rsidR="00320613" w:rsidRPr="0083763B">
        <w:t xml:space="preserve"> </w:t>
      </w:r>
      <w:r w:rsidR="00320613">
        <w:t>o</w:t>
      </w:r>
      <w:r w:rsidR="00320613" w:rsidRPr="0083763B">
        <w:t xml:space="preserve">f Damages Awarded </w:t>
      </w:r>
      <w:r w:rsidR="00320613">
        <w:t>f</w:t>
      </w:r>
      <w:r w:rsidR="00320613" w:rsidRPr="0083763B">
        <w:t xml:space="preserve">or Economic </w:t>
      </w:r>
      <w:r w:rsidR="00320613">
        <w:t>a</w:t>
      </w:r>
      <w:r w:rsidR="00320613" w:rsidRPr="0083763B">
        <w:t xml:space="preserve">nd Noneconomic Losses </w:t>
      </w:r>
      <w:r w:rsidR="00320613">
        <w:t>o</w:t>
      </w:r>
      <w:r w:rsidR="00320613" w:rsidRPr="0083763B">
        <w:t xml:space="preserve">r Injuries </w:t>
      </w:r>
      <w:r w:rsidR="00320613">
        <w:t>a</w:t>
      </w:r>
      <w:r w:rsidR="00320613" w:rsidRPr="0083763B">
        <w:t xml:space="preserve">nd </w:t>
      </w:r>
      <w:r w:rsidR="00320613">
        <w:t>f</w:t>
      </w:r>
      <w:r w:rsidR="00320613" w:rsidRPr="0083763B">
        <w:t xml:space="preserve">or Physical Impairment </w:t>
      </w:r>
      <w:r w:rsidR="00320613">
        <w:t>o</w:t>
      </w:r>
      <w:r w:rsidR="00320613" w:rsidRPr="0083763B">
        <w:t xml:space="preserve">r Disfigurement ― Mechanics </w:t>
      </w:r>
      <w:r w:rsidR="00320613">
        <w:t>f</w:t>
      </w:r>
      <w:r w:rsidR="00320613" w:rsidRPr="0083763B">
        <w:t>or Submitting</w:t>
      </w:r>
    </w:p>
    <w:p w14:paraId="23429556" w14:textId="77777777" w:rsidR="0083763B" w:rsidRDefault="00000000" w:rsidP="00914128">
      <w:pPr>
        <w:pStyle w:val="ToC"/>
      </w:pPr>
      <w:hyperlink w:anchor="a6_1B" w:history="1">
        <w:r w:rsidR="00320613" w:rsidRPr="0083763B">
          <w:rPr>
            <w:rStyle w:val="Hyperlink"/>
          </w:rPr>
          <w:t>6:1</w:t>
        </w:r>
        <w:r w:rsidR="00320613">
          <w:rPr>
            <w:rStyle w:val="Hyperlink"/>
          </w:rPr>
          <w:t>B</w:t>
        </w:r>
      </w:hyperlink>
      <w:r w:rsidR="00320613" w:rsidRPr="0083763B">
        <w:t xml:space="preserve"> </w:t>
      </w:r>
      <w:r w:rsidR="00320613" w:rsidRPr="0083763B">
        <w:tab/>
        <w:t xml:space="preserve">Answers </w:t>
      </w:r>
      <w:r w:rsidR="000962C8">
        <w:t>t</w:t>
      </w:r>
      <w:r w:rsidR="00320613" w:rsidRPr="0083763B">
        <w:t xml:space="preserve">o Special Interrogatories </w:t>
      </w:r>
      <w:r w:rsidR="000962C8">
        <w:t>t</w:t>
      </w:r>
      <w:r w:rsidR="00320613" w:rsidRPr="0083763B">
        <w:t xml:space="preserve">o </w:t>
      </w:r>
      <w:r w:rsidR="000962C8">
        <w:t>t</w:t>
      </w:r>
      <w:r w:rsidR="00320613" w:rsidRPr="0083763B">
        <w:t xml:space="preserve">he Jury Set Forth </w:t>
      </w:r>
      <w:r w:rsidR="000962C8">
        <w:t>in Instruction 6:1A</w:t>
      </w:r>
    </w:p>
    <w:p w14:paraId="4C67DBE8" w14:textId="77777777" w:rsidR="0083763B" w:rsidRDefault="00000000" w:rsidP="00914128">
      <w:pPr>
        <w:pStyle w:val="ToC"/>
      </w:pPr>
      <w:hyperlink w:anchor="a6_2" w:history="1">
        <w:r w:rsidR="00320613" w:rsidRPr="0083763B">
          <w:rPr>
            <w:rStyle w:val="Hyperlink"/>
          </w:rPr>
          <w:t>6:2</w:t>
        </w:r>
      </w:hyperlink>
      <w:r w:rsidR="00320613" w:rsidRPr="0083763B">
        <w:t xml:space="preserve"> </w:t>
      </w:r>
      <w:r w:rsidR="00320613" w:rsidRPr="0083763B">
        <w:tab/>
        <w:t>Personal Injuries — Minor Child</w:t>
      </w:r>
    </w:p>
    <w:p w14:paraId="476C410D" w14:textId="77777777" w:rsidR="0083763B" w:rsidRDefault="00000000" w:rsidP="00914128">
      <w:pPr>
        <w:pStyle w:val="ToC"/>
      </w:pPr>
      <w:hyperlink w:anchor="a6_3" w:history="1">
        <w:r w:rsidR="00320613" w:rsidRPr="0083763B">
          <w:rPr>
            <w:rStyle w:val="Hyperlink"/>
          </w:rPr>
          <w:t>6:3</w:t>
        </w:r>
      </w:hyperlink>
      <w:r w:rsidR="00320613" w:rsidRPr="0083763B">
        <w:t xml:space="preserve"> </w:t>
      </w:r>
      <w:r w:rsidR="00320613" w:rsidRPr="0083763B">
        <w:tab/>
        <w:t xml:space="preserve">Personal Injuries — Minor Child — Measure </w:t>
      </w:r>
      <w:r w:rsidR="000962C8">
        <w:t>o</w:t>
      </w:r>
      <w:r w:rsidR="00320613" w:rsidRPr="0083763B">
        <w:t>f Parents’ Damages</w:t>
      </w:r>
    </w:p>
    <w:p w14:paraId="1F086D89" w14:textId="77777777" w:rsidR="0083763B" w:rsidRDefault="00000000" w:rsidP="00914128">
      <w:pPr>
        <w:pStyle w:val="ToC"/>
      </w:pPr>
      <w:hyperlink w:anchor="a6_4" w:history="1">
        <w:r w:rsidR="00320613" w:rsidRPr="0083763B">
          <w:rPr>
            <w:rStyle w:val="Hyperlink"/>
          </w:rPr>
          <w:t>6:4</w:t>
        </w:r>
      </w:hyperlink>
      <w:r w:rsidR="00320613" w:rsidRPr="0083763B">
        <w:t xml:space="preserve"> </w:t>
      </w:r>
      <w:r w:rsidR="00320613" w:rsidRPr="0083763B">
        <w:tab/>
        <w:t xml:space="preserve">Personal Injuries — Minor Child — Loss </w:t>
      </w:r>
      <w:r w:rsidR="000962C8">
        <w:t>o</w:t>
      </w:r>
      <w:r w:rsidR="00320613" w:rsidRPr="0083763B">
        <w:t xml:space="preserve">f Earnings — Distinction Between Parents’ </w:t>
      </w:r>
      <w:r w:rsidR="000962C8">
        <w:t>a</w:t>
      </w:r>
      <w:r w:rsidR="00320613" w:rsidRPr="0083763B">
        <w:t>nd Child’s Claims</w:t>
      </w:r>
    </w:p>
    <w:p w14:paraId="215EE422" w14:textId="77777777" w:rsidR="0083763B" w:rsidRDefault="00000000" w:rsidP="00914128">
      <w:pPr>
        <w:pStyle w:val="ToC"/>
      </w:pPr>
      <w:hyperlink w:anchor="a6_5" w:history="1">
        <w:r w:rsidR="00320613" w:rsidRPr="0083763B">
          <w:rPr>
            <w:rStyle w:val="Hyperlink"/>
          </w:rPr>
          <w:t>6:5</w:t>
        </w:r>
      </w:hyperlink>
      <w:r w:rsidR="00320613" w:rsidRPr="0083763B">
        <w:t xml:space="preserve"> </w:t>
      </w:r>
      <w:r w:rsidR="00320613" w:rsidRPr="0083763B">
        <w:tab/>
        <w:t xml:space="preserve">Loss </w:t>
      </w:r>
      <w:r w:rsidR="000962C8">
        <w:t>o</w:t>
      </w:r>
      <w:r w:rsidR="00320613" w:rsidRPr="0083763B">
        <w:t xml:space="preserve">f Consortium — Elements </w:t>
      </w:r>
      <w:r w:rsidR="000962C8">
        <w:t>o</w:t>
      </w:r>
      <w:r w:rsidR="00320613" w:rsidRPr="0083763B">
        <w:t>f Liability</w:t>
      </w:r>
    </w:p>
    <w:p w14:paraId="5062AB24" w14:textId="77777777" w:rsidR="00973884" w:rsidRDefault="00000000" w:rsidP="00914128">
      <w:pPr>
        <w:pStyle w:val="ToC"/>
      </w:pPr>
      <w:hyperlink w:anchor="a6_6" w:history="1">
        <w:r w:rsidR="00320613" w:rsidRPr="00973884">
          <w:rPr>
            <w:rStyle w:val="Hyperlink"/>
          </w:rPr>
          <w:t>6:6</w:t>
        </w:r>
      </w:hyperlink>
      <w:r w:rsidR="00320613" w:rsidRPr="00973884">
        <w:t xml:space="preserve"> </w:t>
      </w:r>
      <w:r w:rsidR="00320613" w:rsidRPr="00973884">
        <w:tab/>
        <w:t xml:space="preserve">Loss </w:t>
      </w:r>
      <w:r w:rsidR="000962C8">
        <w:t>o</w:t>
      </w:r>
      <w:r w:rsidR="00320613" w:rsidRPr="00973884">
        <w:t>f Consortium — Defined — Damages</w:t>
      </w:r>
    </w:p>
    <w:p w14:paraId="744C6628" w14:textId="77777777" w:rsidR="00973884" w:rsidRDefault="00000000" w:rsidP="00914128">
      <w:pPr>
        <w:pStyle w:val="ToC"/>
      </w:pPr>
      <w:hyperlink w:anchor="a6_7" w:history="1">
        <w:r w:rsidR="00320613" w:rsidRPr="00973884">
          <w:rPr>
            <w:rStyle w:val="Hyperlink"/>
          </w:rPr>
          <w:t>6:7</w:t>
        </w:r>
      </w:hyperlink>
      <w:r w:rsidR="00320613" w:rsidRPr="00973884">
        <w:t xml:space="preserve"> </w:t>
      </w:r>
      <w:r w:rsidR="00320613" w:rsidRPr="00973884">
        <w:tab/>
        <w:t xml:space="preserve">Personal Injuries — Non-Reduction </w:t>
      </w:r>
      <w:r w:rsidR="000962C8">
        <w:t>o</w:t>
      </w:r>
      <w:r w:rsidR="00320613" w:rsidRPr="00973884">
        <w:t>f Damages — “Thin Skull” Doctrine</w:t>
      </w:r>
    </w:p>
    <w:p w14:paraId="31F803D1" w14:textId="77777777" w:rsidR="00973884" w:rsidRDefault="00000000" w:rsidP="00914128">
      <w:pPr>
        <w:pStyle w:val="ToC"/>
      </w:pPr>
      <w:hyperlink w:anchor="a6_8" w:history="1">
        <w:r w:rsidR="00320613" w:rsidRPr="00973884">
          <w:rPr>
            <w:rStyle w:val="Hyperlink"/>
          </w:rPr>
          <w:t>6:8</w:t>
        </w:r>
      </w:hyperlink>
      <w:r w:rsidR="00320613" w:rsidRPr="00973884">
        <w:t xml:space="preserve"> </w:t>
      </w:r>
      <w:r w:rsidR="00320613" w:rsidRPr="00973884">
        <w:tab/>
        <w:t xml:space="preserve">Aggravation </w:t>
      </w:r>
      <w:r w:rsidR="000962C8">
        <w:t>o</w:t>
      </w:r>
      <w:r w:rsidR="00320613" w:rsidRPr="00973884">
        <w:t>f Preexisting Condition</w:t>
      </w:r>
    </w:p>
    <w:p w14:paraId="12B7495D" w14:textId="77777777" w:rsidR="00973884" w:rsidRDefault="00000000" w:rsidP="00914128">
      <w:pPr>
        <w:pStyle w:val="ToC"/>
      </w:pPr>
      <w:hyperlink w:anchor="a6_9" w:history="1">
        <w:r w:rsidR="00320613" w:rsidRPr="00973884">
          <w:rPr>
            <w:rStyle w:val="Hyperlink"/>
          </w:rPr>
          <w:t>6:9</w:t>
        </w:r>
      </w:hyperlink>
      <w:r w:rsidR="000962C8">
        <w:t xml:space="preserve"> </w:t>
      </w:r>
      <w:r w:rsidR="000962C8">
        <w:tab/>
        <w:t>Damages Caused b</w:t>
      </w:r>
      <w:r w:rsidR="00320613" w:rsidRPr="00973884">
        <w:t>y Unrelated Second Event</w:t>
      </w:r>
    </w:p>
    <w:p w14:paraId="1C861F7F" w14:textId="77777777" w:rsidR="00973884" w:rsidRDefault="00000000" w:rsidP="00914128">
      <w:pPr>
        <w:pStyle w:val="ToC"/>
      </w:pPr>
      <w:hyperlink w:anchor="a6_10" w:history="1">
        <w:r w:rsidR="00320613" w:rsidRPr="00973884">
          <w:rPr>
            <w:rStyle w:val="Hyperlink"/>
          </w:rPr>
          <w:t>6:10</w:t>
        </w:r>
      </w:hyperlink>
      <w:r w:rsidR="00320613" w:rsidRPr="00973884">
        <w:t xml:space="preserve"> </w:t>
      </w:r>
      <w:r w:rsidR="00320613" w:rsidRPr="00973884">
        <w:tab/>
        <w:t xml:space="preserve">Effect </w:t>
      </w:r>
      <w:proofErr w:type="gramStart"/>
      <w:r w:rsidR="00320613" w:rsidRPr="00973884">
        <w:t>Of</w:t>
      </w:r>
      <w:proofErr w:type="gramEnd"/>
      <w:r w:rsidR="00320613" w:rsidRPr="00973884">
        <w:t xml:space="preserve"> Income Tax </w:t>
      </w:r>
      <w:r w:rsidR="000962C8">
        <w:t>a</w:t>
      </w:r>
      <w:r w:rsidR="00320613" w:rsidRPr="00973884">
        <w:t xml:space="preserve">nd Other Economic Factors </w:t>
      </w:r>
      <w:r w:rsidR="000962C8">
        <w:t>o</w:t>
      </w:r>
      <w:r w:rsidR="00320613" w:rsidRPr="00973884">
        <w:t xml:space="preserve">n Award </w:t>
      </w:r>
      <w:r w:rsidR="000962C8">
        <w:t>o</w:t>
      </w:r>
      <w:r w:rsidR="00320613"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000000" w:rsidP="0068336D">
      <w:pPr>
        <w:pStyle w:val="ToC"/>
      </w:pPr>
      <w:hyperlink w:anchor="a6_11" w:history="1">
        <w:r w:rsidR="00320613" w:rsidRPr="00973884">
          <w:rPr>
            <w:rStyle w:val="Hyperlink"/>
          </w:rPr>
          <w:t>6:11</w:t>
        </w:r>
      </w:hyperlink>
      <w:r w:rsidR="00320613" w:rsidRPr="00973884">
        <w:t xml:space="preserve"> </w:t>
      </w:r>
      <w:r w:rsidR="00320613" w:rsidRPr="00973884">
        <w:tab/>
        <w:t xml:space="preserve">Personal Property — Difference </w:t>
      </w:r>
      <w:r w:rsidR="000962C8">
        <w:t>i</w:t>
      </w:r>
      <w:r w:rsidR="00320613" w:rsidRPr="00973884">
        <w:t>n Market Value</w:t>
      </w:r>
    </w:p>
    <w:p w14:paraId="4E6BB439" w14:textId="77777777" w:rsidR="00973884" w:rsidRDefault="00000000" w:rsidP="0068336D">
      <w:pPr>
        <w:pStyle w:val="ToC"/>
      </w:pPr>
      <w:hyperlink w:anchor="a6_12" w:history="1">
        <w:r w:rsidR="00320613" w:rsidRPr="00973884">
          <w:rPr>
            <w:rStyle w:val="Hyperlink"/>
          </w:rPr>
          <w:t>6:12</w:t>
        </w:r>
      </w:hyperlink>
      <w:r w:rsidR="00320613" w:rsidRPr="00973884">
        <w:t xml:space="preserve"> </w:t>
      </w:r>
      <w:r w:rsidR="00320613" w:rsidRPr="00973884">
        <w:tab/>
        <w:t xml:space="preserve">Personal Property — Cost </w:t>
      </w:r>
      <w:r w:rsidR="000962C8">
        <w:t>o</w:t>
      </w:r>
      <w:r w:rsidR="00320613" w:rsidRPr="00973884">
        <w:t>f Repairs</w:t>
      </w:r>
    </w:p>
    <w:p w14:paraId="14EDDAFB" w14:textId="77777777" w:rsidR="00973884" w:rsidRDefault="00000000" w:rsidP="0068336D">
      <w:pPr>
        <w:pStyle w:val="ToC"/>
      </w:pPr>
      <w:hyperlink w:anchor="a6_13" w:history="1">
        <w:r w:rsidR="00320613" w:rsidRPr="00973884">
          <w:rPr>
            <w:rStyle w:val="Hyperlink"/>
          </w:rPr>
          <w:t>6:13</w:t>
        </w:r>
      </w:hyperlink>
      <w:r w:rsidR="00320613" w:rsidRPr="00973884">
        <w:t xml:space="preserve"> </w:t>
      </w:r>
      <w:r w:rsidR="00320613" w:rsidRPr="00973884">
        <w:tab/>
        <w:t xml:space="preserve">Personal Property — Loss </w:t>
      </w:r>
      <w:r w:rsidR="000962C8">
        <w:t>o</w:t>
      </w:r>
      <w:r w:rsidR="00320613"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000000" w:rsidP="00ED7176">
      <w:pPr>
        <w:pStyle w:val="ToC"/>
      </w:pPr>
      <w:hyperlink w:anchor="a6_14" w:history="1">
        <w:r w:rsidR="00320613" w:rsidRPr="00973884">
          <w:rPr>
            <w:rStyle w:val="Hyperlink"/>
          </w:rPr>
          <w:t>6:14</w:t>
        </w:r>
      </w:hyperlink>
      <w:r w:rsidR="00320613" w:rsidRPr="00973884">
        <w:t xml:space="preserve"> </w:t>
      </w:r>
      <w:r w:rsidR="00320613" w:rsidRPr="00973884">
        <w:tab/>
        <w:t>Multiple Recovery Pr</w:t>
      </w:r>
      <w:r w:rsidR="000962C8">
        <w:t>ohibited (When Plaintiff Suing o</w:t>
      </w:r>
      <w:r w:rsidR="00320613" w:rsidRPr="00973884">
        <w:t xml:space="preserve">n Alternative </w:t>
      </w:r>
      <w:proofErr w:type="gramStart"/>
      <w:r w:rsidR="00320613" w:rsidRPr="00973884">
        <w:t>But</w:t>
      </w:r>
      <w:proofErr w:type="gramEnd"/>
      <w:r w:rsidR="00320613" w:rsidRPr="00973884">
        <w:t xml:space="preserve"> Duplicative Claims </w:t>
      </w:r>
      <w:r w:rsidR="000962C8">
        <w:t>f</w:t>
      </w:r>
      <w:r w:rsidR="00320613"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0" w:name="Intro"/>
      <w:bookmarkEnd w:id="0"/>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apply to cases where the statutory limitations on noneconomic losses or injuries apply. For these other damage instructions, see the Detailed Table of Contents to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4. In negligence cases in which either the comparative negligence statute, § 13-21-111, C.R.S., or the pro rata liability statute, § 13-21-111.5, C.R.S., or both, apply, the Instructions and special verdict forms in Part C of Chapter 9 should be used in conjunction with Instruction 6:1, but not with the special verdict forms in Instructions 6:1A and 6:1B in Part A of this Chapter. In negligence cases in which neither the comparative negligence statute, § 13-21-111, nor the pro rata liability statute, § 13-21-111.5, applies, the Instructions in Chapter 9 should be used in conjunction with Instructions 6:1, 6:1A, and 6:1B.</w:t>
      </w:r>
    </w:p>
    <w:p w14:paraId="1EFD2CFA" w14:textId="5C2F3576"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in conjunction with Instruction 6:1, 6:1A, and 6:1B instead of the special verdict forms in Part C of Chapter 9. Instructions 6:1, 6:1A, and 6:1B should also be used in conjunction with product liability claims in which neither the comparative negligence statute, § 13-21-111, nor the pro rata liability statute, § 13-21-111.5,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1A22DF5D"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or both, apply, the instructions and special verdict forms in Part E of Chapter 14 should be used in conjunction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in conjunction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Tort Actions Against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9. In tort actions against health care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1" w:name="a6_1"/>
      <w:bookmarkEnd w:id="1"/>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5CD94EF"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physical and mental pain and suffering, inconvenience, emotional stress, impairment of the quality of life, and </w:t>
      </w:r>
      <w:r w:rsidRPr="005E712D">
        <w:rPr>
          <w:rFonts w:eastAsia="Times New Roman"/>
          <w:i/>
          <w:sz w:val="24"/>
          <w:szCs w:val="24"/>
        </w:rPr>
        <w:t xml:space="preserve">(insert any other recoverable </w:t>
      </w:r>
      <w:proofErr w:type="spellStart"/>
      <w:r w:rsidRPr="005E712D">
        <w:rPr>
          <w:rFonts w:eastAsia="Times New Roman"/>
          <w:i/>
          <w:sz w:val="24"/>
          <w:szCs w:val="24"/>
        </w:rPr>
        <w:t>nonecomonic</w:t>
      </w:r>
      <w:proofErr w:type="spellEnd"/>
      <w:r w:rsidRPr="005E712D">
        <w:rPr>
          <w:rFonts w:eastAsia="Times New Roman"/>
          <w:i/>
          <w:sz w:val="24"/>
          <w:szCs w:val="24"/>
        </w:rPr>
        <w:t xml:space="preserve"> losses for which there is sufficient evidence)</w:t>
      </w:r>
      <w:r w:rsidRPr="005E712D">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9569E68" w14:textId="10276078"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probably </w:t>
      </w:r>
      <w:r w:rsidR="006602BD">
        <w:rPr>
          <w:rFonts w:eastAsia="Times New Roman"/>
          <w:b/>
          <w:sz w:val="24"/>
          <w:szCs w:val="24"/>
        </w:rPr>
        <w:t xml:space="preserve">will </w:t>
      </w:r>
      <w:r w:rsidRPr="005E712D">
        <w:rPr>
          <w:rFonts w:eastAsia="Times New Roman"/>
          <w:b/>
          <w:sz w:val="24"/>
          <w:szCs w:val="24"/>
        </w:rPr>
        <w:t xml:space="preserve">have in the future, including: loss of earnings or damage to (his) (her)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4CCA850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See </w:t>
      </w:r>
      <w:r w:rsidR="00BC0B87">
        <w:rPr>
          <w:rFonts w:eastAsia="Times New Roman"/>
          <w:sz w:val="24"/>
          <w:szCs w:val="24"/>
        </w:rPr>
        <w:t xml:space="preserve">the </w:t>
      </w:r>
      <w:r w:rsidRPr="005E712D">
        <w:rPr>
          <w:rFonts w:eastAsia="Times New Roman"/>
          <w:sz w:val="24"/>
          <w:szCs w:val="24"/>
        </w:rPr>
        <w:t>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3. This instruction, together with Instructions 6:1A and 6:1B, where applicable, can also be used in lieu of other, more specific, instructions on damages by deleting or adding such elements of damage as are appropriate </w:t>
      </w:r>
      <w:proofErr w:type="gramStart"/>
      <w:r w:rsidRPr="005E712D">
        <w:rPr>
          <w:rFonts w:eastAsia="Times New Roman"/>
          <w:sz w:val="24"/>
          <w:szCs w:val="24"/>
        </w:rPr>
        <w:t>in light of</w:t>
      </w:r>
      <w:proofErr w:type="gramEnd"/>
      <w:r w:rsidRPr="005E712D">
        <w:rPr>
          <w:rFonts w:eastAsia="Times New Roman"/>
          <w:sz w:val="24"/>
          <w:szCs w:val="24"/>
        </w:rPr>
        <w:t xml:space="preserve"> the evidence in the case.</w:t>
      </w:r>
    </w:p>
    <w:p w14:paraId="2E620BFA" w14:textId="59B9D7DF"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w:t>
      </w:r>
      <w:proofErr w:type="gramStart"/>
      <w:r w:rsidRPr="005E712D">
        <w:rPr>
          <w:rFonts w:eastAsia="Times New Roman"/>
          <w:sz w:val="24"/>
          <w:szCs w:val="24"/>
        </w:rPr>
        <w:t>amount</w:t>
      </w:r>
      <w:proofErr w:type="gramEnd"/>
      <w:r w:rsidRPr="005E712D">
        <w:rPr>
          <w:rFonts w:eastAsia="Times New Roman"/>
          <w:sz w:val="24"/>
          <w:szCs w:val="24"/>
        </w:rPr>
        <w:t xml:space="preserve"> of damages prayed for should not be stated in this instruction or in the statement of the case. </w:t>
      </w:r>
      <w:r w:rsidRPr="005E712D">
        <w:rPr>
          <w:rFonts w:eastAsia="Times New Roman"/>
          <w:b/>
          <w:sz w:val="24"/>
          <w:szCs w:val="24"/>
        </w:rPr>
        <w:t>Rodrigue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 xml:space="preserve">Note 2 of </w:t>
      </w:r>
      <w:r w:rsidR="00B53DA7">
        <w:rPr>
          <w:rFonts w:eastAsia="Times New Roman"/>
          <w:sz w:val="24"/>
          <w:szCs w:val="24"/>
        </w:rPr>
        <w:t xml:space="preserve">the </w:t>
      </w:r>
      <w:r w:rsidRPr="005E712D">
        <w:rPr>
          <w:rFonts w:eastAsia="Times New Roman"/>
          <w:sz w:val="24"/>
          <w:szCs w:val="24"/>
        </w:rPr>
        <w:t>Notes on Use to Instruction 2:1;</w:t>
      </w:r>
      <w:r w:rsidRPr="005E712D">
        <w:rPr>
          <w:rFonts w:eastAsia="Times New Roman"/>
          <w:i/>
          <w:sz w:val="24"/>
          <w:szCs w:val="24"/>
        </w:rPr>
        <w:t xml:space="preserve"> see also</w:t>
      </w:r>
      <w:r w:rsidRPr="005E712D">
        <w:rPr>
          <w:rFonts w:eastAsia="Times New Roman"/>
          <w:sz w:val="24"/>
          <w:szCs w:val="24"/>
        </w:rPr>
        <w:t xml:space="preserve"> C.R.C.P.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3E2AF9CC" w:rsidR="005E712D" w:rsidRPr="005E712D" w:rsidRDefault="005E712D" w:rsidP="005E712D">
      <w:pPr>
        <w:spacing w:after="240"/>
        <w:ind w:firstLine="720"/>
        <w:rPr>
          <w:rFonts w:eastAsia="Times New Roman"/>
          <w:sz w:val="24"/>
          <w:szCs w:val="24"/>
        </w:rPr>
      </w:pPr>
      <w:r w:rsidRPr="005E712D">
        <w:rPr>
          <w:rFonts w:eastAsia="Times New Roman"/>
          <w:sz w:val="24"/>
          <w:szCs w:val="24"/>
        </w:rPr>
        <w:t>7. For civil actions other than medical malpractice actions, the maximum amount of noneconomic and derivative noneconomic damages that may be awarded is set by section 13-21-102.5(3)(a) and (b), C.R.S., as adjusted periodically for inflation by the Colorado secretary of state. § 13-21-102.5(3)(c). As of the most recent certification of January 1</w:t>
      </w:r>
      <w:r w:rsidR="004A5BE8">
        <w:rPr>
          <w:rFonts w:eastAsia="Times New Roman"/>
          <w:sz w:val="24"/>
          <w:szCs w:val="24"/>
        </w:rPr>
        <w:t>4</w:t>
      </w:r>
      <w:r w:rsidRPr="005E712D">
        <w:rPr>
          <w:rFonts w:eastAsia="Times New Roman"/>
          <w:sz w:val="24"/>
          <w:szCs w:val="24"/>
        </w:rPr>
        <w:t>, 20</w:t>
      </w:r>
      <w:r w:rsidR="004A5BE8">
        <w:rPr>
          <w:rFonts w:eastAsia="Times New Roman"/>
          <w:sz w:val="24"/>
          <w:szCs w:val="24"/>
        </w:rPr>
        <w:t>20</w:t>
      </w:r>
      <w:r w:rsidRPr="005E712D">
        <w:rPr>
          <w:rFonts w:eastAsia="Times New Roman"/>
          <w:sz w:val="24"/>
          <w:szCs w:val="24"/>
        </w:rPr>
        <w:t>,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5456B874" w:rsidR="005E712D" w:rsidRDefault="005E712D" w:rsidP="005E712D">
      <w:pPr>
        <w:spacing w:after="240"/>
        <w:ind w:left="720"/>
        <w:rPr>
          <w:rFonts w:eastAsia="Times New Roman"/>
          <w:sz w:val="24"/>
          <w:szCs w:val="24"/>
        </w:rPr>
      </w:pPr>
      <w:r w:rsidRPr="005E712D">
        <w:rPr>
          <w:rFonts w:eastAsia="Times New Roman"/>
          <w:sz w:val="24"/>
          <w:szCs w:val="24"/>
        </w:rPr>
        <w:t xml:space="preserve">For claims that accrue on and after January 1, 2008, </w:t>
      </w:r>
      <w:r w:rsidR="006A2527">
        <w:rPr>
          <w:rFonts w:eastAsia="Times New Roman"/>
          <w:sz w:val="24"/>
          <w:szCs w:val="24"/>
        </w:rPr>
        <w:t xml:space="preserve">and before January 1, 2020, </w:t>
      </w:r>
      <w:r w:rsidRPr="005E712D">
        <w:rPr>
          <w:rFonts w:eastAsia="Times New Roman"/>
          <w:sz w:val="24"/>
          <w:szCs w:val="24"/>
        </w:rPr>
        <w:t>$468,010, which may be increased by the court upon clear and convincing evidence of justification to a maximum of $936,030.</w:t>
      </w:r>
    </w:p>
    <w:p w14:paraId="5A7912E4" w14:textId="62BB2F90" w:rsidR="006A2527" w:rsidRPr="005E712D" w:rsidRDefault="006A2527" w:rsidP="005E712D">
      <w:pPr>
        <w:spacing w:after="240"/>
        <w:ind w:left="720"/>
        <w:rPr>
          <w:rFonts w:eastAsia="Times New Roman"/>
          <w:sz w:val="24"/>
          <w:szCs w:val="24"/>
        </w:rPr>
      </w:pPr>
      <w:r>
        <w:rPr>
          <w:rFonts w:eastAsia="Times New Roman"/>
          <w:sz w:val="24"/>
          <w:szCs w:val="24"/>
        </w:rPr>
        <w:t>For claims that accrue on and after January 1, 2020, $613,760, which may be increased by the court upon clear and convincing evidence to a maximum of $1,227,530.</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8. “Noneconomic loss or injury” is defined as nonpecuniary harm including pain and suffering, inconvenience, emotional stress, and impairment of the quality of life. § 13-21-102.5(2)(b). “Derivative noneconomic loss or injury” is defined as “harm or emotional stress to persons other than the person suffering the direct or primary loss or injury.” § 13-21-102.5(2)(a). However, nothing in section 13-21-102.5 is to be construed “to limit the recovery of compensatory damages for physical impairment or disfigurement</w:t>
      </w:r>
      <w:proofErr w:type="gramStart"/>
      <w:r w:rsidRPr="005E712D">
        <w:rPr>
          <w:rFonts w:eastAsia="Times New Roman"/>
          <w:sz w:val="24"/>
          <w:szCs w:val="24"/>
        </w:rPr>
        <w:t>. . . .</w:t>
      </w:r>
      <w:proofErr w:type="gramEnd"/>
      <w:r w:rsidRPr="005E712D">
        <w:rPr>
          <w:rFonts w:eastAsia="Times New Roman"/>
          <w:sz w:val="24"/>
          <w:szCs w:val="24"/>
        </w:rPr>
        <w:t>”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w:t>
      </w:r>
      <w:r w:rsidRPr="005E712D">
        <w:rPr>
          <w:rFonts w:eastAsia="Times New Roman"/>
          <w:sz w:val="24"/>
          <w:szCs w:val="24"/>
        </w:rPr>
        <w:lastRenderedPageBreak/>
        <w:t xml:space="preserve">(Colo. 2007) (“‘If someone tortiously inflicts a permanent injury on </w:t>
      </w:r>
      <w:proofErr w:type="gramStart"/>
      <w:r w:rsidRPr="005E712D">
        <w:rPr>
          <w:rFonts w:eastAsia="Times New Roman"/>
          <w:sz w:val="24"/>
          <w:szCs w:val="24"/>
        </w:rPr>
        <w:t>another</w:t>
      </w:r>
      <w:proofErr w:type="gramEnd"/>
      <w:r w:rsidRPr="005E712D">
        <w:rPr>
          <w:rFonts w:eastAsia="Times New Roman"/>
          <w:sz w:val="24"/>
          <w:szCs w:val="24"/>
        </w:rPr>
        <w:t xml:space="preserve"> he or she has taken away something valuable which is independent and different from other recognized elements of damages such as pain and suffering and loss of earning capacity.’” (</w:t>
      </w:r>
      <w:proofErr w:type="gramStart"/>
      <w:r w:rsidRPr="005E712D">
        <w:rPr>
          <w:rFonts w:eastAsia="Times New Roman"/>
          <w:sz w:val="24"/>
          <w:szCs w:val="24"/>
        </w:rPr>
        <w:t>quoting</w:t>
      </w:r>
      <w:proofErr w:type="gramEnd"/>
      <w:r w:rsidRPr="005E712D">
        <w:rPr>
          <w:rFonts w:eastAsia="Times New Roman"/>
          <w:sz w:val="24"/>
          <w:szCs w:val="24"/>
        </w:rPr>
        <w:t xml:space="preserve"> 2 Marilyn </w:t>
      </w:r>
      <w:proofErr w:type="spellStart"/>
      <w:r w:rsidRPr="005E712D">
        <w:rPr>
          <w:rFonts w:eastAsia="Times New Roman"/>
          <w:sz w:val="24"/>
          <w:szCs w:val="24"/>
        </w:rPr>
        <w:t>Minzer</w:t>
      </w:r>
      <w:proofErr w:type="spellEnd"/>
      <w:r w:rsidRPr="005E712D">
        <w:rPr>
          <w:rFonts w:eastAsia="Times New Roman"/>
          <w:sz w:val="24"/>
          <w:szCs w:val="24"/>
        </w:rPr>
        <w:t xml:space="preserve"> et 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w:t>
      </w:r>
      <w:proofErr w:type="gramStart"/>
      <w:r w:rsidRPr="005E712D">
        <w:rPr>
          <w:rFonts w:eastAsia="Times New Roman"/>
          <w:sz w:val="24"/>
          <w:szCs w:val="24"/>
        </w:rPr>
        <w:t>jury, but</w:t>
      </w:r>
      <w:proofErr w:type="gramEnd"/>
      <w:r w:rsidRPr="005E712D">
        <w:rPr>
          <w:rFonts w:eastAsia="Times New Roman"/>
          <w:sz w:val="24"/>
          <w:szCs w:val="24"/>
        </w:rPr>
        <w:t xml:space="preserve">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 xml:space="preserve">Cooley v. </w:t>
      </w:r>
      <w:proofErr w:type="spellStart"/>
      <w:r w:rsidRPr="005E712D">
        <w:rPr>
          <w:rFonts w:eastAsia="Times New Roman"/>
          <w:b/>
          <w:sz w:val="24"/>
          <w:szCs w:val="24"/>
        </w:rPr>
        <w:t>Paraho</w:t>
      </w:r>
      <w:proofErr w:type="spellEnd"/>
      <w:r w:rsidRPr="005E712D">
        <w:rPr>
          <w:rFonts w:eastAsia="Times New Roman"/>
          <w:b/>
          <w:sz w:val="24"/>
          <w:szCs w:val="24"/>
        </w:rPr>
        <w:t xml:space="preserve">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w:t>
      </w:r>
      <w:proofErr w:type="spellStart"/>
      <w:r w:rsidRPr="005E712D">
        <w:rPr>
          <w:rFonts w:eastAsia="Times New Roman"/>
          <w:b/>
          <w:sz w:val="24"/>
          <w:szCs w:val="24"/>
        </w:rPr>
        <w:t>Niemet</w:t>
      </w:r>
      <w:proofErr w:type="spellEnd"/>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A514B0A" w14:textId="70E808FA" w:rsidR="003C576A" w:rsidRPr="003C576A"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proofErr w:type="spellStart"/>
      <w:r w:rsidRPr="005E712D">
        <w:rPr>
          <w:rFonts w:eastAsia="Times New Roman"/>
          <w:b/>
          <w:sz w:val="24"/>
          <w:szCs w:val="24"/>
        </w:rPr>
        <w:t>Alhilo</w:t>
      </w:r>
      <w:proofErr w:type="spellEnd"/>
      <w:r w:rsidRPr="005E712D">
        <w:rPr>
          <w:rFonts w:eastAsia="Times New Roman"/>
          <w:b/>
          <w:sz w:val="24"/>
          <w:szCs w:val="24"/>
        </w:rPr>
        <w:t xml:space="preserve"> v. </w:t>
      </w:r>
      <w:proofErr w:type="spellStart"/>
      <w:r w:rsidRPr="005E712D">
        <w:rPr>
          <w:rFonts w:eastAsia="Times New Roman"/>
          <w:b/>
          <w:sz w:val="24"/>
          <w:szCs w:val="24"/>
        </w:rPr>
        <w:t>Kliem</w:t>
      </w:r>
      <w:proofErr w:type="spellEnd"/>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damages individually and not to all the recovering parties in the aggregate. </w:t>
      </w:r>
      <w:r w:rsidRPr="005E712D">
        <w:rPr>
          <w:rFonts w:eastAsia="Times New Roman"/>
          <w:b/>
          <w:sz w:val="24"/>
          <w:szCs w:val="24"/>
        </w:rPr>
        <w:t>Palmer v. Diaz</w:t>
      </w:r>
      <w:r w:rsidRPr="005E712D">
        <w:rPr>
          <w:rFonts w:eastAsia="Times New Roman"/>
          <w:sz w:val="24"/>
          <w:szCs w:val="24"/>
        </w:rPr>
        <w:t xml:space="preserve">, 214 P.3d 546 (Colo. App. 2009). </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w:t>
      </w:r>
      <w:proofErr w:type="gramStart"/>
      <w:r w:rsidRPr="005E712D">
        <w:rPr>
          <w:rFonts w:eastAsia="Times New Roman"/>
          <w:sz w:val="24"/>
          <w:szCs w:val="24"/>
        </w:rPr>
        <w:t>amount</w:t>
      </w:r>
      <w:proofErr w:type="gramEnd"/>
      <w:r w:rsidRPr="005E712D">
        <w:rPr>
          <w:rFonts w:eastAsia="Times New Roman"/>
          <w:sz w:val="24"/>
          <w:szCs w:val="24"/>
        </w:rPr>
        <w:t xml:space="preserve">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Colo. Permanente Med. 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345518FC" w:rsidR="005E712D" w:rsidRDefault="005E712D" w:rsidP="005E712D">
      <w:pPr>
        <w:spacing w:after="240"/>
        <w:ind w:firstLine="720"/>
        <w:rPr>
          <w:rFonts w:eastAsia="Times New Roman"/>
          <w:sz w:val="24"/>
          <w:szCs w:val="24"/>
        </w:rPr>
      </w:pPr>
      <w:r w:rsidRPr="005E712D">
        <w:rPr>
          <w:rFonts w:eastAsia="Times New Roman"/>
          <w:sz w:val="24"/>
          <w:szCs w:val="24"/>
        </w:rPr>
        <w:t xml:space="preserve">13. Under section 13-21-111.5, the damages awarded against the </w:t>
      </w:r>
      <w:proofErr w:type="spellStart"/>
      <w:r w:rsidRPr="005E712D">
        <w:rPr>
          <w:rFonts w:eastAsia="Times New Roman"/>
          <w:sz w:val="24"/>
          <w:szCs w:val="24"/>
        </w:rPr>
        <w:t>nonsettling</w:t>
      </w:r>
      <w:proofErr w:type="spellEnd"/>
      <w:r w:rsidRPr="005E712D">
        <w:rPr>
          <w:rFonts w:eastAsia="Times New Roman"/>
          <w:sz w:val="24"/>
          <w:szCs w:val="24"/>
        </w:rPr>
        <w:t xml:space="preserve">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 xml:space="preserve">Smith v. </w:t>
      </w:r>
      <w:proofErr w:type="spellStart"/>
      <w:r w:rsidRPr="005E712D">
        <w:rPr>
          <w:rFonts w:eastAsia="Times New Roman"/>
          <w:b/>
          <w:sz w:val="24"/>
          <w:szCs w:val="24"/>
        </w:rPr>
        <w:t>Zufelt</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p>
    <w:p w14:paraId="0ABE6BF0" w14:textId="4E7E5F8D" w:rsidR="00C64E7E" w:rsidRPr="003C576A" w:rsidRDefault="00C64E7E" w:rsidP="00C64E7E">
      <w:pPr>
        <w:spacing w:after="240"/>
        <w:ind w:firstLine="720"/>
        <w:rPr>
          <w:rFonts w:eastAsia="Times New Roman"/>
          <w:sz w:val="24"/>
          <w:szCs w:val="24"/>
        </w:rPr>
      </w:pPr>
      <w:r>
        <w:rPr>
          <w:rFonts w:eastAsia="Times New Roman"/>
          <w:sz w:val="24"/>
          <w:szCs w:val="24"/>
        </w:rPr>
        <w:t xml:space="preserve">14. In cases where the jury returns a verdict against a defendant based solely on a principle of vicarious liability for the conduct of another party, such as </w:t>
      </w:r>
      <w:proofErr w:type="spellStart"/>
      <w:r>
        <w:rPr>
          <w:rFonts w:eastAsia="Times New Roman"/>
          <w:sz w:val="24"/>
          <w:szCs w:val="24"/>
        </w:rPr>
        <w:t>respondeat</w:t>
      </w:r>
      <w:proofErr w:type="spellEnd"/>
      <w:r>
        <w:rPr>
          <w:rFonts w:eastAsia="Times New Roman"/>
          <w:sz w:val="24"/>
          <w:szCs w:val="24"/>
        </w:rPr>
        <w:t xml:space="preserve"> superior, a monetary settlement with the party whose conduct led to the defendant’s vicarious liability must be set off against the </w:t>
      </w:r>
      <w:r w:rsidR="00F14548">
        <w:rPr>
          <w:rFonts w:eastAsia="Times New Roman"/>
          <w:sz w:val="24"/>
          <w:szCs w:val="24"/>
        </w:rPr>
        <w:t xml:space="preserve">sum of the </w:t>
      </w:r>
      <w:r>
        <w:rPr>
          <w:rFonts w:eastAsia="Times New Roman"/>
          <w:sz w:val="24"/>
          <w:szCs w:val="24"/>
        </w:rPr>
        <w:t>verdict</w:t>
      </w:r>
      <w:r w:rsidR="00F14548">
        <w:rPr>
          <w:rFonts w:eastAsia="Times New Roman"/>
          <w:sz w:val="24"/>
          <w:szCs w:val="24"/>
        </w:rPr>
        <w:t xml:space="preserve"> plus</w:t>
      </w:r>
      <w:r w:rsidR="00F14548" w:rsidRPr="00F14548">
        <w:rPr>
          <w:rFonts w:eastAsia="Times New Roman"/>
          <w:sz w:val="24"/>
          <w:szCs w:val="24"/>
        </w:rPr>
        <w:t xml:space="preserve"> statutory prejudgment interest a</w:t>
      </w:r>
      <w:r w:rsidR="00F14548">
        <w:rPr>
          <w:rFonts w:eastAsia="Times New Roman"/>
          <w:sz w:val="24"/>
          <w:szCs w:val="24"/>
        </w:rPr>
        <w:t>s of the time of the settlement</w:t>
      </w:r>
      <w:r>
        <w:rPr>
          <w:rFonts w:eastAsia="Times New Roman"/>
          <w:sz w:val="24"/>
          <w:szCs w:val="24"/>
        </w:rPr>
        <w:t xml:space="preserve">. </w:t>
      </w:r>
      <w:proofErr w:type="spellStart"/>
      <w:r>
        <w:rPr>
          <w:rFonts w:eastAsia="Times New Roman"/>
          <w:b/>
          <w:bCs/>
          <w:sz w:val="24"/>
          <w:szCs w:val="24"/>
        </w:rPr>
        <w:t>Marso</w:t>
      </w:r>
      <w:proofErr w:type="spellEnd"/>
      <w:r>
        <w:rPr>
          <w:rFonts w:eastAsia="Times New Roman"/>
          <w:b/>
          <w:bCs/>
          <w:sz w:val="24"/>
          <w:szCs w:val="24"/>
        </w:rPr>
        <w:t xml:space="preserve"> v. Homeowners Realty, Inc.</w:t>
      </w:r>
      <w:r w:rsidRPr="001B593C">
        <w:rPr>
          <w:rFonts w:eastAsia="Times New Roman"/>
          <w:bCs/>
          <w:sz w:val="24"/>
          <w:szCs w:val="24"/>
        </w:rPr>
        <w:t>,</w:t>
      </w:r>
      <w:r w:rsidR="00F14548">
        <w:rPr>
          <w:rFonts w:eastAsia="Times New Roman"/>
          <w:sz w:val="24"/>
          <w:szCs w:val="24"/>
        </w:rPr>
        <w:t xml:space="preserve"> 2018 COA 15M, ¶¶ 1-2, 14-45</w:t>
      </w:r>
      <w:r w:rsidR="005F6120">
        <w:rPr>
          <w:rFonts w:eastAsia="Times New Roman"/>
          <w:sz w:val="24"/>
          <w:szCs w:val="24"/>
        </w:rPr>
        <w:t>, 418 P.3d 542</w:t>
      </w:r>
      <w:r>
        <w:rPr>
          <w:rFonts w:eastAsia="Times New Roman"/>
          <w:sz w:val="24"/>
          <w:szCs w:val="24"/>
        </w:rPr>
        <w:t xml:space="preserve">. </w:t>
      </w:r>
    </w:p>
    <w:p w14:paraId="7B8014E0" w14:textId="60ACC149" w:rsidR="005E712D" w:rsidRPr="005E712D" w:rsidRDefault="009D7371" w:rsidP="005E712D">
      <w:pPr>
        <w:spacing w:after="240"/>
        <w:ind w:firstLine="720"/>
        <w:rPr>
          <w:rFonts w:eastAsia="Times New Roman"/>
          <w:sz w:val="24"/>
          <w:szCs w:val="24"/>
        </w:rPr>
      </w:pPr>
      <w:r>
        <w:rPr>
          <w:rFonts w:eastAsia="Times New Roman"/>
          <w:sz w:val="24"/>
          <w:szCs w:val="24"/>
        </w:rPr>
        <w:t xml:space="preserve"> </w:t>
      </w:r>
      <w:r w:rsidR="005E712D" w:rsidRPr="005E712D">
        <w:rPr>
          <w:rFonts w:eastAsia="Times New Roman"/>
          <w:sz w:val="24"/>
          <w:szCs w:val="24"/>
        </w:rPr>
        <w:t>1</w:t>
      </w:r>
      <w:r w:rsidR="00B74215">
        <w:rPr>
          <w:rFonts w:eastAsia="Times New Roman"/>
          <w:sz w:val="24"/>
          <w:szCs w:val="24"/>
        </w:rPr>
        <w:t>5</w:t>
      </w:r>
      <w:r w:rsidR="005E712D" w:rsidRPr="005E712D">
        <w:rPr>
          <w:rFonts w:eastAsia="Times New Roman"/>
          <w:sz w:val="24"/>
          <w:szCs w:val="24"/>
        </w:rPr>
        <w:t xml:space="preserve">. Other damages limitations include section 13-64-302, for tort actions against health care professionals or institutions, </w:t>
      </w:r>
      <w:r w:rsidR="005E712D" w:rsidRPr="005E712D">
        <w:rPr>
          <w:rFonts w:eastAsia="Times New Roman"/>
          <w:i/>
          <w:sz w:val="24"/>
          <w:szCs w:val="24"/>
        </w:rPr>
        <w:t>see</w:t>
      </w:r>
      <w:r w:rsidR="005E712D" w:rsidRPr="005E712D">
        <w:rPr>
          <w:rFonts w:eastAsia="Times New Roman"/>
          <w:sz w:val="24"/>
          <w:szCs w:val="24"/>
        </w:rPr>
        <w:t xml:space="preserve"> Instruction 15:14 and the related instructions in Part I, </w:t>
      </w:r>
      <w:r w:rsidR="005E712D" w:rsidRPr="005E712D">
        <w:rPr>
          <w:rFonts w:eastAsia="Times New Roman"/>
          <w:sz w:val="24"/>
          <w:szCs w:val="24"/>
        </w:rPr>
        <w:lastRenderedPageBreak/>
        <w:t xml:space="preserve">subpart D of Chapter 15, and sections 13-21-203 and 203.5, C.R.S., for wrongful death actions, </w:t>
      </w:r>
      <w:r w:rsidR="005E712D" w:rsidRPr="005E712D">
        <w:rPr>
          <w:rFonts w:eastAsia="Times New Roman"/>
          <w:i/>
          <w:sz w:val="24"/>
          <w:szCs w:val="24"/>
        </w:rPr>
        <w:t>see</w:t>
      </w:r>
      <w:r w:rsidR="005E712D" w:rsidRPr="005E712D">
        <w:rPr>
          <w:rFonts w:eastAsia="Times New Roman"/>
          <w:sz w:val="24"/>
          <w:szCs w:val="24"/>
        </w:rPr>
        <w:t xml:space="preserve"> Instruction 10:3.</w:t>
      </w:r>
    </w:p>
    <w:p w14:paraId="7BADC637" w14:textId="5E7FFEF6"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6</w:t>
      </w:r>
      <w:r w:rsidRPr="005E712D">
        <w:rPr>
          <w:rFonts w:eastAsia="Times New Roman"/>
          <w:sz w:val="24"/>
          <w:szCs w:val="24"/>
        </w:rPr>
        <w:t xml:space="preserve">. In addition to the general limitations on recoverable damages set out in section 13-21-102.5, other statutes impose limitations on recoverable damages in certain specific cases. When any such statute may apply, other instructions should be </w:t>
      </w:r>
      <w:proofErr w:type="gramStart"/>
      <w:r w:rsidRPr="005E712D">
        <w:rPr>
          <w:rFonts w:eastAsia="Times New Roman"/>
          <w:sz w:val="24"/>
          <w:szCs w:val="24"/>
        </w:rPr>
        <w:t>used</w:t>
      </w:r>
      <w:proofErr w:type="gramEnd"/>
      <w:r w:rsidRPr="005E712D">
        <w:rPr>
          <w:rFonts w:eastAsia="Times New Roman"/>
          <w:sz w:val="24"/>
          <w:szCs w:val="24"/>
        </w:rPr>
        <w:t xml:space="preserve">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C.R.S. (liability of ski area operators to various users); </w:t>
      </w:r>
      <w:r w:rsidRPr="005E712D">
        <w:rPr>
          <w:rFonts w:eastAsia="Times New Roman"/>
          <w:i/>
          <w:sz w:val="24"/>
          <w:szCs w:val="24"/>
        </w:rPr>
        <w:t>see also</w:t>
      </w:r>
      <w:r w:rsidRPr="005E712D">
        <w:rPr>
          <w:rFonts w:eastAsia="Times New Roman"/>
          <w:sz w:val="24"/>
          <w:szCs w:val="24"/>
        </w:rPr>
        <w:t xml:space="preserve"> </w:t>
      </w:r>
      <w:proofErr w:type="spellStart"/>
      <w:r w:rsidRPr="005E712D">
        <w:rPr>
          <w:rFonts w:eastAsia="Times New Roman"/>
          <w:b/>
          <w:sz w:val="24"/>
          <w:szCs w:val="24"/>
        </w:rPr>
        <w:t>Pyles-Knutzen</w:t>
      </w:r>
      <w:proofErr w:type="spellEnd"/>
      <w:r w:rsidRPr="005E712D">
        <w:rPr>
          <w:rFonts w:eastAsia="Times New Roman"/>
          <w:b/>
          <w:sz w:val="24"/>
          <w:szCs w:val="24"/>
        </w:rPr>
        <w:t xml:space="preserve"> v. Bd. of </w:t>
      </w:r>
      <w:proofErr w:type="spellStart"/>
      <w:r w:rsidRPr="005E712D">
        <w:rPr>
          <w:rFonts w:eastAsia="Times New Roman"/>
          <w:b/>
          <w:sz w:val="24"/>
          <w:szCs w:val="24"/>
        </w:rPr>
        <w:t>Cty</w:t>
      </w:r>
      <w:proofErr w:type="spellEnd"/>
      <w:r w:rsidRPr="005E712D">
        <w:rPr>
          <w:rFonts w:eastAsia="Times New Roman"/>
          <w:b/>
          <w:sz w:val="24"/>
          <w:szCs w:val="24"/>
        </w:rPr>
        <w:t>. Comm’rs</w:t>
      </w:r>
      <w:r w:rsidRPr="005E712D">
        <w:rPr>
          <w:rFonts w:eastAsia="Times New Roman"/>
          <w:sz w:val="24"/>
          <w:szCs w:val="24"/>
        </w:rPr>
        <w:t xml:space="preserve">, 781 P.2d 164 (Colo. App. 1989) (claim under Colorado Governmental Immunity Act is limited by section 24-10-114(1), but not by amount “requested” by plaintiff in notice of claim submitted under section 24-10-109(2)(e), C.R.S.). </w:t>
      </w:r>
    </w:p>
    <w:p w14:paraId="549A1B19" w14:textId="6F64FD5A"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7</w:t>
      </w:r>
      <w:r w:rsidRPr="005E712D">
        <w:rPr>
          <w:rFonts w:eastAsia="Times New Roman"/>
          <w:sz w:val="24"/>
          <w:szCs w:val="24"/>
        </w:rPr>
        <w:t>. The potentially competing claims of an injured party and a subrogated insurance carrier are subject to the provisions of section 10-1-135, C.R.S.</w:t>
      </w:r>
    </w:p>
    <w:p w14:paraId="370E764F" w14:textId="10586BAC"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8</w:t>
      </w:r>
      <w:r w:rsidRPr="005E712D">
        <w:rPr>
          <w:rFonts w:eastAsia="Times New Roman"/>
          <w:sz w:val="24"/>
          <w:szCs w:val="24"/>
        </w:rPr>
        <w:t xml:space="preserve">. Omit any element of damage for which there is insufficient evidence. </w:t>
      </w:r>
      <w:r w:rsidRPr="005E712D">
        <w:rPr>
          <w:rFonts w:eastAsia="Times New Roman"/>
          <w:b/>
          <w:sz w:val="24"/>
          <w:szCs w:val="24"/>
        </w:rPr>
        <w:t xml:space="preserve">Barter Mach. &amp; Supply Co. v. </w:t>
      </w:r>
      <w:proofErr w:type="spellStart"/>
      <w:r w:rsidRPr="005E712D">
        <w:rPr>
          <w:rFonts w:eastAsia="Times New Roman"/>
          <w:b/>
          <w:sz w:val="24"/>
          <w:szCs w:val="24"/>
        </w:rPr>
        <w:t>Muchow</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117 Colo. 468, 190 P.2d 891 (1948).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r w:rsidRPr="005E712D">
        <w:rPr>
          <w:rFonts w:eastAsia="Times New Roman"/>
          <w:b/>
          <w:sz w:val="24"/>
          <w:szCs w:val="24"/>
        </w:rPr>
        <w:t>Phillips v. Monarch Recreation Corp.</w:t>
      </w:r>
      <w:r w:rsidRPr="005E712D">
        <w:rPr>
          <w:rFonts w:eastAsia="Times New Roman"/>
          <w:sz w:val="24"/>
          <w:szCs w:val="24"/>
        </w:rPr>
        <w:t xml:space="preserve">, 668 P.2d 982, 987 (Colo. App. 1983). And the jury must compensate an injured party for proven damages. </w:t>
      </w:r>
      <w:proofErr w:type="spellStart"/>
      <w:r w:rsidRPr="005E712D">
        <w:rPr>
          <w:rFonts w:eastAsia="Times New Roman"/>
          <w:b/>
          <w:sz w:val="24"/>
          <w:szCs w:val="24"/>
        </w:rPr>
        <w:t>Villandry</w:t>
      </w:r>
      <w:proofErr w:type="spellEnd"/>
      <w:r w:rsidRPr="005E712D">
        <w:rPr>
          <w:rFonts w:eastAsia="Times New Roman"/>
          <w:b/>
          <w:sz w:val="24"/>
          <w:szCs w:val="24"/>
        </w:rPr>
        <w:t xml:space="preserve"> v. </w:t>
      </w:r>
      <w:proofErr w:type="spellStart"/>
      <w:r w:rsidRPr="005E712D">
        <w:rPr>
          <w:rFonts w:eastAsia="Times New Roman"/>
          <w:b/>
          <w:sz w:val="24"/>
          <w:szCs w:val="24"/>
        </w:rPr>
        <w:t>Gregerson</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 xml:space="preserve">Peterson v. </w:t>
      </w:r>
      <w:proofErr w:type="spellStart"/>
      <w:r w:rsidRPr="005E712D">
        <w:rPr>
          <w:rFonts w:eastAsia="Times New Roman"/>
          <w:b/>
          <w:sz w:val="24"/>
          <w:szCs w:val="24"/>
        </w:rPr>
        <w:t>Tadolini</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Constitutionality of cap on noneconomic damages</w:t>
      </w:r>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proofErr w:type="spellStart"/>
      <w:r w:rsidRPr="005E712D">
        <w:rPr>
          <w:rFonts w:eastAsia="Times New Roman"/>
          <w:b/>
          <w:sz w:val="24"/>
          <w:szCs w:val="24"/>
        </w:rPr>
        <w:t>Scharrel</w:t>
      </w:r>
      <w:proofErr w:type="spellEnd"/>
      <w:r w:rsidRPr="005E712D">
        <w:rPr>
          <w:rFonts w:eastAsia="Times New Roman"/>
          <w:b/>
          <w:sz w:val="24"/>
          <w:szCs w:val="24"/>
        </w:rPr>
        <w:t xml:space="preserve"> v. Wal-Mart Stores, Inc.</w:t>
      </w:r>
      <w:r w:rsidRPr="005E712D">
        <w:rPr>
          <w:rFonts w:eastAsia="Times New Roman"/>
          <w:sz w:val="24"/>
          <w:szCs w:val="24"/>
        </w:rPr>
        <w:t xml:space="preserve">, 949 P.2d 89 (Colo. App. 1997). </w:t>
      </w:r>
      <w:r w:rsidRPr="005E712D">
        <w:rPr>
          <w:rFonts w:eastAsia="Times New Roman"/>
          <w:i/>
          <w:sz w:val="24"/>
          <w:szCs w:val="24"/>
        </w:rPr>
        <w:t xml:space="preserve">Accord </w:t>
      </w:r>
      <w:r w:rsidRPr="005E712D">
        <w:rPr>
          <w:rFonts w:eastAsia="Times New Roman"/>
          <w:b/>
          <w:sz w:val="24"/>
          <w:szCs w:val="24"/>
        </w:rPr>
        <w:t>Stewart v. Rice</w:t>
      </w:r>
      <w:r w:rsidRPr="005E712D">
        <w:rPr>
          <w:rFonts w:eastAsia="Times New Roman"/>
          <w:sz w:val="24"/>
          <w:szCs w:val="24"/>
        </w:rPr>
        <w:t xml:space="preserve">, 25 P.3d 1233 (Colo. App. 2000), </w:t>
      </w:r>
      <w:proofErr w:type="spellStart"/>
      <w:r w:rsidRPr="005E712D">
        <w:rPr>
          <w:rFonts w:eastAsia="Times New Roman"/>
          <w:i/>
          <w:sz w:val="24"/>
          <w:szCs w:val="24"/>
        </w:rPr>
        <w:t>rev’d</w:t>
      </w:r>
      <w:proofErr w:type="spellEnd"/>
      <w:r w:rsidRPr="005E712D">
        <w:rPr>
          <w:rFonts w:eastAsia="Times New Roman"/>
          <w:i/>
          <w:sz w:val="24"/>
          <w:szCs w:val="24"/>
        </w:rPr>
        <w:t xml:space="preserve">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lastRenderedPageBreak/>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 xml:space="preserve">Thompson v. </w:t>
      </w:r>
      <w:proofErr w:type="spellStart"/>
      <w:r w:rsidRPr="005E712D">
        <w:rPr>
          <w:rFonts w:eastAsia="Times New Roman"/>
          <w:b/>
          <w:sz w:val="24"/>
          <w:szCs w:val="24"/>
        </w:rPr>
        <w:t>Tartler</w:t>
      </w:r>
      <w:proofErr w:type="spellEnd"/>
      <w:r w:rsidRPr="005E712D">
        <w:rPr>
          <w:rFonts w:eastAsia="Times New Roman"/>
          <w:sz w:val="24"/>
          <w:szCs w:val="24"/>
        </w:rPr>
        <w:t xml:space="preserve">, 166 Colo. 247, 443 P.2d 365 (1968) (loss of future earnings); </w:t>
      </w:r>
      <w:r w:rsidRPr="005E712D">
        <w:rPr>
          <w:rFonts w:eastAsia="Times New Roman"/>
          <w:b/>
          <w:sz w:val="24"/>
          <w:szCs w:val="24"/>
        </w:rPr>
        <w:t xml:space="preserve">Van </w:t>
      </w:r>
      <w:proofErr w:type="spellStart"/>
      <w:r w:rsidRPr="005E712D">
        <w:rPr>
          <w:rFonts w:eastAsia="Times New Roman"/>
          <w:b/>
          <w:sz w:val="24"/>
          <w:szCs w:val="24"/>
        </w:rPr>
        <w:t>Schaack</w:t>
      </w:r>
      <w:proofErr w:type="spellEnd"/>
      <w:r w:rsidRPr="005E712D">
        <w:rPr>
          <w:rFonts w:eastAsia="Times New Roman"/>
          <w:b/>
          <w:sz w:val="24"/>
          <w:szCs w:val="24"/>
        </w:rPr>
        <w:t xml:space="preserve">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 xml:space="preserve">Colo. Utils. Corp. v. </w:t>
      </w:r>
      <w:proofErr w:type="spellStart"/>
      <w:r w:rsidRPr="005E712D">
        <w:rPr>
          <w:rFonts w:eastAsia="Times New Roman"/>
          <w:b/>
          <w:sz w:val="24"/>
          <w:szCs w:val="24"/>
        </w:rPr>
        <w:t>Casady</w:t>
      </w:r>
      <w:proofErr w:type="spellEnd"/>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 xml:space="preserve">Russo v. </w:t>
      </w:r>
      <w:proofErr w:type="spellStart"/>
      <w:r w:rsidRPr="005E712D">
        <w:rPr>
          <w:rFonts w:eastAsia="Times New Roman"/>
          <w:b/>
          <w:sz w:val="24"/>
          <w:szCs w:val="24"/>
        </w:rPr>
        <w:t>Birrenkott</w:t>
      </w:r>
      <w:proofErr w:type="spellEnd"/>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proofErr w:type="spellStart"/>
      <w:r w:rsidRPr="005E712D">
        <w:rPr>
          <w:rFonts w:eastAsia="Times New Roman"/>
          <w:b/>
          <w:sz w:val="24"/>
          <w:szCs w:val="24"/>
        </w:rPr>
        <w:t>Brncic</w:t>
      </w:r>
      <w:proofErr w:type="spellEnd"/>
      <w:r w:rsidRPr="005E712D">
        <w:rPr>
          <w:rFonts w:eastAsia="Times New Roman"/>
          <w:b/>
          <w:sz w:val="24"/>
          <w:szCs w:val="24"/>
        </w:rPr>
        <w:t xml:space="preserve">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28 Colo. App. 204, 471 P.2d 618 (1970).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Damages for “loss of future earning capacity” are compensable even though they may be “uncertain in respect to the amount.” </w:t>
      </w:r>
      <w:proofErr w:type="spellStart"/>
      <w:r w:rsidRPr="005E712D">
        <w:rPr>
          <w:rFonts w:eastAsia="Times New Roman"/>
          <w:b/>
          <w:sz w:val="24"/>
          <w:szCs w:val="24"/>
        </w:rPr>
        <w:t>Brittis</w:t>
      </w:r>
      <w:proofErr w:type="spellEnd"/>
      <w:r w:rsidRPr="005E712D">
        <w:rPr>
          <w:rFonts w:eastAsia="Times New Roman"/>
          <w:b/>
          <w:sz w:val="24"/>
          <w:szCs w:val="24"/>
        </w:rPr>
        <w:t xml:space="preserve"> v. </w:t>
      </w:r>
      <w:proofErr w:type="spellStart"/>
      <w:r w:rsidRPr="005E712D">
        <w:rPr>
          <w:rFonts w:eastAsia="Times New Roman"/>
          <w:b/>
          <w:sz w:val="24"/>
          <w:szCs w:val="24"/>
        </w:rPr>
        <w:t>Freemon</w:t>
      </w:r>
      <w:proofErr w:type="spellEnd"/>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 xml:space="preserve">Martinez v. </w:t>
      </w:r>
      <w:proofErr w:type="spellStart"/>
      <w:r w:rsidRPr="005E712D">
        <w:rPr>
          <w:rFonts w:eastAsia="Times New Roman"/>
          <w:b/>
          <w:sz w:val="24"/>
          <w:szCs w:val="24"/>
        </w:rPr>
        <w:t>Shapland</w:t>
      </w:r>
      <w:proofErr w:type="spellEnd"/>
      <w:r w:rsidRPr="005E712D">
        <w:rPr>
          <w:rFonts w:eastAsia="Times New Roman"/>
          <w:sz w:val="24"/>
          <w:szCs w:val="24"/>
        </w:rPr>
        <w:t xml:space="preserve">, 833 P.2d 837 (Colo. App. 1992); </w:t>
      </w:r>
      <w:proofErr w:type="spellStart"/>
      <w:r w:rsidRPr="005E712D">
        <w:rPr>
          <w:rFonts w:eastAsia="Times New Roman"/>
          <w:b/>
          <w:sz w:val="24"/>
          <w:szCs w:val="24"/>
        </w:rPr>
        <w:t>Kitto</w:t>
      </w:r>
      <w:proofErr w:type="spellEnd"/>
      <w:r w:rsidRPr="005E712D">
        <w:rPr>
          <w:rFonts w:eastAsia="Times New Roman"/>
          <w:b/>
          <w:sz w:val="24"/>
          <w:szCs w:val="24"/>
        </w:rPr>
        <w:t xml:space="preserve"> v. Gilbert</w:t>
      </w:r>
      <w:r w:rsidRPr="005E712D">
        <w:rPr>
          <w:rFonts w:eastAsia="Times New Roman"/>
          <w:sz w:val="24"/>
          <w:szCs w:val="24"/>
        </w:rPr>
        <w:t xml:space="preserve">, 39 Colo. App. 374, 570 P.2d 544 (1977). A plaintiff’s immigration status may be relevant to a determination of future wage loss in some circumstances. </w:t>
      </w:r>
      <w:r w:rsidRPr="005E712D">
        <w:rPr>
          <w:rFonts w:eastAsia="Times New Roman"/>
          <w:b/>
          <w:sz w:val="24"/>
          <w:szCs w:val="24"/>
        </w:rPr>
        <w:t>Silva v. Wilcox</w:t>
      </w:r>
      <w:r w:rsidRPr="005E712D">
        <w:rPr>
          <w:rFonts w:eastAsia="Times New Roman"/>
          <w:sz w:val="24"/>
          <w:szCs w:val="24"/>
        </w:rPr>
        <w:t xml:space="preserve">, 223 P.3d 127 (Colo. App. 2009).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676BB27D"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xml:space="preserve">, 50 Colo. 328, 116 P. 125 (1911). </w:t>
      </w:r>
      <w:r w:rsidRPr="005E712D">
        <w:rPr>
          <w:rFonts w:eastAsia="Times New Roman"/>
          <w:i/>
          <w:sz w:val="24"/>
          <w:szCs w:val="24"/>
        </w:rPr>
        <w:t xml:space="preserve">But see </w:t>
      </w:r>
      <w:r w:rsidRPr="005E712D">
        <w:rPr>
          <w:rFonts w:eastAsia="Times New Roman"/>
          <w:b/>
          <w:sz w:val="24"/>
          <w:szCs w:val="24"/>
        </w:rPr>
        <w:t xml:space="preserve">Wal-Mart Stores, Inc. v. </w:t>
      </w:r>
      <w:proofErr w:type="spellStart"/>
      <w:r w:rsidRPr="005E712D">
        <w:rPr>
          <w:rFonts w:eastAsia="Times New Roman"/>
          <w:b/>
          <w:sz w:val="24"/>
          <w:szCs w:val="24"/>
        </w:rPr>
        <w:t>Crossgrove</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2012 CO 31, ¶ 18, 276 P.3d 562 (</w:t>
      </w:r>
      <w:r w:rsidR="00580EA6">
        <w:rPr>
          <w:rFonts w:eastAsia="Times New Roman"/>
          <w:sz w:val="24"/>
          <w:szCs w:val="24"/>
        </w:rPr>
        <w:t xml:space="preserve">pre-verdict component </w:t>
      </w:r>
      <w:r w:rsidRPr="005E712D">
        <w:rPr>
          <w:rFonts w:eastAsia="Times New Roman"/>
          <w:sz w:val="24"/>
          <w:szCs w:val="24"/>
        </w:rPr>
        <w:t xml:space="preserve">of the collateral source rule required exclusion of evidence of amount paid by medical insurer, even when offered solely to prove reasonable value of medical services). As to 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 xml:space="preserve">Smith v. </w:t>
      </w:r>
      <w:proofErr w:type="spellStart"/>
      <w:r w:rsidRPr="005E712D">
        <w:rPr>
          <w:rFonts w:eastAsia="Times New Roman"/>
          <w:b/>
          <w:sz w:val="24"/>
          <w:szCs w:val="24"/>
        </w:rPr>
        <w:t>Kinningham</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r w:rsidRPr="005E712D">
        <w:rPr>
          <w:rFonts w:eastAsia="Times New Roman"/>
          <w:b/>
          <w:sz w:val="24"/>
          <w:szCs w:val="24"/>
        </w:rPr>
        <w:t xml:space="preserve">Ford Motor Co. v. </w:t>
      </w:r>
      <w:proofErr w:type="spellStart"/>
      <w:r w:rsidRPr="005E712D">
        <w:rPr>
          <w:rFonts w:eastAsia="Times New Roman"/>
          <w:b/>
          <w:sz w:val="24"/>
          <w:szCs w:val="24"/>
        </w:rPr>
        <w:t>Conrardy</w:t>
      </w:r>
      <w:proofErr w:type="spellEnd"/>
      <w:r w:rsidRPr="005E712D">
        <w:rPr>
          <w:rFonts w:eastAsia="Times New Roman"/>
          <w:sz w:val="24"/>
          <w:szCs w:val="24"/>
        </w:rPr>
        <w:t>, 29 Colo. App. 577, 488 P.2d 219 (1971).</w:t>
      </w:r>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w:t>
      </w:r>
      <w:proofErr w:type="gramStart"/>
      <w:r w:rsidRPr="005E712D">
        <w:rPr>
          <w:rFonts w:eastAsia="Times New Roman"/>
          <w:sz w:val="24"/>
          <w:szCs w:val="24"/>
        </w:rPr>
        <w:t>as a result of</w:t>
      </w:r>
      <w:proofErr w:type="gramEnd"/>
      <w:r w:rsidRPr="005E712D">
        <w:rPr>
          <w:rFonts w:eastAsia="Times New Roman"/>
          <w:sz w:val="24"/>
          <w:szCs w:val="24"/>
        </w:rPr>
        <w:t xml:space="preserve"> the alleged malpractice. </w:t>
      </w:r>
      <w:r w:rsidRPr="005E712D">
        <w:rPr>
          <w:rFonts w:eastAsia="Times New Roman"/>
          <w:b/>
          <w:sz w:val="24"/>
          <w:szCs w:val="24"/>
        </w:rPr>
        <w:t>Boryla v. Pash</w:t>
      </w:r>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
    <w:p w14:paraId="20D91F44" w14:textId="77777777" w:rsidR="00E91DC9" w:rsidRPr="00D438F0" w:rsidRDefault="005E712D" w:rsidP="00E91DC9">
      <w:pPr>
        <w:ind w:firstLine="720"/>
      </w:pPr>
      <w:r w:rsidRPr="005E712D">
        <w:rPr>
          <w:rFonts w:eastAsia="Times New Roman"/>
          <w:sz w:val="24"/>
          <w:szCs w:val="24"/>
        </w:rPr>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w:t>
      </w:r>
      <w:r w:rsidR="00E91DC9">
        <w:rPr>
          <w:rFonts w:eastAsia="Times New Roman"/>
          <w:b/>
          <w:sz w:val="24"/>
          <w:szCs w:val="24"/>
        </w:rPr>
        <w:lastRenderedPageBreak/>
        <w:t>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46DFB10D" w:rsidR="005E712D" w:rsidRPr="005E712D" w:rsidRDefault="005E712D" w:rsidP="005E712D">
      <w:pPr>
        <w:spacing w:after="240"/>
        <w:ind w:firstLine="720"/>
        <w:rPr>
          <w:rFonts w:eastAsia="Times New Roman"/>
          <w:sz w:val="24"/>
          <w:szCs w:val="24"/>
        </w:rPr>
      </w:pPr>
      <w:r w:rsidRPr="005E712D">
        <w:rPr>
          <w:rFonts w:eastAsia="Times New Roman"/>
          <w:sz w:val="24"/>
          <w:szCs w:val="24"/>
        </w:rPr>
        <w:t>9. For the damages one may recover against a defendant who made illegal drugs available to an illegal user and the use of such drugs caused damages to others, see Drug Dealer Liability Act, §§ 13-21-801 to -13, C.R.S. Such damages may include punitive damages, reasonable attorney fees, and costs of suit. As to the persons who may recover such damages, see section 13-21-804(1), and as to the persons who may be held liable for such damages, see section 13-21-804(2)(a)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proofErr w:type="spellStart"/>
      <w:r w:rsidRPr="005E712D">
        <w:rPr>
          <w:rFonts w:eastAsia="Times New Roman"/>
          <w:b/>
          <w:sz w:val="24"/>
          <w:szCs w:val="24"/>
        </w:rPr>
        <w:t>Scharrel</w:t>
      </w:r>
      <w:proofErr w:type="spellEnd"/>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0091E27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29AB4253"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on his or her personal injury damages from the date the action accrued, rather than from the date of filing suit. </w:t>
      </w:r>
      <w:r w:rsidRPr="005E712D">
        <w:rPr>
          <w:rFonts w:eastAsia="Times New Roman"/>
          <w:b/>
          <w:sz w:val="24"/>
          <w:szCs w:val="24"/>
        </w:rPr>
        <w:t>Briggs v. Cornwell</w:t>
      </w:r>
      <w:r w:rsidRPr="005E712D">
        <w:rPr>
          <w:rFonts w:eastAsia="Times New Roman"/>
          <w:sz w:val="24"/>
          <w:szCs w:val="24"/>
        </w:rPr>
        <w:t xml:space="preserve">, 676 P.2d 1252 (Colo. App. 1983). In a property damage case where damages are measured by repair and/or replacement costs, prejudgment interest accrues from the date the costs were incurred, not the date of the original damage. </w:t>
      </w:r>
      <w:r w:rsidRPr="005E712D">
        <w:rPr>
          <w:rFonts w:eastAsia="Times New Roman"/>
          <w:b/>
          <w:sz w:val="24"/>
          <w:szCs w:val="24"/>
        </w:rPr>
        <w:t>Goodyear Tire &amp; Rubber Co. v. Holmes</w:t>
      </w:r>
      <w:r w:rsidRPr="005E712D">
        <w:rPr>
          <w:rFonts w:eastAsia="Times New Roman"/>
          <w:sz w:val="24"/>
          <w:szCs w:val="24"/>
        </w:rPr>
        <w:t xml:space="preserve">, 193 P.3d 821 (Colo. 2008). Prejudgment interest, as an element of damage, is to be determined by the court. § 13-21-101(1). The trial court is to calculate interest on the amount of the reduced award, after application of any statutory </w:t>
      </w:r>
      <w:proofErr w:type="gramStart"/>
      <w:r w:rsidRPr="005E712D">
        <w:rPr>
          <w:rFonts w:eastAsia="Times New Roman"/>
          <w:sz w:val="24"/>
          <w:szCs w:val="24"/>
        </w:rPr>
        <w:t>damages</w:t>
      </w:r>
      <w:proofErr w:type="gramEnd"/>
      <w:r w:rsidRPr="005E712D">
        <w:rPr>
          <w:rFonts w:eastAsia="Times New Roman"/>
          <w:sz w:val="24"/>
          <w:szCs w:val="24"/>
        </w:rPr>
        <w:t xml:space="preserve"> caps, regardless of the amount awarded by the jury. </w:t>
      </w:r>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r w:rsidR="00B74215">
        <w:rPr>
          <w:rFonts w:eastAsia="Times New Roman"/>
          <w:sz w:val="24"/>
          <w:szCs w:val="24"/>
        </w:rPr>
        <w:t xml:space="preserve"> Where a settlement with an agent is to be set off against a verdict against the principal based on </w:t>
      </w:r>
      <w:proofErr w:type="spellStart"/>
      <w:r w:rsidR="00B74215">
        <w:rPr>
          <w:rFonts w:eastAsia="Times New Roman"/>
          <w:sz w:val="24"/>
          <w:szCs w:val="24"/>
        </w:rPr>
        <w:t>respondeat</w:t>
      </w:r>
      <w:proofErr w:type="spellEnd"/>
      <w:r w:rsidR="00B74215">
        <w:rPr>
          <w:rFonts w:eastAsia="Times New Roman"/>
          <w:sz w:val="24"/>
          <w:szCs w:val="24"/>
        </w:rPr>
        <w:t xml:space="preserve"> superior, however, prejudgment interest is to be calculated on the verdict first, before applying the setoff. </w:t>
      </w:r>
      <w:proofErr w:type="spellStart"/>
      <w:r w:rsidR="00B74215">
        <w:rPr>
          <w:rFonts w:eastAsia="Times New Roman"/>
          <w:b/>
          <w:bCs/>
          <w:sz w:val="24"/>
          <w:szCs w:val="24"/>
        </w:rPr>
        <w:t>Marso</w:t>
      </w:r>
      <w:proofErr w:type="spellEnd"/>
      <w:r w:rsidR="00B74215" w:rsidRPr="00627CE7">
        <w:rPr>
          <w:rFonts w:eastAsia="Times New Roman"/>
          <w:bCs/>
          <w:sz w:val="24"/>
          <w:szCs w:val="24"/>
        </w:rPr>
        <w:t>,</w:t>
      </w:r>
      <w:r w:rsidR="00B74215">
        <w:rPr>
          <w:rFonts w:eastAsia="Times New Roman"/>
          <w:sz w:val="24"/>
          <w:szCs w:val="24"/>
        </w:rPr>
        <w:t xml:space="preserve"> ¶¶ 2, 35-45</w:t>
      </w:r>
      <w:r w:rsidR="00631FE7">
        <w:rPr>
          <w:rFonts w:eastAsia="Times New Roman"/>
          <w:sz w:val="24"/>
          <w:szCs w:val="24"/>
        </w:rPr>
        <w:t>, 418 P.3d at 544, 548-49</w:t>
      </w:r>
      <w:r w:rsidR="009D7371">
        <w:rPr>
          <w:rFonts w:eastAsia="Times New Roman"/>
          <w:sz w:val="24"/>
          <w:szCs w:val="24"/>
        </w:rPr>
        <w:t>.</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3E596DC4" w14:textId="1FC14DE6" w:rsidR="00580EA6" w:rsidRDefault="005E712D" w:rsidP="00580EA6">
      <w:pPr>
        <w:spacing w:after="240"/>
        <w:ind w:firstLine="720"/>
        <w:rPr>
          <w:rFonts w:eastAsia="Times New Roman"/>
          <w:sz w:val="24"/>
          <w:szCs w:val="24"/>
        </w:rPr>
      </w:pPr>
      <w:r w:rsidRPr="005E712D">
        <w:rPr>
          <w:rFonts w:eastAsia="Times New Roman"/>
          <w:sz w:val="24"/>
          <w:szCs w:val="24"/>
        </w:rPr>
        <w:t xml:space="preserve">13. </w:t>
      </w:r>
      <w:r w:rsidR="00580EA6">
        <w:rPr>
          <w:rFonts w:eastAsia="Times New Roman"/>
          <w:sz w:val="24"/>
          <w:szCs w:val="24"/>
        </w:rPr>
        <w:t xml:space="preserve">A collateral source payment is an amount by which an injured plaintiff is wholly or partially compensated by a person or entity other than the defendant. </w:t>
      </w:r>
      <w:r w:rsidR="00A36F14">
        <w:rPr>
          <w:rFonts w:eastAsia="Times New Roman"/>
          <w:sz w:val="24"/>
          <w:szCs w:val="24"/>
        </w:rPr>
        <w:t>§</w:t>
      </w:r>
      <w:r w:rsidR="00580EA6">
        <w:rPr>
          <w:rFonts w:eastAsia="Times New Roman"/>
          <w:sz w:val="24"/>
          <w:szCs w:val="24"/>
        </w:rPr>
        <w:t xml:space="preserve"> 13-21-111.6, C.R.S. The “collateral source rule” </w:t>
      </w:r>
      <w:r w:rsidR="00094989">
        <w:rPr>
          <w:rFonts w:eastAsia="Times New Roman"/>
          <w:sz w:val="24"/>
          <w:szCs w:val="24"/>
        </w:rPr>
        <w:t>comprises</w:t>
      </w:r>
      <w:r w:rsidR="00580EA6">
        <w:rPr>
          <w:rFonts w:eastAsia="Times New Roman"/>
          <w:sz w:val="24"/>
          <w:szCs w:val="24"/>
        </w:rPr>
        <w:t xml:space="preserve"> a pre-verdict component and a post-verdict component. The pre-verdict component provides that the “fact or amount of any collateral source payment or benefits shall not be admitted as evidence in any action against an alleged third-party tortfeasor” or in an action to recover benefits for an injury caused by an uninsured motorist. </w:t>
      </w:r>
      <w:r w:rsidR="00A36F14">
        <w:rPr>
          <w:rFonts w:eastAsia="Times New Roman"/>
          <w:sz w:val="24"/>
          <w:szCs w:val="24"/>
        </w:rPr>
        <w:t>§</w:t>
      </w:r>
      <w:r w:rsidR="00580EA6">
        <w:rPr>
          <w:rFonts w:eastAsia="Times New Roman"/>
          <w:sz w:val="24"/>
          <w:szCs w:val="24"/>
        </w:rPr>
        <w:t xml:space="preserve"> </w:t>
      </w:r>
      <w:r w:rsidR="00596A4C">
        <w:rPr>
          <w:rFonts w:eastAsia="Times New Roman"/>
          <w:sz w:val="24"/>
          <w:szCs w:val="24"/>
        </w:rPr>
        <w:t>1</w:t>
      </w:r>
      <w:r w:rsidR="00580EA6">
        <w:rPr>
          <w:rFonts w:eastAsia="Times New Roman"/>
          <w:sz w:val="24"/>
          <w:szCs w:val="24"/>
        </w:rPr>
        <w:t>0-</w:t>
      </w:r>
      <w:r w:rsidR="00596A4C">
        <w:rPr>
          <w:rFonts w:eastAsia="Times New Roman"/>
          <w:sz w:val="24"/>
          <w:szCs w:val="24"/>
        </w:rPr>
        <w:t>1-</w:t>
      </w:r>
      <w:r w:rsidR="00580EA6">
        <w:rPr>
          <w:rFonts w:eastAsia="Times New Roman"/>
          <w:sz w:val="24"/>
          <w:szCs w:val="24"/>
        </w:rPr>
        <w:t>135(10)</w:t>
      </w:r>
      <w:r w:rsidR="00596A4C">
        <w:rPr>
          <w:rFonts w:eastAsia="Times New Roman"/>
          <w:sz w:val="24"/>
          <w:szCs w:val="24"/>
        </w:rPr>
        <w:t>(a</w:t>
      </w:r>
      <w:r w:rsidR="00596A4C" w:rsidRPr="004F1648">
        <w:rPr>
          <w:rFonts w:eastAsia="Times New Roman"/>
          <w:sz w:val="24"/>
          <w:szCs w:val="24"/>
        </w:rPr>
        <w:t>)</w:t>
      </w:r>
      <w:r w:rsidR="00580EA6" w:rsidRPr="004F1648">
        <w:rPr>
          <w:rFonts w:eastAsia="Times New Roman"/>
          <w:sz w:val="24"/>
          <w:szCs w:val="24"/>
        </w:rPr>
        <w:t xml:space="preserve">. </w:t>
      </w:r>
      <w:r w:rsidR="004F1648" w:rsidRPr="004F1648">
        <w:rPr>
          <w:rFonts w:eastAsia="Times New Roman"/>
          <w:sz w:val="24"/>
          <w:szCs w:val="24"/>
        </w:rPr>
        <w:t xml:space="preserve">For cases applying the pre-verdict component of the rule, see </w:t>
      </w:r>
      <w:r w:rsidR="004F1648" w:rsidRPr="004F1648">
        <w:rPr>
          <w:rFonts w:eastAsia="Times New Roman"/>
          <w:b/>
          <w:bCs/>
          <w:sz w:val="24"/>
          <w:szCs w:val="24"/>
        </w:rPr>
        <w:t xml:space="preserve">Ronquillo v. </w:t>
      </w:r>
      <w:proofErr w:type="spellStart"/>
      <w:r w:rsidR="004F1648" w:rsidRPr="004F1648">
        <w:rPr>
          <w:rFonts w:eastAsia="Times New Roman"/>
          <w:b/>
          <w:bCs/>
          <w:sz w:val="24"/>
          <w:szCs w:val="24"/>
        </w:rPr>
        <w:t>EcoClean</w:t>
      </w:r>
      <w:proofErr w:type="spellEnd"/>
      <w:r w:rsidR="004F1648" w:rsidRPr="004F1648">
        <w:rPr>
          <w:rFonts w:eastAsia="Times New Roman"/>
          <w:b/>
          <w:bCs/>
          <w:sz w:val="24"/>
          <w:szCs w:val="24"/>
        </w:rPr>
        <w:t xml:space="preserve"> Home Servs.</w:t>
      </w:r>
      <w:r w:rsidR="004F1648" w:rsidRPr="004F1648">
        <w:rPr>
          <w:rFonts w:eastAsia="Times New Roman"/>
          <w:sz w:val="24"/>
          <w:szCs w:val="24"/>
        </w:rPr>
        <w:t xml:space="preserve">, 2021 CO 82, ¶¶ 20-30 (Discounted amounts paid to medical providers </w:t>
      </w:r>
      <w:r w:rsidR="004F1648" w:rsidRPr="004F1648">
        <w:rPr>
          <w:rFonts w:eastAsia="Times New Roman"/>
          <w:sz w:val="24"/>
          <w:szCs w:val="24"/>
        </w:rPr>
        <w:lastRenderedPageBreak/>
        <w:t xml:space="preserve">by medical finance company to enable plaintiff to obtain prompt medical treatment are not collateral source payments where plaintiff remained liable to pay full amounts billed by providers, so the pre-verdict component of the collateral source rule does not exclude evidence of payments by finance company. This result may be different under </w:t>
      </w:r>
      <w:r w:rsidR="002A0F72">
        <w:rPr>
          <w:rFonts w:eastAsia="Times New Roman"/>
          <w:sz w:val="24"/>
          <w:szCs w:val="24"/>
        </w:rPr>
        <w:t>sections</w:t>
      </w:r>
      <w:r w:rsidR="004F1648" w:rsidRPr="004F1648">
        <w:rPr>
          <w:rFonts w:eastAsia="Times New Roman"/>
          <w:sz w:val="24"/>
          <w:szCs w:val="24"/>
        </w:rPr>
        <w:t xml:space="preserve"> 38-27.5-103 and 104, C.R.S., which had not taken effect at the time of the events in </w:t>
      </w:r>
      <w:r w:rsidR="004F1648" w:rsidRPr="004F1648">
        <w:rPr>
          <w:rFonts w:eastAsia="Times New Roman"/>
          <w:b/>
          <w:bCs/>
          <w:sz w:val="24"/>
          <w:szCs w:val="24"/>
        </w:rPr>
        <w:t>Ronquillo</w:t>
      </w:r>
      <w:r w:rsidR="004F1648" w:rsidRPr="004F1648">
        <w:rPr>
          <w:rFonts w:eastAsia="Times New Roman"/>
          <w:sz w:val="24"/>
          <w:szCs w:val="24"/>
        </w:rPr>
        <w:t>.</w:t>
      </w:r>
      <w:r w:rsidR="002A0F72">
        <w:rPr>
          <w:rFonts w:eastAsia="Times New Roman"/>
          <w:sz w:val="24"/>
          <w:szCs w:val="24"/>
        </w:rPr>
        <w:t>)</w:t>
      </w:r>
      <w:r w:rsidR="00580EA6" w:rsidRPr="004F1648">
        <w:rPr>
          <w:rFonts w:eastAsia="Times New Roman"/>
          <w:sz w:val="24"/>
          <w:szCs w:val="24"/>
        </w:rPr>
        <w:t>;</w:t>
      </w:r>
      <w:r w:rsidR="00580EA6" w:rsidRPr="004F1648">
        <w:rPr>
          <w:rFonts w:eastAsia="Times New Roman"/>
          <w:b/>
          <w:sz w:val="24"/>
          <w:szCs w:val="24"/>
        </w:rPr>
        <w:t xml:space="preserve"> </w:t>
      </w:r>
      <w:r w:rsidR="00580EA6" w:rsidRPr="005E712D">
        <w:rPr>
          <w:rFonts w:eastAsia="Times New Roman"/>
          <w:b/>
          <w:sz w:val="24"/>
          <w:szCs w:val="24"/>
        </w:rPr>
        <w:t>Smith</w:t>
      </w:r>
      <w:r w:rsidR="00580EA6" w:rsidRPr="005E712D">
        <w:rPr>
          <w:rFonts w:eastAsia="Times New Roman"/>
          <w:sz w:val="24"/>
          <w:szCs w:val="24"/>
        </w:rPr>
        <w:t>, ¶ 19</w:t>
      </w:r>
      <w:r w:rsidR="00596A4C">
        <w:rPr>
          <w:rFonts w:eastAsia="Times New Roman"/>
          <w:sz w:val="24"/>
          <w:szCs w:val="24"/>
        </w:rPr>
        <w:t xml:space="preserve">, 328 P.3d at </w:t>
      </w:r>
      <w:r w:rsidR="00A8400E">
        <w:rPr>
          <w:rFonts w:eastAsia="Times New Roman"/>
          <w:sz w:val="24"/>
          <w:szCs w:val="24"/>
        </w:rPr>
        <w:t>262</w:t>
      </w:r>
      <w:r w:rsidR="00580EA6" w:rsidRPr="005E712D">
        <w:rPr>
          <w:rFonts w:eastAsia="Times New Roman"/>
          <w:sz w:val="24"/>
          <w:szCs w:val="24"/>
        </w:rPr>
        <w:t xml:space="preserve"> (Medicaid payments are inadmissible collateral source benefits</w:t>
      </w:r>
      <w:r w:rsidR="00580EA6">
        <w:rPr>
          <w:rFonts w:eastAsia="Times New Roman"/>
          <w:sz w:val="24"/>
          <w:szCs w:val="24"/>
        </w:rPr>
        <w:t>,</w:t>
      </w:r>
      <w:r w:rsidR="00580EA6" w:rsidRPr="005E712D">
        <w:rPr>
          <w:rFonts w:eastAsia="Times New Roman"/>
          <w:sz w:val="24"/>
          <w:szCs w:val="24"/>
        </w:rPr>
        <w:t xml:space="preserve"> and the “gratuitous government benefits” exception set forth in </w:t>
      </w:r>
      <w:r w:rsidR="00580EA6" w:rsidRPr="005E712D">
        <w:rPr>
          <w:rFonts w:eastAsia="Times New Roman"/>
          <w:b/>
          <w:sz w:val="24"/>
          <w:szCs w:val="24"/>
        </w:rPr>
        <w:t>City of Englewood</w:t>
      </w:r>
      <w:r w:rsidR="00580EA6" w:rsidRPr="005E712D">
        <w:rPr>
          <w:rFonts w:eastAsia="Times New Roman"/>
          <w:sz w:val="24"/>
          <w:szCs w:val="24"/>
        </w:rPr>
        <w:t xml:space="preserve">, 100 Colo. at 554, 68 P.2d at 915, and </w:t>
      </w:r>
      <w:r w:rsidR="00580EA6" w:rsidRPr="005E712D">
        <w:rPr>
          <w:rFonts w:eastAsia="Times New Roman"/>
          <w:b/>
          <w:sz w:val="24"/>
          <w:szCs w:val="24"/>
        </w:rPr>
        <w:t>Gomez</w:t>
      </w:r>
      <w:r w:rsidR="00580EA6" w:rsidRPr="005E712D">
        <w:rPr>
          <w:rFonts w:eastAsia="Times New Roman"/>
          <w:sz w:val="24"/>
          <w:szCs w:val="24"/>
        </w:rPr>
        <w:t>, 32 Colo. App. at 336, 511 P.2d at 533, was overruled by section 10-1-135(10)(a))</w:t>
      </w:r>
      <w:r w:rsidR="00580EA6">
        <w:rPr>
          <w:rFonts w:eastAsia="Times New Roman"/>
          <w:sz w:val="24"/>
          <w:szCs w:val="24"/>
        </w:rPr>
        <w:t xml:space="preserve">; </w:t>
      </w:r>
      <w:proofErr w:type="spellStart"/>
      <w:r w:rsidR="00580EA6" w:rsidRPr="005E712D">
        <w:rPr>
          <w:rFonts w:eastAsia="Times New Roman"/>
          <w:b/>
          <w:sz w:val="24"/>
          <w:szCs w:val="24"/>
        </w:rPr>
        <w:t>Crossgrove</w:t>
      </w:r>
      <w:proofErr w:type="spellEnd"/>
      <w:r w:rsidR="00580EA6" w:rsidRPr="005E712D">
        <w:rPr>
          <w:rFonts w:eastAsia="Times New Roman"/>
          <w:sz w:val="24"/>
          <w:szCs w:val="24"/>
        </w:rPr>
        <w:t>, ¶ 18</w:t>
      </w:r>
      <w:r w:rsidR="00A8400E">
        <w:rPr>
          <w:rFonts w:eastAsia="Times New Roman"/>
          <w:sz w:val="24"/>
          <w:szCs w:val="24"/>
        </w:rPr>
        <w:t>, 276 P.3d at 566</w:t>
      </w:r>
      <w:r w:rsidR="00580EA6" w:rsidRPr="005E712D">
        <w:rPr>
          <w:rFonts w:eastAsia="Times New Roman"/>
          <w:sz w:val="24"/>
          <w:szCs w:val="24"/>
        </w:rPr>
        <w:t xml:space="preserve"> (</w:t>
      </w:r>
      <w:r w:rsidR="00580EA6">
        <w:rPr>
          <w:rFonts w:eastAsia="Times New Roman"/>
          <w:sz w:val="24"/>
          <w:szCs w:val="24"/>
        </w:rPr>
        <w:t xml:space="preserve">pre-verdict component </w:t>
      </w:r>
      <w:r w:rsidR="00580EA6" w:rsidRPr="005E712D">
        <w:rPr>
          <w:rFonts w:eastAsia="Times New Roman"/>
          <w:sz w:val="24"/>
          <w:szCs w:val="24"/>
        </w:rPr>
        <w:t>of the collateral source rule</w:t>
      </w:r>
      <w:r w:rsidR="00580EA6">
        <w:rPr>
          <w:rFonts w:eastAsia="Times New Roman"/>
          <w:sz w:val="24"/>
          <w:szCs w:val="24"/>
        </w:rPr>
        <w:t xml:space="preserve"> </w:t>
      </w:r>
      <w:r w:rsidR="00580EA6" w:rsidRPr="005E712D">
        <w:rPr>
          <w:rFonts w:eastAsia="Times New Roman"/>
          <w:sz w:val="24"/>
          <w:szCs w:val="24"/>
        </w:rPr>
        <w:t xml:space="preserve">required exclusion of evidence of amount paid by medical insurer for plaintiff’s medical expenses, even where offered solely to prove reasonable value of medical services); </w:t>
      </w:r>
      <w:r w:rsidR="00580EA6" w:rsidRPr="005E712D">
        <w:rPr>
          <w:rFonts w:eastAsia="Times New Roman"/>
          <w:b/>
          <w:sz w:val="24"/>
          <w:szCs w:val="24"/>
        </w:rPr>
        <w:t xml:space="preserve">Smith v. </w:t>
      </w:r>
      <w:proofErr w:type="spellStart"/>
      <w:r w:rsidR="00580EA6" w:rsidRPr="005E712D">
        <w:rPr>
          <w:rFonts w:eastAsia="Times New Roman"/>
          <w:b/>
          <w:sz w:val="24"/>
          <w:szCs w:val="24"/>
        </w:rPr>
        <w:t>Jeppsen</w:t>
      </w:r>
      <w:proofErr w:type="spellEnd"/>
      <w:r w:rsidR="00580EA6" w:rsidRPr="005E712D">
        <w:rPr>
          <w:rFonts w:eastAsia="Times New Roman"/>
          <w:sz w:val="24"/>
          <w:szCs w:val="24"/>
        </w:rPr>
        <w:t xml:space="preserve">, 2012 CO 32, ¶¶ 20-22, 277 P.3d 224 (companion case to </w:t>
      </w:r>
      <w:proofErr w:type="spellStart"/>
      <w:r w:rsidR="00580EA6" w:rsidRPr="005E712D">
        <w:rPr>
          <w:rFonts w:eastAsia="Times New Roman"/>
          <w:b/>
          <w:sz w:val="24"/>
          <w:szCs w:val="24"/>
        </w:rPr>
        <w:t>Crossgrove</w:t>
      </w:r>
      <w:proofErr w:type="spellEnd"/>
      <w:r w:rsidR="00580EA6" w:rsidRPr="005E712D">
        <w:rPr>
          <w:rFonts w:eastAsia="Times New Roman"/>
          <w:sz w:val="24"/>
          <w:szCs w:val="24"/>
        </w:rPr>
        <w:t xml:space="preserve">); </w:t>
      </w:r>
      <w:proofErr w:type="spellStart"/>
      <w:r w:rsidR="00580EA6" w:rsidRPr="005E712D">
        <w:rPr>
          <w:rFonts w:eastAsia="Times New Roman"/>
          <w:b/>
          <w:sz w:val="24"/>
          <w:szCs w:val="24"/>
        </w:rPr>
        <w:t>Sunahara</w:t>
      </w:r>
      <w:proofErr w:type="spellEnd"/>
      <w:r w:rsidR="00580EA6" w:rsidRPr="005E712D">
        <w:rPr>
          <w:rFonts w:eastAsia="Times New Roman"/>
          <w:b/>
          <w:sz w:val="24"/>
          <w:szCs w:val="24"/>
        </w:rPr>
        <w:t xml:space="preserve"> v. State Farm Mut. Auto. Ins. Co.</w:t>
      </w:r>
      <w:r w:rsidR="00580EA6" w:rsidRPr="005E712D">
        <w:rPr>
          <w:rFonts w:eastAsia="Times New Roman"/>
          <w:sz w:val="24"/>
          <w:szCs w:val="24"/>
        </w:rPr>
        <w:t xml:space="preserve">, 2012 CO 30M, ¶¶ 13-19, 280 P.3d 649 (companion case to </w:t>
      </w:r>
      <w:proofErr w:type="spellStart"/>
      <w:r w:rsidR="00580EA6" w:rsidRPr="005E712D">
        <w:rPr>
          <w:rFonts w:eastAsia="Times New Roman"/>
          <w:b/>
          <w:sz w:val="24"/>
          <w:szCs w:val="24"/>
        </w:rPr>
        <w:t>Crossgrove</w:t>
      </w:r>
      <w:proofErr w:type="spellEnd"/>
      <w:r w:rsidR="00580EA6" w:rsidRPr="005E712D">
        <w:rPr>
          <w:rFonts w:eastAsia="Times New Roman"/>
          <w:sz w:val="24"/>
          <w:szCs w:val="24"/>
        </w:rPr>
        <w:t>)</w:t>
      </w:r>
      <w:r w:rsidR="008C1AE1">
        <w:rPr>
          <w:rFonts w:eastAsia="Times New Roman"/>
          <w:sz w:val="24"/>
          <w:szCs w:val="24"/>
        </w:rPr>
        <w:t>.</w:t>
      </w:r>
      <w:r w:rsidR="00580EA6">
        <w:rPr>
          <w:rFonts w:eastAsia="Times New Roman"/>
          <w:sz w:val="24"/>
          <w:szCs w:val="24"/>
        </w:rPr>
        <w:t xml:space="preserve"> </w:t>
      </w:r>
    </w:p>
    <w:p w14:paraId="3CFBBE06" w14:textId="1D5A5652" w:rsidR="0075398E" w:rsidRDefault="00580EA6" w:rsidP="00580EA6">
      <w:pPr>
        <w:spacing w:after="240"/>
        <w:ind w:firstLine="720"/>
        <w:rPr>
          <w:rFonts w:eastAsia="Times New Roman"/>
          <w:sz w:val="24"/>
          <w:szCs w:val="24"/>
        </w:rPr>
      </w:pPr>
      <w:r>
        <w:rPr>
          <w:rFonts w:eastAsia="Times New Roman"/>
          <w:sz w:val="24"/>
          <w:szCs w:val="24"/>
        </w:rPr>
        <w:t xml:space="preserve">14. The post-verdict component of the collateral source rule, codified by </w:t>
      </w:r>
      <w:r w:rsidR="00A8400E">
        <w:rPr>
          <w:rFonts w:eastAsia="Times New Roman"/>
          <w:sz w:val="24"/>
          <w:szCs w:val="24"/>
        </w:rPr>
        <w:t>s</w:t>
      </w:r>
      <w:r w:rsidR="005E712D" w:rsidRPr="005E712D">
        <w:rPr>
          <w:rFonts w:eastAsia="Times New Roman"/>
          <w:sz w:val="24"/>
          <w:szCs w:val="24"/>
        </w:rPr>
        <w:t xml:space="preserve">ection 13-21-111.6,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005E712D" w:rsidRPr="005E712D">
        <w:rPr>
          <w:rFonts w:eastAsia="Times New Roman"/>
          <w:i/>
          <w:sz w:val="24"/>
          <w:szCs w:val="24"/>
        </w:rPr>
        <w:t>See, e.g</w:t>
      </w:r>
      <w:r w:rsidR="005E712D" w:rsidRPr="005E712D">
        <w:rPr>
          <w:rFonts w:eastAsia="Times New Roman"/>
          <w:sz w:val="24"/>
          <w:szCs w:val="24"/>
        </w:rPr>
        <w:t xml:space="preserve">., </w:t>
      </w:r>
      <w:r w:rsidR="005E712D" w:rsidRPr="005E712D">
        <w:rPr>
          <w:rFonts w:eastAsia="Times New Roman"/>
          <w:b/>
          <w:sz w:val="24"/>
          <w:szCs w:val="24"/>
        </w:rPr>
        <w:t>Keelan v. Van Waters &amp; Rogers, Inc.</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City of Denver), </w:t>
      </w:r>
      <w:r w:rsidR="005E712D" w:rsidRPr="005E712D">
        <w:rPr>
          <w:rFonts w:eastAsia="Times New Roman"/>
          <w:i/>
          <w:sz w:val="24"/>
          <w:szCs w:val="24"/>
        </w:rPr>
        <w:t>aff’d</w:t>
      </w:r>
      <w:r w:rsidR="005E712D" w:rsidRPr="005E712D">
        <w:rPr>
          <w:rFonts w:eastAsia="Times New Roman"/>
          <w:sz w:val="24"/>
          <w:szCs w:val="24"/>
        </w:rPr>
        <w:t xml:space="preserve">, 840 P.2d 1070 (Colo. 1992); </w:t>
      </w:r>
      <w:r w:rsidR="005E712D" w:rsidRPr="005E712D">
        <w:rPr>
          <w:rFonts w:eastAsia="Times New Roman"/>
          <w:i/>
          <w:sz w:val="24"/>
          <w:szCs w:val="24"/>
        </w:rPr>
        <w:t>see also</w:t>
      </w:r>
      <w:r w:rsidR="005E712D" w:rsidRPr="005E712D">
        <w:rPr>
          <w:rFonts w:eastAsia="Times New Roman"/>
          <w:sz w:val="24"/>
          <w:szCs w:val="24"/>
        </w:rPr>
        <w:t xml:space="preserve"> </w:t>
      </w:r>
      <w:r w:rsidR="005E712D" w:rsidRPr="005E712D">
        <w:rPr>
          <w:rFonts w:eastAsia="Times New Roman"/>
          <w:b/>
          <w:sz w:val="24"/>
          <w:szCs w:val="24"/>
        </w:rPr>
        <w:t xml:space="preserve">Volunteers of Am. Colo. Branch v. </w:t>
      </w:r>
      <w:proofErr w:type="spellStart"/>
      <w:r w:rsidR="005E712D" w:rsidRPr="005E712D">
        <w:rPr>
          <w:rFonts w:eastAsia="Times New Roman"/>
          <w:b/>
          <w:sz w:val="24"/>
          <w:szCs w:val="24"/>
        </w:rPr>
        <w:t>Gardenswartz</w:t>
      </w:r>
      <w:proofErr w:type="spellEnd"/>
      <w:r w:rsidR="005E712D"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005E712D" w:rsidRPr="005E712D">
        <w:rPr>
          <w:rFonts w:eastAsia="Times New Roman"/>
          <w:b/>
          <w:sz w:val="24"/>
          <w:szCs w:val="24"/>
        </w:rPr>
        <w:t>Colo. Permanente Med. Grp.</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926 P.2d at 1230;</w:t>
      </w:r>
      <w:r w:rsidR="00E91DC9">
        <w:rPr>
          <w:rFonts w:eastAsia="Times New Roman"/>
          <w:sz w:val="24"/>
          <w:szCs w:val="24"/>
        </w:rPr>
        <w:t xml:space="preserve"> </w:t>
      </w:r>
      <w:proofErr w:type="spellStart"/>
      <w:r w:rsidR="00E91DC9">
        <w:rPr>
          <w:rFonts w:eastAsia="Times New Roman"/>
          <w:b/>
          <w:sz w:val="24"/>
          <w:szCs w:val="24"/>
        </w:rPr>
        <w:t>Forfar</w:t>
      </w:r>
      <w:proofErr w:type="spellEnd"/>
      <w:r w:rsidR="00E91DC9">
        <w:rPr>
          <w:rFonts w:eastAsia="Times New Roman"/>
          <w:b/>
          <w:sz w:val="24"/>
          <w:szCs w:val="24"/>
        </w:rPr>
        <w:t xml:space="preserve"> v. Wal-Mart Stores, Inc., </w:t>
      </w:r>
      <w:r w:rsidR="00E91DC9" w:rsidRPr="00BA4966">
        <w:rPr>
          <w:rFonts w:eastAsia="Times New Roman"/>
          <w:sz w:val="24"/>
          <w:szCs w:val="24"/>
        </w:rPr>
        <w:t>2018 COA 125, ¶ 31</w:t>
      </w:r>
      <w:r w:rsidR="00FD488F">
        <w:rPr>
          <w:rFonts w:eastAsia="Times New Roman"/>
          <w:sz w:val="24"/>
          <w:szCs w:val="24"/>
        </w:rPr>
        <w:t xml:space="preserve">, 436 P.3d </w:t>
      </w:r>
      <w:r w:rsidR="00E045FA">
        <w:rPr>
          <w:rFonts w:eastAsia="Times New Roman"/>
          <w:sz w:val="24"/>
          <w:szCs w:val="24"/>
        </w:rPr>
        <w:t>580</w:t>
      </w:r>
      <w:r w:rsidR="00E91DC9" w:rsidRPr="00BA4966">
        <w:rPr>
          <w:rFonts w:eastAsia="Times New Roman"/>
          <w:sz w:val="24"/>
          <w:szCs w:val="24"/>
        </w:rPr>
        <w:t xml:space="preserve">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005E712D" w:rsidRPr="005E712D">
        <w:rPr>
          <w:rFonts w:eastAsia="Times New Roman"/>
          <w:sz w:val="24"/>
          <w:szCs w:val="24"/>
        </w:rPr>
        <w:t xml:space="preserve"> </w:t>
      </w:r>
      <w:bookmarkStart w:id="2" w:name="_Hlk117769689"/>
      <w:r w:rsidR="005E712D" w:rsidRPr="005E712D">
        <w:rPr>
          <w:rFonts w:eastAsia="Times New Roman"/>
          <w:b/>
          <w:sz w:val="24"/>
          <w:szCs w:val="24"/>
        </w:rPr>
        <w:t>Pressey v. Children’s Hosp. Colo.</w:t>
      </w:r>
      <w:r w:rsidR="005E712D" w:rsidRPr="005E712D">
        <w:rPr>
          <w:rFonts w:eastAsia="Times New Roman"/>
          <w:sz w:val="24"/>
          <w:szCs w:val="24"/>
        </w:rPr>
        <w:t>, 2017 COA 28, ¶ 14 (</w:t>
      </w:r>
      <w:r w:rsidR="00E91DC9">
        <w:rPr>
          <w:rFonts w:eastAsia="Times New Roman"/>
          <w:sz w:val="24"/>
          <w:szCs w:val="24"/>
        </w:rPr>
        <w:t xml:space="preserve">plaintiff’s damages are not reduced in post-verdict proceedings by the amount of </w:t>
      </w:r>
      <w:r w:rsidR="005E712D"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005E712D"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00683AEF">
        <w:rPr>
          <w:rFonts w:eastAsia="Times New Roman"/>
          <w:sz w:val="24"/>
          <w:szCs w:val="24"/>
        </w:rPr>
        <w:t xml:space="preserve">, </w:t>
      </w:r>
      <w:r w:rsidR="00683AEF" w:rsidRPr="00683AEF">
        <w:rPr>
          <w:rFonts w:eastAsia="Times New Roman"/>
          <w:i/>
          <w:iCs/>
          <w:sz w:val="24"/>
          <w:szCs w:val="24"/>
        </w:rPr>
        <w:t>overruled on other grounds by</w:t>
      </w:r>
      <w:r w:rsidR="00683AEF">
        <w:rPr>
          <w:rFonts w:eastAsia="Times New Roman"/>
          <w:sz w:val="24"/>
          <w:szCs w:val="24"/>
        </w:rPr>
        <w:t xml:space="preserve"> </w:t>
      </w:r>
      <w:proofErr w:type="spellStart"/>
      <w:r w:rsidR="00683AEF" w:rsidRPr="00B559AD">
        <w:rPr>
          <w:rFonts w:eastAsia="Times New Roman"/>
          <w:b/>
          <w:bCs/>
          <w:sz w:val="24"/>
          <w:szCs w:val="24"/>
        </w:rPr>
        <w:t>Rudnicki</w:t>
      </w:r>
      <w:proofErr w:type="spellEnd"/>
      <w:r w:rsidR="00683AEF" w:rsidRPr="00B559AD">
        <w:rPr>
          <w:rFonts w:eastAsia="Times New Roman"/>
          <w:b/>
          <w:bCs/>
          <w:sz w:val="24"/>
          <w:szCs w:val="24"/>
        </w:rPr>
        <w:t xml:space="preserve"> v. Bianco</w:t>
      </w:r>
      <w:r w:rsidR="00683AEF">
        <w:rPr>
          <w:rFonts w:eastAsia="Times New Roman"/>
          <w:sz w:val="24"/>
          <w:szCs w:val="24"/>
        </w:rPr>
        <w:t>, 2021 CO 80, 501 P.3d 776</w:t>
      </w:r>
      <w:r w:rsidR="005E712D" w:rsidRPr="005E712D">
        <w:rPr>
          <w:rFonts w:eastAsia="Times New Roman"/>
          <w:sz w:val="24"/>
          <w:szCs w:val="24"/>
        </w:rPr>
        <w:t xml:space="preserve">; </w:t>
      </w:r>
      <w:bookmarkEnd w:id="2"/>
      <w:proofErr w:type="spellStart"/>
      <w:r w:rsidR="005E712D" w:rsidRPr="005E712D">
        <w:rPr>
          <w:rFonts w:eastAsia="Times New Roman"/>
          <w:b/>
          <w:sz w:val="24"/>
          <w:szCs w:val="24"/>
        </w:rPr>
        <w:t>Dep’t</w:t>
      </w:r>
      <w:proofErr w:type="spellEnd"/>
      <w:r w:rsidR="005E712D" w:rsidRPr="005E712D">
        <w:rPr>
          <w:rFonts w:eastAsia="Times New Roman"/>
          <w:b/>
          <w:sz w:val="24"/>
          <w:szCs w:val="24"/>
        </w:rPr>
        <w:t xml:space="preserve"> of Human Servs. v. State Personnel Bd.</w:t>
      </w:r>
      <w:r w:rsidR="005E712D" w:rsidRPr="005E712D">
        <w:rPr>
          <w:rFonts w:eastAsia="Times New Roman"/>
          <w:sz w:val="24"/>
          <w:szCs w:val="24"/>
        </w:rPr>
        <w:t xml:space="preserve">, 2016 COA 37, ¶¶ 31-42, 371 P.3d 748 (PERA disability benefits constitute a collateral source and are not to be offset against a damage award.); </w:t>
      </w:r>
      <w:r w:rsidR="005E712D" w:rsidRPr="005E712D">
        <w:rPr>
          <w:rFonts w:eastAsia="Times New Roman"/>
          <w:b/>
          <w:sz w:val="24"/>
          <w:szCs w:val="24"/>
        </w:rPr>
        <w:t>Calderon v. Am. Family Mut. Ins. Co.</w:t>
      </w:r>
      <w:r w:rsidR="005E712D" w:rsidRPr="005E712D">
        <w:rPr>
          <w:rFonts w:eastAsia="Times New Roman"/>
          <w:sz w:val="24"/>
          <w:szCs w:val="24"/>
        </w:rPr>
        <w:t>, 2014 COA 70, ¶¶ 28-32</w:t>
      </w:r>
      <w:r w:rsidR="009A5ACD">
        <w:rPr>
          <w:rFonts w:eastAsia="Times New Roman"/>
          <w:sz w:val="24"/>
          <w:szCs w:val="24"/>
        </w:rPr>
        <w:t>, 409 P.3d 393</w:t>
      </w:r>
      <w:r w:rsidR="005E712D" w:rsidRPr="005E712D">
        <w:rPr>
          <w:rFonts w:eastAsia="Times New Roman"/>
          <w:sz w:val="24"/>
          <w:szCs w:val="24"/>
        </w:rPr>
        <w:t xml:space="preserve"> (post-verdict setoff rule codified in section 13-21-111.6</w:t>
      </w:r>
      <w:r w:rsidR="005E712D" w:rsidRPr="005E712D">
        <w:rPr>
          <w:rFonts w:eastAsia="Times New Roman"/>
          <w:b/>
          <w:sz w:val="24"/>
          <w:szCs w:val="24"/>
        </w:rPr>
        <w:t xml:space="preserve"> </w:t>
      </w:r>
      <w:r w:rsidR="005E712D" w:rsidRPr="005E712D">
        <w:rPr>
          <w:rFonts w:eastAsia="Times New Roman"/>
          <w:sz w:val="24"/>
          <w:szCs w:val="24"/>
        </w:rPr>
        <w:t xml:space="preserve">does not bar insurer from setting off </w:t>
      </w:r>
      <w:proofErr w:type="spellStart"/>
      <w:r w:rsidR="005E712D" w:rsidRPr="005E712D">
        <w:rPr>
          <w:rFonts w:eastAsia="Times New Roman"/>
          <w:sz w:val="24"/>
          <w:szCs w:val="24"/>
        </w:rPr>
        <w:t>Medpay</w:t>
      </w:r>
      <w:proofErr w:type="spellEnd"/>
      <w:r w:rsidR="005E712D" w:rsidRPr="005E712D">
        <w:rPr>
          <w:rFonts w:eastAsia="Times New Roman"/>
          <w:sz w:val="24"/>
          <w:szCs w:val="24"/>
        </w:rPr>
        <w:t xml:space="preserve"> benefit against judgment against insurer for UM/UIM benefits because the defendant is the collateral source),</w:t>
      </w:r>
      <w:r w:rsidR="005E712D" w:rsidRPr="005E712D">
        <w:rPr>
          <w:rFonts w:eastAsia="Times New Roman"/>
          <w:i/>
          <w:sz w:val="24"/>
          <w:szCs w:val="24"/>
        </w:rPr>
        <w:t xml:space="preserve"> </w:t>
      </w:r>
      <w:proofErr w:type="spellStart"/>
      <w:r w:rsidR="005E712D" w:rsidRPr="005E712D">
        <w:rPr>
          <w:rFonts w:eastAsia="Times New Roman"/>
          <w:i/>
          <w:sz w:val="24"/>
          <w:szCs w:val="24"/>
        </w:rPr>
        <w:t>rev’d</w:t>
      </w:r>
      <w:proofErr w:type="spellEnd"/>
      <w:r w:rsidR="005E712D" w:rsidRPr="005E712D">
        <w:rPr>
          <w:rFonts w:eastAsia="Times New Roman"/>
          <w:i/>
          <w:sz w:val="24"/>
          <w:szCs w:val="24"/>
        </w:rPr>
        <w:t xml:space="preserve"> on other grounds</w:t>
      </w:r>
      <w:r w:rsidR="005E712D" w:rsidRPr="005E712D">
        <w:rPr>
          <w:rFonts w:eastAsia="Times New Roman"/>
          <w:sz w:val="24"/>
          <w:szCs w:val="24"/>
        </w:rPr>
        <w:t xml:space="preserve">, 2016 CO 72, 383 P.3d </w:t>
      </w:r>
      <w:proofErr w:type="gramStart"/>
      <w:r w:rsidR="005E712D" w:rsidRPr="005E712D">
        <w:rPr>
          <w:rFonts w:eastAsia="Times New Roman"/>
          <w:sz w:val="24"/>
          <w:szCs w:val="24"/>
        </w:rPr>
        <w:t>676;</w:t>
      </w:r>
      <w:proofErr w:type="gramEnd"/>
      <w:r w:rsidR="005E712D" w:rsidRPr="005E712D">
        <w:rPr>
          <w:rFonts w:eastAsia="Times New Roman"/>
          <w:sz w:val="24"/>
          <w:szCs w:val="24"/>
        </w:rPr>
        <w:t xml:space="preserve"> </w:t>
      </w:r>
      <w:proofErr w:type="spellStart"/>
      <w:r w:rsidR="005E712D" w:rsidRPr="005E712D">
        <w:rPr>
          <w:rFonts w:eastAsia="Times New Roman"/>
          <w:b/>
          <w:sz w:val="24"/>
          <w:szCs w:val="24"/>
        </w:rPr>
        <w:t>Stresscon</w:t>
      </w:r>
      <w:proofErr w:type="spellEnd"/>
      <w:r w:rsidR="005E712D" w:rsidRPr="005E712D">
        <w:rPr>
          <w:rFonts w:eastAsia="Times New Roman"/>
          <w:b/>
          <w:sz w:val="24"/>
          <w:szCs w:val="24"/>
        </w:rPr>
        <w:t xml:space="preserve"> Corp. v.</w:t>
      </w:r>
      <w:r w:rsidR="005E712D" w:rsidRPr="005E712D">
        <w:rPr>
          <w:rFonts w:eastAsia="Times New Roman"/>
          <w:sz w:val="24"/>
          <w:szCs w:val="24"/>
        </w:rPr>
        <w:t xml:space="preserve"> </w:t>
      </w:r>
      <w:r w:rsidR="005E712D" w:rsidRPr="005E712D">
        <w:rPr>
          <w:rFonts w:eastAsia="Times New Roman"/>
          <w:b/>
          <w:sz w:val="24"/>
          <w:szCs w:val="24"/>
        </w:rPr>
        <w:t>Travelers Prop. Cas. Co. of Am.</w:t>
      </w:r>
      <w:r w:rsidR="005E712D" w:rsidRPr="005E712D">
        <w:rPr>
          <w:rFonts w:eastAsia="Times New Roman"/>
          <w:sz w:val="24"/>
          <w:szCs w:val="24"/>
        </w:rPr>
        <w:t>, 2013 COA 131, ¶¶ 80-86</w:t>
      </w:r>
      <w:r w:rsidR="009A5ACD">
        <w:rPr>
          <w:rFonts w:eastAsia="Times New Roman"/>
          <w:sz w:val="24"/>
          <w:szCs w:val="24"/>
        </w:rPr>
        <w:t>, 373 P.3d 615</w:t>
      </w:r>
      <w:r w:rsidR="005E712D" w:rsidRPr="005E712D">
        <w:rPr>
          <w:rFonts w:eastAsia="Times New Roman"/>
          <w:sz w:val="24"/>
          <w:szCs w:val="24"/>
        </w:rPr>
        <w:t xml:space="preserve"> (contract clause of statutory collateral source rule normally would apply</w:t>
      </w:r>
      <w:r w:rsidR="005E712D" w:rsidRPr="005E712D">
        <w:rPr>
          <w:rFonts w:eastAsia="Times New Roman"/>
          <w:b/>
          <w:sz w:val="24"/>
          <w:szCs w:val="24"/>
        </w:rPr>
        <w:t xml:space="preserve"> </w:t>
      </w:r>
      <w:r w:rsidR="005E712D" w:rsidRPr="005E712D">
        <w:rPr>
          <w:rFonts w:eastAsia="Times New Roman"/>
          <w:sz w:val="24"/>
          <w:szCs w:val="24"/>
        </w:rPr>
        <w:t xml:space="preserve">to plaintiff’s receipt of insurance proceeds paid by sub-contractor’s insurer, but plaintiff contracted this right away by means of the “other insurance” clause in applicable insurance policies), </w:t>
      </w:r>
      <w:proofErr w:type="spellStart"/>
      <w:r w:rsidR="005E712D" w:rsidRPr="005E712D">
        <w:rPr>
          <w:rFonts w:eastAsia="Times New Roman"/>
          <w:i/>
          <w:sz w:val="24"/>
          <w:szCs w:val="24"/>
        </w:rPr>
        <w:t>rev’d</w:t>
      </w:r>
      <w:proofErr w:type="spellEnd"/>
      <w:r w:rsidR="005E712D" w:rsidRPr="005E712D">
        <w:rPr>
          <w:rFonts w:eastAsia="Times New Roman"/>
          <w:i/>
          <w:sz w:val="24"/>
          <w:szCs w:val="24"/>
        </w:rPr>
        <w:t xml:space="preserve"> on other grounds</w:t>
      </w:r>
      <w:r w:rsidR="005E712D" w:rsidRPr="005E712D">
        <w:rPr>
          <w:rFonts w:eastAsia="Times New Roman"/>
          <w:sz w:val="24"/>
          <w:szCs w:val="24"/>
        </w:rPr>
        <w:t xml:space="preserve">, 2016 CO 22M, 370 P.3d 140; </w:t>
      </w:r>
      <w:r w:rsidR="005E712D" w:rsidRPr="005E712D">
        <w:rPr>
          <w:rFonts w:eastAsia="Times New Roman"/>
          <w:b/>
          <w:sz w:val="24"/>
          <w:szCs w:val="24"/>
        </w:rPr>
        <w:t>Miller v. Brannon</w:t>
      </w:r>
      <w:r w:rsidR="005E712D" w:rsidRPr="005E712D">
        <w:rPr>
          <w:rFonts w:eastAsia="Times New Roman"/>
          <w:sz w:val="24"/>
          <w:szCs w:val="24"/>
        </w:rPr>
        <w:t xml:space="preserve">, 207 P.3d 923 (Colo. App. 2009) (PIP benefits received by plaintiff </w:t>
      </w:r>
      <w:r w:rsidR="005E712D" w:rsidRPr="005E712D">
        <w:rPr>
          <w:rFonts w:eastAsia="Times New Roman"/>
          <w:sz w:val="24"/>
          <w:szCs w:val="24"/>
        </w:rPr>
        <w:lastRenderedPageBreak/>
        <w:t xml:space="preserve">within contract exception to collateral source rule); </w:t>
      </w:r>
      <w:r w:rsidR="005E712D" w:rsidRPr="005E712D">
        <w:rPr>
          <w:rFonts w:eastAsia="Times New Roman"/>
          <w:b/>
          <w:sz w:val="24"/>
          <w:szCs w:val="24"/>
        </w:rPr>
        <w:t>Combined Commc’ns Corp. v. Pub. Serv. Co.</w:t>
      </w:r>
      <w:r w:rsidR="005E712D" w:rsidRPr="005E712D">
        <w:rPr>
          <w:rFonts w:eastAsia="Times New Roman"/>
          <w:sz w:val="24"/>
          <w:szCs w:val="24"/>
        </w:rPr>
        <w:t>,</w:t>
      </w:r>
      <w:r w:rsidR="005E712D" w:rsidRPr="005E712D">
        <w:rPr>
          <w:rFonts w:eastAsia="Times New Roman"/>
          <w:b/>
          <w:sz w:val="24"/>
          <w:szCs w:val="24"/>
        </w:rPr>
        <w:t xml:space="preserve"> </w:t>
      </w:r>
      <w:r w:rsidR="005E712D" w:rsidRPr="005E712D">
        <w:rPr>
          <w:rFonts w:eastAsia="Times New Roman"/>
          <w:sz w:val="24"/>
          <w:szCs w:val="24"/>
        </w:rPr>
        <w:t>865 P.2d 893 (Colo. App. 1993).</w:t>
      </w:r>
    </w:p>
    <w:p w14:paraId="28F43FD5" w14:textId="5683E7A4" w:rsidR="005E712D" w:rsidRDefault="0075398E" w:rsidP="00580EA6">
      <w:pPr>
        <w:spacing w:after="240"/>
        <w:ind w:firstLine="720"/>
        <w:rPr>
          <w:rFonts w:eastAsia="Times New Roman"/>
          <w:sz w:val="24"/>
          <w:szCs w:val="24"/>
        </w:rPr>
      </w:pPr>
      <w:r>
        <w:rPr>
          <w:rFonts w:eastAsia="Times New Roman"/>
          <w:sz w:val="24"/>
          <w:szCs w:val="24"/>
        </w:rPr>
        <w:t xml:space="preserve">15. </w:t>
      </w:r>
      <w:r w:rsidR="005E712D" w:rsidRPr="005E712D">
        <w:rPr>
          <w:rFonts w:eastAsia="Times New Roman"/>
          <w:sz w:val="24"/>
          <w:szCs w:val="24"/>
        </w:rPr>
        <w:t xml:space="preserve">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005E712D" w:rsidRPr="005E712D">
        <w:rPr>
          <w:rFonts w:eastAsia="Times New Roman"/>
          <w:b/>
          <w:sz w:val="24"/>
          <w:szCs w:val="24"/>
        </w:rPr>
        <w:t>Levy v. Am. Family Mut. Ins. Co.</w:t>
      </w:r>
      <w:r w:rsidR="005E712D" w:rsidRPr="005E712D">
        <w:rPr>
          <w:rFonts w:eastAsia="Times New Roman"/>
          <w:sz w:val="24"/>
          <w:szCs w:val="24"/>
        </w:rPr>
        <w:t>, 293 P.3d 40 (Colo. App. 2011).</w:t>
      </w:r>
    </w:p>
    <w:p w14:paraId="1D0A8BEB" w14:textId="2DAE562A" w:rsidR="000D0AB6" w:rsidRPr="00876699" w:rsidRDefault="000D0AB6" w:rsidP="00876699">
      <w:pPr>
        <w:ind w:firstLine="720"/>
        <w:rPr>
          <w:sz w:val="24"/>
          <w:szCs w:val="24"/>
        </w:rPr>
      </w:pPr>
      <w:r w:rsidRPr="00876699">
        <w:rPr>
          <w:sz w:val="24"/>
          <w:szCs w:val="24"/>
        </w:rPr>
        <w:t>1</w:t>
      </w:r>
      <w:r w:rsidR="0075398E">
        <w:rPr>
          <w:sz w:val="24"/>
          <w:szCs w:val="24"/>
        </w:rPr>
        <w:t>6</w:t>
      </w:r>
      <w:r w:rsidRPr="00876699">
        <w:rPr>
          <w:sz w:val="24"/>
          <w:szCs w:val="24"/>
        </w:rPr>
        <w:t>.</w:t>
      </w:r>
      <w:r>
        <w:rPr>
          <w:sz w:val="24"/>
          <w:szCs w:val="24"/>
        </w:rPr>
        <w:t xml:space="preserve"> </w:t>
      </w:r>
      <w:r w:rsidRPr="00876699">
        <w:rPr>
          <w:sz w:val="24"/>
          <w:szCs w:val="24"/>
        </w:rPr>
        <w:t xml:space="preserve">The collateral source rule does not apply to an employee’s claim for past medical expenses where the employer’s workers’ compensation insurer has settled its subrogation claim for reimbursement of those expenses, because such a settlement completely extinguishes the employee’s claim for such expenses. </w:t>
      </w:r>
      <w:r w:rsidRPr="00876699">
        <w:rPr>
          <w:b/>
          <w:bCs/>
          <w:sz w:val="24"/>
          <w:szCs w:val="24"/>
        </w:rPr>
        <w:t>Delta Airlines v. Scholle</w:t>
      </w:r>
      <w:r w:rsidRPr="002E0384">
        <w:rPr>
          <w:bCs/>
          <w:sz w:val="24"/>
          <w:szCs w:val="24"/>
        </w:rPr>
        <w:t xml:space="preserve">, </w:t>
      </w:r>
      <w:r w:rsidRPr="00876699">
        <w:rPr>
          <w:sz w:val="24"/>
          <w:szCs w:val="24"/>
        </w:rPr>
        <w:t>2021 CO 20, ¶¶ 1, 21-22, 484 P.3d 695.</w:t>
      </w:r>
    </w:p>
    <w:p w14:paraId="1A5FFED7" w14:textId="77777777" w:rsidR="000D0AB6" w:rsidRPr="005E712D" w:rsidRDefault="000D0AB6" w:rsidP="00E91DC9">
      <w:pPr>
        <w:spacing w:after="240"/>
        <w:ind w:firstLine="720"/>
        <w:rPr>
          <w:rFonts w:eastAsia="Times New Roman"/>
          <w:sz w:val="24"/>
          <w:szCs w:val="24"/>
        </w:rPr>
      </w:pPr>
    </w:p>
    <w:p w14:paraId="3D419BC8" w14:textId="142C62F3"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7</w:t>
      </w:r>
      <w:r w:rsidRPr="005E712D">
        <w:rPr>
          <w:rFonts w:eastAsia="Times New Roman"/>
          <w:sz w:val="24"/>
          <w:szCs w:val="24"/>
        </w:rPr>
        <w:t xml:space="preserve">.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xml:space="preserve">, 880 P.2d at 1188 (section 13-50.5-105 applies to settlement agreements </w:t>
      </w:r>
      <w:proofErr w:type="gramStart"/>
      <w:r w:rsidRPr="005E712D">
        <w:rPr>
          <w:rFonts w:eastAsia="Times New Roman"/>
          <w:sz w:val="24"/>
          <w:szCs w:val="24"/>
        </w:rPr>
        <w:t>entered into</w:t>
      </w:r>
      <w:proofErr w:type="gramEnd"/>
      <w:r w:rsidRPr="005E712D">
        <w:rPr>
          <w:rFonts w:eastAsia="Times New Roman"/>
          <w:sz w:val="24"/>
          <w:szCs w:val="24"/>
        </w:rPr>
        <w:t xml:space="preserve">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Federal Law</w:t>
      </w:r>
    </w:p>
    <w:p w14:paraId="7FB24EFD" w14:textId="05DCC804"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8</w:t>
      </w:r>
      <w:r w:rsidRPr="005E712D">
        <w:rPr>
          <w:rFonts w:eastAsia="Times New Roman"/>
          <w:sz w:val="24"/>
          <w:szCs w:val="24"/>
        </w:rPr>
        <w:t xml:space="preserve">.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to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01F1FCBA" w:rsidR="0068336D" w:rsidRDefault="005E712D" w:rsidP="007A3A0E">
      <w:pPr>
        <w:spacing w:after="240"/>
        <w:ind w:firstLine="720"/>
        <w:rPr>
          <w:rFonts w:eastAsia="Times New Roman"/>
          <w:sz w:val="24"/>
          <w:szCs w:val="24"/>
        </w:rPr>
      </w:pPr>
      <w:r w:rsidRPr="005E712D">
        <w:rPr>
          <w:rFonts w:eastAsia="Times New Roman"/>
          <w:sz w:val="24"/>
          <w:szCs w:val="24"/>
        </w:rPr>
        <w:t>1</w:t>
      </w:r>
      <w:r w:rsidR="0075398E">
        <w:rPr>
          <w:rFonts w:eastAsia="Times New Roman"/>
          <w:sz w:val="24"/>
          <w:szCs w:val="24"/>
        </w:rPr>
        <w:t>9</w:t>
      </w:r>
      <w:r w:rsidRPr="005E712D">
        <w:rPr>
          <w:rFonts w:eastAsia="Times New Roman"/>
          <w:sz w:val="24"/>
          <w:szCs w:val="24"/>
        </w:rPr>
        <w:t>. Other limitations on the recovery of damages may apply when recovery is sought against a volunteer of a nonprofit organization or governmental entity “for harm caused by an act or omission of the volunteer on behalf of the organization or entity.” 42 U.S.C. § 14503(a) (201</w:t>
      </w:r>
      <w:r w:rsidR="009C72B0">
        <w:rPr>
          <w:rFonts w:eastAsia="Times New Roman"/>
          <w:sz w:val="24"/>
          <w:szCs w:val="24"/>
        </w:rPr>
        <w:t>8</w:t>
      </w:r>
      <w:r w:rsidRPr="005E712D">
        <w:rPr>
          <w:rFonts w:eastAsia="Times New Roman"/>
          <w:sz w:val="24"/>
          <w:szCs w:val="24"/>
        </w:rPr>
        <w:t xml:space="preserve">). For the applicable limitations, see Volunteer Protection Act of 1997, 42 U.S.C. §§ 14503 and 14504. When applicable, this and related instructions on damages must be modified as appropriate. </w:t>
      </w:r>
      <w:r w:rsidR="0047356A">
        <w:rPr>
          <w:rFonts w:eastAsia="Times New Roman"/>
          <w:sz w:val="24"/>
          <w:szCs w:val="24"/>
        </w:rPr>
        <w:t>42</w:t>
      </w:r>
      <w:r w:rsidR="0047356A" w:rsidRPr="005E712D">
        <w:rPr>
          <w:rFonts w:eastAsia="Times New Roman"/>
          <w:sz w:val="24"/>
          <w:szCs w:val="24"/>
        </w:rPr>
        <w:t xml:space="preserve"> </w:t>
      </w:r>
      <w:r w:rsidRPr="005E712D">
        <w:rPr>
          <w:rFonts w:eastAsia="Times New Roman"/>
          <w:sz w:val="24"/>
          <w:szCs w:val="24"/>
        </w:rPr>
        <w:t>U.S.C. §§ 14501-05.</w:t>
      </w:r>
    </w:p>
    <w:p w14:paraId="24518551" w14:textId="77777777" w:rsidR="00434371" w:rsidRDefault="00434371">
      <w:pPr>
        <w:rPr>
          <w:rFonts w:eastAsia="Times New Roman"/>
          <w:sz w:val="24"/>
          <w:szCs w:val="24"/>
        </w:rPr>
      </w:pPr>
      <w:r>
        <w:rPr>
          <w:rFonts w:eastAsia="Times New Roman"/>
          <w:sz w:val="24"/>
          <w:szCs w:val="24"/>
        </w:rPr>
        <w:br w:type="page"/>
      </w:r>
    </w:p>
    <w:p w14:paraId="66742E32" w14:textId="77777777" w:rsidR="00434371" w:rsidRPr="009E3DA4" w:rsidRDefault="00434371" w:rsidP="00434371">
      <w:pPr>
        <w:spacing w:after="240"/>
        <w:ind w:left="720" w:hanging="720"/>
        <w:rPr>
          <w:rFonts w:eastAsia="Times New Roman"/>
          <w:b/>
          <w:sz w:val="24"/>
          <w:szCs w:val="24"/>
        </w:rPr>
      </w:pPr>
      <w:bookmarkStart w:id="3" w:name="a6_1A"/>
      <w:bookmarkEnd w:id="3"/>
      <w:r w:rsidRPr="00434371">
        <w:rPr>
          <w:rFonts w:eastAsia="Times New Roman"/>
          <w:b/>
          <w:sz w:val="24"/>
          <w:szCs w:val="24"/>
        </w:rPr>
        <w:lastRenderedPageBreak/>
        <w:t xml:space="preserve">6:1A </w:t>
      </w:r>
      <w:r w:rsidRPr="00434371">
        <w:rPr>
          <w:rFonts w:eastAsia="Times New Roman"/>
          <w:b/>
          <w:sz w:val="24"/>
          <w:szCs w:val="24"/>
        </w:rPr>
        <w:tab/>
        <w:t xml:space="preserve">SPECIAL INTERROGATORIES TO THE JURY TO DETERMINE THE </w:t>
      </w:r>
      <w:proofErr w:type="gramStart"/>
      <w:r w:rsidRPr="00434371">
        <w:rPr>
          <w:rFonts w:eastAsia="Times New Roman"/>
          <w:b/>
          <w:sz w:val="24"/>
          <w:szCs w:val="24"/>
        </w:rPr>
        <w:t>AMOUNT</w:t>
      </w:r>
      <w:proofErr w:type="gramEnd"/>
      <w:r w:rsidRPr="00434371">
        <w:rPr>
          <w:rFonts w:eastAsia="Times New Roman"/>
          <w:b/>
          <w:sz w:val="24"/>
          <w:szCs w:val="24"/>
        </w:rPr>
        <w:t xml:space="preserve">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On the other hand, if you find that the plaintiff is entitled to recover damages from (the defendant) (one or more of the defendants), then you must answer </w:t>
      </w:r>
      <w:proofErr w:type="gramStart"/>
      <w:r w:rsidRPr="00434371">
        <w:rPr>
          <w:rFonts w:eastAsia="Times New Roman"/>
          <w:b/>
          <w:sz w:val="24"/>
          <w:szCs w:val="24"/>
        </w:rPr>
        <w:t>all of</w:t>
      </w:r>
      <w:proofErr w:type="gramEnd"/>
      <w:r w:rsidRPr="00434371">
        <w:rPr>
          <w:rFonts w:eastAsia="Times New Roman"/>
          <w:b/>
          <w:sz w:val="24"/>
          <w:szCs w:val="24"/>
        </w:rPr>
        <w:t xml:space="preserve"> the following questions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w:t>
      </w:r>
      <w:proofErr w:type="gramStart"/>
      <w:r w:rsidRPr="00434371">
        <w:rPr>
          <w:rFonts w:eastAsia="Times New Roman"/>
          <w:b/>
          <w:sz w:val="24"/>
          <w:szCs w:val="24"/>
        </w:rPr>
        <w:t>questions</w:t>
      </w:r>
      <w:proofErr w:type="gramEnd"/>
      <w:r w:rsidRPr="00434371">
        <w:rPr>
          <w:rFonts w:eastAsia="Times New Roman"/>
          <w:b/>
          <w:sz w:val="24"/>
          <w:szCs w:val="24"/>
        </w:rPr>
        <w:t xml:space="preserve"> you should include all of the plaintiff’s damages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You must all agree on your answers to each of the questions. After your foreperson has put your answers to </w:t>
      </w:r>
      <w:proofErr w:type="gramStart"/>
      <w:r w:rsidRPr="00434371">
        <w:rPr>
          <w:rFonts w:eastAsia="Times New Roman"/>
          <w:b/>
          <w:sz w:val="24"/>
          <w:szCs w:val="24"/>
        </w:rPr>
        <w:t>all of</w:t>
      </w:r>
      <w:proofErr w:type="gramEnd"/>
      <w:r w:rsidRPr="00434371">
        <w:rPr>
          <w:rFonts w:eastAsia="Times New Roman"/>
          <w:b/>
          <w:sz w:val="24"/>
          <w:szCs w:val="24"/>
        </w:rPr>
        <w:t xml:space="preserve">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 xml:space="preserve">(insert number of applicable </w:t>
      </w:r>
      <w:proofErr w:type="gramStart"/>
      <w:r w:rsidRPr="00434371">
        <w:rPr>
          <w:rFonts w:eastAsia="Times New Roman"/>
          <w:i/>
          <w:sz w:val="24"/>
          <w:szCs w:val="24"/>
        </w:rPr>
        <w:t>instruction</w:t>
      </w:r>
      <w:proofErr w:type="gramEnd"/>
      <w:r w:rsidRPr="00434371">
        <w:rPr>
          <w:rFonts w:eastAsia="Times New Roman"/>
          <w:i/>
          <w:sz w:val="24"/>
          <w:szCs w:val="24"/>
        </w:rPr>
        <w:t xml:space="preserve">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1. This instruction should be used in actions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lastRenderedPageBreak/>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4. The parenthesized language in the first sentences of numbered paragraphs 1 and 2 and the parenthesized numbered paragraph 3 of this instruction should be given only if there is sufficient evidence to support a finding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5. In cases involving (1) comparative negligence (see Instructions 9:22 through 9:27D), (2) the negligence or fault of a nonparty (see Instructions 9:28 through 9:29B), or (3) comparative fault (see Instructions 14:30 through 14:33B), this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7. When this instruction is given with instructions on damages other than Instruction 6:1 (such as 6:2 and 6:3), such other instructions on damages may need to be modified to differentiate the noneconomic damages and the economic damages.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Pr="009E3DA4" w:rsidRDefault="008557E1" w:rsidP="008557E1">
      <w:pPr>
        <w:spacing w:after="240"/>
        <w:ind w:left="720" w:hanging="720"/>
        <w:rPr>
          <w:rFonts w:eastAsia="Times New Roman"/>
          <w:b/>
          <w:sz w:val="24"/>
          <w:szCs w:val="24"/>
        </w:rPr>
      </w:pPr>
      <w:bookmarkStart w:id="4" w:name="a6_1B"/>
      <w:bookmarkEnd w:id="4"/>
      <w:r w:rsidRPr="008557E1">
        <w:rPr>
          <w:rFonts w:eastAsia="Times New Roman"/>
          <w:b/>
          <w:sz w:val="24"/>
          <w:szCs w:val="24"/>
        </w:rPr>
        <w:lastRenderedPageBreak/>
        <w:t xml:space="preserve">6:1B </w:t>
      </w:r>
      <w:r w:rsidRPr="008557E1">
        <w:rPr>
          <w:rFonts w:eastAsia="Times New Roman"/>
          <w:b/>
          <w:sz w:val="24"/>
          <w:szCs w:val="24"/>
        </w:rPr>
        <w:tab/>
        <w:t>ANSWERS TO SPECIAL INTERROGATORIES TO THE JURY SET FORTH IN INSTRUCTION 6:1A</w:t>
      </w:r>
    </w:p>
    <w:p w14:paraId="745A08ED" w14:textId="77777777" w:rsidR="008557E1" w:rsidRPr="008557E1" w:rsidRDefault="008557E1" w:rsidP="008557E1">
      <w:pPr>
        <w:jc w:val="center"/>
        <w:rPr>
          <w:rFonts w:eastAsia="Times New Roman"/>
          <w:b/>
          <w:sz w:val="24"/>
          <w:szCs w:val="24"/>
        </w:rPr>
      </w:pPr>
      <w:r w:rsidRPr="008557E1">
        <w:rPr>
          <w:rFonts w:eastAsia="Times New Roman"/>
          <w:b/>
          <w:sz w:val="24"/>
          <w:szCs w:val="24"/>
        </w:rPr>
        <w:t xml:space="preserve">IN THE _______ COURT IN AND FOR THE </w:t>
      </w:r>
    </w:p>
    <w:p w14:paraId="3D155F6A" w14:textId="77777777" w:rsidR="008557E1" w:rsidRPr="008557E1" w:rsidRDefault="008557E1" w:rsidP="008557E1">
      <w:pPr>
        <w:jc w:val="center"/>
        <w:rPr>
          <w:rFonts w:eastAsia="Times New Roman"/>
          <w:b/>
          <w:sz w:val="24"/>
          <w:szCs w:val="24"/>
        </w:rPr>
      </w:pPr>
      <w:r w:rsidRPr="008557E1">
        <w:rPr>
          <w:rFonts w:eastAsia="Times New Roman"/>
          <w:b/>
          <w:sz w:val="24"/>
          <w:szCs w:val="24"/>
        </w:rPr>
        <w:t>COUNTY OF _______, STATE OF COLORADO</w:t>
      </w:r>
    </w:p>
    <w:p w14:paraId="77FA2DF6" w14:textId="77777777" w:rsidR="008557E1" w:rsidRPr="008557E1" w:rsidRDefault="008557E1" w:rsidP="008557E1">
      <w:pPr>
        <w:jc w:val="center"/>
        <w:rPr>
          <w:rFonts w:eastAsia="Times New Roman"/>
          <w:b/>
          <w:sz w:val="24"/>
          <w:szCs w:val="24"/>
        </w:rPr>
      </w:pPr>
    </w:p>
    <w:p w14:paraId="53C22902" w14:textId="77777777" w:rsidR="008557E1" w:rsidRPr="008557E1" w:rsidRDefault="008557E1" w:rsidP="008557E1">
      <w:pPr>
        <w:jc w:val="center"/>
        <w:rPr>
          <w:rFonts w:eastAsia="Times New Roman"/>
          <w:b/>
          <w:sz w:val="24"/>
          <w:szCs w:val="24"/>
        </w:rPr>
      </w:pPr>
      <w:r w:rsidRPr="008557E1">
        <w:rPr>
          <w:rFonts w:eastAsia="Times New Roman"/>
          <w:b/>
          <w:sz w:val="24"/>
          <w:szCs w:val="24"/>
        </w:rPr>
        <w:t>Civil Action No. _______</w:t>
      </w:r>
    </w:p>
    <w:p w14:paraId="5AAC0844" w14:textId="77777777" w:rsidR="008557E1" w:rsidRPr="008557E1" w:rsidRDefault="008557E1" w:rsidP="008557E1">
      <w:pPr>
        <w:rPr>
          <w:rFonts w:eastAsia="Times New Roman"/>
          <w:b/>
          <w:sz w:val="24"/>
          <w:szCs w:val="24"/>
        </w:rPr>
      </w:pPr>
    </w:p>
    <w:p w14:paraId="14C6110A" w14:textId="77777777" w:rsidR="008557E1" w:rsidRPr="008557E1" w:rsidRDefault="008557E1" w:rsidP="008557E1">
      <w:pPr>
        <w:rPr>
          <w:rFonts w:eastAsia="Times New Roman"/>
          <w:b/>
          <w:sz w:val="24"/>
          <w:szCs w:val="24"/>
        </w:rPr>
      </w:pPr>
    </w:p>
    <w:p w14:paraId="0D887B89" w14:textId="77777777" w:rsidR="008557E1" w:rsidRPr="008557E1" w:rsidRDefault="008557E1" w:rsidP="008557E1">
      <w:pPr>
        <w:rPr>
          <w:rFonts w:eastAsia="Times New Roman"/>
          <w:b/>
          <w:sz w:val="24"/>
          <w:szCs w:val="24"/>
        </w:rPr>
      </w:pPr>
    </w:p>
    <w:p w14:paraId="47F7F483"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0E6C12D8" w14:textId="77777777" w:rsidR="008557E1" w:rsidRPr="008557E1" w:rsidRDefault="008557E1" w:rsidP="008557E1">
      <w:pPr>
        <w:rPr>
          <w:rFonts w:eastAsia="Times New Roman"/>
          <w:b/>
          <w:sz w:val="24"/>
          <w:szCs w:val="24"/>
        </w:rPr>
      </w:pPr>
      <w:r w:rsidRPr="008557E1">
        <w:rPr>
          <w:rFonts w:eastAsia="Times New Roman"/>
          <w:b/>
          <w:sz w:val="24"/>
          <w:szCs w:val="24"/>
        </w:rPr>
        <w:tab/>
      </w:r>
      <w:r w:rsidRPr="008557E1">
        <w:rPr>
          <w:rFonts w:eastAsia="Times New Roman"/>
          <w:b/>
          <w:sz w:val="24"/>
          <w:szCs w:val="24"/>
        </w:rPr>
        <w:tab/>
        <w:t xml:space="preserve">      </w:t>
      </w:r>
      <w:proofErr w:type="gramStart"/>
      <w:r w:rsidRPr="008557E1">
        <w:rPr>
          <w:rFonts w:eastAsia="Times New Roman"/>
          <w:b/>
          <w:sz w:val="24"/>
          <w:szCs w:val="24"/>
        </w:rPr>
        <w:t xml:space="preserve">Plaintiff,   </w:t>
      </w:r>
      <w:proofErr w:type="gramEnd"/>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t xml:space="preserve">     )   ANSWERS TO QUESTIONS</w:t>
      </w:r>
    </w:p>
    <w:p w14:paraId="631BA65C"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t xml:space="preserve">v.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w:t>
      </w:r>
      <w:proofErr w:type="gramStart"/>
      <w:r w:rsidRPr="008557E1">
        <w:rPr>
          <w:rFonts w:eastAsia="Times New Roman"/>
          <w:b/>
          <w:sz w:val="24"/>
          <w:szCs w:val="24"/>
        </w:rPr>
        <w:t xml:space="preserve">  )</w:t>
      </w:r>
      <w:proofErr w:type="gramEnd"/>
      <w:r w:rsidRPr="008557E1">
        <w:rPr>
          <w:rFonts w:eastAsia="Times New Roman"/>
          <w:b/>
          <w:sz w:val="24"/>
          <w:szCs w:val="24"/>
        </w:rPr>
        <w:t xml:space="preserve">   REGARDING DAMAGES</w:t>
      </w:r>
    </w:p>
    <w:p w14:paraId="36C9F29C"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7C6D26A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proofErr w:type="gramStart"/>
      <w:r w:rsidRPr="008557E1">
        <w:rPr>
          <w:rFonts w:eastAsia="Times New Roman"/>
          <w:b/>
          <w:sz w:val="24"/>
          <w:szCs w:val="24"/>
        </w:rPr>
        <w:t xml:space="preserve">Defendant.  </w:t>
      </w:r>
      <w:r w:rsidRPr="008557E1">
        <w:rPr>
          <w:rFonts w:eastAsia="Times New Roman"/>
          <w:b/>
          <w:sz w:val="24"/>
          <w:szCs w:val="24"/>
        </w:rPr>
        <w:tab/>
      </w:r>
      <w:proofErr w:type="gramEnd"/>
      <w:r w:rsidRPr="008557E1">
        <w:rPr>
          <w:rFonts w:eastAsia="Times New Roman"/>
          <w:b/>
          <w:sz w:val="24"/>
          <w:szCs w:val="24"/>
        </w:rPr>
        <w:tab/>
        <w:t xml:space="preserve">     )</w:t>
      </w: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 xml:space="preserve">1. </w:t>
      </w:r>
      <w:r w:rsidRPr="008557E1">
        <w:rPr>
          <w:rFonts w:eastAsia="Times New Roman"/>
          <w:b/>
          <w:sz w:val="24"/>
          <w:szCs w:val="24"/>
        </w:rPr>
        <w:tab/>
        <w:t xml:space="preserve">What is the total amount of plaintiff’s damages for noneconomic losses or injuries (, 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 xml:space="preserve">What is the total amount of plaintiff’s damages for [physical </w:t>
      </w:r>
    </w:p>
    <w:p w14:paraId="02B3FD84" w14:textId="77777777" w:rsidR="008557E1" w:rsidRPr="008557E1" w:rsidRDefault="008557E1" w:rsidP="008557E1">
      <w:pPr>
        <w:ind w:left="1080"/>
        <w:rPr>
          <w:rFonts w:eastAsia="Times New Roman"/>
          <w:b/>
          <w:sz w:val="24"/>
          <w:szCs w:val="24"/>
        </w:rPr>
      </w:pPr>
      <w:r w:rsidRPr="008557E1">
        <w:rPr>
          <w:rFonts w:eastAsia="Times New Roman"/>
          <w:b/>
          <w:sz w:val="24"/>
          <w:szCs w:val="24"/>
        </w:rPr>
        <w:t>impairment]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ANSWER: $_______)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r w:rsidRPr="008557E1">
        <w:rPr>
          <w:rFonts w:eastAsia="Times New Roman"/>
          <w:sz w:val="24"/>
          <w:szCs w:val="24"/>
        </w:rPr>
        <w:t>See Source and Authority to Instruction 6:1.</w:t>
      </w:r>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5" w:name="a6_2"/>
      <w:bookmarkEnd w:id="5"/>
      <w:r w:rsidRPr="008A637B">
        <w:rPr>
          <w:rFonts w:eastAsia="Times New Roman"/>
          <w:b/>
          <w:sz w:val="24"/>
          <w:szCs w:val="24"/>
        </w:rPr>
        <w:lastRenderedPageBreak/>
        <w:t xml:space="preserve">6:2 </w:t>
      </w:r>
      <w:r w:rsidRPr="008A637B">
        <w:rPr>
          <w:rFonts w:eastAsia="Times New Roman"/>
          <w:b/>
          <w:sz w:val="24"/>
          <w:szCs w:val="24"/>
        </w:rPr>
        <w:tab/>
        <w:t>PERSONAL INJURIES — MINOR CHILD</w:t>
      </w:r>
    </w:p>
    <w:p w14:paraId="53C33D6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51AC98E2" w:rsid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to the present time or probably </w:t>
      </w:r>
      <w:r w:rsidR="00EB724A">
        <w:rPr>
          <w:rFonts w:eastAsia="Times New Roman"/>
          <w:b/>
          <w:sz w:val="24"/>
          <w:szCs w:val="24"/>
        </w:rPr>
        <w:t xml:space="preserve">will </w:t>
      </w:r>
      <w:r w:rsidRPr="00683FA1">
        <w:rPr>
          <w:rFonts w:eastAsia="Times New Roman"/>
          <w:b/>
          <w:sz w:val="24"/>
          <w:szCs w:val="24"/>
        </w:rPr>
        <w:t xml:space="preserve">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116D706E" w14:textId="77777777" w:rsidR="00EB724A" w:rsidRPr="00683FA1" w:rsidRDefault="00EB724A" w:rsidP="00EB724A">
      <w:pPr>
        <w:spacing w:after="240"/>
        <w:ind w:firstLine="720"/>
        <w:rPr>
          <w:rFonts w:eastAsia="Times New Roman"/>
          <w:b/>
          <w:sz w:val="24"/>
          <w:szCs w:val="24"/>
        </w:rPr>
      </w:pPr>
      <w:r>
        <w:rPr>
          <w:rFonts w:eastAsia="Times New Roman"/>
          <w:b/>
          <w:sz w:val="24"/>
          <w:szCs w:val="24"/>
        </w:rPr>
        <w:t xml:space="preserve">2. Any (reasonable and necessary) medical, hospital, and similar expenses which plaintiff has had or probably will have in the </w:t>
      </w:r>
      <w:proofErr w:type="gramStart"/>
      <w:r>
        <w:rPr>
          <w:rFonts w:eastAsia="Times New Roman"/>
          <w:b/>
          <w:sz w:val="24"/>
          <w:szCs w:val="24"/>
        </w:rPr>
        <w:t>future;</w:t>
      </w:r>
      <w:proofErr w:type="gramEnd"/>
    </w:p>
    <w:p w14:paraId="64CB0F0C" w14:textId="32352184" w:rsidR="00683FA1" w:rsidRPr="00683FA1" w:rsidRDefault="00EB724A" w:rsidP="00683FA1">
      <w:pPr>
        <w:spacing w:after="240"/>
        <w:ind w:firstLine="720"/>
        <w:rPr>
          <w:rFonts w:eastAsia="Times New Roman"/>
          <w:b/>
          <w:sz w:val="24"/>
          <w:szCs w:val="24"/>
        </w:rPr>
      </w:pPr>
      <w:r>
        <w:rPr>
          <w:rFonts w:eastAsia="Times New Roman"/>
          <w:b/>
          <w:sz w:val="24"/>
          <w:szCs w:val="24"/>
        </w:rPr>
        <w:t>3</w:t>
      </w:r>
      <w:r w:rsidR="00683FA1" w:rsidRPr="00683FA1">
        <w:rPr>
          <w:rFonts w:eastAsia="Times New Roman"/>
          <w:b/>
          <w:sz w:val="24"/>
          <w:szCs w:val="24"/>
        </w:rPr>
        <w:t xml:space="preserve">. Any </w:t>
      </w:r>
      <w:r>
        <w:rPr>
          <w:rFonts w:eastAsia="Times New Roman"/>
          <w:b/>
          <w:sz w:val="24"/>
          <w:szCs w:val="24"/>
        </w:rPr>
        <w:t xml:space="preserve">other </w:t>
      </w:r>
      <w:r w:rsidR="00683FA1" w:rsidRPr="00683FA1">
        <w:rPr>
          <w:rFonts w:eastAsia="Times New Roman"/>
          <w:b/>
          <w:sz w:val="24"/>
          <w:szCs w:val="24"/>
        </w:rPr>
        <w:t xml:space="preserve">economic losses or injuries which plaintiff will probably have in the future after (he) (she) reaches the age of 18 (or is otherwise emancipated), including: loss or damage to (his) (her) ability to earn money in the future, and </w:t>
      </w:r>
      <w:r w:rsidR="00683FA1" w:rsidRPr="00683FA1">
        <w:rPr>
          <w:rFonts w:eastAsia="Times New Roman"/>
          <w:i/>
          <w:sz w:val="24"/>
          <w:szCs w:val="24"/>
        </w:rPr>
        <w:t>(insert any other recoverable economic losses of which there is sufficient evidence)</w:t>
      </w:r>
      <w:r w:rsidR="00683FA1"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01E3F53E"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w:t>
      </w:r>
      <w:r w:rsidR="00EB724A">
        <w:rPr>
          <w:rFonts w:eastAsia="Times New Roman"/>
          <w:b/>
          <w:sz w:val="24"/>
          <w:szCs w:val="24"/>
        </w:rPr>
        <w:t>4</w:t>
      </w:r>
      <w:r w:rsidRPr="00683FA1">
        <w:rPr>
          <w:rFonts w:eastAsia="Times New Roman"/>
          <w:b/>
          <w:sz w:val="24"/>
          <w:szCs w:val="24"/>
        </w:rPr>
        <w:t>. Any [physical impairment] [or] [disfigurement]. In considering damages in this category, you shall not include damages again for losses or injuries already determined under numbered paragraph</w:t>
      </w:r>
      <w:r w:rsidR="00EB724A">
        <w:rPr>
          <w:rFonts w:eastAsia="Times New Roman"/>
          <w:b/>
          <w:sz w:val="24"/>
          <w:szCs w:val="24"/>
        </w:rPr>
        <w:t>s</w:t>
      </w:r>
      <w:r w:rsidRPr="00683FA1">
        <w:rPr>
          <w:rFonts w:eastAsia="Times New Roman"/>
          <w:b/>
          <w:sz w:val="24"/>
          <w:szCs w:val="24"/>
        </w:rPr>
        <w:t xml:space="preserve"> 1</w:t>
      </w:r>
      <w:r w:rsidR="00EB724A">
        <w:rPr>
          <w:rFonts w:eastAsia="Times New Roman"/>
          <w:b/>
          <w:sz w:val="24"/>
          <w:szCs w:val="24"/>
        </w:rPr>
        <w:t>,</w:t>
      </w:r>
      <w:r w:rsidRPr="00683FA1">
        <w:rPr>
          <w:rFonts w:eastAsia="Times New Roman"/>
          <w:b/>
          <w:sz w:val="24"/>
          <w:szCs w:val="24"/>
        </w:rPr>
        <w:t xml:space="preserve"> 2</w:t>
      </w:r>
      <w:r w:rsidR="00EB724A">
        <w:rPr>
          <w:rFonts w:eastAsia="Times New Roman"/>
          <w:b/>
          <w:sz w:val="24"/>
          <w:szCs w:val="24"/>
        </w:rPr>
        <w:t>, or 3</w:t>
      </w:r>
      <w:r w:rsidRPr="00683FA1">
        <w:rPr>
          <w:rFonts w:eastAsia="Times New Roman"/>
          <w:b/>
          <w:sz w:val="24"/>
          <w:szCs w:val="24"/>
        </w:rPr>
        <w:t xml:space="preserve"> above.)</w:t>
      </w:r>
    </w:p>
    <w:p w14:paraId="5BBA5D9E" w14:textId="5030CF3F"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00EB724A">
        <w:rPr>
          <w:rFonts w:eastAsia="Times New Roman"/>
          <w:i/>
          <w:sz w:val="24"/>
          <w:szCs w:val="24"/>
        </w:rPr>
        <w:t xml:space="preserve"> of non-medical expenses</w:t>
      </w:r>
      <w:r w:rsidRPr="00683FA1">
        <w:rPr>
          <w:rFonts w:eastAsia="Times New Roman"/>
          <w:i/>
          <w:sz w:val="24"/>
          <w:szCs w:val="24"/>
        </w:rPr>
        <w:t>)</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(he) (she) reaches the age of 18 [or is emancipated] because these damages, if any, are recoverable by the plaintiff’s parents.) (For the same reason, you should not include in plaintiff’s, </w:t>
      </w:r>
      <w:r w:rsidRPr="00683FA1">
        <w:rPr>
          <w:rFonts w:eastAsia="Times New Roman"/>
          <w:i/>
          <w:sz w:val="24"/>
          <w:szCs w:val="24"/>
        </w:rPr>
        <w:t>(name of minor child)</w:t>
      </w:r>
      <w:r w:rsidRPr="00683FA1">
        <w:rPr>
          <w:rFonts w:eastAsia="Times New Roman"/>
          <w:b/>
          <w:sz w:val="24"/>
          <w:szCs w:val="24"/>
        </w:rPr>
        <w:t>, damages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3182B8D2" w:rsidR="008A637B" w:rsidRPr="008A637B" w:rsidRDefault="008A637B" w:rsidP="008A637B">
      <w:pPr>
        <w:spacing w:after="240"/>
        <w:ind w:firstLine="720"/>
        <w:rPr>
          <w:rFonts w:eastAsia="Times New Roman"/>
          <w:sz w:val="24"/>
          <w:szCs w:val="24"/>
        </w:rPr>
      </w:pPr>
      <w:r w:rsidRPr="008A637B">
        <w:rPr>
          <w:rFonts w:eastAsia="Times New Roman"/>
          <w:sz w:val="24"/>
          <w:szCs w:val="24"/>
        </w:rPr>
        <w:lastRenderedPageBreak/>
        <w:t xml:space="preserve">2. Omit any parenthesized or bracketed words or phrases which are inappropriate to the </w:t>
      </w:r>
      <w:proofErr w:type="gramStart"/>
      <w:r w:rsidRPr="008A637B">
        <w:rPr>
          <w:rFonts w:eastAsia="Times New Roman"/>
          <w:sz w:val="24"/>
          <w:szCs w:val="24"/>
        </w:rPr>
        <w:t>particular case</w:t>
      </w:r>
      <w:proofErr w:type="gramEnd"/>
      <w:r w:rsidRPr="008A637B">
        <w:rPr>
          <w:rFonts w:eastAsia="Times New Roman"/>
          <w:sz w:val="24"/>
          <w:szCs w:val="24"/>
        </w:rPr>
        <w:t xml:space="preserve">. The last paragraph </w:t>
      </w:r>
      <w:proofErr w:type="gramStart"/>
      <w:r w:rsidRPr="008A637B">
        <w:rPr>
          <w:rFonts w:eastAsia="Times New Roman"/>
          <w:sz w:val="24"/>
          <w:szCs w:val="24"/>
        </w:rPr>
        <w:t>in particular should</w:t>
      </w:r>
      <w:proofErr w:type="gramEnd"/>
      <w:r w:rsidRPr="008A637B">
        <w:rPr>
          <w:rFonts w:eastAsia="Times New Roman"/>
          <w:sz w:val="24"/>
          <w:szCs w:val="24"/>
        </w:rPr>
        <w:t xml:space="preserve"> be omitted if there is no claim for damages relating to earnings or to </w:t>
      </w:r>
      <w:r w:rsidR="00EB724A">
        <w:rPr>
          <w:rFonts w:eastAsia="Times New Roman"/>
          <w:sz w:val="24"/>
          <w:szCs w:val="24"/>
        </w:rPr>
        <w:t xml:space="preserve">non-medical </w:t>
      </w:r>
      <w:r w:rsidRPr="008A637B">
        <w:rPr>
          <w:rFonts w:eastAsia="Times New Roman"/>
          <w:sz w:val="24"/>
          <w:szCs w:val="24"/>
        </w:rPr>
        <w:t xml:space="preserve">expenses. If either or </w:t>
      </w:r>
      <w:proofErr w:type="gramStart"/>
      <w:r w:rsidRPr="008A637B">
        <w:rPr>
          <w:rFonts w:eastAsia="Times New Roman"/>
          <w:sz w:val="24"/>
          <w:szCs w:val="24"/>
        </w:rPr>
        <w:t>both of these</w:t>
      </w:r>
      <w:proofErr w:type="gramEnd"/>
      <w:r w:rsidRPr="008A637B">
        <w:rPr>
          <w:rFonts w:eastAsia="Times New Roman"/>
          <w:sz w:val="24"/>
          <w:szCs w:val="24"/>
        </w:rPr>
        <w:t xml:space="preserve"> matters are involved, such portions of this paragraph should be used as are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3. If one or both parents have joined with the minor as plaintiffs to recover their damages,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proofErr w:type="spellStart"/>
      <w:r w:rsidRPr="008A637B">
        <w:rPr>
          <w:rFonts w:eastAsia="Times New Roman"/>
          <w:i/>
          <w:sz w:val="24"/>
          <w:szCs w:val="24"/>
        </w:rPr>
        <w:t>rev’d</w:t>
      </w:r>
      <w:proofErr w:type="spellEnd"/>
      <w:r w:rsidRPr="008A637B">
        <w:rPr>
          <w:rFonts w:eastAsia="Times New Roman"/>
          <w:i/>
          <w:sz w:val="24"/>
          <w:szCs w:val="24"/>
        </w:rPr>
        <w:t xml:space="preserve">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6CC0887A" w14:textId="5457328F" w:rsidR="00EB724A" w:rsidRPr="008A637B" w:rsidRDefault="00EB724A" w:rsidP="00EB724A">
      <w:pPr>
        <w:spacing w:after="240"/>
        <w:ind w:firstLine="720"/>
        <w:rPr>
          <w:rFonts w:eastAsia="Times New Roman"/>
          <w:sz w:val="24"/>
          <w:szCs w:val="24"/>
        </w:rPr>
      </w:pPr>
      <w:r>
        <w:rPr>
          <w:rFonts w:eastAsia="Times New Roman"/>
          <w:sz w:val="24"/>
          <w:szCs w:val="24"/>
        </w:rPr>
        <w:t xml:space="preserve">3. In </w:t>
      </w:r>
      <w:proofErr w:type="spellStart"/>
      <w:r w:rsidRPr="00563A63">
        <w:rPr>
          <w:rFonts w:eastAsia="Times New Roman"/>
          <w:b/>
          <w:bCs/>
          <w:sz w:val="24"/>
          <w:szCs w:val="24"/>
        </w:rPr>
        <w:t>Rudnicki</w:t>
      </w:r>
      <w:proofErr w:type="spellEnd"/>
      <w:r w:rsidRPr="00563A63">
        <w:rPr>
          <w:rFonts w:eastAsia="Times New Roman"/>
          <w:b/>
          <w:bCs/>
          <w:sz w:val="24"/>
          <w:szCs w:val="24"/>
        </w:rPr>
        <w:t xml:space="preserve"> v. Bianco</w:t>
      </w:r>
      <w:r>
        <w:rPr>
          <w:rFonts w:eastAsia="Times New Roman"/>
          <w:sz w:val="24"/>
          <w:szCs w:val="24"/>
        </w:rPr>
        <w:t xml:space="preserve">, 2021 CO 80, ¶¶ 44-45, </w:t>
      </w:r>
      <w:r w:rsidR="004B7F05">
        <w:rPr>
          <w:rFonts w:eastAsia="Times New Roman"/>
          <w:sz w:val="24"/>
          <w:szCs w:val="24"/>
        </w:rPr>
        <w:t xml:space="preserve">501 P.3d 776, </w:t>
      </w:r>
      <w:r>
        <w:rPr>
          <w:rFonts w:eastAsia="Times New Roman"/>
          <w:sz w:val="24"/>
          <w:szCs w:val="24"/>
        </w:rPr>
        <w:t>the Colorado Supreme Court overruled prior precedent and held that an unemancipated minor child could recover damages for pre-majority medical expenses. Parents of the child also may recover such expenses, provided that no double recovery is permitted.</w:t>
      </w:r>
    </w:p>
    <w:p w14:paraId="315499EC" w14:textId="500D91CD" w:rsidR="008A637B" w:rsidRPr="008A637B" w:rsidRDefault="00EB724A" w:rsidP="008A637B">
      <w:pPr>
        <w:spacing w:after="240"/>
        <w:ind w:firstLine="720"/>
        <w:rPr>
          <w:rFonts w:eastAsia="Times New Roman"/>
          <w:sz w:val="24"/>
          <w:szCs w:val="24"/>
        </w:rPr>
      </w:pPr>
      <w:r>
        <w:rPr>
          <w:rFonts w:eastAsia="Times New Roman"/>
          <w:sz w:val="24"/>
          <w:szCs w:val="24"/>
        </w:rPr>
        <w:t>4</w:t>
      </w:r>
      <w:r w:rsidR="008A637B" w:rsidRPr="008A637B">
        <w:rPr>
          <w:rFonts w:eastAsia="Times New Roman"/>
          <w:sz w:val="24"/>
          <w:szCs w:val="24"/>
        </w:rPr>
        <w:t xml:space="preserve">.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008A637B" w:rsidRPr="008A637B">
        <w:rPr>
          <w:rFonts w:eastAsia="Times New Roman"/>
          <w:b/>
          <w:sz w:val="24"/>
          <w:szCs w:val="24"/>
        </w:rPr>
        <w:t>Pressey v. Children’s Hosp. Colo.</w:t>
      </w:r>
      <w:r w:rsidR="008A637B" w:rsidRPr="008A637B">
        <w:rPr>
          <w:rFonts w:eastAsia="Times New Roman"/>
          <w:sz w:val="24"/>
          <w:szCs w:val="24"/>
        </w:rPr>
        <w:t>, 2017 COA 28, ¶ 26</w:t>
      </w:r>
      <w:r w:rsidR="00631FE7">
        <w:rPr>
          <w:rFonts w:eastAsia="Times New Roman"/>
          <w:sz w:val="24"/>
          <w:szCs w:val="24"/>
        </w:rPr>
        <w:t>, 488 P.3d 151, 159</w:t>
      </w:r>
      <w:r>
        <w:rPr>
          <w:rFonts w:eastAsia="Times New Roman"/>
          <w:sz w:val="24"/>
          <w:szCs w:val="24"/>
        </w:rPr>
        <w:t xml:space="preserve"> (overruled as to pre-majority medical expenses by </w:t>
      </w:r>
      <w:proofErr w:type="spellStart"/>
      <w:r w:rsidRPr="00563A63">
        <w:rPr>
          <w:rFonts w:eastAsia="Times New Roman"/>
          <w:b/>
          <w:bCs/>
          <w:sz w:val="24"/>
          <w:szCs w:val="24"/>
        </w:rPr>
        <w:t>Rudnicki</w:t>
      </w:r>
      <w:proofErr w:type="spellEnd"/>
      <w:r w:rsidRPr="00EB724A">
        <w:rPr>
          <w:rFonts w:eastAsia="Times New Roman"/>
          <w:iCs/>
          <w:sz w:val="24"/>
          <w:szCs w:val="24"/>
        </w:rPr>
        <w:t>,</w:t>
      </w:r>
      <w:r w:rsidRPr="00563A63">
        <w:rPr>
          <w:rFonts w:eastAsia="Times New Roman"/>
          <w:sz w:val="24"/>
          <w:szCs w:val="24"/>
        </w:rPr>
        <w:t xml:space="preserve"> </w:t>
      </w:r>
      <w:r w:rsidR="00146EDF">
        <w:rPr>
          <w:rFonts w:eastAsia="Times New Roman"/>
          <w:sz w:val="24"/>
          <w:szCs w:val="24"/>
        </w:rPr>
        <w:t>¶ 44, 501 P.3d at 785-86</w:t>
      </w:r>
      <w:r>
        <w:rPr>
          <w:rFonts w:eastAsia="Times New Roman"/>
          <w:sz w:val="24"/>
          <w:szCs w:val="24"/>
        </w:rPr>
        <w:t>)</w:t>
      </w:r>
      <w:r w:rsidR="008A637B" w:rsidRPr="008A637B">
        <w:rPr>
          <w:rFonts w:eastAsia="Times New Roman"/>
          <w:sz w:val="24"/>
          <w:szCs w:val="24"/>
        </w:rPr>
        <w:t xml:space="preserve">; </w:t>
      </w:r>
      <w:r w:rsidR="008A637B" w:rsidRPr="008A637B">
        <w:rPr>
          <w:rFonts w:eastAsia="Times New Roman"/>
          <w:i/>
          <w:sz w:val="24"/>
          <w:szCs w:val="24"/>
        </w:rPr>
        <w:t>see also</w:t>
      </w:r>
      <w:r w:rsidR="008A637B" w:rsidRPr="008A637B">
        <w:rPr>
          <w:rFonts w:eastAsia="Times New Roman"/>
          <w:sz w:val="24"/>
          <w:szCs w:val="24"/>
        </w:rPr>
        <w:t xml:space="preserve"> </w:t>
      </w:r>
      <w:proofErr w:type="spellStart"/>
      <w:r w:rsidR="008A637B" w:rsidRPr="008A637B">
        <w:rPr>
          <w:rFonts w:eastAsia="Times New Roman"/>
          <w:b/>
          <w:sz w:val="24"/>
          <w:szCs w:val="24"/>
        </w:rPr>
        <w:t>Nat’l</w:t>
      </w:r>
      <w:proofErr w:type="spellEnd"/>
      <w:r w:rsidR="008A637B" w:rsidRPr="008A637B">
        <w:rPr>
          <w:rFonts w:eastAsia="Times New Roman"/>
          <w:b/>
          <w:sz w:val="24"/>
          <w:szCs w:val="24"/>
        </w:rPr>
        <w:t xml:space="preserve"> Fuel Co. v. Green</w:t>
      </w:r>
      <w:r w:rsidR="008A637B" w:rsidRPr="008A637B">
        <w:rPr>
          <w:rFonts w:eastAsia="Times New Roman"/>
          <w:sz w:val="24"/>
          <w:szCs w:val="24"/>
        </w:rPr>
        <w:t>, 50 Colo. 307, 115 P. 709 (1911).</w:t>
      </w:r>
    </w:p>
    <w:p w14:paraId="15A1CB4D" w14:textId="47138643" w:rsidR="008A637B" w:rsidRPr="008A637B" w:rsidRDefault="00EB724A" w:rsidP="008A637B">
      <w:pPr>
        <w:spacing w:after="240"/>
        <w:ind w:firstLine="720"/>
        <w:rPr>
          <w:rFonts w:eastAsia="Times New Roman"/>
          <w:sz w:val="24"/>
          <w:szCs w:val="24"/>
        </w:rPr>
      </w:pPr>
      <w:r>
        <w:rPr>
          <w:rFonts w:eastAsia="Times New Roman"/>
          <w:sz w:val="24"/>
          <w:szCs w:val="24"/>
        </w:rPr>
        <w:t>5</w:t>
      </w:r>
      <w:r w:rsidR="008A637B" w:rsidRPr="008A637B">
        <w:rPr>
          <w:rFonts w:eastAsia="Times New Roman"/>
          <w:sz w:val="24"/>
          <w:szCs w:val="24"/>
        </w:rPr>
        <w:t xml:space="preserve">. As to the minor’s right to recover for pain and suffering, see </w:t>
      </w:r>
      <w:r w:rsidR="008A637B" w:rsidRPr="008A637B">
        <w:rPr>
          <w:rFonts w:eastAsia="Times New Roman"/>
          <w:b/>
          <w:sz w:val="24"/>
          <w:szCs w:val="24"/>
        </w:rPr>
        <w:t xml:space="preserve">Colorado Utilities Corp. v. </w:t>
      </w:r>
      <w:proofErr w:type="spellStart"/>
      <w:r w:rsidR="008A637B" w:rsidRPr="008A637B">
        <w:rPr>
          <w:rFonts w:eastAsia="Times New Roman"/>
          <w:b/>
          <w:sz w:val="24"/>
          <w:szCs w:val="24"/>
        </w:rPr>
        <w:t>Casady</w:t>
      </w:r>
      <w:proofErr w:type="spellEnd"/>
      <w:r w:rsidR="008A637B" w:rsidRPr="008A637B">
        <w:rPr>
          <w:rFonts w:eastAsia="Times New Roman"/>
          <w:sz w:val="24"/>
          <w:szCs w:val="24"/>
        </w:rPr>
        <w:t>, 89 Colo. 156, 300 P. 601 (1931).</w:t>
      </w:r>
    </w:p>
    <w:p w14:paraId="7B011745" w14:textId="531299BF" w:rsidR="008A637B" w:rsidRPr="008A637B" w:rsidRDefault="00EB724A" w:rsidP="008A637B">
      <w:pPr>
        <w:spacing w:after="240"/>
        <w:ind w:firstLine="720"/>
        <w:rPr>
          <w:rFonts w:eastAsia="Times New Roman"/>
          <w:sz w:val="24"/>
          <w:szCs w:val="24"/>
        </w:rPr>
      </w:pPr>
      <w:r>
        <w:rPr>
          <w:rFonts w:eastAsia="Times New Roman"/>
          <w:sz w:val="24"/>
          <w:szCs w:val="24"/>
        </w:rPr>
        <w:t>6</w:t>
      </w:r>
      <w:r w:rsidR="008A637B" w:rsidRPr="008A637B">
        <w:rPr>
          <w:rFonts w:eastAsia="Times New Roman"/>
          <w:sz w:val="24"/>
          <w:szCs w:val="24"/>
        </w:rPr>
        <w:t xml:space="preserve">. The parent is entitled to recover for loss of the minor’s earnings during the child’s minority unless the child has been emancipated, </w:t>
      </w:r>
      <w:r w:rsidR="008A637B" w:rsidRPr="008A637B">
        <w:rPr>
          <w:rFonts w:eastAsia="Times New Roman"/>
          <w:b/>
          <w:sz w:val="24"/>
          <w:szCs w:val="24"/>
        </w:rPr>
        <w:t>Pawnee Farmers’ Elevator Co. v. Powell</w:t>
      </w:r>
      <w:r w:rsidR="008A637B" w:rsidRPr="008A637B">
        <w:rPr>
          <w:rFonts w:eastAsia="Times New Roman"/>
          <w:sz w:val="24"/>
          <w:szCs w:val="24"/>
        </w:rPr>
        <w:t xml:space="preserve">, 76 Colo. 1, 227 P. 836 (1924), or, unless the parent has allowed the child to retain the child’s own earnings. </w:t>
      </w:r>
      <w:r w:rsidR="008A637B" w:rsidRPr="008A637B">
        <w:rPr>
          <w:rFonts w:eastAsia="Times New Roman"/>
          <w:i/>
          <w:sz w:val="24"/>
          <w:szCs w:val="24"/>
        </w:rPr>
        <w:t>See</w:t>
      </w:r>
      <w:r w:rsidR="008A637B" w:rsidRPr="008A637B">
        <w:rPr>
          <w:rFonts w:eastAsia="Times New Roman"/>
          <w:sz w:val="24"/>
          <w:szCs w:val="24"/>
        </w:rPr>
        <w:t xml:space="preserve"> </w:t>
      </w:r>
      <w:r w:rsidR="008A637B" w:rsidRPr="008A637B">
        <w:rPr>
          <w:rFonts w:eastAsia="Times New Roman"/>
          <w:b/>
          <w:sz w:val="24"/>
          <w:szCs w:val="24"/>
        </w:rPr>
        <w:t>Harman v. Chase</w:t>
      </w:r>
      <w:r w:rsidR="008A637B"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008A637B" w:rsidRPr="008A637B">
        <w:rPr>
          <w:rFonts w:eastAsia="Times New Roman"/>
          <w:b/>
          <w:sz w:val="24"/>
          <w:szCs w:val="24"/>
        </w:rPr>
        <w:t>Pawnee Farmers Elevator Co.</w:t>
      </w:r>
      <w:r w:rsidR="008A637B" w:rsidRPr="008A637B">
        <w:rPr>
          <w:rFonts w:eastAsia="Times New Roman"/>
          <w:sz w:val="24"/>
          <w:szCs w:val="24"/>
        </w:rPr>
        <w:t xml:space="preserve">, 76 Colo. at 7, 227 P. at 839; </w:t>
      </w:r>
      <w:r w:rsidR="008A637B" w:rsidRPr="008A637B">
        <w:rPr>
          <w:rFonts w:eastAsia="Times New Roman"/>
          <w:i/>
          <w:sz w:val="24"/>
          <w:szCs w:val="24"/>
        </w:rPr>
        <w:t>see also</w:t>
      </w:r>
      <w:r w:rsidR="008A637B" w:rsidRPr="008A637B">
        <w:rPr>
          <w:rFonts w:eastAsia="Times New Roman"/>
          <w:sz w:val="24"/>
          <w:szCs w:val="24"/>
        </w:rPr>
        <w:t xml:space="preserve"> </w:t>
      </w:r>
      <w:r w:rsidR="008A637B" w:rsidRPr="008A637B">
        <w:rPr>
          <w:rFonts w:eastAsia="Times New Roman"/>
          <w:b/>
          <w:sz w:val="24"/>
          <w:szCs w:val="24"/>
        </w:rPr>
        <w:t xml:space="preserve">Thompson v. </w:t>
      </w:r>
      <w:proofErr w:type="spellStart"/>
      <w:r w:rsidR="008A637B" w:rsidRPr="008A637B">
        <w:rPr>
          <w:rFonts w:eastAsia="Times New Roman"/>
          <w:b/>
          <w:sz w:val="24"/>
          <w:szCs w:val="24"/>
        </w:rPr>
        <w:t>Tartler</w:t>
      </w:r>
      <w:proofErr w:type="spellEnd"/>
      <w:r w:rsidR="008A637B" w:rsidRPr="008A637B">
        <w:rPr>
          <w:rFonts w:eastAsia="Times New Roman"/>
          <w:sz w:val="24"/>
          <w:szCs w:val="24"/>
        </w:rPr>
        <w:t xml:space="preserve">, 166 Colo. 247, 443 P.2d 365 (1968); </w:t>
      </w:r>
      <w:r w:rsidR="008A637B" w:rsidRPr="008A637B">
        <w:rPr>
          <w:rFonts w:eastAsia="Times New Roman"/>
          <w:b/>
          <w:sz w:val="24"/>
          <w:szCs w:val="24"/>
        </w:rPr>
        <w:t>Odell v. Pub. Serv. Co</w:t>
      </w:r>
      <w:r w:rsidR="008A637B" w:rsidRPr="008A637B">
        <w:rPr>
          <w:rFonts w:eastAsia="Times New Roman"/>
          <w:sz w:val="24"/>
          <w:szCs w:val="24"/>
        </w:rPr>
        <w:t>., 158 Colo. 404, 407 P.2d 330 (1965).</w:t>
      </w:r>
    </w:p>
    <w:p w14:paraId="73E6AB26" w14:textId="4B6882F0" w:rsidR="008A637B" w:rsidRPr="008A637B" w:rsidRDefault="00EB724A" w:rsidP="008A637B">
      <w:pPr>
        <w:spacing w:after="240"/>
        <w:ind w:firstLine="720"/>
        <w:rPr>
          <w:rFonts w:eastAsia="Times New Roman"/>
          <w:sz w:val="24"/>
          <w:szCs w:val="24"/>
        </w:rPr>
      </w:pPr>
      <w:r>
        <w:rPr>
          <w:rFonts w:eastAsia="Times New Roman"/>
          <w:sz w:val="24"/>
          <w:szCs w:val="24"/>
        </w:rPr>
        <w:lastRenderedPageBreak/>
        <w:t>7</w:t>
      </w:r>
      <w:r w:rsidR="008A637B" w:rsidRPr="008A637B">
        <w:rPr>
          <w:rFonts w:eastAsia="Times New Roman"/>
          <w:sz w:val="24"/>
          <w:szCs w:val="24"/>
        </w:rPr>
        <w:t xml:space="preserve">. A parent may relinquish the right to pre-majority expenses. </w:t>
      </w:r>
      <w:r w:rsidR="008A637B" w:rsidRPr="008A637B">
        <w:rPr>
          <w:rFonts w:eastAsia="Times New Roman"/>
          <w:b/>
          <w:sz w:val="24"/>
          <w:szCs w:val="24"/>
        </w:rPr>
        <w:t>Pressey</w:t>
      </w:r>
      <w:r w:rsidR="008A637B" w:rsidRPr="008A637B">
        <w:rPr>
          <w:rFonts w:eastAsia="Times New Roman"/>
          <w:sz w:val="24"/>
          <w:szCs w:val="24"/>
        </w:rPr>
        <w:t>, ¶ 27</w:t>
      </w:r>
      <w:r w:rsidR="00631FE7">
        <w:rPr>
          <w:rFonts w:eastAsia="Times New Roman"/>
          <w:sz w:val="24"/>
          <w:szCs w:val="24"/>
        </w:rPr>
        <w:t>, 488 P.3d at 159</w:t>
      </w:r>
      <w:r w:rsidR="008A637B" w:rsidRPr="008A637B">
        <w:rPr>
          <w:rFonts w:eastAsia="Times New Roman"/>
          <w:sz w:val="24"/>
          <w:szCs w:val="24"/>
        </w:rPr>
        <w:t>.</w:t>
      </w:r>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6" w:name="a6_3"/>
      <w:bookmarkEnd w:id="6"/>
      <w:r w:rsidRPr="00683FA1">
        <w:rPr>
          <w:rFonts w:eastAsia="Times New Roman"/>
          <w:b/>
          <w:sz w:val="24"/>
          <w:szCs w:val="24"/>
        </w:rPr>
        <w:lastRenderedPageBreak/>
        <w:t xml:space="preserve">6:3 </w:t>
      </w:r>
      <w:r w:rsidRPr="00683FA1">
        <w:rPr>
          <w:rFonts w:eastAsia="Times New Roman"/>
          <w:b/>
          <w:sz w:val="24"/>
          <w:szCs w:val="24"/>
        </w:rPr>
        <w:tab/>
        <w:t>PERSONAL INJURIES — MINOR CHILD — MEASURE OF PARENTS’ DAMAGES</w:t>
      </w:r>
    </w:p>
    <w:p w14:paraId="4684BBA1"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xml:space="preserve">, (has) (have) the burden of proving, by a preponderance of the evidence, the nature and extent of (his) (her) (their) damages. If you find in favor of the plaintiff(s), </w:t>
      </w:r>
      <w:r w:rsidRPr="00683FA1">
        <w:rPr>
          <w:rFonts w:eastAsia="Times New Roman"/>
          <w:i/>
          <w:sz w:val="24"/>
          <w:szCs w:val="24"/>
        </w:rPr>
        <w:t>(name of parent[s])</w:t>
      </w:r>
      <w:r w:rsidRPr="00683FA1">
        <w:rPr>
          <w:rFonts w:eastAsia="Times New Roman"/>
          <w:b/>
          <w:sz w:val="24"/>
          <w:szCs w:val="24"/>
        </w:rPr>
        <w:t xml:space="preserve">, on (his) (her) (their) claim of damages for injuries caused to (his) (her) (their)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3D6F0FF3"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(name[s] 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had to the present </w:t>
      </w:r>
      <w:proofErr w:type="gramStart"/>
      <w:r w:rsidRPr="00683FA1">
        <w:rPr>
          <w:rFonts w:eastAsia="Times New Roman"/>
          <w:b/>
          <w:sz w:val="24"/>
          <w:szCs w:val="24"/>
        </w:rPr>
        <w:t>time;</w:t>
      </w:r>
      <w:proofErr w:type="gramEnd"/>
    </w:p>
    <w:p w14:paraId="3098E685" w14:textId="68C3AAFA"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money in the future) probably </w:t>
      </w:r>
      <w:r w:rsidR="00EB724A">
        <w:rPr>
          <w:rFonts w:eastAsia="Times New Roman"/>
          <w:b/>
          <w:sz w:val="24"/>
          <w:szCs w:val="24"/>
        </w:rPr>
        <w:t xml:space="preserve">will </w:t>
      </w:r>
      <w:r w:rsidRPr="00683FA1">
        <w:rPr>
          <w:rFonts w:eastAsia="Times New Roman"/>
          <w:b/>
          <w:sz w:val="24"/>
          <w:szCs w:val="24"/>
        </w:rPr>
        <w:t xml:space="preserve">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roofErr w:type="gramStart"/>
      <w:r w:rsidRPr="00683FA1">
        <w:rPr>
          <w:rFonts w:eastAsia="Times New Roman"/>
          <w:b/>
          <w:sz w:val="24"/>
          <w:szCs w:val="24"/>
        </w:rPr>
        <w:t>);</w:t>
      </w:r>
      <w:proofErr w:type="gramEnd"/>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provided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roofErr w:type="gramStart"/>
      <w:r w:rsidRPr="00683FA1">
        <w:rPr>
          <w:rFonts w:eastAsia="Times New Roman"/>
          <w:b/>
          <w:sz w:val="24"/>
          <w:szCs w:val="24"/>
        </w:rPr>
        <w:t>);</w:t>
      </w:r>
      <w:proofErr w:type="gramEnd"/>
    </w:p>
    <w:p w14:paraId="7433347B"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(Insert any other appropriate elements of damages, e.g., any unusual services the plaintiff may be required to render the child because of [his] [her]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5BA6AD2A" w14:textId="13AFF60C" w:rsidR="00EB724A" w:rsidRDefault="00EB724A" w:rsidP="00683FA1">
      <w:pPr>
        <w:spacing w:after="240"/>
        <w:ind w:firstLine="720"/>
        <w:rPr>
          <w:rFonts w:eastAsia="Times New Roman"/>
          <w:sz w:val="24"/>
          <w:szCs w:val="24"/>
        </w:rPr>
      </w:pPr>
      <w:r>
        <w:rPr>
          <w:rFonts w:eastAsia="Times New Roman"/>
          <w:sz w:val="24"/>
          <w:szCs w:val="24"/>
        </w:rPr>
        <w:t xml:space="preserve">2. Under the Colorado Supreme Court’s decision in </w:t>
      </w:r>
      <w:proofErr w:type="spellStart"/>
      <w:r w:rsidRPr="00563A63">
        <w:rPr>
          <w:rFonts w:eastAsia="Times New Roman"/>
          <w:b/>
          <w:bCs/>
          <w:sz w:val="24"/>
          <w:szCs w:val="24"/>
        </w:rPr>
        <w:t>Rudnicki</w:t>
      </w:r>
      <w:proofErr w:type="spellEnd"/>
      <w:r w:rsidRPr="00563A63">
        <w:rPr>
          <w:rFonts w:eastAsia="Times New Roman"/>
          <w:b/>
          <w:bCs/>
          <w:sz w:val="24"/>
          <w:szCs w:val="24"/>
        </w:rPr>
        <w:t xml:space="preserve"> v. Bianco</w:t>
      </w:r>
      <w:r>
        <w:rPr>
          <w:rFonts w:eastAsia="Times New Roman"/>
          <w:sz w:val="24"/>
          <w:szCs w:val="24"/>
        </w:rPr>
        <w:t xml:space="preserve">, 2021 CO 80, ¶¶ 44-45, </w:t>
      </w:r>
      <w:r w:rsidR="00463C54">
        <w:rPr>
          <w:rFonts w:eastAsia="Times New Roman"/>
          <w:sz w:val="24"/>
          <w:szCs w:val="24"/>
        </w:rPr>
        <w:t xml:space="preserve">501 P.3d 776, </w:t>
      </w:r>
      <w:r>
        <w:rPr>
          <w:rFonts w:eastAsia="Times New Roman"/>
          <w:sz w:val="24"/>
          <w:szCs w:val="24"/>
        </w:rPr>
        <w:t>both an unemancipated minor child and the child’s parents may sue to recover damages for the child’s pre-majority medical expenses, provided that no double recovery is permitted.</w:t>
      </w:r>
    </w:p>
    <w:p w14:paraId="7755A5F8" w14:textId="35832086" w:rsidR="00683FA1" w:rsidRPr="00683FA1" w:rsidRDefault="00EB724A" w:rsidP="00683FA1">
      <w:pPr>
        <w:spacing w:after="240"/>
        <w:ind w:firstLine="720"/>
        <w:rPr>
          <w:rFonts w:eastAsia="Times New Roman"/>
          <w:sz w:val="24"/>
          <w:szCs w:val="24"/>
        </w:rPr>
      </w:pPr>
      <w:r>
        <w:rPr>
          <w:rFonts w:eastAsia="Times New Roman"/>
          <w:sz w:val="24"/>
          <w:szCs w:val="24"/>
        </w:rPr>
        <w:t>3</w:t>
      </w:r>
      <w:r w:rsidR="00683FA1" w:rsidRPr="00683FA1">
        <w:rPr>
          <w:rFonts w:eastAsia="Times New Roman"/>
          <w:sz w:val="24"/>
          <w:szCs w:val="24"/>
        </w:rPr>
        <w:t>. When the parent only is suing on his or her own claim, Instruction 6:4 should be given with this instruction.</w:t>
      </w:r>
    </w:p>
    <w:p w14:paraId="2BCD0D23" w14:textId="02837725" w:rsidR="00683FA1" w:rsidRPr="00683FA1" w:rsidRDefault="00EB724A" w:rsidP="00683FA1">
      <w:pPr>
        <w:spacing w:after="240"/>
        <w:ind w:firstLine="720"/>
        <w:rPr>
          <w:rFonts w:eastAsia="Times New Roman"/>
          <w:sz w:val="24"/>
          <w:szCs w:val="24"/>
        </w:rPr>
      </w:pPr>
      <w:r>
        <w:rPr>
          <w:rFonts w:eastAsia="Times New Roman"/>
          <w:sz w:val="24"/>
          <w:szCs w:val="24"/>
        </w:rPr>
        <w:lastRenderedPageBreak/>
        <w:t>4</w:t>
      </w:r>
      <w:r w:rsidR="00683FA1" w:rsidRPr="00683FA1">
        <w:rPr>
          <w:rFonts w:eastAsia="Times New Roman"/>
          <w:sz w:val="24"/>
          <w:szCs w:val="24"/>
        </w:rPr>
        <w:t>.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r w:rsidRPr="00683FA1">
        <w:rPr>
          <w:rFonts w:eastAsia="Times New Roman"/>
          <w:b/>
          <w:sz w:val="24"/>
          <w:szCs w:val="24"/>
        </w:rPr>
        <w:t>Elgin v. Bartlett</w:t>
      </w:r>
      <w:r w:rsidRPr="00683FA1">
        <w:rPr>
          <w:rFonts w:eastAsia="Times New Roman"/>
          <w:sz w:val="24"/>
          <w:szCs w:val="24"/>
        </w:rPr>
        <w:t>, 994 P.2d 411 (Colo. 1999).</w:t>
      </w:r>
    </w:p>
    <w:p w14:paraId="3A228B27" w14:textId="2E76593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683FA1">
        <w:rPr>
          <w:rFonts w:eastAsia="Times New Roman"/>
          <w:b/>
          <w:sz w:val="24"/>
          <w:szCs w:val="24"/>
        </w:rPr>
        <w:t>Pressey v. Children’s Hosp. Colo.</w:t>
      </w:r>
      <w:r w:rsidRPr="00683FA1">
        <w:rPr>
          <w:rFonts w:eastAsia="Times New Roman"/>
          <w:sz w:val="24"/>
          <w:szCs w:val="24"/>
        </w:rPr>
        <w:t>, 2017 COA 28, ¶ 26</w:t>
      </w:r>
      <w:r w:rsidR="00EB724A">
        <w:rPr>
          <w:rFonts w:eastAsia="Times New Roman"/>
          <w:sz w:val="24"/>
          <w:szCs w:val="24"/>
        </w:rPr>
        <w:t xml:space="preserve"> (overruled as to pre-majority medical expenses by </w:t>
      </w:r>
      <w:proofErr w:type="spellStart"/>
      <w:r w:rsidR="00EB724A">
        <w:rPr>
          <w:rFonts w:eastAsia="Times New Roman"/>
          <w:i/>
          <w:iCs/>
          <w:sz w:val="24"/>
          <w:szCs w:val="24"/>
        </w:rPr>
        <w:t>Rudnicki</w:t>
      </w:r>
      <w:proofErr w:type="spellEnd"/>
      <w:r w:rsidR="00EB724A" w:rsidRPr="00EB724A">
        <w:rPr>
          <w:rFonts w:eastAsia="Times New Roman"/>
          <w:iCs/>
          <w:sz w:val="24"/>
          <w:szCs w:val="24"/>
        </w:rPr>
        <w:t>,</w:t>
      </w:r>
      <w:r w:rsidR="00EB724A">
        <w:rPr>
          <w:rFonts w:eastAsia="Times New Roman"/>
          <w:i/>
          <w:iCs/>
          <w:sz w:val="24"/>
          <w:szCs w:val="24"/>
        </w:rPr>
        <w:t xml:space="preserve"> supra</w:t>
      </w:r>
      <w:r w:rsidR="00EB724A">
        <w:rPr>
          <w:rFonts w:eastAsia="Times New Roman"/>
          <w:sz w:val="24"/>
          <w:szCs w:val="24"/>
        </w:rPr>
        <w:t>)</w:t>
      </w:r>
      <w:r w:rsidRPr="00683FA1">
        <w:rPr>
          <w:rFonts w:eastAsia="Times New Roman"/>
          <w:sz w:val="24"/>
          <w:szCs w:val="24"/>
        </w:rPr>
        <w:t>.</w:t>
      </w:r>
    </w:p>
    <w:p w14:paraId="5A4127B7" w14:textId="6FC99D0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damages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Odell v. Pub. Serv. Co.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 xml:space="preserve">Colo. Utils. Corp. v. </w:t>
      </w:r>
      <w:proofErr w:type="spellStart"/>
      <w:r w:rsidRPr="00683FA1">
        <w:rPr>
          <w:rFonts w:eastAsia="Times New Roman"/>
          <w:b/>
          <w:sz w:val="24"/>
          <w:szCs w:val="24"/>
        </w:rPr>
        <w:t>Casady</w:t>
      </w:r>
      <w:proofErr w:type="spellEnd"/>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lastRenderedPageBreak/>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When Instruction 6:2 is given, this instruction normally will not be necessary. When, however, a parent is suing only on his or her own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lastRenderedPageBreak/>
        <w:t xml:space="preserve">6:5 </w:t>
      </w:r>
      <w:r w:rsidRPr="00EF4043">
        <w:rPr>
          <w:rFonts w:eastAsia="Times New Roman"/>
          <w:b/>
          <w:sz w:val="24"/>
          <w:szCs w:val="24"/>
        </w:rPr>
        <w:tab/>
        <w:t>LOSS OF CONSORTIUM — ELEMENTS OF LIABILITY</w:t>
      </w:r>
    </w:p>
    <w:p w14:paraId="6D68F820"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(his) (her) claim of loss of consortium for injury to the plaintiff’s spouse, </w:t>
      </w:r>
      <w:r w:rsidRPr="00EF4043">
        <w:rPr>
          <w:rFonts w:eastAsia="Times New Roman"/>
          <w:i/>
          <w:sz w:val="24"/>
          <w:szCs w:val="24"/>
        </w:rPr>
        <w:t>(name)</w:t>
      </w:r>
      <w:r w:rsidRPr="00EF4043">
        <w:rPr>
          <w:rFonts w:eastAsia="Times New Roman"/>
          <w:b/>
          <w:sz w:val="24"/>
          <w:szCs w:val="24"/>
        </w:rPr>
        <w:t xml:space="preserve">, you must find </w:t>
      </w:r>
      <w:proofErr w:type="gramStart"/>
      <w:r w:rsidRPr="00EF4043">
        <w:rPr>
          <w:rFonts w:eastAsia="Times New Roman"/>
          <w:b/>
          <w:sz w:val="24"/>
          <w:szCs w:val="24"/>
        </w:rPr>
        <w:t>all of</w:t>
      </w:r>
      <w:proofErr w:type="gramEnd"/>
      <w:r w:rsidRPr="00EF4043">
        <w:rPr>
          <w:rFonts w:eastAsia="Times New Roman"/>
          <w:b/>
          <w:sz w:val="24"/>
          <w:szCs w:val="24"/>
        </w:rPr>
        <w:t xml:space="preserve">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1. The defendant was </w:t>
      </w:r>
      <w:proofErr w:type="gramStart"/>
      <w:r w:rsidRPr="00EF4043">
        <w:rPr>
          <w:rFonts w:eastAsia="Times New Roman"/>
          <w:b/>
          <w:sz w:val="24"/>
          <w:szCs w:val="24"/>
        </w:rPr>
        <w:t>negligent;</w:t>
      </w:r>
      <w:proofErr w:type="gramEnd"/>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 xml:space="preserve">was injured as a result of the defendant’s </w:t>
      </w:r>
      <w:proofErr w:type="gramStart"/>
      <w:r w:rsidRPr="00EF4043">
        <w:rPr>
          <w:rFonts w:eastAsia="Times New Roman"/>
          <w:b/>
          <w:sz w:val="24"/>
          <w:szCs w:val="24"/>
        </w:rPr>
        <w:t>negligence;</w:t>
      </w:r>
      <w:proofErr w:type="gramEnd"/>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the plaintiff also had a loss of (his) (her)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plaintiff’s, </w:t>
      </w:r>
      <w:r w:rsidRPr="00EF4043">
        <w:rPr>
          <w:rFonts w:eastAsia="Times New Roman"/>
          <w:i/>
          <w:sz w:val="24"/>
          <w:szCs w:val="24"/>
        </w:rPr>
        <w:t>(name)</w:t>
      </w:r>
      <w:r w:rsidRPr="00EF4043">
        <w:rPr>
          <w:rFonts w:eastAsia="Times New Roman"/>
          <w:b/>
          <w:sz w:val="24"/>
          <w:szCs w:val="24"/>
        </w:rPr>
        <w:t>, claim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6F961602"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w:t>
      </w:r>
      <w:r w:rsidR="00BC1DC9">
        <w:rPr>
          <w:rFonts w:eastAsia="Times New Roman"/>
          <w:b/>
          <w:sz w:val="24"/>
          <w:szCs w:val="24"/>
        </w:rPr>
        <w:t xml:space="preserve"> has</w:t>
      </w:r>
      <w:r w:rsidRPr="00EF4043">
        <w:rPr>
          <w:rFonts w:eastAsia="Times New Roman"/>
          <w:b/>
          <w:sz w:val="24"/>
          <w:szCs w:val="24"/>
        </w:rPr>
        <w:t>) (any one or more of these affirmative defenses</w:t>
      </w:r>
      <w:r w:rsidR="00BC1DC9">
        <w:rPr>
          <w:rFonts w:eastAsia="Times New Roman"/>
          <w:b/>
          <w:sz w:val="24"/>
          <w:szCs w:val="24"/>
        </w:rPr>
        <w:t xml:space="preserve"> have</w:t>
      </w:r>
      <w:r w:rsidRPr="00EF4043">
        <w:rPr>
          <w:rFonts w:eastAsia="Times New Roman"/>
          <w:b/>
          <w:sz w:val="24"/>
          <w:szCs w:val="24"/>
        </w:rPr>
        <w:t>) been proved by a preponderance of the evidence, then your verdict must be for the defendant.</w:t>
      </w:r>
    </w:p>
    <w:p w14:paraId="41BE68A5" w14:textId="6BD73A5E"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w:t>
      </w:r>
      <w:r w:rsidR="00F34D28">
        <w:rPr>
          <w:rFonts w:eastAsia="Times New Roman"/>
          <w:b/>
          <w:sz w:val="24"/>
          <w:szCs w:val="24"/>
        </w:rPr>
        <w:t xml:space="preserve"> has not</w:t>
      </w:r>
      <w:r w:rsidRPr="00EF4043">
        <w:rPr>
          <w:rFonts w:eastAsia="Times New Roman"/>
          <w:b/>
          <w:sz w:val="24"/>
          <w:szCs w:val="24"/>
        </w:rPr>
        <w:t>) (none of these affirmative defenses</w:t>
      </w:r>
      <w:r w:rsidR="00F34D28">
        <w:rPr>
          <w:rFonts w:eastAsia="Times New Roman"/>
          <w:b/>
          <w:sz w:val="24"/>
          <w:szCs w:val="24"/>
        </w:rPr>
        <w:t xml:space="preserve"> have</w:t>
      </w:r>
      <w:r w:rsidRPr="00EF4043">
        <w:rPr>
          <w:rFonts w:eastAsia="Times New Roman"/>
          <w:b/>
          <w:sz w:val="24"/>
          <w:szCs w:val="24"/>
        </w:rPr>
        <w:t>)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 xml:space="preserve">Lee v. Colo. </w:t>
      </w:r>
      <w:proofErr w:type="spellStart"/>
      <w:r w:rsidRPr="00EF4043">
        <w:rPr>
          <w:rFonts w:eastAsia="Times New Roman"/>
          <w:b/>
          <w:sz w:val="24"/>
          <w:szCs w:val="24"/>
        </w:rPr>
        <w:t>Dep’t</w:t>
      </w:r>
      <w:proofErr w:type="spellEnd"/>
      <w:r w:rsidRPr="00EF4043">
        <w:rPr>
          <w:rFonts w:eastAsia="Times New Roman"/>
          <w:b/>
          <w:sz w:val="24"/>
          <w:szCs w:val="24"/>
        </w:rPr>
        <w:t xml:space="preserve"> of Health</w:t>
      </w:r>
      <w:r w:rsidRPr="00EF4043">
        <w:rPr>
          <w:rFonts w:eastAsia="Times New Roman"/>
          <w:sz w:val="24"/>
          <w:szCs w:val="24"/>
        </w:rPr>
        <w:t xml:space="preserve">, 718 P.2d 221 (Colo. 1986); </w:t>
      </w:r>
      <w:r w:rsidRPr="00EF4043">
        <w:rPr>
          <w:rFonts w:eastAsia="Times New Roman"/>
          <w:b/>
          <w:sz w:val="24"/>
          <w:szCs w:val="24"/>
        </w:rPr>
        <w:t xml:space="preserve">Draper v. </w:t>
      </w:r>
      <w:proofErr w:type="spellStart"/>
      <w:r w:rsidRPr="00EF4043">
        <w:rPr>
          <w:rFonts w:eastAsia="Times New Roman"/>
          <w:b/>
          <w:sz w:val="24"/>
          <w:szCs w:val="24"/>
        </w:rPr>
        <w:t>DeFrenchi-</w:t>
      </w:r>
      <w:r w:rsidRPr="00EF4043">
        <w:rPr>
          <w:rFonts w:eastAsia="Times New Roman"/>
          <w:b/>
          <w:sz w:val="24"/>
          <w:szCs w:val="24"/>
        </w:rPr>
        <w:lastRenderedPageBreak/>
        <w:t>Gordineer</w:t>
      </w:r>
      <w:proofErr w:type="spellEnd"/>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 xml:space="preserve">994 P.2d 411 (Colo. 1999) (claims for derivative damages subject to same defenses available to underlying claims). Thus, a claim for loss of consortium arising out of an automobile accident was derivative for purposes of the now-repealed No-Fault </w:t>
      </w:r>
      <w:proofErr w:type="gramStart"/>
      <w:r w:rsidRPr="00EF4043">
        <w:rPr>
          <w:rFonts w:eastAsia="Times New Roman"/>
          <w:sz w:val="24"/>
          <w:szCs w:val="24"/>
        </w:rPr>
        <w:t>Act, and</w:t>
      </w:r>
      <w:proofErr w:type="gramEnd"/>
      <w:r w:rsidRPr="00EF4043">
        <w:rPr>
          <w:rFonts w:eastAsia="Times New Roman"/>
          <w:sz w:val="24"/>
          <w:szCs w:val="24"/>
        </w:rPr>
        <w:t xml:space="preserve">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19 P.3d 675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proofErr w:type="spellStart"/>
      <w:r w:rsidRPr="00EF4043">
        <w:rPr>
          <w:rFonts w:eastAsia="Times New Roman"/>
          <w:b/>
          <w:sz w:val="24"/>
          <w:szCs w:val="24"/>
        </w:rPr>
        <w:t>Nemer</w:t>
      </w:r>
      <w:proofErr w:type="spellEnd"/>
      <w:r w:rsidRPr="00EF4043">
        <w:rPr>
          <w:rFonts w:eastAsia="Times New Roman"/>
          <w:b/>
          <w:sz w:val="24"/>
          <w:szCs w:val="24"/>
        </w:rPr>
        <w:t xml:space="preserve">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Section 14-2-209, C.R.S., gives a wife the same right to recover for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 at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9" w:name="a6_6"/>
      <w:bookmarkEnd w:id="9"/>
      <w:r w:rsidRPr="00EC3919">
        <w:rPr>
          <w:rFonts w:eastAsia="Times New Roman"/>
          <w:b/>
          <w:sz w:val="24"/>
          <w:szCs w:val="24"/>
        </w:rPr>
        <w:lastRenderedPageBreak/>
        <w:t xml:space="preserve">6:6 </w:t>
      </w:r>
      <w:r w:rsidRPr="00EC3919">
        <w:rPr>
          <w:rFonts w:eastAsia="Times New Roman"/>
          <w:b/>
          <w:sz w:val="24"/>
          <w:szCs w:val="24"/>
        </w:rPr>
        <w:tab/>
        <w:t>LOSS OF CONSORTIUM — DEFINED — DAMAGES</w:t>
      </w:r>
    </w:p>
    <w:p w14:paraId="1464F19A"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(his) (her)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(his) (her)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(his) (her)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1. Any noneconomic damages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w:t>
      </w:r>
      <w:proofErr w:type="gramStart"/>
      <w:r w:rsidRPr="00EC3919">
        <w:rPr>
          <w:rFonts w:eastAsia="Times New Roman"/>
          <w:b/>
          <w:sz w:val="24"/>
          <w:szCs w:val="24"/>
        </w:rPr>
        <w:t>had</w:t>
      </w:r>
      <w:proofErr w:type="gramEnd"/>
      <w:r w:rsidRPr="00EC3919">
        <w:rPr>
          <w:rFonts w:eastAsia="Times New Roman"/>
          <w:b/>
          <w:sz w:val="24"/>
          <w:szCs w:val="24"/>
        </w:rPr>
        <w:t xml:space="preserve">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definitions of consortium, “companionship” includes sexual relations, </w:t>
      </w:r>
      <w:r w:rsidRPr="00EC3919">
        <w:rPr>
          <w:rFonts w:eastAsia="Times New Roman"/>
          <w:smallCaps/>
          <w:sz w:val="24"/>
          <w:szCs w:val="24"/>
        </w:rPr>
        <w:t xml:space="preserve">W. Page Keeton et al., </w:t>
      </w:r>
      <w:r w:rsidRPr="00EC3919">
        <w:rPr>
          <w:rFonts w:eastAsia="Times New Roman"/>
          <w:smallCaps/>
          <w:sz w:val="24"/>
          <w:szCs w:val="24"/>
        </w:rPr>
        <w:lastRenderedPageBreak/>
        <w:t>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xml:space="preserve">, 693 P.2d 382, 385 (Colo. App. 1984) (citing former instruction, now incorporated into numbered paragraphs 1 and 2 of this </w:t>
      </w:r>
      <w:proofErr w:type="gramStart"/>
      <w:r w:rsidRPr="00EC3919">
        <w:rPr>
          <w:rFonts w:eastAsia="Times New Roman"/>
          <w:sz w:val="24"/>
          <w:szCs w:val="24"/>
        </w:rPr>
        <w:t>instruction, and</w:t>
      </w:r>
      <w:proofErr w:type="gramEnd"/>
      <w:r w:rsidRPr="00EC3919">
        <w:rPr>
          <w:rFonts w:eastAsia="Times New Roman"/>
          <w:sz w:val="24"/>
          <w:szCs w:val="24"/>
        </w:rPr>
        <w:t xml:space="preserve">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0" w:name="a6_7"/>
      <w:bookmarkEnd w:id="10"/>
      <w:r w:rsidRPr="00EC3919">
        <w:rPr>
          <w:rFonts w:eastAsia="Times New Roman"/>
          <w:b/>
          <w:sz w:val="24"/>
          <w:szCs w:val="24"/>
        </w:rPr>
        <w:lastRenderedPageBreak/>
        <w:t xml:space="preserve">6:7 </w:t>
      </w:r>
      <w:r w:rsidRPr="00EC3919">
        <w:rPr>
          <w:rFonts w:eastAsia="Times New Roman"/>
          <w:b/>
          <w:sz w:val="24"/>
          <w:szCs w:val="24"/>
        </w:rPr>
        <w:tab/>
        <w:t>PERSONAL INJURIES — NON-REDUCTION OF DAMAGES — “THIN SKULL” DOCTRINE</w:t>
      </w:r>
    </w:p>
    <w:p w14:paraId="5F45541E"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(him) (her)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0197C3CF"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 xml:space="preserve">State Farm Mut. Auto. Ins. Co. v. </w:t>
      </w:r>
      <w:proofErr w:type="spellStart"/>
      <w:r w:rsidRPr="00EC3919">
        <w:rPr>
          <w:rFonts w:eastAsia="Times New Roman"/>
          <w:b/>
          <w:sz w:val="24"/>
          <w:szCs w:val="24"/>
        </w:rPr>
        <w:t>Peiffer</w:t>
      </w:r>
      <w:proofErr w:type="spellEnd"/>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proofErr w:type="spellStart"/>
      <w:r w:rsidRPr="00EC3919">
        <w:rPr>
          <w:rFonts w:eastAsia="Times New Roman"/>
          <w:b/>
          <w:sz w:val="24"/>
          <w:szCs w:val="24"/>
        </w:rPr>
        <w:t>Giampapa</w:t>
      </w:r>
      <w:proofErr w:type="spellEnd"/>
      <w:r w:rsidRPr="00EC3919">
        <w:rPr>
          <w:rFonts w:eastAsia="Times New Roman"/>
          <w:b/>
          <w:sz w:val="24"/>
          <w:szCs w:val="24"/>
        </w:rPr>
        <w:t xml:space="preserve"> v. Am. Family Mut. Ins. Co.</w:t>
      </w:r>
      <w:r w:rsidRPr="00EC3919">
        <w:rPr>
          <w:rFonts w:eastAsia="Times New Roman"/>
          <w:sz w:val="24"/>
          <w:szCs w:val="24"/>
        </w:rPr>
        <w:t xml:space="preserve">, 12 P.3d 839 (Colo. App. 2000), </w:t>
      </w:r>
      <w:proofErr w:type="spellStart"/>
      <w:r w:rsidRPr="00EC3919">
        <w:rPr>
          <w:rFonts w:eastAsia="Times New Roman"/>
          <w:i/>
          <w:sz w:val="24"/>
          <w:szCs w:val="24"/>
        </w:rPr>
        <w:t>rev’d</w:t>
      </w:r>
      <w:proofErr w:type="spellEnd"/>
      <w:r w:rsidRPr="00EC3919">
        <w:rPr>
          <w:rFonts w:eastAsia="Times New Roman"/>
          <w:i/>
          <w:sz w:val="24"/>
          <w:szCs w:val="24"/>
        </w:rPr>
        <w:t xml:space="preserve"> on other grounds,</w:t>
      </w:r>
      <w:r w:rsidRPr="00EC3919">
        <w:rPr>
          <w:rFonts w:eastAsia="Times New Roman"/>
          <w:sz w:val="24"/>
          <w:szCs w:val="24"/>
        </w:rPr>
        <w:t xml:space="preserve"> 64 P.3d 230 (Colo. 2003); </w:t>
      </w:r>
      <w:r w:rsidR="00A36F14">
        <w:rPr>
          <w:rFonts w:eastAsia="Times New Roman"/>
          <w:b/>
          <w:bCs/>
          <w:sz w:val="24"/>
          <w:szCs w:val="24"/>
        </w:rPr>
        <w:t xml:space="preserve">Scholle v. </w:t>
      </w:r>
      <w:proofErr w:type="spellStart"/>
      <w:r w:rsidR="00A36F14">
        <w:rPr>
          <w:rFonts w:eastAsia="Times New Roman"/>
          <w:b/>
          <w:bCs/>
          <w:sz w:val="24"/>
          <w:szCs w:val="24"/>
        </w:rPr>
        <w:t>Ehrichs</w:t>
      </w:r>
      <w:proofErr w:type="spellEnd"/>
      <w:r w:rsidR="00A36F14">
        <w:rPr>
          <w:rFonts w:eastAsia="Times New Roman"/>
          <w:sz w:val="24"/>
          <w:szCs w:val="24"/>
        </w:rPr>
        <w:t>, 2022 COA 87M, ¶¶</w:t>
      </w:r>
      <w:r w:rsidR="00A8400E">
        <w:rPr>
          <w:rFonts w:eastAsia="Times New Roman"/>
          <w:sz w:val="24"/>
          <w:szCs w:val="24"/>
        </w:rPr>
        <w:t xml:space="preserve"> </w:t>
      </w:r>
      <w:r w:rsidR="00A36F14">
        <w:rPr>
          <w:rFonts w:eastAsia="Times New Roman"/>
          <w:sz w:val="24"/>
          <w:szCs w:val="24"/>
        </w:rPr>
        <w:t xml:space="preserve">70-80; </w:t>
      </w:r>
      <w:proofErr w:type="spellStart"/>
      <w:r w:rsidRPr="00EC3919">
        <w:rPr>
          <w:rFonts w:eastAsia="Times New Roman"/>
          <w:b/>
          <w:sz w:val="24"/>
          <w:szCs w:val="24"/>
        </w:rPr>
        <w:t>Loza</w:t>
      </w:r>
      <w:proofErr w:type="spellEnd"/>
      <w:r w:rsidRPr="00EC3919">
        <w:rPr>
          <w:rFonts w:eastAsia="Times New Roman"/>
          <w:b/>
          <w:sz w:val="24"/>
          <w:szCs w:val="24"/>
        </w:rPr>
        <w:t xml:space="preserve"> v. State Farm Mut. Auto. Ins. Co.</w:t>
      </w:r>
      <w:r w:rsidRPr="00EC3919">
        <w:rPr>
          <w:rFonts w:eastAsia="Times New Roman"/>
          <w:sz w:val="24"/>
          <w:szCs w:val="24"/>
        </w:rPr>
        <w:t xml:space="preserve">, 970 P.2d 478 (Colo. App. 1998); </w:t>
      </w:r>
      <w:proofErr w:type="spellStart"/>
      <w:r w:rsidRPr="00EC3919">
        <w:rPr>
          <w:rFonts w:eastAsia="Times New Roman"/>
          <w:b/>
          <w:sz w:val="24"/>
          <w:szCs w:val="24"/>
        </w:rPr>
        <w:t>Kildahl</w:t>
      </w:r>
      <w:proofErr w:type="spellEnd"/>
      <w:r w:rsidRPr="00EC3919">
        <w:rPr>
          <w:rFonts w:eastAsia="Times New Roman"/>
          <w:b/>
          <w:sz w:val="24"/>
          <w:szCs w:val="24"/>
        </w:rPr>
        <w:t xml:space="preserve"> v. </w:t>
      </w:r>
      <w:proofErr w:type="spellStart"/>
      <w:r w:rsidRPr="00EC3919">
        <w:rPr>
          <w:rFonts w:eastAsia="Times New Roman"/>
          <w:b/>
          <w:sz w:val="24"/>
          <w:szCs w:val="24"/>
        </w:rPr>
        <w:t>Tagge</w:t>
      </w:r>
      <w:proofErr w:type="spellEnd"/>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 xml:space="preserve">942 P.2d 1283 (Colo. App. 1996). The “thin skull” doctrine is not limited to preexisting bodily conditions, but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831 P.2d at 901. Under the “thin skull” doctrine, foreseeability is not an issue in determining the extent of a plaintiff’s injuries. </w:t>
      </w:r>
      <w:r w:rsidRPr="00EC3919">
        <w:rPr>
          <w:rFonts w:eastAsia="Times New Roman"/>
          <w:i/>
          <w:sz w:val="24"/>
          <w:szCs w:val="24"/>
        </w:rPr>
        <w:t>Id</w:t>
      </w:r>
      <w:r w:rsidRPr="00EC3919">
        <w:rPr>
          <w:rFonts w:eastAsia="Times New Roman"/>
          <w:sz w:val="24"/>
          <w:szCs w:val="24"/>
        </w:rPr>
        <w:t>. at 902.</w:t>
      </w:r>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condition.”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In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1" w:name="a6_8"/>
      <w:bookmarkEnd w:id="11"/>
      <w:r w:rsidRPr="00AF7D47">
        <w:rPr>
          <w:rFonts w:eastAsia="Times New Roman"/>
          <w:b/>
          <w:sz w:val="24"/>
          <w:szCs w:val="24"/>
        </w:rPr>
        <w:lastRenderedPageBreak/>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xml:space="preserve">, to recover damages for the aggravation of a preexisting condition, you must find </w:t>
      </w:r>
      <w:proofErr w:type="gramStart"/>
      <w:r w:rsidRPr="00AF7D47">
        <w:rPr>
          <w:rFonts w:eastAsia="Times New Roman"/>
          <w:b/>
          <w:sz w:val="24"/>
          <w:szCs w:val="24"/>
        </w:rPr>
        <w:t>all of</w:t>
      </w:r>
      <w:proofErr w:type="gramEnd"/>
      <w:r w:rsidRPr="00AF7D47">
        <w:rPr>
          <w:rFonts w:eastAsia="Times New Roman"/>
          <w:b/>
          <w:sz w:val="24"/>
          <w:szCs w:val="24"/>
        </w:rPr>
        <w:t xml:space="preserve">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proofErr w:type="gramStart"/>
      <w:r w:rsidRPr="00AF7D47">
        <w:rPr>
          <w:rFonts w:eastAsia="Times New Roman"/>
          <w:i/>
          <w:sz w:val="24"/>
          <w:szCs w:val="24"/>
        </w:rPr>
        <w:t>)</w:t>
      </w:r>
      <w:r w:rsidRPr="00AF7D47">
        <w:rPr>
          <w:rFonts w:eastAsia="Times New Roman"/>
          <w:b/>
          <w:sz w:val="24"/>
          <w:szCs w:val="24"/>
        </w:rPr>
        <w:t>;</w:t>
      </w:r>
      <w:proofErr w:type="gramEnd"/>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w:t>
      </w:r>
      <w:proofErr w:type="gramStart"/>
      <w:r w:rsidRPr="00AF7D47">
        <w:rPr>
          <w:rFonts w:eastAsia="Times New Roman"/>
          <w:i/>
          <w:sz w:val="24"/>
          <w:szCs w:val="24"/>
        </w:rPr>
        <w:t>e.g.</w:t>
      </w:r>
      <w:proofErr w:type="gramEnd"/>
      <w:r w:rsidRPr="00AF7D47">
        <w:rPr>
          <w:rFonts w:eastAsia="Times New Roman"/>
          <w:i/>
          <w:sz w:val="24"/>
          <w:szCs w:val="24"/>
        </w:rPr>
        <w:t xml:space="preserve">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w:t>
      </w:r>
      <w:proofErr w:type="gramStart"/>
      <w:r w:rsidRPr="00AF7D47">
        <w:rPr>
          <w:rFonts w:eastAsia="Times New Roman"/>
          <w:b/>
          <w:sz w:val="24"/>
          <w:szCs w:val="24"/>
        </w:rPr>
        <w:t>amount</w:t>
      </w:r>
      <w:proofErr w:type="gramEnd"/>
      <w:r w:rsidRPr="00AF7D47">
        <w:rPr>
          <w:rFonts w:eastAsia="Times New Roman"/>
          <w:b/>
          <w:sz w:val="24"/>
          <w:szCs w:val="24"/>
        </w:rPr>
        <w:t xml:space="preserve">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 xml:space="preserve">of the defendant, then the defendant is legally responsible for the entire </w:t>
      </w:r>
      <w:proofErr w:type="gramStart"/>
      <w:r w:rsidRPr="00AF7D47">
        <w:rPr>
          <w:rFonts w:eastAsia="Times New Roman"/>
          <w:b/>
          <w:sz w:val="24"/>
          <w:szCs w:val="24"/>
        </w:rPr>
        <w:t>amount</w:t>
      </w:r>
      <w:proofErr w:type="gramEnd"/>
      <w:r w:rsidRPr="00AF7D47">
        <w:rPr>
          <w:rFonts w:eastAsia="Times New Roman"/>
          <w:b/>
          <w:sz w:val="24"/>
          <w:szCs w:val="24"/>
        </w:rPr>
        <w:t xml:space="preserve">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had recovered damages. </w:t>
      </w:r>
      <w:proofErr w:type="spellStart"/>
      <w:r w:rsidRPr="00AF7D47">
        <w:rPr>
          <w:rFonts w:eastAsia="Times New Roman"/>
          <w:b/>
          <w:sz w:val="24"/>
          <w:szCs w:val="24"/>
        </w:rPr>
        <w:t>Hylton</w:t>
      </w:r>
      <w:proofErr w:type="spellEnd"/>
      <w:r w:rsidRPr="00AF7D47">
        <w:rPr>
          <w:rFonts w:eastAsia="Times New Roman"/>
          <w:b/>
          <w:sz w:val="24"/>
          <w:szCs w:val="24"/>
        </w:rPr>
        <w:t xml:space="preserve"> v. Wade</w:t>
      </w:r>
      <w:r w:rsidRPr="00AF7D47">
        <w:rPr>
          <w:rFonts w:eastAsia="Times New Roman"/>
          <w:sz w:val="24"/>
          <w:szCs w:val="24"/>
        </w:rPr>
        <w:t>, 29 Colo. App. 98, 478 P.2d 690 (1970).</w:t>
      </w:r>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proofErr w:type="spellStart"/>
      <w:r w:rsidRPr="00AF7D47">
        <w:rPr>
          <w:rFonts w:eastAsia="Times New Roman"/>
          <w:b/>
          <w:sz w:val="24"/>
          <w:szCs w:val="24"/>
        </w:rPr>
        <w:t>Bruckman</w:t>
      </w:r>
      <w:proofErr w:type="spellEnd"/>
      <w:r w:rsidRPr="00AF7D47">
        <w:rPr>
          <w:rFonts w:eastAsia="Times New Roman"/>
          <w:b/>
          <w:sz w:val="24"/>
          <w:szCs w:val="24"/>
        </w:rPr>
        <w:t xml:space="preserve">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2472696"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proofErr w:type="spellStart"/>
      <w:r w:rsidRPr="00AF7D47">
        <w:rPr>
          <w:rFonts w:eastAsia="Times New Roman"/>
          <w:b/>
          <w:sz w:val="24"/>
          <w:szCs w:val="24"/>
        </w:rPr>
        <w:t>Brittis</w:t>
      </w:r>
      <w:proofErr w:type="spellEnd"/>
      <w:r w:rsidRPr="00AF7D47">
        <w:rPr>
          <w:rFonts w:eastAsia="Times New Roman"/>
          <w:b/>
          <w:sz w:val="24"/>
          <w:szCs w:val="24"/>
        </w:rPr>
        <w:t xml:space="preserve"> v. </w:t>
      </w:r>
      <w:proofErr w:type="spellStart"/>
      <w:r w:rsidRPr="00AF7D47">
        <w:rPr>
          <w:rFonts w:eastAsia="Times New Roman"/>
          <w:b/>
          <w:sz w:val="24"/>
          <w:szCs w:val="24"/>
        </w:rPr>
        <w:t>Freemon</w:t>
      </w:r>
      <w:proofErr w:type="spellEnd"/>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34 Colo. App. 348, 353, 527 P.2d 1175, 1178 (1974)</w:t>
      </w:r>
      <w:r w:rsidR="00B74215">
        <w:rPr>
          <w:rFonts w:eastAsia="Times New Roman"/>
          <w:sz w:val="24"/>
          <w:szCs w:val="24"/>
        </w:rPr>
        <w:t xml:space="preserve">. Instructing the jury based on this instruction “is proper when sufficient evidence shows that a later event or incident either (1) causes a new, unrelated injury to the </w:t>
      </w:r>
      <w:r w:rsidR="00B74215">
        <w:rPr>
          <w:rFonts w:eastAsia="Times New Roman"/>
          <w:sz w:val="24"/>
          <w:szCs w:val="24"/>
        </w:rPr>
        <w:lastRenderedPageBreak/>
        <w:t xml:space="preserve">plaintiff or (2) aggravates the injury the plaintiff suffered as a result of the defendant’s tortious conduct.” </w:t>
      </w:r>
      <w:r w:rsidR="00B74215">
        <w:rPr>
          <w:rFonts w:eastAsia="Times New Roman"/>
          <w:b/>
          <w:bCs/>
          <w:sz w:val="24"/>
          <w:szCs w:val="24"/>
        </w:rPr>
        <w:t>Herrera v. Lerma</w:t>
      </w:r>
      <w:r w:rsidR="00B74215">
        <w:rPr>
          <w:rFonts w:eastAsia="Times New Roman"/>
          <w:sz w:val="24"/>
          <w:szCs w:val="24"/>
        </w:rPr>
        <w:t>, 2018 COA 141, ¶ 8</w:t>
      </w:r>
      <w:r w:rsidR="009D7371">
        <w:rPr>
          <w:rFonts w:eastAsia="Times New Roman"/>
          <w:sz w:val="24"/>
          <w:szCs w:val="24"/>
        </w:rPr>
        <w:t>, 440 P.3d 1194, 1197</w:t>
      </w:r>
      <w:r w:rsidRPr="00AF7D47">
        <w:rPr>
          <w:rFonts w:eastAsia="Times New Roman"/>
          <w:sz w:val="24"/>
          <w:szCs w:val="24"/>
        </w:rPr>
        <w:t xml:space="preserve">;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2012 COA 92, ¶¶ 35-50, 300 P.3d 925 (in an action brought under the Federal Employers’ Liability Act, the court presents an 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w:t>
      </w:r>
      <w:proofErr w:type="gramStart"/>
      <w:r w:rsidRPr="00AF7D47">
        <w:rPr>
          <w:rFonts w:eastAsia="Times New Roman"/>
          <w:sz w:val="24"/>
          <w:szCs w:val="24"/>
        </w:rPr>
        <w:t>are</w:t>
      </w:r>
      <w:proofErr w:type="gramEnd"/>
      <w:r w:rsidRPr="00AF7D47">
        <w:rPr>
          <w:rFonts w:eastAsia="Times New Roman"/>
          <w:sz w:val="24"/>
          <w:szCs w:val="24"/>
        </w:rPr>
        <w:t xml:space="preserv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w:t>
      </w:r>
      <w:proofErr w:type="gramStart"/>
      <w:r w:rsidRPr="00AF7D47">
        <w:rPr>
          <w:rFonts w:eastAsia="Times New Roman"/>
          <w:sz w:val="24"/>
          <w:szCs w:val="24"/>
        </w:rPr>
        <w:t>inflammation, or</w:t>
      </w:r>
      <w:proofErr w:type="gramEnd"/>
      <w:r w:rsidRPr="00AF7D47">
        <w:rPr>
          <w:rFonts w:eastAsia="Times New Roman"/>
          <w:sz w:val="24"/>
          <w:szCs w:val="24"/>
        </w:rPr>
        <w:t xml:space="preserve"> irritate. In certain cases, only one definition may be legally correct. If the term would be ambiguous in a particular factual situation, it should be further defined. </w:t>
      </w:r>
      <w:proofErr w:type="spellStart"/>
      <w:r w:rsidRPr="00AF7D47">
        <w:rPr>
          <w:rFonts w:eastAsia="Times New Roman"/>
          <w:b/>
          <w:sz w:val="24"/>
          <w:szCs w:val="24"/>
        </w:rPr>
        <w:t>Lascano</w:t>
      </w:r>
      <w:proofErr w:type="spellEnd"/>
      <w:r w:rsidRPr="00AF7D47">
        <w:rPr>
          <w:rFonts w:eastAsia="Times New Roman"/>
          <w:b/>
          <w:sz w:val="24"/>
          <w:szCs w:val="24"/>
        </w:rPr>
        <w:t xml:space="preserve"> v. </w:t>
      </w:r>
      <w:proofErr w:type="spellStart"/>
      <w:r w:rsidRPr="00AF7D47">
        <w:rPr>
          <w:rFonts w:eastAsia="Times New Roman"/>
          <w:b/>
          <w:sz w:val="24"/>
          <w:szCs w:val="24"/>
        </w:rPr>
        <w:t>Vowell</w:t>
      </w:r>
      <w:proofErr w:type="spellEnd"/>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proofErr w:type="spellStart"/>
      <w:r w:rsidRPr="00AF7D47">
        <w:rPr>
          <w:rFonts w:eastAsia="Times New Roman"/>
          <w:b/>
          <w:sz w:val="24"/>
          <w:szCs w:val="24"/>
        </w:rPr>
        <w:t>Lascano</w:t>
      </w:r>
      <w:proofErr w:type="spellEnd"/>
      <w:r w:rsidRPr="00AF7D47">
        <w:rPr>
          <w:rFonts w:eastAsia="Times New Roman"/>
          <w:sz w:val="24"/>
          <w:szCs w:val="24"/>
        </w:rPr>
        <w:t>, 940 P.2d at 982)).</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363F9991"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proofErr w:type="spellStart"/>
      <w:r w:rsidRPr="00AF7D47">
        <w:rPr>
          <w:rFonts w:eastAsia="Times New Roman"/>
          <w:b/>
          <w:sz w:val="24"/>
          <w:szCs w:val="24"/>
        </w:rPr>
        <w:t>Intermill</w:t>
      </w:r>
      <w:proofErr w:type="spellEnd"/>
      <w:r w:rsidRPr="00AF7D47">
        <w:rPr>
          <w:rFonts w:eastAsia="Times New Roman"/>
          <w:b/>
          <w:sz w:val="24"/>
          <w:szCs w:val="24"/>
        </w:rPr>
        <w:t xml:space="preserve"> v. </w:t>
      </w:r>
      <w:proofErr w:type="spellStart"/>
      <w:r w:rsidRPr="00AF7D47">
        <w:rPr>
          <w:rFonts w:eastAsia="Times New Roman"/>
          <w:b/>
          <w:sz w:val="24"/>
          <w:szCs w:val="24"/>
        </w:rPr>
        <w:t>Heumesser</w:t>
      </w:r>
      <w:proofErr w:type="spellEnd"/>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 44</w:t>
      </w:r>
      <w:r w:rsidR="00146EDF">
        <w:rPr>
          <w:rFonts w:eastAsia="Times New Roman"/>
          <w:sz w:val="24"/>
          <w:szCs w:val="24"/>
        </w:rPr>
        <w:t>, 300 P.3d at 937</w:t>
      </w:r>
      <w:r w:rsidRPr="00AF7D47">
        <w:rPr>
          <w:rFonts w:eastAsia="Times New Roman"/>
          <w:sz w:val="24"/>
          <w:szCs w:val="24"/>
        </w:rPr>
        <w:t>.</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r w:rsidRPr="00AF7D47">
        <w:rPr>
          <w:rFonts w:eastAsia="Times New Roman"/>
          <w:b/>
          <w:sz w:val="24"/>
          <w:szCs w:val="24"/>
        </w:rPr>
        <w:t>Stephens v. Koch</w:t>
      </w:r>
      <w:r w:rsidRPr="00AF7D47">
        <w:rPr>
          <w:rFonts w:eastAsia="Times New Roman"/>
          <w:sz w:val="24"/>
          <w:szCs w:val="24"/>
        </w:rPr>
        <w:t>, 192 Colo. 531, 561 P.2d 333 (1977).</w:t>
      </w:r>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r w:rsidRPr="00AF7D47">
        <w:rPr>
          <w:rFonts w:eastAsia="Times New Roman"/>
          <w:b/>
          <w:sz w:val="24"/>
          <w:szCs w:val="24"/>
        </w:rPr>
        <w:t>Fried v. Leong</w:t>
      </w:r>
      <w:r w:rsidRPr="00AF7D47">
        <w:rPr>
          <w:rFonts w:eastAsia="Times New Roman"/>
          <w:sz w:val="24"/>
          <w:szCs w:val="24"/>
        </w:rPr>
        <w:t>, 946 P.2d 487 (Colo. App. 1997).</w:t>
      </w:r>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2" w:name="a6_9"/>
      <w:bookmarkEnd w:id="12"/>
      <w:r w:rsidRPr="00AF7D47">
        <w:rPr>
          <w:rFonts w:eastAsia="Times New Roman"/>
          <w:b/>
          <w:sz w:val="24"/>
          <w:szCs w:val="24"/>
        </w:rPr>
        <w:lastRenderedPageBreak/>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proofErr w:type="spellStart"/>
      <w:r w:rsidRPr="00AF7D47">
        <w:rPr>
          <w:rFonts w:eastAsia="Times New Roman"/>
          <w:b/>
          <w:sz w:val="24"/>
          <w:szCs w:val="24"/>
        </w:rPr>
        <w:t>Garhart</w:t>
      </w:r>
      <w:proofErr w:type="spellEnd"/>
      <w:r w:rsidRPr="00AF7D47">
        <w:rPr>
          <w:rFonts w:eastAsia="Times New Roman"/>
          <w:b/>
          <w:sz w:val="24"/>
          <w:szCs w:val="24"/>
        </w:rPr>
        <w:t xml:space="preserve"> v. Columbia/</w:t>
      </w:r>
      <w:proofErr w:type="spellStart"/>
      <w:r w:rsidRPr="00AF7D47">
        <w:rPr>
          <w:rFonts w:eastAsia="Times New Roman"/>
          <w:b/>
          <w:sz w:val="24"/>
          <w:szCs w:val="24"/>
        </w:rPr>
        <w:t>HealthONE</w:t>
      </w:r>
      <w:proofErr w:type="spellEnd"/>
      <w:r w:rsidRPr="00AF7D47">
        <w:rPr>
          <w:rFonts w:eastAsia="Times New Roman"/>
          <w:b/>
          <w:sz w:val="24"/>
          <w:szCs w:val="24"/>
        </w:rPr>
        <w:t>,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40877B0A"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w:t>
      </w:r>
      <w:proofErr w:type="gramStart"/>
      <w:r w:rsidRPr="00AF7D47">
        <w:rPr>
          <w:rFonts w:eastAsia="Times New Roman"/>
          <w:sz w:val="24"/>
          <w:szCs w:val="24"/>
        </w:rPr>
        <w:t>inflammation, or</w:t>
      </w:r>
      <w:proofErr w:type="gramEnd"/>
      <w:r w:rsidRPr="00AF7D47">
        <w:rPr>
          <w:rFonts w:eastAsia="Times New Roman"/>
          <w:sz w:val="24"/>
          <w:szCs w:val="24"/>
        </w:rPr>
        <w:t xml:space="preserve"> irritate. In certain cases, only one definition may be legally correct. If the term would be ambiguous in a particular factual situation, it should be further </w:t>
      </w:r>
      <w:r w:rsidRPr="00AF7D47">
        <w:rPr>
          <w:rFonts w:eastAsia="Times New Roman"/>
          <w:sz w:val="24"/>
          <w:szCs w:val="24"/>
        </w:rPr>
        <w:lastRenderedPageBreak/>
        <w:t xml:space="preserve">defined. </w:t>
      </w:r>
      <w:proofErr w:type="spellStart"/>
      <w:r w:rsidRPr="00AF7D47">
        <w:rPr>
          <w:rFonts w:eastAsia="Times New Roman"/>
          <w:b/>
          <w:sz w:val="24"/>
          <w:szCs w:val="24"/>
        </w:rPr>
        <w:t>Lascano</w:t>
      </w:r>
      <w:proofErr w:type="spellEnd"/>
      <w:r w:rsidRPr="00AF7D47">
        <w:rPr>
          <w:rFonts w:eastAsia="Times New Roman"/>
          <w:b/>
          <w:sz w:val="24"/>
          <w:szCs w:val="24"/>
        </w:rPr>
        <w:t xml:space="preserve"> v. </w:t>
      </w:r>
      <w:proofErr w:type="spellStart"/>
      <w:r w:rsidRPr="00AF7D47">
        <w:rPr>
          <w:rFonts w:eastAsia="Times New Roman"/>
          <w:b/>
          <w:sz w:val="24"/>
          <w:szCs w:val="24"/>
        </w:rPr>
        <w:t>Vowell</w:t>
      </w:r>
      <w:proofErr w:type="spellEnd"/>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2014 COA 29, ¶</w:t>
      </w:r>
      <w:r w:rsidR="00146EDF">
        <w:rPr>
          <w:rFonts w:eastAsia="Times New Roman"/>
          <w:sz w:val="24"/>
          <w:szCs w:val="24"/>
        </w:rPr>
        <w:t xml:space="preserve"> </w:t>
      </w:r>
      <w:r w:rsidRPr="00AF7D47">
        <w:rPr>
          <w:rFonts w:eastAsia="Times New Roman"/>
          <w:sz w:val="24"/>
          <w:szCs w:val="24"/>
        </w:rPr>
        <w:t xml:space="preserve">29, 365 P.3d 371 (when term in jury instructions is not defined, jury is presumed to have applied the common meaning of the word (citing </w:t>
      </w:r>
      <w:proofErr w:type="spellStart"/>
      <w:r w:rsidRPr="00AF7D47">
        <w:rPr>
          <w:rFonts w:eastAsia="Times New Roman"/>
          <w:b/>
          <w:sz w:val="24"/>
          <w:szCs w:val="24"/>
        </w:rPr>
        <w:t>Lascano</w:t>
      </w:r>
      <w:proofErr w:type="spellEnd"/>
      <w:r w:rsidRPr="00AF7D47">
        <w:rPr>
          <w:rFonts w:eastAsia="Times New Roman"/>
          <w:sz w:val="24"/>
          <w:szCs w:val="24"/>
        </w:rPr>
        <w:t>, 940 P.2d at 982)).</w:t>
      </w:r>
    </w:p>
    <w:p w14:paraId="7FD23705" w14:textId="77777777" w:rsid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r w:rsidRPr="00AF7D47">
        <w:rPr>
          <w:rFonts w:eastAsia="Times New Roman"/>
          <w:b/>
          <w:sz w:val="24"/>
          <w:szCs w:val="24"/>
        </w:rPr>
        <w:t>Francis ex rel. Goodridge v. Dahl</w:t>
      </w:r>
      <w:r w:rsidRPr="00AF7D47">
        <w:rPr>
          <w:rFonts w:eastAsia="Times New Roman"/>
          <w:sz w:val="24"/>
          <w:szCs w:val="24"/>
        </w:rPr>
        <w:t>, 107 P.3d 1171 (Colo. App. 2005).</w:t>
      </w:r>
    </w:p>
    <w:p w14:paraId="0C5C7B4C" w14:textId="2A2C753D" w:rsidR="00BC0B87" w:rsidRPr="00AF7D47" w:rsidRDefault="00BC0B87" w:rsidP="00AF7D47">
      <w:pPr>
        <w:spacing w:after="240"/>
        <w:ind w:firstLine="720"/>
        <w:rPr>
          <w:rFonts w:eastAsia="Times New Roman"/>
          <w:sz w:val="24"/>
          <w:szCs w:val="24"/>
        </w:rPr>
      </w:pPr>
      <w:r>
        <w:rPr>
          <w:rFonts w:eastAsia="Times New Roman"/>
          <w:sz w:val="24"/>
          <w:szCs w:val="24"/>
        </w:rPr>
        <w:t xml:space="preserve">7. It is an abuse of discretion to give this instruction if there is no evidence that the second event caused any injury or an aggravation of any existing injury. </w:t>
      </w:r>
      <w:r>
        <w:rPr>
          <w:rFonts w:eastAsia="Times New Roman"/>
          <w:b/>
          <w:sz w:val="24"/>
          <w:szCs w:val="24"/>
        </w:rPr>
        <w:t>Herrera v. Lerma</w:t>
      </w:r>
      <w:r>
        <w:rPr>
          <w:rFonts w:eastAsia="Times New Roman"/>
          <w:sz w:val="24"/>
          <w:szCs w:val="24"/>
        </w:rPr>
        <w:t>, 2018 COA 141 ¶¶ 8-9, 440 P.3d 1194.</w:t>
      </w:r>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 xml:space="preserve">Brown v. </w:t>
      </w:r>
      <w:proofErr w:type="spellStart"/>
      <w:r w:rsidRPr="00AF7D47">
        <w:rPr>
          <w:rFonts w:eastAsia="Times New Roman"/>
          <w:b/>
          <w:sz w:val="24"/>
          <w:szCs w:val="24"/>
        </w:rPr>
        <w:t>Kreuser</w:t>
      </w:r>
      <w:proofErr w:type="spellEnd"/>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proofErr w:type="spellStart"/>
      <w:r w:rsidRPr="00AF7D47">
        <w:rPr>
          <w:rFonts w:eastAsia="Times New Roman"/>
          <w:b/>
          <w:sz w:val="24"/>
          <w:szCs w:val="24"/>
        </w:rPr>
        <w:t>Lascano</w:t>
      </w:r>
      <w:proofErr w:type="spellEnd"/>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r w:rsidRPr="00AF7D47">
        <w:rPr>
          <w:rFonts w:eastAsia="Times New Roman"/>
          <w:b/>
          <w:sz w:val="24"/>
          <w:szCs w:val="24"/>
        </w:rPr>
        <w:t>Guerrero v. Bailey</w:t>
      </w:r>
      <w:r w:rsidRPr="00AF7D47">
        <w:rPr>
          <w:rFonts w:eastAsia="Times New Roman"/>
          <w:sz w:val="24"/>
          <w:szCs w:val="24"/>
        </w:rPr>
        <w:t xml:space="preserve">, 658 P.2d 278 (Colo. App. 1982).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3" w:name="a6_10"/>
      <w:bookmarkEnd w:id="13"/>
      <w:r w:rsidRPr="004C723A">
        <w:rPr>
          <w:rFonts w:eastAsia="Times New Roman"/>
          <w:b/>
          <w:sz w:val="24"/>
          <w:szCs w:val="24"/>
        </w:rPr>
        <w:lastRenderedPageBreak/>
        <w:t xml:space="preserve">6:10 </w:t>
      </w:r>
      <w:r w:rsidRPr="004C723A">
        <w:rPr>
          <w:rFonts w:eastAsia="Times New Roman"/>
          <w:b/>
          <w:sz w:val="24"/>
          <w:szCs w:val="24"/>
        </w:rPr>
        <w:tab/>
        <w:t>EFFECT OF INCOME TAX AND OTHER ECONOMIC FACTORS ON AWARD OF DAMAGES</w:t>
      </w:r>
    </w:p>
    <w:p w14:paraId="7787EB68"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Special Note</w:t>
      </w:r>
    </w:p>
    <w:p w14:paraId="345EF4E9"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The Committee has taken no position on the formulation of instructions dealing with “economic factors” as they may affect an award of damages.</w:t>
      </w:r>
    </w:p>
    <w:p w14:paraId="39E65980"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2DE8AD52" w14:textId="7CE177D7" w:rsidR="009C3BCF" w:rsidRPr="004C723A" w:rsidRDefault="009C3BCF" w:rsidP="009C3BCF">
      <w:pPr>
        <w:spacing w:after="240"/>
        <w:ind w:firstLine="720"/>
        <w:rPr>
          <w:rFonts w:eastAsia="Times New Roman"/>
          <w:sz w:val="24"/>
          <w:szCs w:val="24"/>
        </w:rPr>
      </w:pPr>
      <w:r>
        <w:rPr>
          <w:rFonts w:eastAsia="Times New Roman"/>
          <w:sz w:val="24"/>
          <w:szCs w:val="24"/>
        </w:rPr>
        <w:t>1</w:t>
      </w:r>
      <w:r w:rsidRPr="004C723A">
        <w:rPr>
          <w:rFonts w:eastAsia="Times New Roman"/>
          <w:sz w:val="24"/>
          <w:szCs w:val="24"/>
        </w:rPr>
        <w:t xml:space="preserve">. In personal injury actions, an instruction on the nontaxability of damage awards as income should not be given. </w:t>
      </w:r>
      <w:r w:rsidRPr="004C723A">
        <w:rPr>
          <w:rFonts w:eastAsia="Times New Roman"/>
          <w:b/>
          <w:sz w:val="24"/>
          <w:szCs w:val="24"/>
        </w:rPr>
        <w:t xml:space="preserve">Rego Co. v. </w:t>
      </w:r>
      <w:proofErr w:type="spellStart"/>
      <w:r w:rsidRPr="004C723A">
        <w:rPr>
          <w:rFonts w:eastAsia="Times New Roman"/>
          <w:b/>
          <w:sz w:val="24"/>
          <w:szCs w:val="24"/>
        </w:rPr>
        <w:t>McKown</w:t>
      </w:r>
      <w:proofErr w:type="spellEnd"/>
      <w:r w:rsidRPr="004C723A">
        <w:rPr>
          <w:rFonts w:eastAsia="Times New Roman"/>
          <w:b/>
          <w:sz w:val="24"/>
          <w:szCs w:val="24"/>
        </w:rPr>
        <w:t>-Katy</w:t>
      </w:r>
      <w:r w:rsidRPr="004C723A">
        <w:rPr>
          <w:rFonts w:eastAsia="Times New Roman"/>
          <w:sz w:val="24"/>
          <w:szCs w:val="24"/>
        </w:rPr>
        <w:t>, 801 P.2d 536 (Colo. 1990).</w:t>
      </w:r>
    </w:p>
    <w:p w14:paraId="55044895" w14:textId="18D2D8F1" w:rsidR="004C723A" w:rsidRPr="004C723A" w:rsidRDefault="009C3BCF" w:rsidP="004C723A">
      <w:pPr>
        <w:spacing w:after="240"/>
        <w:ind w:firstLine="720"/>
        <w:rPr>
          <w:rFonts w:eastAsia="Times New Roman"/>
          <w:sz w:val="24"/>
          <w:szCs w:val="24"/>
        </w:rPr>
      </w:pPr>
      <w:r>
        <w:rPr>
          <w:rFonts w:eastAsia="Times New Roman"/>
          <w:sz w:val="24"/>
          <w:szCs w:val="24"/>
        </w:rPr>
        <w:t>2</w:t>
      </w:r>
      <w:r w:rsidR="004C723A" w:rsidRPr="004C723A">
        <w:rPr>
          <w:rFonts w:eastAsia="Times New Roman"/>
          <w:sz w:val="24"/>
          <w:szCs w:val="24"/>
        </w:rPr>
        <w:t xml:space="preserve">. </w:t>
      </w:r>
      <w:r>
        <w:rPr>
          <w:rFonts w:eastAsia="Times New Roman"/>
          <w:sz w:val="24"/>
          <w:szCs w:val="24"/>
        </w:rPr>
        <w:t xml:space="preserve">Even before </w:t>
      </w:r>
      <w:r>
        <w:rPr>
          <w:rFonts w:eastAsia="Times New Roman"/>
          <w:b/>
          <w:bCs/>
          <w:sz w:val="24"/>
          <w:szCs w:val="24"/>
        </w:rPr>
        <w:t>Rego</w:t>
      </w:r>
      <w:r>
        <w:rPr>
          <w:rFonts w:eastAsia="Times New Roman"/>
          <w:sz w:val="24"/>
          <w:szCs w:val="24"/>
        </w:rPr>
        <w:t>, the court of appeals had upheld trial court decision</w:t>
      </w:r>
      <w:r w:rsidR="00EA4B71">
        <w:rPr>
          <w:rFonts w:eastAsia="Times New Roman"/>
          <w:sz w:val="24"/>
          <w:szCs w:val="24"/>
        </w:rPr>
        <w:t>s</w:t>
      </w:r>
      <w:r>
        <w:rPr>
          <w:rFonts w:eastAsia="Times New Roman"/>
          <w:sz w:val="24"/>
          <w:szCs w:val="24"/>
        </w:rPr>
        <w:t xml:space="preserve"> not to give such an instruction.</w:t>
      </w:r>
      <w:r w:rsidR="004C723A" w:rsidRPr="004C723A">
        <w:rPr>
          <w:rFonts w:eastAsia="Times New Roman"/>
          <w:sz w:val="24"/>
          <w:szCs w:val="24"/>
        </w:rPr>
        <w:t xml:space="preserve"> </w:t>
      </w:r>
      <w:r w:rsidR="004C723A" w:rsidRPr="004C723A">
        <w:rPr>
          <w:rFonts w:eastAsia="Times New Roman"/>
          <w:i/>
          <w:sz w:val="24"/>
          <w:szCs w:val="24"/>
        </w:rPr>
        <w:t>See</w:t>
      </w:r>
      <w:r w:rsidR="004C723A" w:rsidRPr="004C723A">
        <w:rPr>
          <w:rFonts w:eastAsia="Times New Roman"/>
          <w:sz w:val="24"/>
          <w:szCs w:val="24"/>
        </w:rPr>
        <w:t xml:space="preserve"> </w:t>
      </w:r>
      <w:r w:rsidR="004C723A" w:rsidRPr="004C723A">
        <w:rPr>
          <w:rFonts w:eastAsia="Times New Roman"/>
          <w:b/>
          <w:sz w:val="24"/>
          <w:szCs w:val="24"/>
        </w:rPr>
        <w:t xml:space="preserve">Ford v. Bd. of </w:t>
      </w:r>
      <w:proofErr w:type="spellStart"/>
      <w:r w:rsidR="004C723A" w:rsidRPr="004C723A">
        <w:rPr>
          <w:rFonts w:eastAsia="Times New Roman"/>
          <w:b/>
          <w:sz w:val="24"/>
          <w:szCs w:val="24"/>
        </w:rPr>
        <w:t>Cty</w:t>
      </w:r>
      <w:proofErr w:type="spellEnd"/>
      <w:r w:rsidR="004C723A" w:rsidRPr="004C723A">
        <w:rPr>
          <w:rFonts w:eastAsia="Times New Roman"/>
          <w:b/>
          <w:sz w:val="24"/>
          <w:szCs w:val="24"/>
        </w:rPr>
        <w:t>. Comm’rs</w:t>
      </w:r>
      <w:r w:rsidR="004C723A" w:rsidRPr="004C723A">
        <w:rPr>
          <w:rFonts w:eastAsia="Times New Roman"/>
          <w:sz w:val="24"/>
          <w:szCs w:val="24"/>
        </w:rPr>
        <w:t xml:space="preserve">, 677 P.2d 358 (Colo. App. 1983) (wrongful death action); </w:t>
      </w:r>
      <w:r w:rsidR="004C723A" w:rsidRPr="004C723A">
        <w:rPr>
          <w:rFonts w:eastAsia="Times New Roman"/>
          <w:b/>
          <w:sz w:val="24"/>
          <w:szCs w:val="24"/>
        </w:rPr>
        <w:t>Hildyard v. W. Fasteners, Inc.</w:t>
      </w:r>
      <w:r w:rsidR="004C723A" w:rsidRPr="004C723A">
        <w:rPr>
          <w:rFonts w:eastAsia="Times New Roman"/>
          <w:sz w:val="24"/>
          <w:szCs w:val="24"/>
        </w:rPr>
        <w:t xml:space="preserve">, 33 Colo. App. 396, 522 P.2d 596 (1974); </w:t>
      </w:r>
      <w:proofErr w:type="spellStart"/>
      <w:r w:rsidR="004C723A" w:rsidRPr="004C723A">
        <w:rPr>
          <w:rFonts w:eastAsia="Times New Roman"/>
          <w:b/>
          <w:sz w:val="24"/>
          <w:szCs w:val="24"/>
        </w:rPr>
        <w:t>Polster</w:t>
      </w:r>
      <w:proofErr w:type="spellEnd"/>
      <w:r w:rsidR="004C723A" w:rsidRPr="004C723A">
        <w:rPr>
          <w:rFonts w:eastAsia="Times New Roman"/>
          <w:b/>
          <w:sz w:val="24"/>
          <w:szCs w:val="24"/>
        </w:rPr>
        <w:t xml:space="preserve"> v. Griff’s of Am., Inc.</w:t>
      </w:r>
      <w:r w:rsidR="004C723A" w:rsidRPr="004C723A">
        <w:rPr>
          <w:rFonts w:eastAsia="Times New Roman"/>
          <w:sz w:val="24"/>
          <w:szCs w:val="24"/>
        </w:rPr>
        <w:t xml:space="preserve">, 32 Colo. App. 264, 514 P.2d 80 (1973), </w:t>
      </w:r>
      <w:proofErr w:type="spellStart"/>
      <w:r w:rsidR="004C723A" w:rsidRPr="004C723A">
        <w:rPr>
          <w:rFonts w:eastAsia="Times New Roman"/>
          <w:i/>
          <w:sz w:val="24"/>
          <w:szCs w:val="24"/>
        </w:rPr>
        <w:t>rev’d</w:t>
      </w:r>
      <w:proofErr w:type="spellEnd"/>
      <w:r w:rsidR="004C723A" w:rsidRPr="004C723A">
        <w:rPr>
          <w:rFonts w:eastAsia="Times New Roman"/>
          <w:i/>
          <w:sz w:val="24"/>
          <w:szCs w:val="24"/>
        </w:rPr>
        <w:t xml:space="preserve"> on other grounds</w:t>
      </w:r>
      <w:r w:rsidR="004C723A" w:rsidRPr="004C723A">
        <w:rPr>
          <w:rFonts w:eastAsia="Times New Roman"/>
          <w:sz w:val="24"/>
          <w:szCs w:val="24"/>
        </w:rPr>
        <w:t>,</w:t>
      </w:r>
      <w:r w:rsidR="004C723A" w:rsidRPr="004C723A">
        <w:rPr>
          <w:rFonts w:eastAsia="Times New Roman"/>
          <w:i/>
          <w:sz w:val="24"/>
          <w:szCs w:val="24"/>
        </w:rPr>
        <w:t xml:space="preserve"> </w:t>
      </w:r>
      <w:r w:rsidR="004C723A" w:rsidRPr="004C723A">
        <w:rPr>
          <w:rFonts w:eastAsia="Times New Roman"/>
          <w:sz w:val="24"/>
          <w:szCs w:val="24"/>
        </w:rPr>
        <w:t xml:space="preserve">184 Colo. 418, 520 P.2d 745 (1974); </w:t>
      </w:r>
      <w:r w:rsidR="004C723A" w:rsidRPr="004C723A">
        <w:rPr>
          <w:rFonts w:eastAsia="Times New Roman"/>
          <w:b/>
          <w:sz w:val="24"/>
          <w:szCs w:val="24"/>
        </w:rPr>
        <w:t xml:space="preserve">Davis v. </w:t>
      </w:r>
      <w:proofErr w:type="spellStart"/>
      <w:r w:rsidR="004C723A" w:rsidRPr="004C723A">
        <w:rPr>
          <w:rFonts w:eastAsia="Times New Roman"/>
          <w:b/>
          <w:sz w:val="24"/>
          <w:szCs w:val="24"/>
        </w:rPr>
        <w:t>Fortino</w:t>
      </w:r>
      <w:proofErr w:type="spellEnd"/>
      <w:r w:rsidR="004C723A" w:rsidRPr="004C723A">
        <w:rPr>
          <w:rFonts w:eastAsia="Times New Roman"/>
          <w:b/>
          <w:sz w:val="24"/>
          <w:szCs w:val="24"/>
        </w:rPr>
        <w:t xml:space="preserve"> &amp; Jackson Chevrolet Co.</w:t>
      </w:r>
      <w:r w:rsidR="004C723A" w:rsidRPr="004C723A">
        <w:rPr>
          <w:rFonts w:eastAsia="Times New Roman"/>
          <w:sz w:val="24"/>
          <w:szCs w:val="24"/>
        </w:rPr>
        <w:t xml:space="preserve">, 32 Colo. App. 222, 510 P.2d 1376 (1973);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Landsberg v. Hutsell</w:t>
      </w:r>
      <w:r w:rsidR="004C723A" w:rsidRPr="004C723A">
        <w:rPr>
          <w:rFonts w:eastAsia="Times New Roman"/>
          <w:sz w:val="24"/>
          <w:szCs w:val="24"/>
        </w:rPr>
        <w:t>, 837 P.2d 205 (Colo. App. 1992).</w:t>
      </w:r>
    </w:p>
    <w:p w14:paraId="2061681A" w14:textId="6BD955E9" w:rsidR="004C723A" w:rsidRPr="004C723A" w:rsidRDefault="009C3BCF" w:rsidP="004C723A">
      <w:pPr>
        <w:spacing w:after="240"/>
        <w:ind w:firstLine="720"/>
        <w:rPr>
          <w:rFonts w:eastAsia="Times New Roman"/>
          <w:sz w:val="24"/>
          <w:szCs w:val="24"/>
        </w:rPr>
      </w:pPr>
      <w:r>
        <w:rPr>
          <w:rFonts w:eastAsia="Times New Roman"/>
          <w:sz w:val="24"/>
          <w:szCs w:val="24"/>
        </w:rPr>
        <w:t>3</w:t>
      </w:r>
      <w:r w:rsidR="004C723A" w:rsidRPr="004C723A">
        <w:rPr>
          <w:rFonts w:eastAsia="Times New Roman"/>
          <w:sz w:val="24"/>
          <w:szCs w:val="24"/>
        </w:rPr>
        <w:t xml:space="preserve">. In </w:t>
      </w:r>
      <w:r w:rsidR="004C723A" w:rsidRPr="004C723A">
        <w:rPr>
          <w:rFonts w:eastAsia="Times New Roman"/>
          <w:b/>
          <w:sz w:val="24"/>
          <w:szCs w:val="24"/>
        </w:rPr>
        <w:t xml:space="preserve">In re Estate of </w:t>
      </w:r>
      <w:proofErr w:type="spellStart"/>
      <w:r w:rsidR="004C723A" w:rsidRPr="004C723A">
        <w:rPr>
          <w:rFonts w:eastAsia="Times New Roman"/>
          <w:b/>
          <w:sz w:val="24"/>
          <w:szCs w:val="24"/>
        </w:rPr>
        <w:t>Beren</w:t>
      </w:r>
      <w:proofErr w:type="spellEnd"/>
      <w:r w:rsidR="004C723A" w:rsidRPr="004C723A">
        <w:rPr>
          <w:rFonts w:eastAsia="Times New Roman"/>
          <w:sz w:val="24"/>
          <w:szCs w:val="24"/>
        </w:rPr>
        <w:t xml:space="preserve">, 2012 COA 203M, ¶¶ 144-45, </w:t>
      </w:r>
      <w:r w:rsidR="00BA4966">
        <w:rPr>
          <w:rFonts w:eastAsia="Times New Roman"/>
          <w:sz w:val="24"/>
          <w:szCs w:val="24"/>
        </w:rPr>
        <w:t xml:space="preserve">412 P.3d 487, </w:t>
      </w:r>
      <w:r w:rsidR="004C723A" w:rsidRPr="004C723A">
        <w:rPr>
          <w:rFonts w:eastAsia="Times New Roman"/>
          <w:i/>
          <w:sz w:val="24"/>
          <w:szCs w:val="24"/>
        </w:rPr>
        <w:t xml:space="preserve">aff’d in part, </w:t>
      </w:r>
      <w:proofErr w:type="spellStart"/>
      <w:r w:rsidR="004C723A" w:rsidRPr="004C723A">
        <w:rPr>
          <w:rFonts w:eastAsia="Times New Roman"/>
          <w:i/>
          <w:sz w:val="24"/>
          <w:szCs w:val="24"/>
        </w:rPr>
        <w:t>rev’d</w:t>
      </w:r>
      <w:proofErr w:type="spellEnd"/>
      <w:r w:rsidR="004C723A" w:rsidRPr="004C723A">
        <w:rPr>
          <w:rFonts w:eastAsia="Times New Roman"/>
          <w:i/>
          <w:sz w:val="24"/>
          <w:szCs w:val="24"/>
        </w:rPr>
        <w:t xml:space="preserve"> in part on other grounds sub nom.</w:t>
      </w:r>
      <w:r w:rsidR="004C723A" w:rsidRPr="004C723A">
        <w:rPr>
          <w:rFonts w:eastAsia="Times New Roman"/>
          <w:sz w:val="24"/>
          <w:szCs w:val="24"/>
        </w:rPr>
        <w:t xml:space="preserve"> </w:t>
      </w:r>
      <w:proofErr w:type="spellStart"/>
      <w:r w:rsidR="004C723A" w:rsidRPr="004C723A">
        <w:rPr>
          <w:rFonts w:eastAsia="Times New Roman"/>
          <w:b/>
          <w:sz w:val="24"/>
          <w:szCs w:val="24"/>
        </w:rPr>
        <w:t>Beren</w:t>
      </w:r>
      <w:proofErr w:type="spellEnd"/>
      <w:r w:rsidR="004C723A" w:rsidRPr="004C723A">
        <w:rPr>
          <w:rFonts w:eastAsia="Times New Roman"/>
          <w:b/>
          <w:sz w:val="24"/>
          <w:szCs w:val="24"/>
        </w:rPr>
        <w:t xml:space="preserve"> v. </w:t>
      </w:r>
      <w:proofErr w:type="spellStart"/>
      <w:r w:rsidR="004C723A" w:rsidRPr="004C723A">
        <w:rPr>
          <w:rFonts w:eastAsia="Times New Roman"/>
          <w:b/>
          <w:sz w:val="24"/>
          <w:szCs w:val="24"/>
        </w:rPr>
        <w:t>Beren</w:t>
      </w:r>
      <w:proofErr w:type="spellEnd"/>
      <w:r w:rsidR="004C723A"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0BC1CCF9" w:rsidR="004C723A" w:rsidRPr="004C723A" w:rsidRDefault="009C3BCF" w:rsidP="004C723A">
      <w:pPr>
        <w:spacing w:after="240"/>
        <w:ind w:firstLine="720"/>
        <w:rPr>
          <w:rFonts w:eastAsia="Times New Roman"/>
          <w:sz w:val="24"/>
          <w:szCs w:val="24"/>
        </w:rPr>
      </w:pPr>
      <w:r>
        <w:rPr>
          <w:rFonts w:eastAsia="Times New Roman"/>
          <w:sz w:val="24"/>
          <w:szCs w:val="24"/>
        </w:rPr>
        <w:t>4</w:t>
      </w:r>
      <w:r w:rsidR="004C723A" w:rsidRPr="004C723A">
        <w:rPr>
          <w:rFonts w:eastAsia="Times New Roman"/>
          <w:sz w:val="24"/>
          <w:szCs w:val="24"/>
        </w:rPr>
        <w:t xml:space="preserve">. In </w:t>
      </w:r>
      <w:proofErr w:type="spellStart"/>
      <w:r w:rsidR="004C723A" w:rsidRPr="004C723A">
        <w:rPr>
          <w:rFonts w:eastAsia="Times New Roman"/>
          <w:b/>
          <w:sz w:val="24"/>
          <w:szCs w:val="24"/>
        </w:rPr>
        <w:t>Hoyal</w:t>
      </w:r>
      <w:proofErr w:type="spellEnd"/>
      <w:r w:rsidR="004C723A" w:rsidRPr="004C723A">
        <w:rPr>
          <w:rFonts w:eastAsia="Times New Roman"/>
          <w:b/>
          <w:sz w:val="24"/>
          <w:szCs w:val="24"/>
        </w:rPr>
        <w:t xml:space="preserve"> v. Pioneer Sand Co., Inc.</w:t>
      </w:r>
      <w:r w:rsidR="004C723A"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004C723A" w:rsidRPr="004C723A">
        <w:rPr>
          <w:rFonts w:eastAsia="Times New Roman"/>
          <w:i/>
          <w:sz w:val="24"/>
          <w:szCs w:val="24"/>
        </w:rPr>
        <w:t>But see</w:t>
      </w:r>
      <w:r w:rsidR="004C723A" w:rsidRPr="004C723A">
        <w:rPr>
          <w:rFonts w:eastAsia="Times New Roman"/>
          <w:sz w:val="24"/>
          <w:szCs w:val="24"/>
        </w:rPr>
        <w:t xml:space="preserve"> </w:t>
      </w:r>
      <w:r w:rsidR="004C723A" w:rsidRPr="004C723A">
        <w:rPr>
          <w:rFonts w:eastAsia="Times New Roman"/>
          <w:b/>
          <w:sz w:val="24"/>
          <w:szCs w:val="24"/>
        </w:rPr>
        <w:t xml:space="preserve">Lewis v. Great W. </w:t>
      </w:r>
      <w:proofErr w:type="spellStart"/>
      <w:r w:rsidR="004C723A" w:rsidRPr="004C723A">
        <w:rPr>
          <w:rFonts w:eastAsia="Times New Roman"/>
          <w:b/>
          <w:sz w:val="24"/>
          <w:szCs w:val="24"/>
        </w:rPr>
        <w:t>Distrib</w:t>
      </w:r>
      <w:proofErr w:type="spellEnd"/>
      <w:r w:rsidR="004C723A" w:rsidRPr="004C723A">
        <w:rPr>
          <w:rFonts w:eastAsia="Times New Roman"/>
          <w:b/>
          <w:sz w:val="24"/>
          <w:szCs w:val="24"/>
        </w:rPr>
        <w:t>. Co. of Borger</w:t>
      </w:r>
      <w:r w:rsidR="004C723A" w:rsidRPr="004C723A">
        <w:rPr>
          <w:rFonts w:eastAsia="Times New Roman"/>
          <w:sz w:val="24"/>
          <w:szCs w:val="24"/>
        </w:rPr>
        <w:t>, 168 Colo. 424, 451 P.2d 754 (1969) (noting that the determination of net pecuniary loss in a wrongful death case contemplates deduction of income taxes).</w:t>
      </w:r>
    </w:p>
    <w:p w14:paraId="59513E22" w14:textId="10818A7A" w:rsidR="004C723A" w:rsidRPr="004C723A" w:rsidRDefault="009C3BCF" w:rsidP="004C723A">
      <w:pPr>
        <w:spacing w:after="240"/>
        <w:ind w:firstLine="720"/>
        <w:rPr>
          <w:rFonts w:eastAsia="Times New Roman"/>
          <w:sz w:val="24"/>
          <w:szCs w:val="24"/>
        </w:rPr>
      </w:pPr>
      <w:r>
        <w:rPr>
          <w:rFonts w:eastAsia="Times New Roman"/>
          <w:sz w:val="24"/>
          <w:szCs w:val="24"/>
        </w:rPr>
        <w:t>5</w:t>
      </w:r>
      <w:r w:rsidR="004C723A" w:rsidRPr="004C723A">
        <w:rPr>
          <w:rFonts w:eastAsia="Times New Roman"/>
          <w:sz w:val="24"/>
          <w:szCs w:val="24"/>
        </w:rPr>
        <w:t xml:space="preserve">. In </w:t>
      </w:r>
      <w:r w:rsidR="004C723A" w:rsidRPr="004C723A">
        <w:rPr>
          <w:rFonts w:eastAsia="Times New Roman"/>
          <w:b/>
          <w:sz w:val="24"/>
          <w:szCs w:val="24"/>
        </w:rPr>
        <w:t xml:space="preserve">Norfolk &amp; W. Ry. v. </w:t>
      </w:r>
      <w:proofErr w:type="spellStart"/>
      <w:r w:rsidR="004C723A" w:rsidRPr="004C723A">
        <w:rPr>
          <w:rFonts w:eastAsia="Times New Roman"/>
          <w:b/>
          <w:sz w:val="24"/>
          <w:szCs w:val="24"/>
        </w:rPr>
        <w:t>Liepelt</w:t>
      </w:r>
      <w:proofErr w:type="spellEnd"/>
      <w:r w:rsidR="004C723A" w:rsidRPr="004C723A">
        <w:rPr>
          <w:rFonts w:eastAsia="Times New Roman"/>
          <w:sz w:val="24"/>
          <w:szCs w:val="24"/>
        </w:rPr>
        <w:t>,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w:t>
      </w:r>
      <w:r w:rsidR="008B0EBD">
        <w:rPr>
          <w:rFonts w:eastAsia="Times New Roman"/>
          <w:sz w:val="24"/>
          <w:szCs w:val="24"/>
        </w:rPr>
        <w:t xml:space="preserve"> In </w:t>
      </w:r>
      <w:r w:rsidR="008B0EBD">
        <w:rPr>
          <w:rFonts w:eastAsia="Times New Roman"/>
          <w:b/>
          <w:bCs/>
          <w:sz w:val="24"/>
          <w:szCs w:val="24"/>
        </w:rPr>
        <w:t>Rego</w:t>
      </w:r>
      <w:r w:rsidR="008B0EBD">
        <w:rPr>
          <w:rFonts w:eastAsia="Times New Roman"/>
          <w:sz w:val="24"/>
          <w:szCs w:val="24"/>
        </w:rPr>
        <w:t xml:space="preserve">, </w:t>
      </w:r>
      <w:r w:rsidR="00EA4B71" w:rsidRPr="004C723A">
        <w:rPr>
          <w:rFonts w:eastAsia="Times New Roman"/>
          <w:sz w:val="24"/>
          <w:szCs w:val="24"/>
        </w:rPr>
        <w:t xml:space="preserve">801 P.2d </w:t>
      </w:r>
      <w:r w:rsidR="005F6120">
        <w:rPr>
          <w:rFonts w:eastAsia="Times New Roman"/>
          <w:sz w:val="24"/>
          <w:szCs w:val="24"/>
        </w:rPr>
        <w:t>at 538</w:t>
      </w:r>
      <w:r w:rsidR="00EA4B71">
        <w:rPr>
          <w:rFonts w:eastAsia="Times New Roman"/>
          <w:sz w:val="24"/>
          <w:szCs w:val="24"/>
        </w:rPr>
        <w:t>,</w:t>
      </w:r>
      <w:r w:rsidR="00EA4B71" w:rsidRPr="004C723A">
        <w:rPr>
          <w:rFonts w:eastAsia="Times New Roman"/>
          <w:sz w:val="24"/>
          <w:szCs w:val="24"/>
        </w:rPr>
        <w:t xml:space="preserve"> </w:t>
      </w:r>
      <w:r w:rsidR="008B0EBD">
        <w:rPr>
          <w:rFonts w:eastAsia="Times New Roman"/>
          <w:sz w:val="24"/>
          <w:szCs w:val="24"/>
        </w:rPr>
        <w:t xml:space="preserve">the Colorado Supreme Court declined to follow </w:t>
      </w:r>
      <w:proofErr w:type="spellStart"/>
      <w:r w:rsidR="008B0EBD">
        <w:rPr>
          <w:rFonts w:eastAsia="Times New Roman"/>
          <w:b/>
          <w:bCs/>
          <w:sz w:val="24"/>
          <w:szCs w:val="24"/>
        </w:rPr>
        <w:t>Liepelt</w:t>
      </w:r>
      <w:proofErr w:type="spellEnd"/>
      <w:r w:rsidR="008B0EBD">
        <w:rPr>
          <w:rFonts w:eastAsia="Times New Roman"/>
          <w:sz w:val="24"/>
          <w:szCs w:val="24"/>
        </w:rPr>
        <w:t>.</w:t>
      </w:r>
      <w:r w:rsidR="004C723A" w:rsidRPr="004C723A">
        <w:rPr>
          <w:rFonts w:eastAsia="Times New Roman"/>
          <w:sz w:val="24"/>
          <w:szCs w:val="24"/>
        </w:rPr>
        <w:t xml:space="preserve"> </w:t>
      </w:r>
      <w:r w:rsidR="004C723A" w:rsidRPr="004C723A">
        <w:rPr>
          <w:rFonts w:eastAsia="Times New Roman"/>
          <w:i/>
          <w:sz w:val="24"/>
          <w:szCs w:val="24"/>
        </w:rPr>
        <w:lastRenderedPageBreak/>
        <w:t>See also</w:t>
      </w:r>
      <w:r w:rsidR="004C723A" w:rsidRPr="004C723A">
        <w:rPr>
          <w:rFonts w:eastAsia="Times New Roman"/>
          <w:sz w:val="24"/>
          <w:szCs w:val="24"/>
        </w:rPr>
        <w:t xml:space="preserve"> </w:t>
      </w:r>
      <w:r w:rsidR="004C723A" w:rsidRPr="004C723A">
        <w:rPr>
          <w:rFonts w:eastAsia="Times New Roman"/>
          <w:b/>
          <w:sz w:val="24"/>
          <w:szCs w:val="24"/>
        </w:rPr>
        <w:t>Gulf Offshore Co. v. Mobil Oil Corp.</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 xml:space="preserve">453 U.S. 473 (1981) (discussing when, as to federal causes of action triable in either federal or state courts, the giving of such a cautionary instruction should be determined as a matter of federal law or state law). On the other hand, “the failure to give [a] non-taxability instruction [in a FELA case not involving wrongful death] is harmless error unless there is a showing that the verdict is excessive.” </w:t>
      </w:r>
      <w:r w:rsidR="004C723A" w:rsidRPr="004C723A">
        <w:rPr>
          <w:rFonts w:eastAsia="Times New Roman"/>
          <w:b/>
          <w:sz w:val="24"/>
          <w:szCs w:val="24"/>
        </w:rPr>
        <w:t>Marlow v. Atchison, Topeka &amp; Santa Fe Ry.</w:t>
      </w:r>
      <w:r w:rsidR="004C723A" w:rsidRPr="004C723A">
        <w:rPr>
          <w:rFonts w:eastAsia="Times New Roman"/>
          <w:sz w:val="24"/>
          <w:szCs w:val="24"/>
        </w:rPr>
        <w:t>, 671 P.2d 438, 442 (Colo. App. 1983).</w:t>
      </w:r>
    </w:p>
    <w:p w14:paraId="1CC97A84" w14:textId="54AA2058" w:rsidR="004C723A" w:rsidRPr="004C723A" w:rsidRDefault="009C3BCF" w:rsidP="004C723A">
      <w:pPr>
        <w:spacing w:after="240"/>
        <w:ind w:firstLine="720"/>
        <w:rPr>
          <w:rFonts w:eastAsia="Times New Roman"/>
          <w:sz w:val="24"/>
          <w:szCs w:val="24"/>
        </w:rPr>
      </w:pPr>
      <w:r>
        <w:rPr>
          <w:rFonts w:eastAsia="Times New Roman"/>
          <w:sz w:val="24"/>
          <w:szCs w:val="24"/>
        </w:rPr>
        <w:t>6</w:t>
      </w:r>
      <w:r w:rsidR="004C723A" w:rsidRPr="004C723A">
        <w:rPr>
          <w:rFonts w:eastAsia="Times New Roman"/>
          <w:sz w:val="24"/>
          <w:szCs w:val="24"/>
        </w:rPr>
        <w:t xml:space="preserve">. For a discussion of both income taxes and inflation, see </w:t>
      </w:r>
      <w:proofErr w:type="gramStart"/>
      <w:r w:rsidR="004C723A" w:rsidRPr="004C723A">
        <w:rPr>
          <w:rFonts w:eastAsia="Times New Roman"/>
          <w:b/>
          <w:sz w:val="24"/>
          <w:szCs w:val="24"/>
        </w:rPr>
        <w:t>Good</w:t>
      </w:r>
      <w:proofErr w:type="gramEnd"/>
      <w:r w:rsidR="004C723A" w:rsidRPr="004C723A">
        <w:rPr>
          <w:rFonts w:eastAsia="Times New Roman"/>
          <w:b/>
          <w:sz w:val="24"/>
          <w:szCs w:val="24"/>
        </w:rPr>
        <w:t xml:space="preserve"> v. A.B. Chance Co.</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39 Colo. App. 70, 565 P.2d 217 (1977).</w:t>
      </w:r>
    </w:p>
    <w:p w14:paraId="29D5EAF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7.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r w:rsidRPr="004C723A">
        <w:rPr>
          <w:rFonts w:eastAsia="Times New Roman"/>
          <w:b/>
          <w:sz w:val="24"/>
          <w:szCs w:val="24"/>
        </w:rPr>
        <w:t>Boettcher &amp; Co. v. Munson</w:t>
      </w:r>
      <w:r w:rsidRPr="004C723A">
        <w:rPr>
          <w:rFonts w:eastAsia="Times New Roman"/>
          <w:sz w:val="24"/>
          <w:szCs w:val="24"/>
        </w:rPr>
        <w:t>, 854 P.2d 199 (Colo. 1993).</w:t>
      </w:r>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lastRenderedPageBreak/>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4" w:name="a6_11"/>
      <w:bookmarkEnd w:id="14"/>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77777777"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you shall award as (his) (her)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damages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Under sections 5-12-102(1)(a) and (b), C.R.S., prejudgment interest, calculated by the court rather than the jury, is recoverable on damages for injury to personal property. </w:t>
      </w:r>
      <w:proofErr w:type="spellStart"/>
      <w:r w:rsidRPr="004C723A">
        <w:rPr>
          <w:rFonts w:eastAsia="Times New Roman"/>
          <w:b/>
          <w:sz w:val="24"/>
          <w:szCs w:val="24"/>
        </w:rPr>
        <w:t>Isbill</w:t>
      </w:r>
      <w:proofErr w:type="spellEnd"/>
      <w:r w:rsidRPr="004C723A">
        <w:rPr>
          <w:rFonts w:eastAsia="Times New Roman"/>
          <w:b/>
          <w:sz w:val="24"/>
          <w:szCs w:val="24"/>
        </w:rPr>
        <w:t xml:space="preserve"> Assocs., Inc. v. City &amp; </w:t>
      </w:r>
      <w:proofErr w:type="spellStart"/>
      <w:r w:rsidRPr="004C723A">
        <w:rPr>
          <w:rFonts w:eastAsia="Times New Roman"/>
          <w:b/>
          <w:sz w:val="24"/>
          <w:szCs w:val="24"/>
        </w:rPr>
        <w:t>Cty</w:t>
      </w:r>
      <w:proofErr w:type="spellEnd"/>
      <w:r w:rsidRPr="004C723A">
        <w:rPr>
          <w:rFonts w:eastAsia="Times New Roman"/>
          <w:b/>
          <w:sz w:val="24"/>
          <w:szCs w:val="24"/>
        </w:rPr>
        <w:t>. of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r w:rsidRPr="004C723A">
        <w:rPr>
          <w:rFonts w:eastAsia="Times New Roman"/>
          <w:b/>
          <w:sz w:val="24"/>
          <w:szCs w:val="24"/>
        </w:rPr>
        <w:t>Webster v. Boone</w:t>
      </w:r>
      <w:r w:rsidRPr="004C723A">
        <w:rPr>
          <w:rFonts w:eastAsia="Times New Roman"/>
          <w:sz w:val="24"/>
          <w:szCs w:val="24"/>
        </w:rPr>
        <w:t xml:space="preserve">, 992 P.2d 1183 (Colo. App. 1999). Nor is recovery permitted for the sentimental or emotional value of lost or damaged personal property such as keepsakes and mementos even though such items may have no market value or the value to the owner is far greater than the market value. </w:t>
      </w:r>
      <w:proofErr w:type="gramStart"/>
      <w:r w:rsidRPr="004C723A">
        <w:rPr>
          <w:rFonts w:eastAsia="Times New Roman"/>
          <w:i/>
          <w:sz w:val="24"/>
          <w:szCs w:val="24"/>
        </w:rPr>
        <w:t>Id</w:t>
      </w:r>
      <w:r w:rsidRPr="004C723A">
        <w:rPr>
          <w:rFonts w:eastAsia="Times New Roman"/>
          <w:sz w:val="24"/>
          <w:szCs w:val="24"/>
        </w:rPr>
        <w:t>.;</w:t>
      </w:r>
      <w:proofErr w:type="gramEnd"/>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proofErr w:type="spellStart"/>
      <w:r w:rsidRPr="004C723A">
        <w:rPr>
          <w:rFonts w:eastAsia="Times New Roman"/>
          <w:b/>
          <w:sz w:val="24"/>
          <w:szCs w:val="24"/>
        </w:rPr>
        <w:t>Chryar</w:t>
      </w:r>
      <w:proofErr w:type="spellEnd"/>
      <w:r w:rsidRPr="004C723A">
        <w:rPr>
          <w:rFonts w:eastAsia="Times New Roman"/>
          <w:b/>
          <w:sz w:val="24"/>
          <w:szCs w:val="24"/>
        </w:rPr>
        <w:t xml:space="preserve">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5" w:name="a6_12"/>
      <w:bookmarkEnd w:id="15"/>
      <w:r w:rsidRPr="00E551EB">
        <w:rPr>
          <w:rFonts w:eastAsia="Times New Roman"/>
          <w:b/>
          <w:sz w:val="24"/>
          <w:szCs w:val="24"/>
        </w:rPr>
        <w:lastRenderedPageBreak/>
        <w:t xml:space="preserve">6:12 </w:t>
      </w:r>
      <w:r w:rsidRPr="00E551EB">
        <w:rPr>
          <w:rFonts w:eastAsia="Times New Roman"/>
          <w:b/>
          <w:sz w:val="24"/>
          <w:szCs w:val="24"/>
        </w:rPr>
        <w:tab/>
        <w:t>PERSONAL PROPERTY — COST OF REPAIRS</w:t>
      </w:r>
    </w:p>
    <w:p w14:paraId="6B46BC3C"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you shall award as (his) (her) actual damages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(repairs)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4E2AC57A"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 xml:space="preserve">Bd. of </w:t>
      </w:r>
      <w:proofErr w:type="spellStart"/>
      <w:r w:rsidRPr="00E551EB">
        <w:rPr>
          <w:rFonts w:eastAsia="Times New Roman"/>
          <w:b/>
          <w:sz w:val="24"/>
          <w:szCs w:val="24"/>
        </w:rPr>
        <w:t>Cty</w:t>
      </w:r>
      <w:proofErr w:type="spellEnd"/>
      <w:r w:rsidRPr="00E551EB">
        <w:rPr>
          <w:rFonts w:eastAsia="Times New Roman"/>
          <w:b/>
          <w:sz w:val="24"/>
          <w:szCs w:val="24"/>
        </w:rPr>
        <w:t xml:space="preserve">. Comm’rs of Weld </w:t>
      </w:r>
      <w:proofErr w:type="spellStart"/>
      <w:r w:rsidRPr="00E551EB">
        <w:rPr>
          <w:rFonts w:eastAsia="Times New Roman"/>
          <w:b/>
          <w:sz w:val="24"/>
          <w:szCs w:val="24"/>
        </w:rPr>
        <w:t>Cty</w:t>
      </w:r>
      <w:proofErr w:type="spellEnd"/>
      <w:r w:rsidRPr="00E551EB">
        <w:rPr>
          <w:rFonts w:eastAsia="Times New Roman"/>
          <w:b/>
          <w:sz w:val="24"/>
          <w:szCs w:val="24"/>
        </w:rPr>
        <w:t xml:space="preserve">. v. </w:t>
      </w:r>
      <w:proofErr w:type="spellStart"/>
      <w:r w:rsidRPr="00E551EB">
        <w:rPr>
          <w:rFonts w:eastAsia="Times New Roman"/>
          <w:b/>
          <w:sz w:val="24"/>
          <w:szCs w:val="24"/>
        </w:rPr>
        <w:t>Slovek</w:t>
      </w:r>
      <w:proofErr w:type="spellEnd"/>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Selection of which measure of damages to use is within the </w:t>
      </w:r>
      <w:r w:rsidR="00E07BB8">
        <w:rPr>
          <w:rFonts w:eastAsia="Times New Roman"/>
          <w:sz w:val="24"/>
          <w:szCs w:val="24"/>
        </w:rPr>
        <w:t xml:space="preserve">discretion of the trial court. </w:t>
      </w:r>
      <w:proofErr w:type="spellStart"/>
      <w:r w:rsidRPr="00E551EB">
        <w:rPr>
          <w:rFonts w:eastAsia="Times New Roman"/>
          <w:b/>
          <w:sz w:val="24"/>
          <w:szCs w:val="24"/>
        </w:rPr>
        <w:t>Slovek</w:t>
      </w:r>
      <w:proofErr w:type="spellEnd"/>
      <w:r w:rsidRPr="00E551EB">
        <w:rPr>
          <w:rFonts w:eastAsia="Times New Roman"/>
          <w:sz w:val="24"/>
          <w:szCs w:val="24"/>
        </w:rPr>
        <w:t xml:space="preserve">, 723 P.2d at 1316.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proofErr w:type="spellStart"/>
      <w:r w:rsidRPr="00E551EB">
        <w:rPr>
          <w:rFonts w:eastAsia="Times New Roman"/>
          <w:b/>
          <w:sz w:val="24"/>
          <w:szCs w:val="24"/>
        </w:rPr>
        <w:t>McAlonan</w:t>
      </w:r>
      <w:proofErr w:type="spellEnd"/>
      <w:r w:rsidRPr="00E551EB">
        <w:rPr>
          <w:rFonts w:eastAsia="Times New Roman"/>
          <w:b/>
          <w:sz w:val="24"/>
          <w:szCs w:val="24"/>
        </w:rPr>
        <w:t xml:space="preserve"> v. U.S. Home Corp.</w:t>
      </w:r>
      <w:r w:rsidRPr="00E551EB">
        <w:rPr>
          <w:rFonts w:eastAsia="Times New Roman"/>
          <w:sz w:val="24"/>
          <w:szCs w:val="24"/>
        </w:rPr>
        <w:t>, 724 P.2d 78 (Colo. App. 1986).</w:t>
      </w:r>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4. Under section 5-12-101(1)(b), C.R.S., in a strict liability case where repair costs are appropriate damages, prejudgment interest accrues from the date plaintiff pays the repair or replacement expenditure. </w:t>
      </w:r>
      <w:r w:rsidRPr="00E551EB">
        <w:rPr>
          <w:rFonts w:eastAsia="Times New Roman"/>
          <w:b/>
          <w:sz w:val="24"/>
          <w:szCs w:val="24"/>
        </w:rPr>
        <w:t>Goodyear Tire &amp; Rubber Co. v. Holmes</w:t>
      </w:r>
      <w:r w:rsidRPr="00E551EB">
        <w:rPr>
          <w:rFonts w:eastAsia="Times New Roman"/>
          <w:sz w:val="24"/>
          <w:szCs w:val="24"/>
        </w:rPr>
        <w:t>, 193 P.3d 821 (Colo. 2008).</w:t>
      </w:r>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5. This instruction should be appropriately modified in a case brought under the Construction Defect Action Reform Act, §§ 13-20-801 to -808, C.R.S. (“CDARA”).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 New Vista Homes II, LLC</w:t>
      </w:r>
      <w:r w:rsidRPr="00E551EB">
        <w:rPr>
          <w:rFonts w:eastAsia="Times New Roman"/>
          <w:sz w:val="24"/>
          <w:szCs w:val="24"/>
        </w:rPr>
        <w:t>, 252 P.3d 1159 (Colo. App. 2010) (Actual damages in CDARA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proofErr w:type="spellStart"/>
      <w:r w:rsidRPr="00E551EB">
        <w:rPr>
          <w:rFonts w:eastAsia="Times New Roman"/>
          <w:b/>
          <w:sz w:val="24"/>
          <w:szCs w:val="24"/>
        </w:rPr>
        <w:t>Callaham</w:t>
      </w:r>
      <w:proofErr w:type="spellEnd"/>
      <w:r w:rsidRPr="00E551EB">
        <w:rPr>
          <w:rFonts w:eastAsia="Times New Roman"/>
          <w:b/>
          <w:sz w:val="24"/>
          <w:szCs w:val="24"/>
        </w:rPr>
        <w:t xml:space="preserve"> v. </w:t>
      </w:r>
      <w:proofErr w:type="spellStart"/>
      <w:r w:rsidRPr="00E551EB">
        <w:rPr>
          <w:rFonts w:eastAsia="Times New Roman"/>
          <w:b/>
          <w:sz w:val="24"/>
          <w:szCs w:val="24"/>
        </w:rPr>
        <w:t>Slavsky</w:t>
      </w:r>
      <w:proofErr w:type="spellEnd"/>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proofErr w:type="spellStart"/>
      <w:r w:rsidRPr="00E551EB">
        <w:rPr>
          <w:rFonts w:eastAsia="Times New Roman"/>
          <w:b/>
          <w:sz w:val="24"/>
          <w:szCs w:val="24"/>
        </w:rPr>
        <w:t>McAlonan</w:t>
      </w:r>
      <w:proofErr w:type="spellEnd"/>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6" w:name="a6_13"/>
      <w:bookmarkEnd w:id="16"/>
      <w:r w:rsidRPr="00E551EB">
        <w:rPr>
          <w:rFonts w:eastAsia="Times New Roman"/>
          <w:b/>
          <w:sz w:val="24"/>
          <w:szCs w:val="24"/>
        </w:rPr>
        <w:lastRenderedPageBreak/>
        <w:t xml:space="preserve">6:13 </w:t>
      </w:r>
      <w:r w:rsidRPr="00E551EB">
        <w:rPr>
          <w:rFonts w:eastAsia="Times New Roman"/>
          <w:b/>
          <w:sz w:val="24"/>
          <w:szCs w:val="24"/>
        </w:rPr>
        <w:tab/>
        <w:t>PERSONAL PROPERTY — LOSS OF USE</w:t>
      </w:r>
    </w:p>
    <w:p w14:paraId="4C4ADF84"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(his) (her)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These damages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4D2EC2E5" w:rsidR="00E551EB" w:rsidRPr="00E551EB" w:rsidRDefault="00E551EB" w:rsidP="00E551EB">
      <w:pPr>
        <w:spacing w:after="240"/>
        <w:ind w:firstLine="720"/>
        <w:rPr>
          <w:rFonts w:eastAsia="Times New Roman"/>
          <w:sz w:val="24"/>
          <w:szCs w:val="24"/>
        </w:rPr>
      </w:pPr>
      <w:r w:rsidRPr="00E551EB">
        <w:rPr>
          <w:rFonts w:eastAsia="Times New Roman"/>
          <w:sz w:val="24"/>
          <w:szCs w:val="24"/>
        </w:rPr>
        <w:t>2. This instruction, appropriately modified, also may be used in cases</w:t>
      </w:r>
      <w:r w:rsidR="008B0EBD">
        <w:rPr>
          <w:rFonts w:eastAsia="Times New Roman"/>
          <w:sz w:val="24"/>
          <w:szCs w:val="24"/>
        </w:rPr>
        <w:t xml:space="preserve"> </w:t>
      </w:r>
      <w:r w:rsidRPr="00E551EB">
        <w:rPr>
          <w:rFonts w:eastAsia="Times New Roman"/>
          <w:sz w:val="24"/>
          <w:szCs w:val="24"/>
        </w:rPr>
        <w:t>involving the destruction</w:t>
      </w:r>
      <w:r w:rsidR="00A67468">
        <w:rPr>
          <w:rFonts w:eastAsia="Times New Roman"/>
          <w:sz w:val="24"/>
          <w:szCs w:val="24"/>
        </w:rPr>
        <w:t xml:space="preserve"> of property</w:t>
      </w:r>
      <w:bookmarkStart w:id="17" w:name="_Hlk56516278"/>
      <w:r w:rsidR="00C7356F">
        <w:rPr>
          <w:rFonts w:eastAsia="Times New Roman"/>
          <w:sz w:val="24"/>
          <w:szCs w:val="24"/>
        </w:rPr>
        <w:t xml:space="preserve"> </w:t>
      </w:r>
      <w:r w:rsidR="008B0EBD">
        <w:rPr>
          <w:rFonts w:eastAsia="Times New Roman"/>
          <w:sz w:val="24"/>
          <w:szCs w:val="24"/>
        </w:rPr>
        <w:t>—</w:t>
      </w:r>
      <w:bookmarkEnd w:id="17"/>
      <w:r w:rsidR="00C7356F">
        <w:rPr>
          <w:rFonts w:eastAsia="Times New Roman"/>
          <w:sz w:val="24"/>
          <w:szCs w:val="24"/>
        </w:rPr>
        <w:t xml:space="preserve"> </w:t>
      </w:r>
      <w:r w:rsidRPr="00E551EB">
        <w:rPr>
          <w:rFonts w:eastAsia="Times New Roman"/>
          <w:sz w:val="24"/>
          <w:szCs w:val="24"/>
        </w:rPr>
        <w:t>in contrast to injury or damage</w:t>
      </w:r>
      <w:r w:rsidR="00A67468">
        <w:rPr>
          <w:rFonts w:eastAsia="Times New Roman"/>
          <w:sz w:val="24"/>
          <w:szCs w:val="24"/>
        </w:rPr>
        <w:t xml:space="preserve"> to </w:t>
      </w:r>
      <w:r w:rsidR="00F30F12">
        <w:rPr>
          <w:rFonts w:eastAsia="Times New Roman"/>
          <w:sz w:val="24"/>
          <w:szCs w:val="24"/>
        </w:rPr>
        <w:t>property</w:t>
      </w:r>
      <w:r w:rsidR="00C7356F">
        <w:rPr>
          <w:rFonts w:eastAsia="Times New Roman"/>
          <w:sz w:val="24"/>
          <w:szCs w:val="24"/>
        </w:rPr>
        <w:t xml:space="preserve"> </w:t>
      </w:r>
      <w:r w:rsidR="008B0EBD">
        <w:rPr>
          <w:rFonts w:eastAsia="Times New Roman"/>
          <w:sz w:val="24"/>
          <w:szCs w:val="24"/>
        </w:rPr>
        <w:t>—</w:t>
      </w:r>
      <w:r w:rsidR="00C7356F">
        <w:rPr>
          <w:rFonts w:eastAsia="Times New Roman"/>
          <w:sz w:val="24"/>
          <w:szCs w:val="24"/>
        </w:rPr>
        <w:t xml:space="preserve"> </w:t>
      </w:r>
      <w:r w:rsidRPr="00E551EB">
        <w:rPr>
          <w:rFonts w:eastAsia="Times New Roman"/>
          <w:sz w:val="24"/>
          <w:szCs w:val="24"/>
        </w:rPr>
        <w:t xml:space="preserve">with the </w:t>
      </w:r>
      <w:r w:rsidR="00F30F12">
        <w:rPr>
          <w:rFonts w:eastAsia="Times New Roman"/>
          <w:sz w:val="24"/>
          <w:szCs w:val="24"/>
        </w:rPr>
        <w:t xml:space="preserve">award </w:t>
      </w:r>
      <w:r w:rsidRPr="00E551EB">
        <w:rPr>
          <w:rFonts w:eastAsia="Times New Roman"/>
          <w:sz w:val="24"/>
          <w:szCs w:val="24"/>
        </w:rPr>
        <w:t xml:space="preserve">of </w:t>
      </w:r>
      <w:r w:rsidR="00F30F12">
        <w:rPr>
          <w:rFonts w:eastAsia="Times New Roman"/>
          <w:sz w:val="24"/>
          <w:szCs w:val="24"/>
        </w:rPr>
        <w:t xml:space="preserve">damages for </w:t>
      </w:r>
      <w:r w:rsidRPr="00E551EB">
        <w:rPr>
          <w:rFonts w:eastAsia="Times New Roman"/>
          <w:sz w:val="24"/>
          <w:szCs w:val="24"/>
        </w:rPr>
        <w:t>lost profit</w:t>
      </w:r>
      <w:r w:rsidR="00F30F12">
        <w:rPr>
          <w:rFonts w:eastAsia="Times New Roman"/>
          <w:sz w:val="24"/>
          <w:szCs w:val="24"/>
        </w:rPr>
        <w:t>s</w:t>
      </w:r>
      <w:r w:rsidRPr="00E551EB">
        <w:rPr>
          <w:rFonts w:eastAsia="Times New Roman"/>
          <w:sz w:val="24"/>
          <w:szCs w:val="24"/>
        </w:rPr>
        <w:t xml:space="preserve"> </w:t>
      </w:r>
      <w:r w:rsidR="00F30F12">
        <w:rPr>
          <w:rFonts w:eastAsia="Times New Roman"/>
          <w:sz w:val="24"/>
          <w:szCs w:val="24"/>
        </w:rPr>
        <w:t xml:space="preserve">limited to a reasonable </w:t>
      </w:r>
      <w:proofErr w:type="gramStart"/>
      <w:r w:rsidR="00F30F12">
        <w:rPr>
          <w:rFonts w:eastAsia="Times New Roman"/>
          <w:sz w:val="24"/>
          <w:szCs w:val="24"/>
        </w:rPr>
        <w:t>period of time</w:t>
      </w:r>
      <w:proofErr w:type="gramEnd"/>
      <w:r w:rsidR="00F30F12">
        <w:rPr>
          <w:rFonts w:eastAsia="Times New Roman"/>
          <w:sz w:val="24"/>
          <w:szCs w:val="24"/>
        </w:rPr>
        <w:t xml:space="preserve"> to complete a preexisting contract with a replacement item.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 xml:space="preserve">Duggan v. Bd. of </w:t>
      </w:r>
      <w:proofErr w:type="spellStart"/>
      <w:r w:rsidRPr="00E551EB">
        <w:rPr>
          <w:rFonts w:eastAsia="Times New Roman"/>
          <w:b/>
          <w:sz w:val="24"/>
          <w:szCs w:val="24"/>
        </w:rPr>
        <w:t>Cty</w:t>
      </w:r>
      <w:proofErr w:type="spellEnd"/>
      <w:r w:rsidRPr="00E551EB">
        <w:rPr>
          <w:rFonts w:eastAsia="Times New Roman"/>
          <w:b/>
          <w:sz w:val="24"/>
          <w:szCs w:val="24"/>
        </w:rPr>
        <w:t>. 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 xml:space="preserve">Koenig v. </w:t>
      </w:r>
      <w:proofErr w:type="spellStart"/>
      <w:r w:rsidRPr="00E551EB">
        <w:rPr>
          <w:rFonts w:eastAsia="Times New Roman"/>
          <w:b/>
          <w:sz w:val="24"/>
          <w:szCs w:val="24"/>
        </w:rPr>
        <w:t>PurCo</w:t>
      </w:r>
      <w:proofErr w:type="spellEnd"/>
      <w:r w:rsidRPr="00E551EB">
        <w:rPr>
          <w:rFonts w:eastAsia="Times New Roman"/>
          <w:b/>
          <w:sz w:val="24"/>
          <w:szCs w:val="24"/>
        </w:rPr>
        <w:t xml:space="preserve"> Fleet Servs., Inc.</w:t>
      </w:r>
      <w:r w:rsidRPr="00E551EB">
        <w:rPr>
          <w:rFonts w:eastAsia="Times New Roman"/>
          <w:sz w:val="24"/>
          <w:szCs w:val="24"/>
        </w:rPr>
        <w:t>, 2012 CO 56, ¶ 3, 285 P.3d 979.</w:t>
      </w:r>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 xml:space="preserve">Hunter v. </w:t>
      </w:r>
      <w:proofErr w:type="spellStart"/>
      <w:r w:rsidRPr="00E551EB">
        <w:rPr>
          <w:rFonts w:eastAsia="Times New Roman"/>
          <w:b/>
          <w:sz w:val="24"/>
          <w:szCs w:val="24"/>
        </w:rPr>
        <w:t>Quaintance</w:t>
      </w:r>
      <w:proofErr w:type="spellEnd"/>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 xml:space="preserve">Wagner v. Dan </w:t>
      </w:r>
      <w:proofErr w:type="spellStart"/>
      <w:r w:rsidRPr="00E551EB">
        <w:rPr>
          <w:rFonts w:eastAsia="Times New Roman"/>
          <w:b/>
          <w:sz w:val="24"/>
          <w:szCs w:val="24"/>
        </w:rPr>
        <w:t>Unfug</w:t>
      </w:r>
      <w:proofErr w:type="spellEnd"/>
      <w:r w:rsidRPr="00E551EB">
        <w:rPr>
          <w:rFonts w:eastAsia="Times New Roman"/>
          <w:b/>
          <w:sz w:val="24"/>
          <w:szCs w:val="24"/>
        </w:rPr>
        <w:t xml:space="preserve">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40F32073"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w:t>
      </w:r>
      <w:proofErr w:type="gramStart"/>
      <w:r w:rsidRPr="00E551EB">
        <w:rPr>
          <w:rFonts w:eastAsia="Times New Roman"/>
          <w:sz w:val="24"/>
          <w:szCs w:val="24"/>
        </w:rPr>
        <w:t>actually lost</w:t>
      </w:r>
      <w:proofErr w:type="gramEnd"/>
      <w:r w:rsidRPr="00E551EB">
        <w:rPr>
          <w:rFonts w:eastAsia="Times New Roman"/>
          <w:sz w:val="24"/>
          <w:szCs w:val="24"/>
        </w:rPr>
        <w:t xml:space="preserve"> the chance for income from the rental. Rather, the property owner is entitled to recover because the owner lost the right to earn a profit from the rental. </w:t>
      </w:r>
      <w:r w:rsidRPr="00E551EB">
        <w:rPr>
          <w:rFonts w:eastAsia="Times New Roman"/>
          <w:b/>
          <w:sz w:val="24"/>
          <w:szCs w:val="24"/>
        </w:rPr>
        <w:t>Koenig</w:t>
      </w:r>
      <w:r w:rsidRPr="00E551EB">
        <w:rPr>
          <w:rFonts w:eastAsia="Times New Roman"/>
          <w:sz w:val="24"/>
          <w:szCs w:val="24"/>
        </w:rPr>
        <w:t>, ¶ 14</w:t>
      </w:r>
      <w:r w:rsidR="00146EDF">
        <w:rPr>
          <w:rFonts w:eastAsia="Times New Roman"/>
          <w:sz w:val="24"/>
          <w:szCs w:val="24"/>
        </w:rPr>
        <w:t>, 285 P.3d at 983</w:t>
      </w:r>
      <w:r w:rsidRPr="00E551EB">
        <w:rPr>
          <w:rFonts w:eastAsia="Times New Roman"/>
          <w:sz w:val="24"/>
          <w:szCs w:val="24"/>
        </w:rPr>
        <w:t xml:space="preserve">. However, in a case involving loss of use of a personal vehicle while it is repaired, damages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121 Colo. at 24-25, 212 P.2d at 502.</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lastRenderedPageBreak/>
        <w:t>C. MULTIPLE RECOVERY</w:t>
      </w:r>
    </w:p>
    <w:p w14:paraId="7CBAE0A8" w14:textId="77777777" w:rsidR="00E551EB" w:rsidRPr="009E3DA4" w:rsidRDefault="00E551EB" w:rsidP="00E551EB">
      <w:pPr>
        <w:spacing w:after="240"/>
        <w:ind w:left="720" w:hanging="720"/>
        <w:rPr>
          <w:rFonts w:eastAsia="Times New Roman"/>
          <w:b/>
          <w:sz w:val="24"/>
          <w:szCs w:val="24"/>
        </w:rPr>
      </w:pPr>
      <w:bookmarkStart w:id="18" w:name="a6_14"/>
      <w:bookmarkEnd w:id="18"/>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you find for the plaintiff on more than one claim for relief, you may award (him) (her)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78E7EF5C" w14:textId="77777777" w:rsidR="009E365F" w:rsidRPr="001B32FD" w:rsidRDefault="009E365F" w:rsidP="009E365F">
      <w:pPr>
        <w:spacing w:after="240"/>
        <w:ind w:firstLine="720"/>
        <w:rPr>
          <w:rFonts w:asciiTheme="minorBidi" w:hAnsiTheme="minorBidi" w:cs="Times New Roman (Body CS)"/>
          <w:sz w:val="24"/>
          <w:szCs w:val="24"/>
        </w:rPr>
      </w:pPr>
      <w:r w:rsidRPr="001B32FD">
        <w:rPr>
          <w:rFonts w:eastAsia="Times New Roman"/>
          <w:sz w:val="24"/>
          <w:szCs w:val="24"/>
        </w:rPr>
        <w:t xml:space="preserve">1. </w:t>
      </w:r>
      <w:r w:rsidRPr="001B32FD">
        <w:rPr>
          <w:rFonts w:asciiTheme="minorBidi" w:hAnsiTheme="minorBidi" w:cs="Times New Roman (Body CS)"/>
          <w:sz w:val="24"/>
          <w:szCs w:val="24"/>
        </w:rPr>
        <w:t xml:space="preserve">Where a party </w:t>
      </w:r>
      <w:r>
        <w:rPr>
          <w:rFonts w:asciiTheme="minorBidi" w:hAnsiTheme="minorBidi" w:cs="Times New Roman (Body CS)"/>
          <w:sz w:val="24"/>
          <w:szCs w:val="24"/>
        </w:rPr>
        <w:t>prevails on</w:t>
      </w:r>
      <w:r w:rsidRPr="001B32FD">
        <w:rPr>
          <w:rFonts w:asciiTheme="minorBidi" w:hAnsiTheme="minorBidi" w:cs="Times New Roman (Body CS)"/>
          <w:sz w:val="24"/>
          <w:szCs w:val="24"/>
        </w:rPr>
        <w:t xml:space="preserve"> multiple claims seeking the same damages, the jury must award the full amount of damages it finds but must award those damages only once. The Committee recommends that, wherever possible, the jury be given unified step-by-step special verdict forms (</w:t>
      </w:r>
      <w:r w:rsidRPr="001B32FD">
        <w:rPr>
          <w:rFonts w:asciiTheme="minorBidi" w:hAnsiTheme="minorBidi" w:cs="Times New Roman (Body CS)"/>
          <w:i/>
          <w:sz w:val="24"/>
          <w:szCs w:val="24"/>
        </w:rPr>
        <w:t>see, e.g.</w:t>
      </w:r>
      <w:r w:rsidRPr="001B32FD">
        <w:rPr>
          <w:rFonts w:asciiTheme="minorBidi" w:hAnsiTheme="minorBidi" w:cs="Times New Roman (Body CS)"/>
          <w:sz w:val="24"/>
          <w:szCs w:val="24"/>
        </w:rPr>
        <w:t xml:space="preserve">, Instruction 4:20) that should lead the jury to award the full amount of damages it intends but minimize the risk of awarding the same damages more than once. </w:t>
      </w:r>
    </w:p>
    <w:p w14:paraId="74D6A371" w14:textId="439E298B" w:rsidR="009E365F" w:rsidRPr="0043369C" w:rsidRDefault="009E365F" w:rsidP="009E365F">
      <w:pPr>
        <w:spacing w:after="240"/>
        <w:ind w:firstLine="720"/>
        <w:rPr>
          <w:rFonts w:eastAsia="Times New Roman"/>
          <w:sz w:val="24"/>
          <w:szCs w:val="24"/>
        </w:rPr>
      </w:pPr>
      <w:r>
        <w:rPr>
          <w:rFonts w:eastAsia="Times New Roman"/>
          <w:sz w:val="24"/>
          <w:szCs w:val="24"/>
        </w:rPr>
        <w:t>2</w:t>
      </w:r>
      <w:r w:rsidRPr="0043369C">
        <w:rPr>
          <w:rFonts w:eastAsia="Times New Roman"/>
          <w:sz w:val="24"/>
          <w:szCs w:val="24"/>
        </w:rPr>
        <w:t xml:space="preserve">. In </w:t>
      </w:r>
      <w:proofErr w:type="spellStart"/>
      <w:r w:rsidRPr="0043369C">
        <w:rPr>
          <w:rFonts w:eastAsia="Times New Roman"/>
          <w:b/>
          <w:sz w:val="24"/>
          <w:szCs w:val="24"/>
        </w:rPr>
        <w:t>Schuessler</w:t>
      </w:r>
      <w:proofErr w:type="spellEnd"/>
      <w:r w:rsidRPr="0043369C">
        <w:rPr>
          <w:rFonts w:eastAsia="Times New Roman"/>
          <w:b/>
          <w:sz w:val="24"/>
          <w:szCs w:val="24"/>
        </w:rPr>
        <w:t xml:space="preserve"> v. Wolter</w:t>
      </w:r>
      <w:r w:rsidRPr="0043369C">
        <w:rPr>
          <w:rFonts w:eastAsia="Times New Roman"/>
          <w:sz w:val="24"/>
          <w:szCs w:val="24"/>
        </w:rPr>
        <w:t xml:space="preserve">, 2012 COA 86, </w:t>
      </w:r>
      <w:r>
        <w:rPr>
          <w:rFonts w:eastAsia="Times New Roman"/>
          <w:sz w:val="24"/>
          <w:szCs w:val="24"/>
        </w:rPr>
        <w:t xml:space="preserve">310 P.3d 151, </w:t>
      </w:r>
      <w:r w:rsidRPr="0043369C">
        <w:rPr>
          <w:rFonts w:eastAsia="Times New Roman"/>
          <w:sz w:val="24"/>
          <w:szCs w:val="24"/>
        </w:rPr>
        <w:t xml:space="preserve">the jury awarded an identical amount against each of two defendants for noneconomic damages. One defendant argued on appeal that the jury had impermissibly awarded the same damages twice. The court of appeals disagreed and affirmed the damage award because Instruction 6:14 had been given, and the court presumed that the jury had followed it.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65. The court further stated: “When multiple claims are presented that are duplicative in terms of their recoverable damages, an instruction prohibiting multiple recoveries for the same damages must be given.” </w:t>
      </w:r>
      <w:r w:rsidRPr="0043369C">
        <w:rPr>
          <w:rFonts w:eastAsia="Times New Roman"/>
          <w:i/>
          <w:sz w:val="24"/>
          <w:szCs w:val="24"/>
        </w:rPr>
        <w:t>Id.</w:t>
      </w:r>
      <w:r w:rsidRPr="0043369C">
        <w:rPr>
          <w:rFonts w:eastAsia="Times New Roman"/>
          <w:sz w:val="24"/>
          <w:szCs w:val="24"/>
        </w:rPr>
        <w:t xml:space="preserve"> at ¶</w:t>
      </w:r>
      <w:r>
        <w:rPr>
          <w:rFonts w:eastAsia="Times New Roman"/>
          <w:sz w:val="24"/>
          <w:szCs w:val="24"/>
        </w:rPr>
        <w:t xml:space="preserve"> </w:t>
      </w:r>
      <w:r w:rsidRPr="0043369C">
        <w:rPr>
          <w:rFonts w:eastAsia="Times New Roman"/>
          <w:sz w:val="24"/>
          <w:szCs w:val="24"/>
        </w:rPr>
        <w:t xml:space="preserve">64. </w:t>
      </w:r>
    </w:p>
    <w:p w14:paraId="69490C2D" w14:textId="65F6BA6F" w:rsidR="009E365F" w:rsidRDefault="009E365F" w:rsidP="009E365F">
      <w:pPr>
        <w:spacing w:after="240"/>
        <w:ind w:firstLine="720"/>
        <w:rPr>
          <w:rFonts w:eastAsia="Times New Roman"/>
          <w:sz w:val="24"/>
          <w:szCs w:val="24"/>
        </w:rPr>
      </w:pPr>
      <w:r>
        <w:rPr>
          <w:rFonts w:eastAsia="Times New Roman"/>
          <w:sz w:val="24"/>
          <w:szCs w:val="24"/>
        </w:rPr>
        <w:t>3</w:t>
      </w:r>
      <w:r w:rsidRPr="0043369C">
        <w:rPr>
          <w:rFonts w:eastAsia="Times New Roman"/>
          <w:sz w:val="24"/>
          <w:szCs w:val="24"/>
        </w:rPr>
        <w:t xml:space="preserve">. In </w:t>
      </w:r>
      <w:r w:rsidRPr="0043369C">
        <w:rPr>
          <w:rFonts w:eastAsia="Times New Roman"/>
          <w:b/>
          <w:sz w:val="24"/>
          <w:szCs w:val="24"/>
        </w:rPr>
        <w:t xml:space="preserve">Steward Software Co. v. </w:t>
      </w:r>
      <w:proofErr w:type="spellStart"/>
      <w:r w:rsidRPr="0043369C">
        <w:rPr>
          <w:rFonts w:eastAsia="Times New Roman"/>
          <w:b/>
          <w:sz w:val="24"/>
          <w:szCs w:val="24"/>
        </w:rPr>
        <w:t>Kopcho</w:t>
      </w:r>
      <w:proofErr w:type="spellEnd"/>
      <w:r w:rsidRPr="0043369C">
        <w:rPr>
          <w:rFonts w:eastAsia="Times New Roman"/>
          <w:sz w:val="24"/>
          <w:szCs w:val="24"/>
        </w:rPr>
        <w:t xml:space="preserve">, 275 P.3d 702 (Colo. App. 2010), </w:t>
      </w:r>
      <w:proofErr w:type="spellStart"/>
      <w:r w:rsidRPr="001B32FD">
        <w:rPr>
          <w:rFonts w:eastAsia="Times New Roman"/>
          <w:i/>
          <w:sz w:val="24"/>
          <w:szCs w:val="24"/>
        </w:rPr>
        <w:t>rev’d</w:t>
      </w:r>
      <w:proofErr w:type="spellEnd"/>
      <w:r w:rsidRPr="001B32FD">
        <w:rPr>
          <w:rFonts w:eastAsia="Times New Roman"/>
          <w:i/>
          <w:sz w:val="24"/>
          <w:szCs w:val="24"/>
        </w:rPr>
        <w:t xml:space="preserve"> on other grounds</w:t>
      </w:r>
      <w:r w:rsidRPr="0043369C">
        <w:rPr>
          <w:rFonts w:eastAsia="Times New Roman"/>
          <w:sz w:val="24"/>
          <w:szCs w:val="24"/>
        </w:rPr>
        <w:t xml:space="preserve">, 266 P.3d 1085 (Colo. 2011), in contrast, the court reversed a judgment involving multiple claims for the same damages even though this instruction was given. Plaintiff asserted three claims for the same damages, and the jury found for plaintiff on all three. However, the jury awarded substantive damages on one claim and nominal damages on the other two. </w:t>
      </w:r>
      <w:r w:rsidRPr="008664CD">
        <w:rPr>
          <w:rFonts w:eastAsia="Times New Roman"/>
          <w:sz w:val="24"/>
          <w:szCs w:val="24"/>
        </w:rPr>
        <w:t>While declining to conclude that “pattern instruction 6:14, standing alone, was erroneous,”</w:t>
      </w:r>
      <w:r w:rsidRPr="00F50150">
        <w:rPr>
          <w:rFonts w:eastAsia="Times New Roman"/>
          <w:sz w:val="24"/>
          <w:szCs w:val="24"/>
        </w:rPr>
        <w:t xml:space="preserve"> </w:t>
      </w:r>
      <w:r w:rsidRPr="009F2C43">
        <w:rPr>
          <w:rFonts w:eastAsia="Times New Roman"/>
          <w:sz w:val="24"/>
          <w:szCs w:val="24"/>
        </w:rPr>
        <w:t>t</w:t>
      </w:r>
      <w:r w:rsidRPr="0043369C">
        <w:rPr>
          <w:rFonts w:eastAsia="Times New Roman"/>
          <w:sz w:val="24"/>
          <w:szCs w:val="24"/>
        </w:rPr>
        <w:t xml:space="preserve">he court held that under all the circumstances of the case and in the absence of other clarifying instructions, “the instructions as a whole erroneously prevented the jury from awarding the same damages on all three of [plaintiff’s] claims.” 275 P.3d at 711. In such cases, the court held, “the jury must be directed to award the same damages on all three claims if the damages are proven as to those claims.” </w:t>
      </w:r>
      <w:r w:rsidRPr="00BA40D4">
        <w:rPr>
          <w:rFonts w:eastAsia="Times New Roman"/>
          <w:i/>
          <w:sz w:val="24"/>
          <w:szCs w:val="24"/>
        </w:rPr>
        <w:t>Id.</w:t>
      </w:r>
      <w:r w:rsidRPr="0043369C">
        <w:rPr>
          <w:rFonts w:eastAsia="Times New Roman"/>
          <w:sz w:val="24"/>
          <w:szCs w:val="24"/>
        </w:rPr>
        <w:t xml:space="preserve">  </w:t>
      </w:r>
    </w:p>
    <w:p w14:paraId="32650A5E" w14:textId="532F5C6D" w:rsidR="009E365F" w:rsidRPr="00BA40D4" w:rsidRDefault="009E365F" w:rsidP="009E365F">
      <w:pPr>
        <w:spacing w:after="240"/>
        <w:ind w:firstLine="720"/>
        <w:rPr>
          <w:rFonts w:eastAsia="Times New Roman"/>
          <w:sz w:val="24"/>
          <w:szCs w:val="24"/>
        </w:rPr>
      </w:pPr>
      <w:r>
        <w:rPr>
          <w:rFonts w:eastAsia="Times New Roman"/>
          <w:sz w:val="24"/>
          <w:szCs w:val="24"/>
        </w:rPr>
        <w:t>4</w:t>
      </w:r>
      <w:r w:rsidRPr="00BA40D4">
        <w:rPr>
          <w:rFonts w:eastAsia="Times New Roman"/>
          <w:sz w:val="24"/>
          <w:szCs w:val="24"/>
        </w:rPr>
        <w:t xml:space="preserve">. </w:t>
      </w:r>
      <w:r w:rsidRPr="00BA40D4">
        <w:rPr>
          <w:rFonts w:asciiTheme="minorBidi" w:hAnsiTheme="minorBidi" w:cs="Times New Roman (Body CS)"/>
          <w:sz w:val="24"/>
          <w:szCs w:val="24"/>
        </w:rPr>
        <w:t xml:space="preserve">In cases with multiple claims seeking the same damages, the Committee recommends that the issues illustrated by </w:t>
      </w:r>
      <w:proofErr w:type="spellStart"/>
      <w:r w:rsidRPr="00BA40D4">
        <w:rPr>
          <w:rFonts w:asciiTheme="minorBidi" w:hAnsiTheme="minorBidi" w:cs="Times New Roman (Body CS)"/>
          <w:b/>
          <w:bCs/>
          <w:sz w:val="24"/>
          <w:szCs w:val="24"/>
        </w:rPr>
        <w:t>Schuessler</w:t>
      </w:r>
      <w:proofErr w:type="spellEnd"/>
      <w:r w:rsidRPr="00BA40D4">
        <w:rPr>
          <w:rFonts w:asciiTheme="minorBidi" w:hAnsiTheme="minorBidi" w:cs="Times New Roman (Body CS)"/>
          <w:sz w:val="24"/>
          <w:szCs w:val="24"/>
        </w:rPr>
        <w:t xml:space="preserve"> and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xml:space="preserve"> be dealt with primarily by designing the special verdict form to lead the jury ste</w:t>
      </w:r>
      <w:r>
        <w:rPr>
          <w:rFonts w:asciiTheme="minorBidi" w:hAnsiTheme="minorBidi" w:cs="Times New Roman (Body CS)"/>
          <w:sz w:val="24"/>
          <w:szCs w:val="24"/>
        </w:rPr>
        <w:t>p-by-</w:t>
      </w:r>
      <w:r w:rsidRPr="00BA40D4">
        <w:rPr>
          <w:rFonts w:asciiTheme="minorBidi" w:hAnsiTheme="minorBidi" w:cs="Times New Roman (Body CS)"/>
          <w:sz w:val="24"/>
          <w:szCs w:val="24"/>
        </w:rPr>
        <w:t xml:space="preserve">step through the decision-making process. Additional clarifying instructions may be necessary. </w:t>
      </w:r>
      <w:r w:rsidRPr="00BA40D4">
        <w:rPr>
          <w:rFonts w:asciiTheme="minorBidi" w:hAnsiTheme="minorBidi" w:cs="Times New Roman (Body CS)"/>
          <w:b/>
          <w:bCs/>
          <w:sz w:val="24"/>
          <w:szCs w:val="24"/>
        </w:rPr>
        <w:t>Steward Software</w:t>
      </w:r>
      <w:r w:rsidRPr="00BA40D4">
        <w:rPr>
          <w:rFonts w:asciiTheme="minorBidi" w:hAnsiTheme="minorBidi" w:cs="Times New Roman (Body CS)"/>
          <w:sz w:val="24"/>
          <w:szCs w:val="24"/>
        </w:rPr>
        <w:t>, 275 P.3d at 711.</w:t>
      </w:r>
      <w:r w:rsidRPr="00BA40D4">
        <w:rPr>
          <w:rFonts w:asciiTheme="minorBidi" w:hAnsiTheme="minorBidi" w:cs="Times New Roman (Body CS)"/>
          <w:b/>
          <w:bCs/>
          <w:sz w:val="24"/>
          <w:szCs w:val="24"/>
        </w:rPr>
        <w:t xml:space="preserve"> </w:t>
      </w:r>
      <w:r w:rsidRPr="00BA40D4">
        <w:rPr>
          <w:rFonts w:asciiTheme="minorBidi" w:hAnsiTheme="minorBidi" w:cs="Times New Roman (Body CS)"/>
          <w:sz w:val="24"/>
          <w:szCs w:val="24"/>
        </w:rPr>
        <w:t xml:space="preserve">For example, in a case where a single plaintiff asserts three claims against a single defendant for the same damages, the verdict form should direct the jury, using or adapting the </w:t>
      </w:r>
      <w:r w:rsidRPr="00BA40D4">
        <w:rPr>
          <w:rFonts w:asciiTheme="minorBidi" w:hAnsiTheme="minorBidi" w:cs="Times New Roman (Body CS)"/>
          <w:sz w:val="24"/>
          <w:szCs w:val="24"/>
        </w:rPr>
        <w:lastRenderedPageBreak/>
        <w:t>format in Instructions 4:15, 4:16, and 4:20, to decide which party prevailed on each claim. If the jury finds for the plaintiff on any of the claims, the jury should be directed to answer a separate single question asking the jury to state the amount of damages. The damages question should be introduced with a direction, in sum or substance, that plaintiff has asserted three claims for the same damages and that consequently the jury’s answer to the damages question must be the same regardless of whether the jury found for the plaintiff on one, two, or all three claims. If the plaintiff asserts other claims for different damages, the verdict form then would lead the jury to decide those claims.</w:t>
      </w:r>
    </w:p>
    <w:p w14:paraId="694B80D4" w14:textId="4A5258F5" w:rsidR="009E365F" w:rsidRDefault="009E365F" w:rsidP="009E365F">
      <w:pPr>
        <w:spacing w:after="240"/>
        <w:ind w:firstLine="720"/>
        <w:rPr>
          <w:rFonts w:eastAsia="Times New Roman"/>
          <w:sz w:val="24"/>
          <w:szCs w:val="24"/>
        </w:rPr>
      </w:pPr>
      <w:r>
        <w:rPr>
          <w:rFonts w:eastAsia="Times New Roman"/>
          <w:sz w:val="24"/>
          <w:szCs w:val="24"/>
        </w:rPr>
        <w:t>5</w:t>
      </w:r>
      <w:r w:rsidRPr="0043369C">
        <w:rPr>
          <w:rFonts w:eastAsia="Times New Roman"/>
          <w:sz w:val="24"/>
          <w:szCs w:val="24"/>
        </w:rPr>
        <w:t xml:space="preserve">. </w:t>
      </w:r>
      <w:r>
        <w:rPr>
          <w:rFonts w:eastAsia="Times New Roman"/>
          <w:sz w:val="24"/>
          <w:szCs w:val="24"/>
        </w:rPr>
        <w:t>S</w:t>
      </w:r>
      <w:r w:rsidRPr="0043369C">
        <w:rPr>
          <w:rFonts w:eastAsia="Times New Roman"/>
          <w:sz w:val="24"/>
          <w:szCs w:val="24"/>
        </w:rPr>
        <w:t>ome cases are more complex because, for example</w:t>
      </w:r>
      <w:r>
        <w:rPr>
          <w:rFonts w:eastAsia="Times New Roman"/>
          <w:sz w:val="24"/>
          <w:szCs w:val="24"/>
        </w:rPr>
        <w:t>,</w:t>
      </w:r>
      <w:r w:rsidRPr="0043369C">
        <w:rPr>
          <w:rFonts w:eastAsia="Times New Roman"/>
          <w:sz w:val="24"/>
          <w:szCs w:val="24"/>
        </w:rPr>
        <w:t xml:space="preserve"> the damages awardable on two claims overlap but are not identical</w:t>
      </w:r>
      <w:r>
        <w:rPr>
          <w:rFonts w:eastAsia="Times New Roman"/>
          <w:sz w:val="24"/>
          <w:szCs w:val="24"/>
        </w:rPr>
        <w:t>,</w:t>
      </w:r>
      <w:r w:rsidRPr="0043369C">
        <w:rPr>
          <w:rFonts w:eastAsia="Times New Roman"/>
          <w:sz w:val="24"/>
          <w:szCs w:val="24"/>
        </w:rPr>
        <w:t xml:space="preserve"> </w:t>
      </w:r>
      <w:r>
        <w:rPr>
          <w:rFonts w:eastAsia="Times New Roman"/>
          <w:sz w:val="24"/>
          <w:szCs w:val="24"/>
        </w:rPr>
        <w:t xml:space="preserve">or </w:t>
      </w:r>
      <w:r w:rsidRPr="0043369C">
        <w:rPr>
          <w:rFonts w:eastAsia="Times New Roman"/>
          <w:sz w:val="24"/>
          <w:szCs w:val="24"/>
        </w:rPr>
        <w:t xml:space="preserve">some claims are asserted by or against fewer than all plaintiffs or defendants. Most of these cases </w:t>
      </w:r>
      <w:r>
        <w:rPr>
          <w:rFonts w:eastAsia="Times New Roman"/>
          <w:sz w:val="24"/>
          <w:szCs w:val="24"/>
        </w:rPr>
        <w:t>can be addressed by</w:t>
      </w:r>
      <w:r w:rsidRPr="0043369C">
        <w:rPr>
          <w:rFonts w:eastAsia="Times New Roman"/>
          <w:sz w:val="24"/>
          <w:szCs w:val="24"/>
        </w:rPr>
        <w:t xml:space="preserve"> the recommended approach. For example, where </w:t>
      </w:r>
      <w:r>
        <w:rPr>
          <w:rFonts w:eastAsia="Times New Roman"/>
          <w:sz w:val="24"/>
          <w:szCs w:val="24"/>
        </w:rPr>
        <w:t xml:space="preserve">the same economic damages are sought on both </w:t>
      </w:r>
      <w:r w:rsidRPr="0043369C">
        <w:rPr>
          <w:rFonts w:eastAsia="Times New Roman"/>
          <w:sz w:val="24"/>
          <w:szCs w:val="24"/>
        </w:rPr>
        <w:t xml:space="preserve">tort </w:t>
      </w:r>
      <w:r>
        <w:rPr>
          <w:rFonts w:eastAsia="Times New Roman"/>
          <w:sz w:val="24"/>
          <w:szCs w:val="24"/>
        </w:rPr>
        <w:t>and contract claims</w:t>
      </w:r>
      <w:r w:rsidRPr="0043369C">
        <w:rPr>
          <w:rFonts w:eastAsia="Times New Roman"/>
          <w:sz w:val="24"/>
          <w:szCs w:val="24"/>
        </w:rPr>
        <w:t>,</w:t>
      </w:r>
      <w:r>
        <w:rPr>
          <w:rFonts w:eastAsia="Times New Roman"/>
          <w:sz w:val="24"/>
          <w:szCs w:val="24"/>
        </w:rPr>
        <w:t xml:space="preserve"> noneconomic damages may be sought only on </w:t>
      </w:r>
      <w:r w:rsidRPr="0043369C">
        <w:rPr>
          <w:rFonts w:eastAsia="Times New Roman"/>
          <w:sz w:val="24"/>
          <w:szCs w:val="24"/>
        </w:rPr>
        <w:t xml:space="preserve">the tort claim. This situation can be dealt with by asking the jury to state separately the amounts of economic and noneconomic </w:t>
      </w:r>
      <w:r>
        <w:rPr>
          <w:rFonts w:eastAsia="Times New Roman"/>
          <w:sz w:val="24"/>
          <w:szCs w:val="24"/>
        </w:rPr>
        <w:t>damages</w:t>
      </w:r>
      <w:r w:rsidRPr="0043369C">
        <w:rPr>
          <w:rFonts w:eastAsia="Times New Roman"/>
          <w:sz w:val="24"/>
          <w:szCs w:val="24"/>
        </w:rPr>
        <w:t>. After the verdict, counsel and the court can readily determine the damages to be included in the judgment.</w:t>
      </w:r>
    </w:p>
    <w:p w14:paraId="2A206B8B" w14:textId="24DA1BA2" w:rsidR="00E551EB" w:rsidRPr="00E551EB" w:rsidRDefault="009E365F" w:rsidP="009E365F">
      <w:pPr>
        <w:spacing w:after="240"/>
        <w:ind w:firstLine="720"/>
        <w:rPr>
          <w:rFonts w:eastAsia="Times New Roman"/>
          <w:sz w:val="24"/>
          <w:szCs w:val="24"/>
        </w:rPr>
      </w:pPr>
      <w:r>
        <w:rPr>
          <w:rFonts w:eastAsia="Times New Roman"/>
          <w:sz w:val="24"/>
          <w:szCs w:val="24"/>
        </w:rPr>
        <w:t>6</w:t>
      </w:r>
      <w:r w:rsidRPr="00E551EB">
        <w:rPr>
          <w:rFonts w:eastAsia="Times New Roman"/>
          <w:sz w:val="24"/>
          <w:szCs w:val="24"/>
        </w:rPr>
        <w:t xml:space="preserve">. </w:t>
      </w:r>
      <w:r w:rsidRPr="00AE62BD">
        <w:rPr>
          <w:rFonts w:eastAsia="Times New Roman"/>
          <w:i/>
          <w:sz w:val="24"/>
          <w:szCs w:val="24"/>
        </w:rPr>
        <w:t>See also</w:t>
      </w:r>
      <w:r>
        <w:rPr>
          <w:rFonts w:eastAsia="Times New Roman"/>
          <w:sz w:val="24"/>
          <w:szCs w:val="24"/>
        </w:rPr>
        <w:t xml:space="preserve"> </w:t>
      </w:r>
      <w:r w:rsidR="00E551EB" w:rsidRPr="00E551EB">
        <w:rPr>
          <w:rFonts w:eastAsia="Times New Roman"/>
          <w:b/>
          <w:sz w:val="24"/>
          <w:szCs w:val="24"/>
        </w:rPr>
        <w:t xml:space="preserve">Am. Furniture Co. v. </w:t>
      </w:r>
      <w:proofErr w:type="spellStart"/>
      <w:r w:rsidR="00E551EB" w:rsidRPr="00E551EB">
        <w:rPr>
          <w:rFonts w:eastAsia="Times New Roman"/>
          <w:b/>
          <w:sz w:val="24"/>
          <w:szCs w:val="24"/>
        </w:rPr>
        <w:t>Veazie</w:t>
      </w:r>
      <w:proofErr w:type="spellEnd"/>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131 Colo. 340, 281 P.2d 803 (1955); </w:t>
      </w:r>
      <w:r w:rsidR="00E551EB" w:rsidRPr="00E551EB">
        <w:rPr>
          <w:rFonts w:eastAsia="Times New Roman"/>
          <w:b/>
          <w:sz w:val="24"/>
          <w:szCs w:val="24"/>
        </w:rPr>
        <w:t>Andrews v. Picard</w:t>
      </w:r>
      <w:r w:rsidR="00E551EB" w:rsidRPr="00E551EB">
        <w:rPr>
          <w:rFonts w:eastAsia="Times New Roman"/>
          <w:sz w:val="24"/>
          <w:szCs w:val="24"/>
        </w:rPr>
        <w:t>,</w:t>
      </w:r>
      <w:r w:rsidR="00E551EB" w:rsidRPr="00E551EB">
        <w:rPr>
          <w:rFonts w:eastAsia="Times New Roman"/>
          <w:b/>
          <w:sz w:val="24"/>
          <w:szCs w:val="24"/>
        </w:rPr>
        <w:t xml:space="preserve"> </w:t>
      </w:r>
      <w:r w:rsidR="00E551EB" w:rsidRPr="00E551EB">
        <w:rPr>
          <w:rFonts w:eastAsia="Times New Roman"/>
          <w:sz w:val="24"/>
          <w:szCs w:val="24"/>
        </w:rPr>
        <w:t xml:space="preserve">199 P.3d 6 (Colo. App. 2007); </w:t>
      </w:r>
      <w:r w:rsidR="00E551EB" w:rsidRPr="00E551EB">
        <w:rPr>
          <w:rFonts w:eastAsia="Times New Roman"/>
          <w:b/>
          <w:sz w:val="24"/>
          <w:szCs w:val="24"/>
        </w:rPr>
        <w:t xml:space="preserve">Colo. Homes, Ltd. v. </w:t>
      </w:r>
      <w:proofErr w:type="spellStart"/>
      <w:r w:rsidR="00E551EB" w:rsidRPr="00E551EB">
        <w:rPr>
          <w:rFonts w:eastAsia="Times New Roman"/>
          <w:b/>
          <w:sz w:val="24"/>
          <w:szCs w:val="24"/>
        </w:rPr>
        <w:t>Loerch</w:t>
      </w:r>
      <w:proofErr w:type="spellEnd"/>
      <w:r w:rsidR="00E551EB" w:rsidRPr="00E551EB">
        <w:rPr>
          <w:rFonts w:eastAsia="Times New Roman"/>
          <w:b/>
          <w:sz w:val="24"/>
          <w:szCs w:val="24"/>
        </w:rPr>
        <w:t>-Wilson</w:t>
      </w:r>
      <w:r w:rsidR="00E551EB" w:rsidRPr="00E551EB">
        <w:rPr>
          <w:rFonts w:eastAsia="Times New Roman"/>
          <w:sz w:val="24"/>
          <w:szCs w:val="24"/>
        </w:rPr>
        <w:t xml:space="preserve">, 43 P.3d 718 (Colo. App. 2001); </w:t>
      </w:r>
      <w:r w:rsidR="00E551EB" w:rsidRPr="00E551EB">
        <w:rPr>
          <w:rFonts w:eastAsia="Times New Roman"/>
          <w:b/>
          <w:sz w:val="24"/>
          <w:szCs w:val="24"/>
        </w:rPr>
        <w:t>DeBose v. Bear Valley Church of Christ</w:t>
      </w:r>
      <w:r w:rsidR="00E551EB" w:rsidRPr="00E551EB">
        <w:rPr>
          <w:rFonts w:eastAsia="Times New Roman"/>
          <w:sz w:val="24"/>
          <w:szCs w:val="24"/>
        </w:rPr>
        <w:t xml:space="preserve">, 890 P.2d 214 (Colo. App. 1994), </w:t>
      </w:r>
      <w:proofErr w:type="spellStart"/>
      <w:r w:rsidR="00E551EB" w:rsidRPr="00E551EB">
        <w:rPr>
          <w:rFonts w:eastAsia="Times New Roman"/>
          <w:i/>
          <w:sz w:val="24"/>
          <w:szCs w:val="24"/>
        </w:rPr>
        <w:t>rev’d</w:t>
      </w:r>
      <w:proofErr w:type="spellEnd"/>
      <w:r w:rsidR="00E551EB" w:rsidRPr="00E551EB">
        <w:rPr>
          <w:rFonts w:eastAsia="Times New Roman"/>
          <w:i/>
          <w:sz w:val="24"/>
          <w:szCs w:val="24"/>
        </w:rPr>
        <w:t xml:space="preserve"> on other grounds</w:t>
      </w:r>
      <w:r w:rsidR="00E551EB" w:rsidRPr="00E551EB">
        <w:rPr>
          <w:rFonts w:eastAsia="Times New Roman"/>
          <w:sz w:val="24"/>
          <w:szCs w:val="24"/>
        </w:rPr>
        <w:t>, 928 P.2d 1315 (Colo. 1996)</w:t>
      </w:r>
      <w:r>
        <w:rPr>
          <w:rFonts w:eastAsia="Times New Roman"/>
          <w:sz w:val="24"/>
          <w:szCs w:val="24"/>
        </w:rPr>
        <w:t xml:space="preserve">; </w:t>
      </w:r>
      <w:proofErr w:type="spellStart"/>
      <w:r w:rsidRPr="00E551EB">
        <w:rPr>
          <w:rFonts w:eastAsia="Times New Roman"/>
          <w:b/>
          <w:sz w:val="24"/>
          <w:szCs w:val="24"/>
        </w:rPr>
        <w:t>Rusch</w:t>
      </w:r>
      <w:proofErr w:type="spellEnd"/>
      <w:r w:rsidRPr="00E551EB">
        <w:rPr>
          <w:rFonts w:eastAsia="Times New Roman"/>
          <w:b/>
          <w:sz w:val="24"/>
          <w:szCs w:val="24"/>
        </w:rPr>
        <w:t xml:space="preserve"> v. Lincoln-Devore Testing Lab., Inc.</w:t>
      </w:r>
      <w:r w:rsidRPr="00E551EB">
        <w:rPr>
          <w:rFonts w:eastAsia="Times New Roman"/>
          <w:sz w:val="24"/>
          <w:szCs w:val="24"/>
        </w:rPr>
        <w:t>, 698 P.2d 832 (Colo. App. 1984)</w:t>
      </w:r>
      <w:r w:rsidR="00E551EB" w:rsidRPr="00E551EB">
        <w:rPr>
          <w:rFonts w:eastAsia="Times New Roman"/>
          <w:sz w:val="24"/>
          <w:szCs w:val="24"/>
        </w:rPr>
        <w:t>.</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281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authority clearly indicates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C.R.C.P. 18(a), 318(a); </w:t>
      </w:r>
      <w:r w:rsidRPr="00E551EB">
        <w:rPr>
          <w:rFonts w:eastAsia="Times New Roman"/>
          <w:b/>
          <w:sz w:val="24"/>
          <w:szCs w:val="24"/>
        </w:rPr>
        <w:t>Stewart v. Blanning</w:t>
      </w:r>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r w:rsidRPr="00E551EB">
        <w:rPr>
          <w:rFonts w:eastAsia="Times New Roman"/>
          <w:b/>
          <w:sz w:val="24"/>
          <w:szCs w:val="24"/>
        </w:rPr>
        <w:t>Quist v. Specialties Supply Co.</w:t>
      </w:r>
      <w:r w:rsidRPr="00E551EB">
        <w:rPr>
          <w:rFonts w:eastAsia="Times New Roman"/>
          <w:sz w:val="24"/>
          <w:szCs w:val="24"/>
        </w:rPr>
        <w:t>, 12 P.3d 863 (Colo. App. 2000).</w:t>
      </w:r>
    </w:p>
    <w:sectPr w:rsidR="00E551E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9217" w14:textId="77777777" w:rsidR="00C65208" w:rsidRDefault="00C65208" w:rsidP="0054263B">
      <w:r>
        <w:separator/>
      </w:r>
    </w:p>
    <w:p w14:paraId="1EC14291" w14:textId="77777777" w:rsidR="00C65208" w:rsidRDefault="00C65208"/>
  </w:endnote>
  <w:endnote w:type="continuationSeparator" w:id="0">
    <w:p w14:paraId="2581C4C8" w14:textId="77777777" w:rsidR="00C65208" w:rsidRDefault="00C65208" w:rsidP="0054263B">
      <w:r>
        <w:continuationSeparator/>
      </w:r>
    </w:p>
    <w:p w14:paraId="7E66E586" w14:textId="77777777" w:rsidR="00C65208" w:rsidRDefault="00C65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3063A27" w14:textId="77777777" w:rsidR="00FD488F" w:rsidRDefault="00FD488F">
        <w:pPr>
          <w:pStyle w:val="Footer"/>
          <w:jc w:val="center"/>
        </w:pPr>
        <w:r>
          <w:fldChar w:fldCharType="begin"/>
        </w:r>
        <w:r>
          <w:instrText xml:space="preserve"> PAGE   \* MERGEFORMAT </w:instrText>
        </w:r>
        <w:r>
          <w:fldChar w:fldCharType="separate"/>
        </w:r>
        <w:r w:rsidR="005F223A">
          <w:rPr>
            <w:noProof/>
          </w:rPr>
          <w:t>2</w:t>
        </w:r>
        <w:r>
          <w:rPr>
            <w:noProof/>
          </w:rPr>
          <w:fldChar w:fldCharType="end"/>
        </w:r>
      </w:p>
    </w:sdtContent>
  </w:sdt>
  <w:p w14:paraId="70F197F2" w14:textId="77777777" w:rsidR="00FD488F" w:rsidRDefault="00FD488F">
    <w:pPr>
      <w:pStyle w:val="Footer"/>
    </w:pPr>
  </w:p>
  <w:p w14:paraId="7F5F1E70" w14:textId="77777777" w:rsidR="00FD488F" w:rsidRDefault="00FD48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AFA6" w14:textId="77777777" w:rsidR="00C65208" w:rsidRDefault="00C65208" w:rsidP="0054263B">
      <w:r>
        <w:separator/>
      </w:r>
    </w:p>
    <w:p w14:paraId="15CD492D" w14:textId="77777777" w:rsidR="00C65208" w:rsidRDefault="00C65208"/>
  </w:footnote>
  <w:footnote w:type="continuationSeparator" w:id="0">
    <w:p w14:paraId="790183B7" w14:textId="77777777" w:rsidR="00C65208" w:rsidRDefault="00C65208" w:rsidP="0054263B">
      <w:r>
        <w:continuationSeparator/>
      </w:r>
    </w:p>
    <w:p w14:paraId="4A270A93" w14:textId="77777777" w:rsidR="00C65208" w:rsidRDefault="00C652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8103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16142"/>
    <w:rsid w:val="00037111"/>
    <w:rsid w:val="000425EB"/>
    <w:rsid w:val="00042DA3"/>
    <w:rsid w:val="00067F64"/>
    <w:rsid w:val="00085495"/>
    <w:rsid w:val="00085913"/>
    <w:rsid w:val="000921F1"/>
    <w:rsid w:val="00094989"/>
    <w:rsid w:val="000962C8"/>
    <w:rsid w:val="000C6F97"/>
    <w:rsid w:val="000C7496"/>
    <w:rsid w:val="000C76FE"/>
    <w:rsid w:val="000D0AB6"/>
    <w:rsid w:val="001024A2"/>
    <w:rsid w:val="001117D9"/>
    <w:rsid w:val="001246C3"/>
    <w:rsid w:val="00146EDF"/>
    <w:rsid w:val="00172674"/>
    <w:rsid w:val="001903CB"/>
    <w:rsid w:val="001913B1"/>
    <w:rsid w:val="00191498"/>
    <w:rsid w:val="001967DF"/>
    <w:rsid w:val="001A2648"/>
    <w:rsid w:val="001A3389"/>
    <w:rsid w:val="001B593C"/>
    <w:rsid w:val="001E48B2"/>
    <w:rsid w:val="001F41F5"/>
    <w:rsid w:val="00200BA5"/>
    <w:rsid w:val="0020410C"/>
    <w:rsid w:val="002065D8"/>
    <w:rsid w:val="00213641"/>
    <w:rsid w:val="0021368F"/>
    <w:rsid w:val="0022134E"/>
    <w:rsid w:val="00223286"/>
    <w:rsid w:val="00291B13"/>
    <w:rsid w:val="002A0F72"/>
    <w:rsid w:val="002A23B0"/>
    <w:rsid w:val="002A5AB7"/>
    <w:rsid w:val="002B6D2C"/>
    <w:rsid w:val="002E0384"/>
    <w:rsid w:val="002E0970"/>
    <w:rsid w:val="002E6FAF"/>
    <w:rsid w:val="002F48D6"/>
    <w:rsid w:val="00320613"/>
    <w:rsid w:val="003247EA"/>
    <w:rsid w:val="00334049"/>
    <w:rsid w:val="003355B1"/>
    <w:rsid w:val="00336CE4"/>
    <w:rsid w:val="00344302"/>
    <w:rsid w:val="00352111"/>
    <w:rsid w:val="003613FE"/>
    <w:rsid w:val="00361BB0"/>
    <w:rsid w:val="003937B8"/>
    <w:rsid w:val="003C576A"/>
    <w:rsid w:val="003D518C"/>
    <w:rsid w:val="003D6B3B"/>
    <w:rsid w:val="003F108C"/>
    <w:rsid w:val="003F5E0B"/>
    <w:rsid w:val="00412186"/>
    <w:rsid w:val="00421670"/>
    <w:rsid w:val="00431F59"/>
    <w:rsid w:val="00434371"/>
    <w:rsid w:val="004425AA"/>
    <w:rsid w:val="00455845"/>
    <w:rsid w:val="00456038"/>
    <w:rsid w:val="00463C54"/>
    <w:rsid w:val="00467B80"/>
    <w:rsid w:val="00471618"/>
    <w:rsid w:val="0047356A"/>
    <w:rsid w:val="004A5BE8"/>
    <w:rsid w:val="004B0CD2"/>
    <w:rsid w:val="004B7F05"/>
    <w:rsid w:val="004C0718"/>
    <w:rsid w:val="004C4647"/>
    <w:rsid w:val="004C62F9"/>
    <w:rsid w:val="004C723A"/>
    <w:rsid w:val="004E2F91"/>
    <w:rsid w:val="004E7EF1"/>
    <w:rsid w:val="004F1648"/>
    <w:rsid w:val="004F3856"/>
    <w:rsid w:val="00505377"/>
    <w:rsid w:val="00531F87"/>
    <w:rsid w:val="0054263B"/>
    <w:rsid w:val="00557FCC"/>
    <w:rsid w:val="00563A63"/>
    <w:rsid w:val="0056459F"/>
    <w:rsid w:val="00580EA6"/>
    <w:rsid w:val="00583B5A"/>
    <w:rsid w:val="00596A4C"/>
    <w:rsid w:val="005B3A78"/>
    <w:rsid w:val="005C52E2"/>
    <w:rsid w:val="005D3156"/>
    <w:rsid w:val="005E712D"/>
    <w:rsid w:val="005F223A"/>
    <w:rsid w:val="005F6120"/>
    <w:rsid w:val="005F6FC8"/>
    <w:rsid w:val="006009C3"/>
    <w:rsid w:val="00602F87"/>
    <w:rsid w:val="00626BC4"/>
    <w:rsid w:val="006272FE"/>
    <w:rsid w:val="00627CE7"/>
    <w:rsid w:val="006312C6"/>
    <w:rsid w:val="00631FE7"/>
    <w:rsid w:val="006602BD"/>
    <w:rsid w:val="00661D05"/>
    <w:rsid w:val="006645E4"/>
    <w:rsid w:val="0066513D"/>
    <w:rsid w:val="00675252"/>
    <w:rsid w:val="00682B93"/>
    <w:rsid w:val="0068336D"/>
    <w:rsid w:val="00683AEF"/>
    <w:rsid w:val="00683FA1"/>
    <w:rsid w:val="006A0F62"/>
    <w:rsid w:val="006A2527"/>
    <w:rsid w:val="006A74B6"/>
    <w:rsid w:val="006B089F"/>
    <w:rsid w:val="006B0DB1"/>
    <w:rsid w:val="006D3694"/>
    <w:rsid w:val="006E0D06"/>
    <w:rsid w:val="006E3575"/>
    <w:rsid w:val="006E62F0"/>
    <w:rsid w:val="0070333F"/>
    <w:rsid w:val="0070752A"/>
    <w:rsid w:val="007119D8"/>
    <w:rsid w:val="00713514"/>
    <w:rsid w:val="007303EC"/>
    <w:rsid w:val="00740D94"/>
    <w:rsid w:val="007532AB"/>
    <w:rsid w:val="0075398E"/>
    <w:rsid w:val="007563B8"/>
    <w:rsid w:val="00776921"/>
    <w:rsid w:val="007A3A0E"/>
    <w:rsid w:val="007A612E"/>
    <w:rsid w:val="007C3712"/>
    <w:rsid w:val="007D2BCE"/>
    <w:rsid w:val="007E1675"/>
    <w:rsid w:val="007F61BD"/>
    <w:rsid w:val="007F7129"/>
    <w:rsid w:val="00801691"/>
    <w:rsid w:val="00810A39"/>
    <w:rsid w:val="00816A00"/>
    <w:rsid w:val="0082168C"/>
    <w:rsid w:val="0083264A"/>
    <w:rsid w:val="00832DB4"/>
    <w:rsid w:val="0083763B"/>
    <w:rsid w:val="00837F81"/>
    <w:rsid w:val="00845F81"/>
    <w:rsid w:val="00850A48"/>
    <w:rsid w:val="00853ECF"/>
    <w:rsid w:val="008557E1"/>
    <w:rsid w:val="00861824"/>
    <w:rsid w:val="00866EDB"/>
    <w:rsid w:val="0087148E"/>
    <w:rsid w:val="00875064"/>
    <w:rsid w:val="00876699"/>
    <w:rsid w:val="00882FCD"/>
    <w:rsid w:val="008A6339"/>
    <w:rsid w:val="008A637B"/>
    <w:rsid w:val="008B0EBD"/>
    <w:rsid w:val="008B1617"/>
    <w:rsid w:val="008B1A76"/>
    <w:rsid w:val="008C1AE1"/>
    <w:rsid w:val="008E41F1"/>
    <w:rsid w:val="008F4C42"/>
    <w:rsid w:val="00902A25"/>
    <w:rsid w:val="0090556D"/>
    <w:rsid w:val="00914128"/>
    <w:rsid w:val="00925459"/>
    <w:rsid w:val="00935DA8"/>
    <w:rsid w:val="00951DAF"/>
    <w:rsid w:val="0095709A"/>
    <w:rsid w:val="00960E95"/>
    <w:rsid w:val="0096521C"/>
    <w:rsid w:val="00973884"/>
    <w:rsid w:val="009902F2"/>
    <w:rsid w:val="009A3899"/>
    <w:rsid w:val="009A5ACD"/>
    <w:rsid w:val="009B6746"/>
    <w:rsid w:val="009B70E6"/>
    <w:rsid w:val="009C3BCF"/>
    <w:rsid w:val="009C72B0"/>
    <w:rsid w:val="009D0D24"/>
    <w:rsid w:val="009D7371"/>
    <w:rsid w:val="009E20C7"/>
    <w:rsid w:val="009E365F"/>
    <w:rsid w:val="009E3DA4"/>
    <w:rsid w:val="009F23A7"/>
    <w:rsid w:val="00A06792"/>
    <w:rsid w:val="00A347B5"/>
    <w:rsid w:val="00A36457"/>
    <w:rsid w:val="00A36812"/>
    <w:rsid w:val="00A36F14"/>
    <w:rsid w:val="00A5516F"/>
    <w:rsid w:val="00A67468"/>
    <w:rsid w:val="00A7048D"/>
    <w:rsid w:val="00A73AE6"/>
    <w:rsid w:val="00A80C10"/>
    <w:rsid w:val="00A8400E"/>
    <w:rsid w:val="00A85AAA"/>
    <w:rsid w:val="00AA2E83"/>
    <w:rsid w:val="00AA606D"/>
    <w:rsid w:val="00AB189B"/>
    <w:rsid w:val="00AC1BAC"/>
    <w:rsid w:val="00AC78F7"/>
    <w:rsid w:val="00AD39B2"/>
    <w:rsid w:val="00AE62BD"/>
    <w:rsid w:val="00AF7D47"/>
    <w:rsid w:val="00B0264D"/>
    <w:rsid w:val="00B04DC4"/>
    <w:rsid w:val="00B35C57"/>
    <w:rsid w:val="00B37722"/>
    <w:rsid w:val="00B53DA7"/>
    <w:rsid w:val="00B567C1"/>
    <w:rsid w:val="00B579DF"/>
    <w:rsid w:val="00B6275E"/>
    <w:rsid w:val="00B70D68"/>
    <w:rsid w:val="00B72D6B"/>
    <w:rsid w:val="00B739A6"/>
    <w:rsid w:val="00B74215"/>
    <w:rsid w:val="00B86781"/>
    <w:rsid w:val="00B937E4"/>
    <w:rsid w:val="00B938FF"/>
    <w:rsid w:val="00B972E4"/>
    <w:rsid w:val="00BA4966"/>
    <w:rsid w:val="00BC0B87"/>
    <w:rsid w:val="00BC1DC9"/>
    <w:rsid w:val="00BC49BF"/>
    <w:rsid w:val="00BD7299"/>
    <w:rsid w:val="00BE2B09"/>
    <w:rsid w:val="00BE654D"/>
    <w:rsid w:val="00C00091"/>
    <w:rsid w:val="00C01572"/>
    <w:rsid w:val="00C14241"/>
    <w:rsid w:val="00C30637"/>
    <w:rsid w:val="00C40968"/>
    <w:rsid w:val="00C473A2"/>
    <w:rsid w:val="00C60E95"/>
    <w:rsid w:val="00C64E7E"/>
    <w:rsid w:val="00C65208"/>
    <w:rsid w:val="00C7356F"/>
    <w:rsid w:val="00C84E71"/>
    <w:rsid w:val="00C8797B"/>
    <w:rsid w:val="00CA41CC"/>
    <w:rsid w:val="00CA4F3B"/>
    <w:rsid w:val="00CA4F46"/>
    <w:rsid w:val="00CC0502"/>
    <w:rsid w:val="00CC1AC8"/>
    <w:rsid w:val="00CC6A95"/>
    <w:rsid w:val="00CC7E17"/>
    <w:rsid w:val="00CD4A7D"/>
    <w:rsid w:val="00CE593D"/>
    <w:rsid w:val="00D05926"/>
    <w:rsid w:val="00D06D8D"/>
    <w:rsid w:val="00D333AA"/>
    <w:rsid w:val="00D57BA1"/>
    <w:rsid w:val="00D70F81"/>
    <w:rsid w:val="00DB2C90"/>
    <w:rsid w:val="00DC63A9"/>
    <w:rsid w:val="00DC66A6"/>
    <w:rsid w:val="00DE2930"/>
    <w:rsid w:val="00DE7078"/>
    <w:rsid w:val="00DF2CB7"/>
    <w:rsid w:val="00DF3BF1"/>
    <w:rsid w:val="00E045FA"/>
    <w:rsid w:val="00E058BA"/>
    <w:rsid w:val="00E07BB8"/>
    <w:rsid w:val="00E16777"/>
    <w:rsid w:val="00E172C8"/>
    <w:rsid w:val="00E2200B"/>
    <w:rsid w:val="00E53ACD"/>
    <w:rsid w:val="00E551EB"/>
    <w:rsid w:val="00E6035F"/>
    <w:rsid w:val="00E8031C"/>
    <w:rsid w:val="00E87C31"/>
    <w:rsid w:val="00E91DC9"/>
    <w:rsid w:val="00E92A63"/>
    <w:rsid w:val="00E970B9"/>
    <w:rsid w:val="00E97FB8"/>
    <w:rsid w:val="00EA4B71"/>
    <w:rsid w:val="00EA6F5A"/>
    <w:rsid w:val="00EB1B50"/>
    <w:rsid w:val="00EB724A"/>
    <w:rsid w:val="00EC17E3"/>
    <w:rsid w:val="00EC385D"/>
    <w:rsid w:val="00EC3919"/>
    <w:rsid w:val="00EC7C98"/>
    <w:rsid w:val="00ED5E52"/>
    <w:rsid w:val="00ED7176"/>
    <w:rsid w:val="00EE20D0"/>
    <w:rsid w:val="00EE72B5"/>
    <w:rsid w:val="00EF37D7"/>
    <w:rsid w:val="00EF4043"/>
    <w:rsid w:val="00EF711B"/>
    <w:rsid w:val="00EF7890"/>
    <w:rsid w:val="00F14548"/>
    <w:rsid w:val="00F30F12"/>
    <w:rsid w:val="00F32AA4"/>
    <w:rsid w:val="00F34D28"/>
    <w:rsid w:val="00F50D0F"/>
    <w:rsid w:val="00F53140"/>
    <w:rsid w:val="00F764F4"/>
    <w:rsid w:val="00F972E3"/>
    <w:rsid w:val="00FA7B76"/>
    <w:rsid w:val="00FD488F"/>
    <w:rsid w:val="00FD7887"/>
    <w:rsid w:val="00FE00D7"/>
    <w:rsid w:val="00FF1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580EA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00232326">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13033</Words>
  <Characters>74292</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2023-03-07T16:56:00Z</dcterms:created>
  <dcterms:modified xsi:type="dcterms:W3CDTF">2023-03-07T16:56:00Z</dcterms:modified>
</cp:coreProperties>
</file>