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6453" w14:textId="45A5E06F" w:rsidR="00CA41CC" w:rsidRPr="00914128" w:rsidRDefault="0095709A" w:rsidP="00914128">
      <w:pPr>
        <w:pStyle w:val="Heading1"/>
      </w:pPr>
      <w:r>
        <w:t>CHAPTER 3</w:t>
      </w:r>
    </w:p>
    <w:p w14:paraId="6465B3CB" w14:textId="77777777" w:rsidR="00EC7C98" w:rsidRPr="00914128" w:rsidRDefault="0095709A" w:rsidP="00914128">
      <w:pPr>
        <w:pStyle w:val="Heading1"/>
      </w:pPr>
      <w:r>
        <w:t>evidence</w:t>
      </w:r>
    </w:p>
    <w:p w14:paraId="2CAF6550" w14:textId="77777777" w:rsidR="0022134E" w:rsidRPr="009B6746" w:rsidRDefault="0022134E" w:rsidP="0022134E">
      <w:pPr>
        <w:pStyle w:val="Heading1"/>
        <w:jc w:val="left"/>
        <w:rPr>
          <w:b w:val="0"/>
        </w:rPr>
      </w:pPr>
      <w:r w:rsidRPr="009B6746">
        <w:rPr>
          <w:b w:val="0"/>
        </w:rPr>
        <w:t xml:space="preserve">A. </w:t>
      </w:r>
      <w:r w:rsidR="0095709A">
        <w:rPr>
          <w:b w:val="0"/>
        </w:rPr>
        <w:t>burdens of proof</w:t>
      </w:r>
    </w:p>
    <w:p w14:paraId="5FCE7D7C" w14:textId="77777777" w:rsidR="00EC7C98" w:rsidRDefault="00000000" w:rsidP="00914128">
      <w:pPr>
        <w:pStyle w:val="ToC"/>
      </w:pPr>
      <w:hyperlink w:anchor="a3_1" w:history="1">
        <w:r w:rsidR="009E20C7" w:rsidRPr="009E20C7">
          <w:rPr>
            <w:rStyle w:val="Hyperlink"/>
          </w:rPr>
          <w:t>3:1</w:t>
        </w:r>
      </w:hyperlink>
      <w:r w:rsidR="009E20C7">
        <w:tab/>
        <w:t>Burden o</w:t>
      </w:r>
      <w:r w:rsidR="009E20C7" w:rsidRPr="009E20C7">
        <w:t xml:space="preserve">f Proof </w:t>
      </w:r>
      <w:r w:rsidR="009E20C7">
        <w:t>a</w:t>
      </w:r>
      <w:r w:rsidR="009E20C7" w:rsidRPr="009E20C7">
        <w:t xml:space="preserve">nd Preponderance </w:t>
      </w:r>
      <w:r w:rsidR="009E20C7">
        <w:t>o</w:t>
      </w:r>
      <w:r w:rsidR="009E20C7" w:rsidRPr="009E20C7">
        <w:t>f Evidence —Defined</w:t>
      </w:r>
    </w:p>
    <w:p w14:paraId="0FB0EC92" w14:textId="77777777" w:rsidR="009E20C7" w:rsidRDefault="00000000" w:rsidP="00914128">
      <w:pPr>
        <w:pStyle w:val="ToC"/>
      </w:pPr>
      <w:hyperlink w:anchor="a3_2" w:history="1">
        <w:r w:rsidR="009E20C7" w:rsidRPr="009E20C7">
          <w:rPr>
            <w:rStyle w:val="Hyperlink"/>
          </w:rPr>
          <w:t>3:2</w:t>
        </w:r>
      </w:hyperlink>
      <w:r w:rsidR="009E20C7" w:rsidRPr="009E20C7">
        <w:t xml:space="preserve"> </w:t>
      </w:r>
      <w:r w:rsidR="009E20C7" w:rsidRPr="009E20C7">
        <w:tab/>
        <w:t xml:space="preserve">Clear </w:t>
      </w:r>
      <w:r w:rsidR="009E20C7">
        <w:t>a</w:t>
      </w:r>
      <w:r w:rsidR="009E20C7" w:rsidRPr="009E20C7">
        <w:t>nd Convincing Evidence — Defined</w:t>
      </w:r>
    </w:p>
    <w:p w14:paraId="11704D72" w14:textId="77777777" w:rsidR="009E20C7" w:rsidRDefault="00000000" w:rsidP="00914128">
      <w:pPr>
        <w:pStyle w:val="ToC"/>
      </w:pPr>
      <w:hyperlink w:anchor="a3_3" w:history="1">
        <w:r w:rsidR="009E20C7" w:rsidRPr="009E20C7">
          <w:rPr>
            <w:rStyle w:val="Hyperlink"/>
          </w:rPr>
          <w:t>3:3</w:t>
        </w:r>
      </w:hyperlink>
      <w:r w:rsidR="009E20C7" w:rsidRPr="009E20C7">
        <w:t xml:space="preserve"> </w:t>
      </w:r>
      <w:r w:rsidR="009E20C7" w:rsidRPr="009E20C7">
        <w:tab/>
        <w:t>Reasonable Doubt — Defined</w:t>
      </w:r>
    </w:p>
    <w:p w14:paraId="1C57CEEE" w14:textId="77777777" w:rsidR="009E20C7" w:rsidRPr="00EC7C98" w:rsidRDefault="00000000" w:rsidP="00914128">
      <w:pPr>
        <w:pStyle w:val="ToC"/>
      </w:pPr>
      <w:hyperlink w:anchor="a3_4" w:history="1">
        <w:r w:rsidR="009E20C7" w:rsidRPr="009E20C7">
          <w:rPr>
            <w:rStyle w:val="Hyperlink"/>
          </w:rPr>
          <w:t>3:4</w:t>
        </w:r>
      </w:hyperlink>
      <w:r w:rsidR="009E20C7" w:rsidRPr="009E20C7">
        <w:t xml:space="preserve"> </w:t>
      </w:r>
      <w:r w:rsidR="009E20C7" w:rsidRPr="009E20C7">
        <w:tab/>
        <w:t>No Speculation</w:t>
      </w:r>
    </w:p>
    <w:p w14:paraId="6FAA42FF" w14:textId="77777777" w:rsidR="009B6746" w:rsidRPr="00EC7C98" w:rsidRDefault="009B6746" w:rsidP="00ED7176">
      <w:pPr>
        <w:pStyle w:val="ToC"/>
      </w:pPr>
    </w:p>
    <w:p w14:paraId="71D915DD" w14:textId="77777777" w:rsidR="009B6746" w:rsidRPr="009B6746" w:rsidRDefault="009E20C7" w:rsidP="009B6746">
      <w:pPr>
        <w:pStyle w:val="Heading1"/>
        <w:jc w:val="left"/>
        <w:rPr>
          <w:b w:val="0"/>
        </w:rPr>
      </w:pPr>
      <w:r w:rsidRPr="009E20C7">
        <w:rPr>
          <w:b w:val="0"/>
        </w:rPr>
        <w:t>B. PRESUMPTIONS AND PARTICULAR INFERENCES</w:t>
      </w:r>
    </w:p>
    <w:p w14:paraId="3028A869" w14:textId="77777777" w:rsidR="00ED7176" w:rsidRDefault="00000000" w:rsidP="00ED7176">
      <w:pPr>
        <w:pStyle w:val="ToC"/>
      </w:pPr>
      <w:hyperlink w:anchor="a3_5" w:history="1">
        <w:r w:rsidR="009E20C7" w:rsidRPr="009E20C7">
          <w:rPr>
            <w:rStyle w:val="Hyperlink"/>
          </w:rPr>
          <w:t>3:5</w:t>
        </w:r>
      </w:hyperlink>
      <w:r w:rsidR="009E20C7" w:rsidRPr="009E20C7">
        <w:tab/>
        <w:t xml:space="preserve">Permissible Inference Arising </w:t>
      </w:r>
      <w:r w:rsidR="009E20C7">
        <w:t>f</w:t>
      </w:r>
      <w:r w:rsidR="009E20C7" w:rsidRPr="009E20C7">
        <w:t>rom Rebuttable Presumption</w:t>
      </w:r>
    </w:p>
    <w:p w14:paraId="22D197FE" w14:textId="77777777" w:rsidR="009E20C7" w:rsidRDefault="00000000" w:rsidP="00ED7176">
      <w:pPr>
        <w:pStyle w:val="ToC"/>
      </w:pPr>
      <w:hyperlink w:anchor="a3_5A" w:history="1">
        <w:r w:rsidR="009E20C7" w:rsidRPr="009E20C7">
          <w:rPr>
            <w:rStyle w:val="Hyperlink"/>
          </w:rPr>
          <w:t>3:5</w:t>
        </w:r>
        <w:r w:rsidR="0037178E">
          <w:rPr>
            <w:rStyle w:val="Hyperlink"/>
          </w:rPr>
          <w:t>A</w:t>
        </w:r>
      </w:hyperlink>
      <w:r w:rsidR="009E20C7" w:rsidRPr="009E20C7">
        <w:tab/>
        <w:t xml:space="preserve">Inference Arising </w:t>
      </w:r>
      <w:r w:rsidR="009E20C7">
        <w:t>f</w:t>
      </w:r>
      <w:r w:rsidR="009E20C7" w:rsidRPr="009E20C7">
        <w:t xml:space="preserve">rom Invocation </w:t>
      </w:r>
      <w:r w:rsidR="009E20C7">
        <w:t>o</w:t>
      </w:r>
      <w:r w:rsidR="009E20C7" w:rsidRPr="009E20C7">
        <w:t>f Fifth Amendment Privilege</w:t>
      </w:r>
    </w:p>
    <w:p w14:paraId="5DC0A890" w14:textId="77777777" w:rsidR="009E20C7" w:rsidRDefault="00000000" w:rsidP="00ED7176">
      <w:pPr>
        <w:pStyle w:val="ToC"/>
      </w:pPr>
      <w:hyperlink w:anchor="a3_6" w:history="1">
        <w:r w:rsidR="009E20C7" w:rsidRPr="009E20C7">
          <w:rPr>
            <w:rStyle w:val="Hyperlink"/>
          </w:rPr>
          <w:t>3:6</w:t>
        </w:r>
      </w:hyperlink>
      <w:r w:rsidR="009E20C7" w:rsidRPr="009E20C7">
        <w:t xml:space="preserve"> </w:t>
      </w:r>
      <w:r w:rsidR="009E20C7" w:rsidRPr="009E20C7">
        <w:tab/>
        <w:t xml:space="preserve">Statutory Presumptions That Shift </w:t>
      </w:r>
      <w:r w:rsidR="009E20C7">
        <w:t>t</w:t>
      </w:r>
      <w:r w:rsidR="009E20C7" w:rsidRPr="009E20C7">
        <w:t xml:space="preserve">he Burden </w:t>
      </w:r>
      <w:r w:rsidR="009E20C7">
        <w:t>o</w:t>
      </w:r>
      <w:r w:rsidR="009E20C7" w:rsidRPr="009E20C7">
        <w:t>f Proof</w:t>
      </w:r>
    </w:p>
    <w:p w14:paraId="430F8C7B" w14:textId="77777777" w:rsidR="009E20C7" w:rsidRPr="00EC7C98" w:rsidRDefault="00000000" w:rsidP="00ED7176">
      <w:pPr>
        <w:pStyle w:val="ToC"/>
      </w:pPr>
      <w:hyperlink w:anchor="a3_7" w:history="1">
        <w:r w:rsidR="009E20C7" w:rsidRPr="009E20C7">
          <w:rPr>
            <w:rStyle w:val="Hyperlink"/>
          </w:rPr>
          <w:t>3:7</w:t>
        </w:r>
      </w:hyperlink>
      <w:r w:rsidR="009E20C7" w:rsidRPr="009E20C7">
        <w:t xml:space="preserve"> </w:t>
      </w:r>
      <w:r w:rsidR="009E20C7" w:rsidRPr="009E20C7">
        <w:tab/>
        <w:t xml:space="preserve">Constructive Knowledge Based </w:t>
      </w:r>
      <w:r w:rsidR="009E20C7">
        <w:t>o</w:t>
      </w:r>
      <w:r w:rsidR="009E20C7" w:rsidRPr="009E20C7">
        <w:t xml:space="preserve">n Duty </w:t>
      </w:r>
      <w:r w:rsidR="009E20C7">
        <w:t>t</w:t>
      </w:r>
      <w:r w:rsidR="009E20C7" w:rsidRPr="009E20C7">
        <w:t>o Inquire</w:t>
      </w:r>
    </w:p>
    <w:p w14:paraId="468D214D" w14:textId="77777777" w:rsidR="009B6746" w:rsidRPr="00EC7C98" w:rsidRDefault="009B6746" w:rsidP="009B6746">
      <w:pPr>
        <w:pStyle w:val="ToC"/>
      </w:pPr>
    </w:p>
    <w:p w14:paraId="2F435FEA" w14:textId="77777777" w:rsidR="009B6746" w:rsidRPr="009B6746" w:rsidRDefault="009E20C7" w:rsidP="009B6746">
      <w:pPr>
        <w:pStyle w:val="Heading1"/>
        <w:jc w:val="left"/>
        <w:rPr>
          <w:b w:val="0"/>
        </w:rPr>
      </w:pPr>
      <w:r w:rsidRPr="009E20C7">
        <w:rPr>
          <w:b w:val="0"/>
        </w:rPr>
        <w:t>C. WEIGHING OF EVIDENCE</w:t>
      </w:r>
    </w:p>
    <w:p w14:paraId="46C35EC9" w14:textId="77777777" w:rsidR="00ED7176" w:rsidRDefault="00000000" w:rsidP="00ED7176">
      <w:pPr>
        <w:pStyle w:val="ToC"/>
      </w:pPr>
      <w:hyperlink w:anchor="a3_8" w:history="1">
        <w:r w:rsidR="009E20C7" w:rsidRPr="009E20C7">
          <w:rPr>
            <w:rStyle w:val="Hyperlink"/>
          </w:rPr>
          <w:t>3:8</w:t>
        </w:r>
      </w:hyperlink>
      <w:r w:rsidR="009E20C7" w:rsidRPr="009E20C7">
        <w:t xml:space="preserve"> </w:t>
      </w:r>
      <w:r w:rsidR="009E20C7" w:rsidRPr="009E20C7">
        <w:tab/>
        <w:t xml:space="preserve">Evidence </w:t>
      </w:r>
      <w:r w:rsidR="009E20C7">
        <w:t>i</w:t>
      </w:r>
      <w:r w:rsidR="009E20C7" w:rsidRPr="009E20C7">
        <w:t xml:space="preserve">n </w:t>
      </w:r>
      <w:r w:rsidR="009E20C7">
        <w:t>t</w:t>
      </w:r>
      <w:r w:rsidR="009E20C7" w:rsidRPr="009E20C7">
        <w:t xml:space="preserve">he Case — Stipulations — Judicial Notice —Inferences Permitted </w:t>
      </w:r>
      <w:r w:rsidR="009E20C7">
        <w:t>a</w:t>
      </w:r>
      <w:r w:rsidR="009E20C7" w:rsidRPr="009E20C7">
        <w:t>nd Defined</w:t>
      </w:r>
    </w:p>
    <w:p w14:paraId="5018297F" w14:textId="77777777" w:rsidR="009E20C7" w:rsidRDefault="00000000" w:rsidP="00ED7176">
      <w:pPr>
        <w:pStyle w:val="ToC"/>
      </w:pPr>
      <w:hyperlink w:anchor="a3_9" w:history="1">
        <w:r w:rsidR="009E20C7" w:rsidRPr="009E20C7">
          <w:rPr>
            <w:rStyle w:val="Hyperlink"/>
          </w:rPr>
          <w:t>3:9</w:t>
        </w:r>
      </w:hyperlink>
      <w:r w:rsidR="009E20C7" w:rsidRPr="009E20C7">
        <w:t xml:space="preserve"> </w:t>
      </w:r>
      <w:r w:rsidR="009E20C7" w:rsidRPr="009E20C7">
        <w:tab/>
        <w:t xml:space="preserve">Direct </w:t>
      </w:r>
      <w:r w:rsidR="009E20C7">
        <w:t>a</w:t>
      </w:r>
      <w:r w:rsidR="009E20C7" w:rsidRPr="009E20C7">
        <w:t>nd Indirect (Circumstantial) Evidence — Defined</w:t>
      </w:r>
    </w:p>
    <w:p w14:paraId="49FCDD3B" w14:textId="77777777" w:rsidR="009E20C7" w:rsidRDefault="00000000" w:rsidP="00ED7176">
      <w:pPr>
        <w:pStyle w:val="ToC"/>
      </w:pPr>
      <w:hyperlink w:anchor="a3_10" w:history="1">
        <w:r w:rsidR="009E20C7" w:rsidRPr="009E20C7">
          <w:rPr>
            <w:rStyle w:val="Hyperlink"/>
          </w:rPr>
          <w:t>3:10</w:t>
        </w:r>
      </w:hyperlink>
      <w:r w:rsidR="009E20C7" w:rsidRPr="009E20C7">
        <w:t xml:space="preserve"> </w:t>
      </w:r>
      <w:r w:rsidR="009E20C7" w:rsidRPr="009E20C7">
        <w:tab/>
        <w:t xml:space="preserve">Depositions </w:t>
      </w:r>
      <w:r w:rsidR="009E20C7">
        <w:t>a</w:t>
      </w:r>
      <w:r w:rsidR="009E20C7" w:rsidRPr="009E20C7">
        <w:t>s Evidence</w:t>
      </w:r>
    </w:p>
    <w:p w14:paraId="04BFF016" w14:textId="77777777" w:rsidR="009E20C7" w:rsidRDefault="00000000" w:rsidP="00ED7176">
      <w:pPr>
        <w:pStyle w:val="ToC"/>
      </w:pPr>
      <w:hyperlink w:anchor="a3_11" w:history="1">
        <w:r w:rsidR="009E20C7" w:rsidRPr="009E20C7">
          <w:rPr>
            <w:rStyle w:val="Hyperlink"/>
          </w:rPr>
          <w:t>3:11</w:t>
        </w:r>
      </w:hyperlink>
      <w:r w:rsidR="009E20C7" w:rsidRPr="009E20C7">
        <w:t xml:space="preserve"> </w:t>
      </w:r>
      <w:r w:rsidR="009E20C7" w:rsidRPr="009E20C7">
        <w:tab/>
        <w:t xml:space="preserve">Testimony Read </w:t>
      </w:r>
      <w:r w:rsidR="009E20C7">
        <w:t>f</w:t>
      </w:r>
      <w:r w:rsidR="009E20C7" w:rsidRPr="009E20C7">
        <w:t>rom Transcript</w:t>
      </w:r>
    </w:p>
    <w:p w14:paraId="526A32B0" w14:textId="77777777" w:rsidR="009E20C7" w:rsidRDefault="00000000" w:rsidP="00ED7176">
      <w:pPr>
        <w:pStyle w:val="ToC"/>
      </w:pPr>
      <w:hyperlink w:anchor="a3_12" w:history="1">
        <w:r w:rsidR="009E20C7" w:rsidRPr="009E20C7">
          <w:rPr>
            <w:rStyle w:val="Hyperlink"/>
          </w:rPr>
          <w:t>3:12</w:t>
        </w:r>
      </w:hyperlink>
      <w:r w:rsidR="009E20C7" w:rsidRPr="009E20C7">
        <w:t xml:space="preserve"> </w:t>
      </w:r>
      <w:r w:rsidR="009E20C7" w:rsidRPr="009E20C7">
        <w:tab/>
        <w:t xml:space="preserve">Preponderance Not Determined </w:t>
      </w:r>
      <w:r w:rsidR="009E20C7">
        <w:t>b</w:t>
      </w:r>
      <w:r w:rsidR="009E20C7" w:rsidRPr="009E20C7">
        <w:t xml:space="preserve">y Number </w:t>
      </w:r>
      <w:r w:rsidR="009E20C7">
        <w:t>o</w:t>
      </w:r>
      <w:r w:rsidR="009E20C7" w:rsidRPr="009E20C7">
        <w:t>f Witnesses</w:t>
      </w:r>
    </w:p>
    <w:p w14:paraId="51697AB7" w14:textId="26CD4F90" w:rsidR="00834CE7" w:rsidRPr="00834CE7" w:rsidRDefault="00000000" w:rsidP="00ED7176">
      <w:pPr>
        <w:pStyle w:val="ToC"/>
      </w:pPr>
      <w:hyperlink w:anchor="a3_13" w:history="1">
        <w:r w:rsidR="009E20C7" w:rsidRPr="009E20C7">
          <w:rPr>
            <w:rStyle w:val="Hyperlink"/>
          </w:rPr>
          <w:t>3:13</w:t>
        </w:r>
      </w:hyperlink>
      <w:r w:rsidR="009E20C7" w:rsidRPr="009E20C7">
        <w:t xml:space="preserve"> </w:t>
      </w:r>
      <w:r w:rsidR="009E20C7" w:rsidRPr="009E20C7">
        <w:tab/>
        <w:t xml:space="preserve">Adverse Inference </w:t>
      </w:r>
      <w:r w:rsidR="009E20C7">
        <w:t>f</w:t>
      </w:r>
      <w:r w:rsidR="009E20C7" w:rsidRPr="009E20C7">
        <w:t xml:space="preserve">rom </w:t>
      </w:r>
      <w:r w:rsidR="009E20C7">
        <w:t>t</w:t>
      </w:r>
      <w:r w:rsidR="009E20C7" w:rsidRPr="009E20C7">
        <w:t xml:space="preserve">he Loss </w:t>
      </w:r>
      <w:r w:rsidR="009E20C7">
        <w:t>o</w:t>
      </w:r>
      <w:r w:rsidR="009E20C7" w:rsidRPr="009E20C7">
        <w:t xml:space="preserve">r Destruction </w:t>
      </w:r>
      <w:r w:rsidR="009E20C7">
        <w:t>o</w:t>
      </w:r>
      <w:r w:rsidR="009E20C7" w:rsidRPr="009E20C7">
        <w:t>f Evidence</w:t>
      </w:r>
    </w:p>
    <w:p w14:paraId="389B3364" w14:textId="77777777" w:rsidR="009E20C7" w:rsidRDefault="00000000" w:rsidP="00ED7176">
      <w:pPr>
        <w:pStyle w:val="ToC"/>
      </w:pPr>
      <w:hyperlink w:anchor="a3_14" w:history="1">
        <w:r w:rsidR="009E20C7" w:rsidRPr="009E20C7">
          <w:rPr>
            <w:rStyle w:val="Hyperlink"/>
          </w:rPr>
          <w:t>3:14</w:t>
        </w:r>
      </w:hyperlink>
      <w:r w:rsidR="009E20C7" w:rsidRPr="009E20C7">
        <w:tab/>
        <w:t>Sympathy — Prejudice</w:t>
      </w:r>
    </w:p>
    <w:p w14:paraId="350F61AA" w14:textId="77777777" w:rsidR="009E20C7" w:rsidRDefault="00000000" w:rsidP="00ED7176">
      <w:pPr>
        <w:pStyle w:val="ToC"/>
      </w:pPr>
      <w:hyperlink w:anchor="a3_15" w:history="1">
        <w:r w:rsidR="009E20C7" w:rsidRPr="009E20C7">
          <w:rPr>
            <w:rStyle w:val="Hyperlink"/>
          </w:rPr>
          <w:t>3:15</w:t>
        </w:r>
      </w:hyperlink>
      <w:r w:rsidR="009E20C7" w:rsidRPr="009E20C7">
        <w:t xml:space="preserve"> </w:t>
      </w:r>
      <w:r w:rsidR="009E20C7" w:rsidRPr="009E20C7">
        <w:tab/>
        <w:t>Expert Witnesses</w:t>
      </w:r>
    </w:p>
    <w:p w14:paraId="2A228489" w14:textId="77777777" w:rsidR="009E20C7" w:rsidRDefault="00000000" w:rsidP="00ED7176">
      <w:pPr>
        <w:pStyle w:val="ToC"/>
      </w:pPr>
      <w:hyperlink w:anchor="a3_16" w:history="1">
        <w:r w:rsidR="009E20C7" w:rsidRPr="009E20C7">
          <w:rPr>
            <w:rStyle w:val="Hyperlink"/>
          </w:rPr>
          <w:t>3:16</w:t>
        </w:r>
      </w:hyperlink>
      <w:r w:rsidR="009E20C7" w:rsidRPr="009E20C7">
        <w:t xml:space="preserve"> </w:t>
      </w:r>
      <w:r w:rsidR="009E20C7" w:rsidRPr="009E20C7">
        <w:tab/>
        <w:t xml:space="preserve">Determining Credibility </w:t>
      </w:r>
      <w:r w:rsidR="009E20C7">
        <w:t>o</w:t>
      </w:r>
      <w:r w:rsidR="009E20C7" w:rsidRPr="009E20C7">
        <w:t>f Witnesses</w:t>
      </w:r>
    </w:p>
    <w:p w14:paraId="09434414" w14:textId="77777777" w:rsidR="009E20C7" w:rsidRPr="00EC7C98" w:rsidRDefault="00000000" w:rsidP="00ED7176">
      <w:pPr>
        <w:pStyle w:val="ToC"/>
      </w:pPr>
      <w:hyperlink w:anchor="a3_17" w:history="1">
        <w:r w:rsidR="009E20C7" w:rsidRPr="009E20C7">
          <w:rPr>
            <w:rStyle w:val="Hyperlink"/>
          </w:rPr>
          <w:t>3:17</w:t>
        </w:r>
      </w:hyperlink>
      <w:r w:rsidR="009E20C7" w:rsidRPr="009E20C7">
        <w:t xml:space="preserve"> </w:t>
      </w:r>
      <w:r w:rsidR="009E20C7" w:rsidRPr="009E20C7">
        <w:tab/>
        <w:t>Highlighted Exhibits</w:t>
      </w:r>
    </w:p>
    <w:p w14:paraId="7497719A" w14:textId="77777777" w:rsidR="00352111" w:rsidRPr="00352111" w:rsidRDefault="00352111">
      <w:pPr>
        <w:rPr>
          <w:rFonts w:eastAsia="Times New Roman"/>
          <w:sz w:val="24"/>
          <w:szCs w:val="24"/>
        </w:rPr>
      </w:pPr>
      <w:r w:rsidRPr="00352111">
        <w:rPr>
          <w:rFonts w:eastAsia="Times New Roman"/>
          <w:sz w:val="24"/>
          <w:szCs w:val="24"/>
        </w:rPr>
        <w:br w:type="page"/>
      </w:r>
    </w:p>
    <w:p w14:paraId="70EE25F1"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14:paraId="7B327845" w14:textId="77777777" w:rsidR="009E3DA4" w:rsidRPr="009E3DA4" w:rsidRDefault="0095709A" w:rsidP="00CC0502">
      <w:pPr>
        <w:spacing w:after="240"/>
        <w:ind w:left="720" w:hanging="720"/>
        <w:rPr>
          <w:rFonts w:eastAsia="Times New Roman"/>
          <w:b/>
          <w:sz w:val="24"/>
          <w:szCs w:val="24"/>
        </w:rPr>
      </w:pPr>
      <w:bookmarkStart w:id="0" w:name="a3_1"/>
      <w:bookmarkEnd w:id="0"/>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14:paraId="5A3CFAA8"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1. The plaintiff has the burden of proving (his) (her) (its) claim(s) by a preponderance of the evidence.</w:t>
      </w:r>
    </w:p>
    <w:p w14:paraId="7068E827"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2. The defendant has the burden of proving (each of) (his) (her) (its) affirmative defense(s) by a preponderance of the evidence.</w:t>
      </w:r>
    </w:p>
    <w:p w14:paraId="039F1A4E"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14:paraId="09C0D8D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4. “Burden of proof” means the obligation a party has to prove (his) (her) (its) claim(s) or defense(s) by a preponderance of the evidence. The party with the burden of proof can use evidence produced by any party to persuade you.</w:t>
      </w:r>
    </w:p>
    <w:p w14:paraId="464A591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5. If a party fails to meet (his) (her) (its) burden of proof as to any claim or defense or if the evidence weighs so evenly that you are unable to say that there is a preponderance on either side, you must reject that claim or defense.</w:t>
      </w:r>
    </w:p>
    <w:p w14:paraId="2D4788D0" w14:textId="77777777" w:rsidR="00832DB4" w:rsidRDefault="00832DB4" w:rsidP="0054263B">
      <w:pPr>
        <w:jc w:val="center"/>
        <w:rPr>
          <w:rFonts w:eastAsia="Times New Roman"/>
          <w:sz w:val="24"/>
          <w:szCs w:val="24"/>
        </w:rPr>
      </w:pPr>
    </w:p>
    <w:p w14:paraId="2C5870C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7EB344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14:paraId="75411AD2"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14:paraId="5DAEEFBC"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14:paraId="1B2FEC78"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0D3EE4">
        <w:rPr>
          <w:rFonts w:eastAsia="Times New Roman"/>
          <w:i/>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14:paraId="188F8406"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2016 CO 25, ¶ 38, 370 P.3d 157, 168-69.</w:t>
      </w:r>
    </w:p>
    <w:p w14:paraId="54C8982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14:paraId="2E81A59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EBAB679" w14:textId="77777777"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Kaiser Found. Health Plan v. Sharp</w:t>
      </w:r>
      <w:r w:rsidRPr="0095709A">
        <w:rPr>
          <w:rFonts w:eastAsia="Times New Roman"/>
          <w:sz w:val="24"/>
          <w:szCs w:val="24"/>
        </w:rPr>
        <w:t xml:space="preserve">, 741 P.2d 714 (Colo. 1987); </w:t>
      </w:r>
      <w:proofErr w:type="spellStart"/>
      <w:r w:rsidRPr="0095709A">
        <w:rPr>
          <w:rFonts w:eastAsia="Times New Roman"/>
          <w:b/>
          <w:sz w:val="24"/>
          <w:szCs w:val="24"/>
        </w:rPr>
        <w:t>Swaim</w:t>
      </w:r>
      <w:proofErr w:type="spellEnd"/>
      <w:r w:rsidRPr="0095709A">
        <w:rPr>
          <w:rFonts w:eastAsia="Times New Roman"/>
          <w:b/>
          <w:sz w:val="24"/>
          <w:szCs w:val="24"/>
        </w:rPr>
        <w:t xml:space="preserve">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proofErr w:type="spellStart"/>
      <w:r w:rsidRPr="0095709A">
        <w:rPr>
          <w:rFonts w:eastAsia="Times New Roman"/>
          <w:b/>
          <w:sz w:val="24"/>
          <w:szCs w:val="24"/>
        </w:rPr>
        <w:t>Sams</w:t>
      </w:r>
      <w:proofErr w:type="spellEnd"/>
      <w:r w:rsidRPr="0095709A">
        <w:rPr>
          <w:rFonts w:eastAsia="Times New Roman"/>
          <w:b/>
          <w:sz w:val="24"/>
          <w:szCs w:val="24"/>
        </w:rPr>
        <w:t xml:space="preserve">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
    <w:p w14:paraId="1BF71C45" w14:textId="77777777" w:rsidR="00EC17E3" w:rsidRDefault="00EC17E3">
      <w:pPr>
        <w:rPr>
          <w:rFonts w:eastAsia="Times New Roman"/>
          <w:sz w:val="24"/>
          <w:szCs w:val="24"/>
        </w:rPr>
      </w:pPr>
      <w:r>
        <w:rPr>
          <w:rFonts w:eastAsia="Times New Roman"/>
          <w:sz w:val="24"/>
          <w:szCs w:val="24"/>
        </w:rPr>
        <w:br w:type="page"/>
      </w:r>
    </w:p>
    <w:p w14:paraId="72045483" w14:textId="77777777" w:rsidR="00EC17E3" w:rsidRPr="009E3DA4" w:rsidRDefault="00EC17E3" w:rsidP="00EC17E3">
      <w:pPr>
        <w:spacing w:after="240"/>
        <w:ind w:left="720" w:hanging="720"/>
        <w:rPr>
          <w:rFonts w:eastAsia="Times New Roman"/>
          <w:b/>
          <w:sz w:val="24"/>
          <w:szCs w:val="24"/>
        </w:rPr>
      </w:pPr>
      <w:bookmarkStart w:id="1" w:name="a3_2"/>
      <w:bookmarkEnd w:id="1"/>
      <w:r w:rsidRPr="00EC17E3">
        <w:rPr>
          <w:rFonts w:eastAsia="Times New Roman"/>
          <w:b/>
          <w:sz w:val="24"/>
          <w:szCs w:val="24"/>
        </w:rPr>
        <w:lastRenderedPageBreak/>
        <w:t xml:space="preserve">3:2 </w:t>
      </w:r>
      <w:r w:rsidRPr="00EC17E3">
        <w:rPr>
          <w:rFonts w:eastAsia="Times New Roman"/>
          <w:b/>
          <w:sz w:val="24"/>
          <w:szCs w:val="24"/>
        </w:rPr>
        <w:tab/>
        <w:t>CLEAR AND CONVINCING EVIDENCE — DEFINED</w:t>
      </w:r>
    </w:p>
    <w:p w14:paraId="2B2B1070" w14:textId="77777777"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14:paraId="2E22736D" w14:textId="77777777" w:rsidR="00EC17E3" w:rsidRDefault="00EC17E3" w:rsidP="00EC17E3">
      <w:pPr>
        <w:jc w:val="center"/>
        <w:rPr>
          <w:rFonts w:eastAsia="Times New Roman"/>
          <w:sz w:val="24"/>
          <w:szCs w:val="24"/>
        </w:rPr>
      </w:pPr>
    </w:p>
    <w:p w14:paraId="7AB2F529" w14:textId="77777777"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14:paraId="3E741A8F"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State">
        <w:smartTag w:uri="urn:schemas-microsoft-com:office:smarttags" w:element="place">
          <w:r w:rsidRPr="00EC17E3">
            <w:rPr>
              <w:rFonts w:eastAsia="Times New Roman"/>
              <w:sz w:val="24"/>
              <w:szCs w:val="24"/>
            </w:rPr>
            <w:t>Colo.</w:t>
          </w:r>
        </w:smartTag>
      </w:smartTag>
      <w:r w:rsidRPr="00EC17E3">
        <w:rPr>
          <w:rFonts w:eastAsia="Times New Roman"/>
          <w:sz w:val="24"/>
          <w:szCs w:val="24"/>
        </w:rPr>
        <w:t xml:space="preserve"> 306, 592 P.2d 792 (1979).</w:t>
      </w:r>
    </w:p>
    <w:p w14:paraId="072BB2C0"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14:paraId="32751836"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14:paraId="512EACC1" w14:textId="77777777"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14:paraId="06A6397D" w14:textId="77777777"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State">
        <w:smartTag w:uri="urn:schemas-microsoft-com:office:smarttags" w:element="plac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r w:rsidRPr="00EC17E3">
        <w:rPr>
          <w:rFonts w:eastAsia="Times New Roman"/>
          <w:b/>
          <w:sz w:val="24"/>
          <w:szCs w:val="24"/>
        </w:rPr>
        <w:t>M.W. v. D.G.</w:t>
      </w:r>
      <w:r w:rsidRPr="00EC17E3">
        <w:rPr>
          <w:rFonts w:eastAsia="Times New Roman"/>
          <w:sz w:val="24"/>
          <w:szCs w:val="24"/>
        </w:rPr>
        <w:t>, 710 P.2d 1174 (Colo. App. 1985) (same).</w:t>
      </w:r>
    </w:p>
    <w:p w14:paraId="31F82DED" w14:textId="77777777" w:rsidR="00B579DF" w:rsidRDefault="00B579DF">
      <w:pPr>
        <w:rPr>
          <w:rFonts w:eastAsia="Times New Roman"/>
          <w:sz w:val="24"/>
          <w:szCs w:val="24"/>
        </w:rPr>
      </w:pPr>
      <w:r>
        <w:rPr>
          <w:rFonts w:eastAsia="Times New Roman"/>
          <w:sz w:val="24"/>
          <w:szCs w:val="24"/>
        </w:rPr>
        <w:br w:type="page"/>
      </w:r>
    </w:p>
    <w:p w14:paraId="1906BBCF" w14:textId="77777777" w:rsidR="00B579DF" w:rsidRPr="009E3DA4" w:rsidRDefault="00B579DF" w:rsidP="00B579DF">
      <w:pPr>
        <w:spacing w:after="240"/>
        <w:ind w:left="720" w:hanging="720"/>
        <w:rPr>
          <w:rFonts w:eastAsia="Times New Roman"/>
          <w:b/>
          <w:sz w:val="24"/>
          <w:szCs w:val="24"/>
        </w:rPr>
      </w:pPr>
      <w:bookmarkStart w:id="2" w:name="a3_3"/>
      <w:bookmarkEnd w:id="2"/>
      <w:r w:rsidRPr="00B579DF">
        <w:rPr>
          <w:rFonts w:eastAsia="Times New Roman"/>
          <w:b/>
          <w:sz w:val="24"/>
          <w:szCs w:val="24"/>
        </w:rPr>
        <w:lastRenderedPageBreak/>
        <w:t xml:space="preserve">3:3 </w:t>
      </w:r>
      <w:r w:rsidRPr="00B579DF">
        <w:rPr>
          <w:rFonts w:eastAsia="Times New Roman"/>
          <w:b/>
          <w:sz w:val="24"/>
          <w:szCs w:val="24"/>
        </w:rPr>
        <w:tab/>
        <w:t>REASONABLE DOUBT — DEFINED</w:t>
      </w:r>
    </w:p>
    <w:p w14:paraId="325FBE74" w14:textId="05733DE5" w:rsidR="00B579DF" w:rsidRDefault="00B579DF" w:rsidP="00B579DF">
      <w:pPr>
        <w:spacing w:after="240"/>
        <w:ind w:firstLine="720"/>
        <w:rPr>
          <w:rFonts w:eastAsia="Times New Roman"/>
          <w:b/>
          <w:sz w:val="24"/>
          <w:szCs w:val="24"/>
        </w:rPr>
      </w:pPr>
      <w:r w:rsidRPr="00B579DF">
        <w:rPr>
          <w:rFonts w:eastAsia="Times New Roman"/>
          <w:b/>
          <w:sz w:val="24"/>
          <w:szCs w:val="24"/>
        </w:rPr>
        <w:t xml:space="preserve">Reasonable doubt means a doubt based upon reason and common sense which arises from a fair and </w:t>
      </w:r>
      <w:r w:rsidR="00760A2E">
        <w:rPr>
          <w:rFonts w:eastAsia="Times New Roman"/>
          <w:b/>
          <w:sz w:val="24"/>
          <w:szCs w:val="24"/>
        </w:rPr>
        <w:t>rational</w:t>
      </w:r>
      <w:r w:rsidR="00760A2E" w:rsidRPr="00B579DF">
        <w:rPr>
          <w:rFonts w:eastAsia="Times New Roman"/>
          <w:b/>
          <w:sz w:val="24"/>
          <w:szCs w:val="24"/>
        </w:rPr>
        <w:t xml:space="preserve"> </w:t>
      </w:r>
      <w:r w:rsidRPr="00B579DF">
        <w:rPr>
          <w:rFonts w:eastAsia="Times New Roman"/>
          <w:b/>
          <w:sz w:val="24"/>
          <w:szCs w:val="24"/>
        </w:rPr>
        <w:t xml:space="preserve">consideration of all </w:t>
      </w:r>
      <w:r w:rsidR="001F401B">
        <w:rPr>
          <w:rFonts w:eastAsia="Times New Roman"/>
          <w:b/>
          <w:sz w:val="24"/>
          <w:szCs w:val="24"/>
        </w:rPr>
        <w:t xml:space="preserve">of </w:t>
      </w:r>
      <w:r w:rsidRPr="00B579DF">
        <w:rPr>
          <w:rFonts w:eastAsia="Times New Roman"/>
          <w:b/>
          <w:sz w:val="24"/>
          <w:szCs w:val="24"/>
        </w:rPr>
        <w:t xml:space="preserve">the evidence, or the lack of evidence, in the case. It </w:t>
      </w:r>
      <w:r w:rsidR="001F401B" w:rsidRPr="00760A2E">
        <w:rPr>
          <w:rFonts w:eastAsia="Times New Roman"/>
          <w:b/>
          <w:sz w:val="24"/>
          <w:szCs w:val="24"/>
        </w:rPr>
        <w:t xml:space="preserve">is a doubt which </w:t>
      </w:r>
      <w:r w:rsidRPr="00B579DF">
        <w:rPr>
          <w:rFonts w:eastAsia="Times New Roman"/>
          <w:b/>
          <w:sz w:val="24"/>
          <w:szCs w:val="24"/>
        </w:rPr>
        <w:t xml:space="preserve">is not a vague, speculative, or imaginary doubt, but </w:t>
      </w:r>
      <w:r w:rsidR="00760A2E">
        <w:rPr>
          <w:rFonts w:eastAsia="Times New Roman"/>
          <w:b/>
          <w:sz w:val="24"/>
          <w:szCs w:val="24"/>
        </w:rPr>
        <w:t>such a doubt</w:t>
      </w:r>
      <w:r w:rsidR="001F401B">
        <w:rPr>
          <w:rFonts w:eastAsia="Times New Roman"/>
          <w:b/>
          <w:sz w:val="24"/>
          <w:szCs w:val="24"/>
        </w:rPr>
        <w:t xml:space="preserve"> as </w:t>
      </w:r>
      <w:r w:rsidRPr="00B579DF">
        <w:rPr>
          <w:rFonts w:eastAsia="Times New Roman"/>
          <w:b/>
          <w:sz w:val="24"/>
          <w:szCs w:val="24"/>
        </w:rPr>
        <w:t xml:space="preserve">would cause reasonable </w:t>
      </w:r>
      <w:r w:rsidR="001F401B">
        <w:rPr>
          <w:rFonts w:eastAsia="Times New Roman"/>
          <w:b/>
          <w:sz w:val="24"/>
          <w:szCs w:val="24"/>
        </w:rPr>
        <w:t>people</w:t>
      </w:r>
      <w:r w:rsidRPr="00B579DF">
        <w:rPr>
          <w:rFonts w:eastAsia="Times New Roman"/>
          <w:b/>
          <w:sz w:val="24"/>
          <w:szCs w:val="24"/>
        </w:rPr>
        <w:t xml:space="preserve"> to hesitate to act in matters of importance to themselves.</w:t>
      </w:r>
    </w:p>
    <w:p w14:paraId="1E1A4235" w14:textId="77777777" w:rsidR="00B579DF" w:rsidRDefault="00B579DF" w:rsidP="00B579DF">
      <w:pPr>
        <w:jc w:val="center"/>
        <w:rPr>
          <w:rFonts w:eastAsia="Times New Roman"/>
          <w:sz w:val="24"/>
          <w:szCs w:val="24"/>
        </w:rPr>
      </w:pPr>
    </w:p>
    <w:p w14:paraId="706AAB77" w14:textId="77777777"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14:paraId="4740E79F" w14:textId="77777777" w:rsidR="00B579DF" w:rsidRDefault="006204B2" w:rsidP="00B579DF">
      <w:pPr>
        <w:spacing w:after="240"/>
        <w:ind w:firstLine="720"/>
        <w:rPr>
          <w:rFonts w:eastAsia="Times New Roman"/>
          <w:sz w:val="24"/>
          <w:szCs w:val="24"/>
        </w:rPr>
      </w:pPr>
      <w:r>
        <w:rPr>
          <w:rFonts w:eastAsia="Times New Roman"/>
          <w:sz w:val="24"/>
          <w:szCs w:val="24"/>
        </w:rPr>
        <w:t xml:space="preserve">1. </w:t>
      </w:r>
      <w:r w:rsidR="00B579DF" w:rsidRPr="00B579DF">
        <w:rPr>
          <w:rFonts w:eastAsia="Times New Roman"/>
          <w:sz w:val="24"/>
          <w:szCs w:val="24"/>
        </w:rPr>
        <w:t>This instruction is to be used in conjunction with instructions such as Instruction 5:4.</w:t>
      </w:r>
    </w:p>
    <w:p w14:paraId="20028E1D" w14:textId="38F4CD4A" w:rsidR="006204B2" w:rsidRPr="006568CE" w:rsidRDefault="006204B2" w:rsidP="0057193E">
      <w:pPr>
        <w:spacing w:after="240"/>
        <w:ind w:firstLine="720"/>
        <w:rPr>
          <w:rFonts w:eastAsia="Times New Roman"/>
          <w:sz w:val="24"/>
          <w:szCs w:val="24"/>
        </w:rPr>
      </w:pPr>
      <w:r w:rsidRPr="006204B2">
        <w:rPr>
          <w:sz w:val="24"/>
          <w:szCs w:val="24"/>
        </w:rPr>
        <w:t>2. Typically</w:t>
      </w:r>
      <w:r w:rsidR="00E7307E">
        <w:rPr>
          <w:sz w:val="24"/>
          <w:szCs w:val="24"/>
        </w:rPr>
        <w:t>,</w:t>
      </w:r>
      <w:r w:rsidRPr="006204B2">
        <w:rPr>
          <w:sz w:val="24"/>
          <w:szCs w:val="24"/>
        </w:rPr>
        <w:t xml:space="preserve"> courts should not go beyond the bounds of this instruction and attempt to </w:t>
      </w:r>
      <w:r w:rsidRPr="003C7DB9">
        <w:rPr>
          <w:sz w:val="24"/>
          <w:szCs w:val="24"/>
        </w:rPr>
        <w:t>further define reasona</w:t>
      </w:r>
      <w:r w:rsidRPr="006568CE">
        <w:rPr>
          <w:sz w:val="24"/>
          <w:szCs w:val="24"/>
        </w:rPr>
        <w:t xml:space="preserve">ble doubt. </w:t>
      </w:r>
      <w:proofErr w:type="spellStart"/>
      <w:r w:rsidR="00474D9F" w:rsidRPr="00474D9F">
        <w:rPr>
          <w:b/>
          <w:bCs/>
          <w:sz w:val="24"/>
          <w:szCs w:val="24"/>
        </w:rPr>
        <w:t>Tibbels</w:t>
      </w:r>
      <w:proofErr w:type="spellEnd"/>
      <w:r w:rsidR="00474D9F" w:rsidRPr="00474D9F">
        <w:rPr>
          <w:b/>
          <w:bCs/>
          <w:sz w:val="24"/>
          <w:szCs w:val="24"/>
        </w:rPr>
        <w:t xml:space="preserve"> v. People</w:t>
      </w:r>
      <w:r w:rsidR="00474D9F">
        <w:rPr>
          <w:sz w:val="24"/>
          <w:szCs w:val="24"/>
        </w:rPr>
        <w:t xml:space="preserve">, 2022 CO 1, ¶ 49, 501 P.3d 792, 801 (trial court improperly lowered the People’s burden of proof by using a crack-in-the-foundation illustration to explain reasonable doubt); </w:t>
      </w:r>
      <w:r w:rsidRPr="006568CE">
        <w:rPr>
          <w:b/>
          <w:sz w:val="24"/>
          <w:szCs w:val="24"/>
        </w:rPr>
        <w:t>Johnson v. People</w:t>
      </w:r>
      <w:r w:rsidRPr="006568CE">
        <w:rPr>
          <w:sz w:val="24"/>
          <w:szCs w:val="24"/>
        </w:rPr>
        <w:t>, 2019 CO 17, ¶ 19, 436 P.3d 529, 534 (“[A]</w:t>
      </w:r>
      <w:proofErr w:type="spellStart"/>
      <w:r w:rsidRPr="006568CE">
        <w:rPr>
          <w:sz w:val="24"/>
          <w:szCs w:val="24"/>
        </w:rPr>
        <w:t>ttempts</w:t>
      </w:r>
      <w:proofErr w:type="spellEnd"/>
      <w:r w:rsidRPr="006568CE">
        <w:rPr>
          <w:sz w:val="24"/>
          <w:szCs w:val="24"/>
        </w:rPr>
        <w:t xml:space="preserve"> to further define reasonable doubt do not provide clarity[, e]</w:t>
      </w:r>
      <w:proofErr w:type="spellStart"/>
      <w:r w:rsidRPr="006568CE">
        <w:rPr>
          <w:sz w:val="24"/>
          <w:szCs w:val="24"/>
        </w:rPr>
        <w:t>ven</w:t>
      </w:r>
      <w:proofErr w:type="spellEnd"/>
      <w:r w:rsidRPr="006568CE">
        <w:rPr>
          <w:sz w:val="24"/>
          <w:szCs w:val="24"/>
        </w:rPr>
        <w:t xml:space="preserve"> if well- intentioned</w:t>
      </w:r>
      <w:r w:rsidR="00E7307E" w:rsidRPr="006568CE">
        <w:rPr>
          <w:sz w:val="24"/>
          <w:szCs w:val="24"/>
        </w:rPr>
        <w:t xml:space="preserve"> . . . </w:t>
      </w:r>
      <w:r w:rsidRPr="006568CE">
        <w:rPr>
          <w:sz w:val="24"/>
          <w:szCs w:val="24"/>
        </w:rPr>
        <w:t>.”)</w:t>
      </w:r>
      <w:r w:rsidR="00955A99" w:rsidRPr="006568CE">
        <w:rPr>
          <w:sz w:val="24"/>
          <w:szCs w:val="24"/>
        </w:rPr>
        <w:t>;</w:t>
      </w:r>
      <w:r w:rsidR="00955A99" w:rsidRPr="006568CE">
        <w:rPr>
          <w:i/>
          <w:sz w:val="24"/>
          <w:szCs w:val="24"/>
        </w:rPr>
        <w:t xml:space="preserve"> see also </w:t>
      </w:r>
      <w:r w:rsidR="00955A99" w:rsidRPr="006568CE">
        <w:rPr>
          <w:b/>
          <w:sz w:val="24"/>
          <w:szCs w:val="24"/>
        </w:rPr>
        <w:t xml:space="preserve">People v. </w:t>
      </w:r>
      <w:proofErr w:type="spellStart"/>
      <w:r w:rsidR="00955A99" w:rsidRPr="006568CE">
        <w:rPr>
          <w:b/>
          <w:sz w:val="24"/>
          <w:szCs w:val="24"/>
        </w:rPr>
        <w:t>Knobee</w:t>
      </w:r>
      <w:proofErr w:type="spellEnd"/>
      <w:r w:rsidR="00955A99" w:rsidRPr="006568CE">
        <w:rPr>
          <w:i/>
          <w:sz w:val="24"/>
          <w:szCs w:val="24"/>
        </w:rPr>
        <w:t>,</w:t>
      </w:r>
      <w:r w:rsidR="00955A99" w:rsidRPr="006568CE">
        <w:rPr>
          <w:sz w:val="24"/>
          <w:szCs w:val="24"/>
        </w:rPr>
        <w:t xml:space="preserve"> 2020 COA 7, ¶ 38 (“by telling jurors that their decision is no more consequential than choosing a doctor ‘or whatever,’ the court improperly trivialized the prosecution’s burden of proof”)</w:t>
      </w:r>
      <w:r w:rsidR="00760A2E" w:rsidRPr="006568CE">
        <w:rPr>
          <w:sz w:val="24"/>
          <w:szCs w:val="24"/>
        </w:rPr>
        <w:t xml:space="preserve"> (</w:t>
      </w:r>
      <w:r w:rsidR="00760A2E" w:rsidRPr="006568CE">
        <w:rPr>
          <w:i/>
          <w:sz w:val="24"/>
          <w:szCs w:val="24"/>
        </w:rPr>
        <w:t>cert. granted</w:t>
      </w:r>
      <w:r w:rsidR="00760A2E" w:rsidRPr="006568CE">
        <w:rPr>
          <w:sz w:val="24"/>
          <w:szCs w:val="24"/>
        </w:rPr>
        <w:t xml:space="preserve"> June 29, 2020)</w:t>
      </w:r>
      <w:r w:rsidRPr="006568CE">
        <w:rPr>
          <w:sz w:val="24"/>
          <w:szCs w:val="24"/>
        </w:rPr>
        <w:t>.</w:t>
      </w:r>
    </w:p>
    <w:p w14:paraId="1D12AFBA" w14:textId="77777777"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14:paraId="70EC2718" w14:textId="77777777"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14:paraId="2EA4AA39" w14:textId="0065F909" w:rsidR="00B579DF" w:rsidRDefault="00B579DF" w:rsidP="0095709A">
      <w:pPr>
        <w:spacing w:after="240"/>
        <w:ind w:firstLine="720"/>
        <w:rPr>
          <w:rFonts w:eastAsia="Times New Roman"/>
          <w:sz w:val="24"/>
          <w:szCs w:val="24"/>
        </w:rPr>
      </w:pPr>
      <w:r w:rsidRPr="00B579DF">
        <w:rPr>
          <w:rFonts w:eastAsia="Times New Roman"/>
          <w:sz w:val="24"/>
          <w:szCs w:val="24"/>
        </w:rPr>
        <w:t xml:space="preserve">2. This instruction is modeled after the third paragraph of </w:t>
      </w:r>
      <w:r w:rsidRPr="00B579DF">
        <w:rPr>
          <w:rFonts w:eastAsia="Times New Roman"/>
          <w:smallCaps/>
          <w:sz w:val="24"/>
          <w:szCs w:val="24"/>
        </w:rPr>
        <w:t>Colorado Jury Instructions — Criminal</w:t>
      </w:r>
      <w:r w:rsidRPr="00B579DF">
        <w:rPr>
          <w:rFonts w:eastAsia="Times New Roman"/>
          <w:sz w:val="24"/>
          <w:szCs w:val="24"/>
        </w:rPr>
        <w:t xml:space="preserve"> E:03 (201</w:t>
      </w:r>
      <w:r w:rsidR="00AD51CD">
        <w:rPr>
          <w:rFonts w:eastAsia="Times New Roman"/>
          <w:sz w:val="24"/>
          <w:szCs w:val="24"/>
        </w:rPr>
        <w:t>8</w:t>
      </w:r>
      <w:r w:rsidRPr="00B579DF">
        <w:rPr>
          <w:rFonts w:eastAsia="Times New Roman"/>
          <w:sz w:val="24"/>
          <w:szCs w:val="24"/>
        </w:rPr>
        <w:t>).</w:t>
      </w:r>
    </w:p>
    <w:p w14:paraId="7E2312C3" w14:textId="77777777" w:rsidR="007A612E" w:rsidRDefault="007A612E">
      <w:pPr>
        <w:rPr>
          <w:rFonts w:eastAsia="Times New Roman"/>
          <w:sz w:val="24"/>
          <w:szCs w:val="24"/>
        </w:rPr>
      </w:pPr>
      <w:r>
        <w:rPr>
          <w:rFonts w:eastAsia="Times New Roman"/>
          <w:sz w:val="24"/>
          <w:szCs w:val="24"/>
        </w:rPr>
        <w:br w:type="page"/>
      </w:r>
    </w:p>
    <w:p w14:paraId="2293BCAD" w14:textId="77777777" w:rsidR="007A612E" w:rsidRPr="009E3DA4" w:rsidRDefault="007A612E" w:rsidP="007A612E">
      <w:pPr>
        <w:spacing w:after="240"/>
        <w:ind w:left="720" w:hanging="720"/>
        <w:rPr>
          <w:rFonts w:eastAsia="Times New Roman"/>
          <w:b/>
          <w:sz w:val="24"/>
          <w:szCs w:val="24"/>
        </w:rPr>
      </w:pPr>
      <w:bookmarkStart w:id="3" w:name="a3_4"/>
      <w:bookmarkEnd w:id="3"/>
      <w:r w:rsidRPr="007A612E">
        <w:rPr>
          <w:rFonts w:eastAsia="Times New Roman"/>
          <w:b/>
          <w:sz w:val="24"/>
          <w:szCs w:val="24"/>
        </w:rPr>
        <w:lastRenderedPageBreak/>
        <w:t xml:space="preserve">3:4 </w:t>
      </w:r>
      <w:r w:rsidRPr="007A612E">
        <w:rPr>
          <w:rFonts w:eastAsia="Times New Roman"/>
          <w:b/>
          <w:sz w:val="24"/>
          <w:szCs w:val="24"/>
        </w:rPr>
        <w:tab/>
        <w:t>NO SPECULATION</w:t>
      </w:r>
    </w:p>
    <w:p w14:paraId="18B9F9D0"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14:paraId="31B1668C" w14:textId="77777777" w:rsidR="007A612E" w:rsidRDefault="007A612E" w:rsidP="007A612E">
      <w:pPr>
        <w:jc w:val="center"/>
        <w:rPr>
          <w:rFonts w:eastAsia="Times New Roman"/>
          <w:sz w:val="24"/>
          <w:szCs w:val="24"/>
        </w:rPr>
      </w:pPr>
    </w:p>
    <w:p w14:paraId="7DB7D55C"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108115B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14:paraId="432B11E1"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6659BD00"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 xml:space="preserve">Letts v. </w:t>
      </w:r>
      <w:proofErr w:type="spellStart"/>
      <w:r w:rsidRPr="007A612E">
        <w:rPr>
          <w:rFonts w:eastAsia="Times New Roman"/>
          <w:b/>
          <w:sz w:val="24"/>
          <w:szCs w:val="24"/>
        </w:rPr>
        <w:t>Iwig</w:t>
      </w:r>
      <w:proofErr w:type="spellEnd"/>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proofErr w:type="spellStart"/>
      <w:r w:rsidRPr="007A612E">
        <w:rPr>
          <w:rFonts w:eastAsia="Times New Roman"/>
          <w:b/>
          <w:sz w:val="24"/>
          <w:szCs w:val="24"/>
        </w:rPr>
        <w:t>Mosko</w:t>
      </w:r>
      <w:proofErr w:type="spellEnd"/>
      <w:r w:rsidRPr="007A612E">
        <w:rPr>
          <w:rFonts w:eastAsia="Times New Roman"/>
          <w:b/>
          <w:sz w:val="24"/>
          <w:szCs w:val="24"/>
        </w:rPr>
        <w:t xml:space="preserve">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 xml:space="preserve">Johns v. </w:t>
      </w:r>
      <w:proofErr w:type="spellStart"/>
      <w:r w:rsidRPr="007A612E">
        <w:rPr>
          <w:rFonts w:eastAsia="Times New Roman"/>
          <w:b/>
          <w:sz w:val="24"/>
          <w:szCs w:val="24"/>
        </w:rPr>
        <w:t>Tesley</w:t>
      </w:r>
      <w:proofErr w:type="spellEnd"/>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proofErr w:type="spellStart"/>
      <w:r w:rsidRPr="007A612E">
        <w:rPr>
          <w:rFonts w:eastAsia="Times New Roman"/>
          <w:b/>
          <w:sz w:val="24"/>
          <w:szCs w:val="24"/>
        </w:rPr>
        <w:t>Polz</w:t>
      </w:r>
      <w:proofErr w:type="spellEnd"/>
      <w:r w:rsidRPr="007A612E">
        <w:rPr>
          <w:rFonts w:eastAsia="Times New Roman"/>
          <w:b/>
          <w:sz w:val="24"/>
          <w:szCs w:val="24"/>
        </w:rPr>
        <w:t xml:space="preserve">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14:paraId="1BB4A828" w14:textId="77777777" w:rsidR="007A612E" w:rsidRDefault="007A612E">
      <w:pPr>
        <w:rPr>
          <w:rFonts w:eastAsia="Times New Roman"/>
          <w:sz w:val="24"/>
          <w:szCs w:val="24"/>
        </w:rPr>
      </w:pPr>
      <w:r>
        <w:rPr>
          <w:rFonts w:eastAsia="Times New Roman"/>
          <w:sz w:val="24"/>
          <w:szCs w:val="24"/>
        </w:rPr>
        <w:br w:type="page"/>
      </w:r>
    </w:p>
    <w:p w14:paraId="7CA3C35F" w14:textId="77777777" w:rsidR="007A612E" w:rsidRDefault="007A612E" w:rsidP="007A612E">
      <w:pPr>
        <w:spacing w:after="240"/>
        <w:jc w:val="center"/>
        <w:rPr>
          <w:rFonts w:eastAsia="Times New Roman"/>
          <w:b/>
          <w:sz w:val="24"/>
          <w:szCs w:val="24"/>
        </w:rPr>
      </w:pPr>
      <w:r w:rsidRPr="007A612E">
        <w:rPr>
          <w:rFonts w:eastAsia="Times New Roman"/>
          <w:b/>
          <w:sz w:val="24"/>
          <w:szCs w:val="24"/>
        </w:rPr>
        <w:lastRenderedPageBreak/>
        <w:t>B. PRESUMPTIONS AND PARTICULAR INFERENCES</w:t>
      </w:r>
    </w:p>
    <w:p w14:paraId="318B003C" w14:textId="77777777" w:rsidR="007A612E" w:rsidRPr="009E3DA4" w:rsidRDefault="007A612E" w:rsidP="007A612E">
      <w:pPr>
        <w:spacing w:after="240"/>
        <w:ind w:left="720" w:hanging="720"/>
        <w:rPr>
          <w:rFonts w:eastAsia="Times New Roman"/>
          <w:b/>
          <w:sz w:val="24"/>
          <w:szCs w:val="24"/>
        </w:rPr>
      </w:pPr>
      <w:bookmarkStart w:id="4" w:name="a3_5"/>
      <w:bookmarkEnd w:id="4"/>
      <w:r w:rsidRPr="007A612E">
        <w:rPr>
          <w:rFonts w:eastAsia="Times New Roman"/>
          <w:b/>
          <w:sz w:val="24"/>
          <w:szCs w:val="24"/>
        </w:rPr>
        <w:t>3:5</w:t>
      </w:r>
      <w:r w:rsidRPr="007A612E">
        <w:rPr>
          <w:rFonts w:eastAsia="Times New Roman"/>
          <w:b/>
          <w:sz w:val="24"/>
          <w:szCs w:val="24"/>
        </w:rPr>
        <w:tab/>
        <w:t>PERMISSIBLE INFERENCE ARISING FROM REBUTTABLE PRESUMPTION</w:t>
      </w:r>
    </w:p>
    <w:p w14:paraId="3C94C6DA" w14:textId="77777777"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14:paraId="329D76DB"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14:paraId="5DE58B58"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14:paraId="4A1F9C5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14:paraId="39BE7D1E"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14:paraId="5BD2BFD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14:paraId="3F176491"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14:paraId="7F79DC00" w14:textId="77777777" w:rsidR="007A612E" w:rsidRDefault="007A612E" w:rsidP="007A612E">
      <w:pPr>
        <w:jc w:val="center"/>
        <w:rPr>
          <w:rFonts w:eastAsia="Times New Roman"/>
          <w:sz w:val="24"/>
          <w:szCs w:val="24"/>
        </w:rPr>
      </w:pPr>
    </w:p>
    <w:p w14:paraId="00F9D73A"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0BC27CD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 This instruction applies only to rebuttable presumptions governed by CRE 301. That Rule provides:</w:t>
      </w:r>
    </w:p>
    <w:p w14:paraId="3F3C7430" w14:textId="77777777"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14:paraId="0D42353D" w14:textId="77777777"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w:t>
      </w:r>
      <w:proofErr w:type="spellStart"/>
      <w:r w:rsidRPr="007A612E">
        <w:rPr>
          <w:rFonts w:eastAsia="Times New Roman"/>
          <w:b/>
          <w:sz w:val="24"/>
          <w:szCs w:val="24"/>
        </w:rPr>
        <w:t>Harner</w:t>
      </w:r>
      <w:proofErr w:type="spellEnd"/>
      <w:r w:rsidRPr="007A612E">
        <w:rPr>
          <w:rFonts w:eastAsia="Times New Roman"/>
          <w:sz w:val="24"/>
          <w:szCs w:val="24"/>
        </w:rPr>
        <w:t xml:space="preserve">, 2014 CO 78, ¶ 25, 339 P.3d 519 (holding that CRE 301 applies to the res </w:t>
      </w:r>
      <w:proofErr w:type="spellStart"/>
      <w:r w:rsidRPr="007A612E">
        <w:rPr>
          <w:rFonts w:eastAsia="Times New Roman"/>
          <w:sz w:val="24"/>
          <w:szCs w:val="24"/>
        </w:rPr>
        <w:t>ipsa</w:t>
      </w:r>
      <w:proofErr w:type="spellEnd"/>
      <w:r w:rsidRPr="007A612E">
        <w:rPr>
          <w:rFonts w:eastAsia="Times New Roman"/>
          <w:sz w:val="24"/>
          <w:szCs w:val="24"/>
        </w:rPr>
        <w:t xml:space="preserve"> loquitur doctrine in Colorado; </w:t>
      </w:r>
      <w:r w:rsidRPr="0053375F">
        <w:rPr>
          <w:rFonts w:eastAsia="Times New Roman"/>
          <w:sz w:val="24"/>
          <w:szCs w:val="24"/>
        </w:rPr>
        <w:t>overruling</w:t>
      </w:r>
      <w:r w:rsidRPr="007A612E">
        <w:rPr>
          <w:rFonts w:eastAsia="Times New Roman"/>
          <w:sz w:val="24"/>
          <w:szCs w:val="24"/>
        </w:rPr>
        <w:t xml:space="preserve"> </w:t>
      </w:r>
      <w:r w:rsidRPr="007A612E">
        <w:rPr>
          <w:rFonts w:eastAsia="Times New Roman"/>
          <w:b/>
          <w:sz w:val="24"/>
          <w:szCs w:val="24"/>
        </w:rPr>
        <w:t xml:space="preserve">Weiss v. </w:t>
      </w:r>
      <w:proofErr w:type="spellStart"/>
      <w:r w:rsidRPr="007A612E">
        <w:rPr>
          <w:rFonts w:eastAsia="Times New Roman"/>
          <w:b/>
          <w:sz w:val="24"/>
          <w:szCs w:val="24"/>
        </w:rPr>
        <w:t>Axler</w:t>
      </w:r>
      <w:proofErr w:type="spellEnd"/>
      <w:r w:rsidRPr="007A612E">
        <w:rPr>
          <w:rFonts w:eastAsia="Times New Roman"/>
          <w:sz w:val="24"/>
          <w:szCs w:val="24"/>
        </w:rPr>
        <w:t>, 137 Colo. 544, 328 P.3d 88 (1958) (decided before the adoption of CRE 301)). For statutory presumptions that shift the burden of proof as well as the burden of going forward, which are not governed by Rule 301, see Instruction 3:6.</w:t>
      </w:r>
    </w:p>
    <w:p w14:paraId="40010E3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 xml:space="preserve">Krueger v. </w:t>
      </w:r>
      <w:proofErr w:type="spellStart"/>
      <w:r w:rsidRPr="007A612E">
        <w:rPr>
          <w:rFonts w:eastAsia="Times New Roman"/>
          <w:b/>
          <w:sz w:val="24"/>
          <w:szCs w:val="24"/>
        </w:rPr>
        <w:t>Ary</w:t>
      </w:r>
      <w:proofErr w:type="spellEnd"/>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 xml:space="preserve">res </w:t>
      </w:r>
      <w:proofErr w:type="spellStart"/>
      <w:r w:rsidRPr="004425AA">
        <w:rPr>
          <w:rFonts w:eastAsia="Times New Roman"/>
          <w:sz w:val="24"/>
          <w:szCs w:val="24"/>
        </w:rPr>
        <w:t>ipsa</w:t>
      </w:r>
      <w:proofErr w:type="spellEnd"/>
      <w:r w:rsidRPr="004425AA">
        <w:rPr>
          <w:rFonts w:eastAsia="Times New Roman"/>
          <w:sz w:val="24"/>
          <w:szCs w:val="24"/>
        </w:rPr>
        <w:t xml:space="preserve">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8E720F">
        <w:rPr>
          <w:rFonts w:eastAsia="Times New Roman"/>
          <w:sz w:val="24"/>
          <w:szCs w:val="24"/>
        </w:rPr>
        <w:t>)</w:t>
      </w:r>
      <w:r w:rsidRPr="007A612E">
        <w:rPr>
          <w:rFonts w:eastAsia="Times New Roman"/>
          <w:sz w:val="24"/>
          <w:szCs w:val="24"/>
        </w:rPr>
        <w:t>. The supreme court has not yet considered whether to apply the holdings of these cases beyond the specific presumptions at issue in those two cases. However, (</w:t>
      </w:r>
      <w:proofErr w:type="spellStart"/>
      <w:r w:rsidRPr="007A612E">
        <w:rPr>
          <w:rFonts w:eastAsia="Times New Roman"/>
          <w:sz w:val="24"/>
          <w:szCs w:val="24"/>
        </w:rPr>
        <w:t>i</w:t>
      </w:r>
      <w:proofErr w:type="spellEnd"/>
      <w:r w:rsidRPr="007A612E">
        <w:rPr>
          <w:rFonts w:eastAsia="Times New Roman"/>
          <w:sz w:val="24"/>
          <w:szCs w:val="24"/>
        </w:rPr>
        <w:t xml:space="preserve">)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supplies a description of the general effect of rebuttable presumptions,” 2014 CO 78, ¶ 15; (ii) the supreme court adopted the identical procedure in both cases; (iii) the language of the opinions is broad; and (iv) the holdings are consistent with CRE 301. On the face of these decisions, and in the absence of decisions addressing other presumptions, it appears that substantial changes are required in instructions that formerly dealt with rebuttable presumptions.</w:t>
      </w:r>
    </w:p>
    <w:p w14:paraId="038B68D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14:paraId="1642BD0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14:paraId="195B829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14:paraId="66AE107B"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14:paraId="3EBB23E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14:paraId="2C5D8AB2"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14:paraId="1B9E9B78"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proofErr w:type="spellStart"/>
      <w:r w:rsidRPr="007A612E">
        <w:rPr>
          <w:rFonts w:eastAsia="Times New Roman"/>
          <w:b/>
          <w:sz w:val="24"/>
          <w:szCs w:val="24"/>
        </w:rPr>
        <w:t>Devenyns</w:t>
      </w:r>
      <w:proofErr w:type="spellEnd"/>
      <w:r w:rsidRPr="007A612E">
        <w:rPr>
          <w:rFonts w:eastAsia="Times New Roman"/>
          <w:b/>
          <w:sz w:val="24"/>
          <w:szCs w:val="24"/>
        </w:rPr>
        <w:t xml:space="preserve"> v. </w:t>
      </w:r>
      <w:proofErr w:type="spellStart"/>
      <w:r w:rsidRPr="007A612E">
        <w:rPr>
          <w:rFonts w:eastAsia="Times New Roman"/>
          <w:b/>
          <w:sz w:val="24"/>
          <w:szCs w:val="24"/>
        </w:rPr>
        <w:t>Hartig</w:t>
      </w:r>
      <w:proofErr w:type="spellEnd"/>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 xml:space="preserve">Yampa Valley Elec. </w:t>
      </w:r>
      <w:proofErr w:type="spellStart"/>
      <w:r w:rsidRPr="007A612E">
        <w:rPr>
          <w:rFonts w:eastAsia="Times New Roman"/>
          <w:b/>
          <w:sz w:val="24"/>
          <w:szCs w:val="24"/>
        </w:rPr>
        <w:t>Ass’n</w:t>
      </w:r>
      <w:proofErr w:type="spellEnd"/>
      <w:r w:rsidRPr="007A612E">
        <w:rPr>
          <w:rFonts w:eastAsia="Times New Roman"/>
          <w:b/>
          <w:sz w:val="24"/>
          <w:szCs w:val="24"/>
        </w:rPr>
        <w:t xml:space="preserve"> v. </w:t>
      </w:r>
      <w:proofErr w:type="spellStart"/>
      <w:r w:rsidRPr="007A612E">
        <w:rPr>
          <w:rFonts w:eastAsia="Times New Roman"/>
          <w:b/>
          <w:sz w:val="24"/>
          <w:szCs w:val="24"/>
        </w:rPr>
        <w:t>Telecky</w:t>
      </w:r>
      <w:proofErr w:type="spellEnd"/>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14:paraId="2EBF050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14:paraId="71311E2E"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045FCAD8"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CRE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14:paraId="69F564F5" w14:textId="77777777" w:rsidR="004425AA" w:rsidRDefault="004425AA">
      <w:pPr>
        <w:rPr>
          <w:rFonts w:eastAsia="Times New Roman"/>
          <w:sz w:val="24"/>
          <w:szCs w:val="24"/>
        </w:rPr>
      </w:pPr>
      <w:r>
        <w:rPr>
          <w:rFonts w:eastAsia="Times New Roman"/>
          <w:sz w:val="24"/>
          <w:szCs w:val="24"/>
        </w:rPr>
        <w:br w:type="page"/>
      </w:r>
    </w:p>
    <w:p w14:paraId="062EF674" w14:textId="77777777" w:rsidR="004425AA" w:rsidRPr="009E3DA4" w:rsidRDefault="004425AA" w:rsidP="004425AA">
      <w:pPr>
        <w:spacing w:after="240"/>
        <w:ind w:left="720" w:hanging="720"/>
        <w:rPr>
          <w:rFonts w:eastAsia="Times New Roman"/>
          <w:b/>
          <w:sz w:val="24"/>
          <w:szCs w:val="24"/>
        </w:rPr>
      </w:pPr>
      <w:bookmarkStart w:id="5" w:name="a3_5A"/>
      <w:bookmarkEnd w:id="5"/>
      <w:r w:rsidRPr="004425AA">
        <w:rPr>
          <w:rFonts w:eastAsia="Times New Roman"/>
          <w:b/>
          <w:sz w:val="24"/>
          <w:szCs w:val="24"/>
        </w:rPr>
        <w:lastRenderedPageBreak/>
        <w:t>3:5A</w:t>
      </w:r>
      <w:r w:rsidRPr="004425AA">
        <w:rPr>
          <w:rFonts w:eastAsia="Times New Roman"/>
          <w:b/>
          <w:sz w:val="24"/>
          <w:szCs w:val="24"/>
        </w:rPr>
        <w:tab/>
        <w:t>INFERENCE ARISING FROM INVOCATION OF FIFTH AMENDMENT PRIVILEGE</w:t>
      </w:r>
    </w:p>
    <w:p w14:paraId="52B185C0" w14:textId="77777777"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(his) (her) Constitutional privilege against self-incrimination would have been unfavorable to (him) (her).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(his) (her) assertion of (his) (her) privilege against self-incrimination. </w:t>
      </w:r>
    </w:p>
    <w:p w14:paraId="7F64E6C5" w14:textId="77777777" w:rsidR="004425AA" w:rsidRDefault="004425AA" w:rsidP="004425AA">
      <w:pPr>
        <w:jc w:val="center"/>
        <w:rPr>
          <w:rFonts w:eastAsia="Times New Roman"/>
          <w:sz w:val="24"/>
          <w:szCs w:val="24"/>
        </w:rPr>
      </w:pPr>
    </w:p>
    <w:p w14:paraId="5CF61378" w14:textId="77777777"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14:paraId="6755BED4"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14:paraId="5F86BBDB"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r w:rsidRPr="00935DA8">
        <w:rPr>
          <w:rFonts w:eastAsia="Times New Roman"/>
          <w:b/>
          <w:sz w:val="24"/>
          <w:szCs w:val="24"/>
        </w:rPr>
        <w:t>McGillis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w:t>
      </w:r>
      <w:proofErr w:type="spellStart"/>
      <w:r w:rsidRPr="00935DA8">
        <w:rPr>
          <w:rFonts w:eastAsia="Times New Roman"/>
          <w:sz w:val="24"/>
          <w:szCs w:val="24"/>
        </w:rPr>
        <w:t>noncaptioned</w:t>
      </w:r>
      <w:proofErr w:type="spellEnd"/>
      <w:r w:rsidRPr="00935DA8">
        <w:rPr>
          <w:rFonts w:eastAsia="Times New Roman"/>
          <w:sz w:val="24"/>
          <w:szCs w:val="24"/>
        </w:rPr>
        <w:t xml:space="preserve">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14:paraId="4EE1AF87" w14:textId="77777777" w:rsidR="004425AA" w:rsidRPr="0054263B" w:rsidRDefault="004425AA" w:rsidP="004425AA">
      <w:pPr>
        <w:keepNext/>
        <w:spacing w:after="240"/>
        <w:jc w:val="center"/>
        <w:rPr>
          <w:rFonts w:eastAsia="Times New Roman"/>
          <w:b/>
          <w:sz w:val="24"/>
          <w:szCs w:val="24"/>
        </w:rPr>
      </w:pPr>
      <w:r>
        <w:rPr>
          <w:rFonts w:eastAsia="Times New Roman"/>
          <w:b/>
          <w:sz w:val="24"/>
          <w:szCs w:val="24"/>
        </w:rPr>
        <w:lastRenderedPageBreak/>
        <w:t>Source and Authority</w:t>
      </w:r>
    </w:p>
    <w:p w14:paraId="4317A842" w14:textId="77777777"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r w:rsidRPr="00935DA8">
        <w:rPr>
          <w:rFonts w:eastAsia="Times New Roman"/>
          <w:b/>
          <w:sz w:val="24"/>
          <w:szCs w:val="24"/>
        </w:rPr>
        <w:t>McGillis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 xml:space="preserve">Chaffin, Inc. v. </w:t>
      </w:r>
      <w:proofErr w:type="spellStart"/>
      <w:r w:rsidRPr="00935DA8">
        <w:rPr>
          <w:rFonts w:eastAsia="Times New Roman"/>
          <w:b/>
          <w:iCs/>
          <w:sz w:val="24"/>
          <w:szCs w:val="24"/>
        </w:rPr>
        <w:t>Wallain</w:t>
      </w:r>
      <w:proofErr w:type="spellEnd"/>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proofErr w:type="spellStart"/>
      <w:r w:rsidRPr="00935DA8">
        <w:rPr>
          <w:rFonts w:eastAsia="Times New Roman"/>
          <w:b/>
          <w:sz w:val="24"/>
          <w:szCs w:val="24"/>
        </w:rPr>
        <w:t>Asplin</w:t>
      </w:r>
      <w:proofErr w:type="spellEnd"/>
      <w:r w:rsidRPr="00935DA8">
        <w:rPr>
          <w:rFonts w:eastAsia="Times New Roman"/>
          <w:b/>
          <w:sz w:val="24"/>
          <w:szCs w:val="24"/>
        </w:rPr>
        <w:t xml:space="preserve">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14:paraId="7D9EBA20" w14:textId="77777777" w:rsidR="003F108C" w:rsidRDefault="003F108C" w:rsidP="007A612E">
      <w:pPr>
        <w:spacing w:after="240"/>
        <w:ind w:firstLine="720"/>
        <w:rPr>
          <w:rFonts w:eastAsia="Times New Roman"/>
          <w:sz w:val="24"/>
          <w:szCs w:val="24"/>
        </w:rPr>
      </w:pPr>
      <w:r>
        <w:rPr>
          <w:rFonts w:eastAsia="Times New Roman"/>
          <w:sz w:val="24"/>
          <w:szCs w:val="24"/>
        </w:rPr>
        <w:t xml:space="preserve"> </w:t>
      </w:r>
    </w:p>
    <w:p w14:paraId="4D5748C6" w14:textId="77777777" w:rsidR="003F108C" w:rsidRDefault="003F108C" w:rsidP="003F108C">
      <w:r>
        <w:br w:type="page"/>
      </w:r>
    </w:p>
    <w:p w14:paraId="288FA42E" w14:textId="77777777" w:rsidR="003F108C" w:rsidRPr="009E3DA4" w:rsidRDefault="003F108C" w:rsidP="003F108C">
      <w:pPr>
        <w:spacing w:after="240"/>
        <w:ind w:left="720" w:hanging="720"/>
        <w:rPr>
          <w:rFonts w:eastAsia="Times New Roman"/>
          <w:b/>
          <w:sz w:val="24"/>
          <w:szCs w:val="24"/>
        </w:rPr>
      </w:pPr>
      <w:bookmarkStart w:id="6" w:name="a3_6"/>
      <w:bookmarkEnd w:id="6"/>
      <w:r w:rsidRPr="003F108C">
        <w:rPr>
          <w:rFonts w:eastAsia="Times New Roman"/>
          <w:b/>
          <w:sz w:val="24"/>
          <w:szCs w:val="24"/>
        </w:rPr>
        <w:lastRenderedPageBreak/>
        <w:t xml:space="preserve">3:6 </w:t>
      </w:r>
      <w:r w:rsidRPr="003F108C">
        <w:rPr>
          <w:rFonts w:eastAsia="Times New Roman"/>
          <w:b/>
          <w:sz w:val="24"/>
          <w:szCs w:val="24"/>
        </w:rPr>
        <w:tab/>
        <w:t>STATUTORY PRESUMPTIONS THAT SHIFT THE BURDEN OF PROOF</w:t>
      </w:r>
    </w:p>
    <w:p w14:paraId="299A40CB" w14:textId="77777777"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14:paraId="1DB47B8C" w14:textId="77777777" w:rsidR="003F108C" w:rsidRDefault="003F108C" w:rsidP="003F108C">
      <w:pPr>
        <w:jc w:val="center"/>
        <w:rPr>
          <w:rFonts w:eastAsia="Times New Roman"/>
          <w:sz w:val="24"/>
          <w:szCs w:val="24"/>
        </w:rPr>
      </w:pPr>
    </w:p>
    <w:p w14:paraId="2FF46E7F" w14:textId="77777777"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14:paraId="4F3FC04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CRE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2016 CO 25, ¶ 37, 370 P.3d 157 (distinguishing between a “Thayer–</w:t>
      </w:r>
      <w:proofErr w:type="spellStart"/>
      <w:r w:rsidRPr="005B3A78">
        <w:rPr>
          <w:rFonts w:eastAsia="Times New Roman"/>
          <w:sz w:val="24"/>
          <w:szCs w:val="24"/>
        </w:rPr>
        <w:t>Wigmore</w:t>
      </w:r>
      <w:proofErr w:type="spellEnd"/>
      <w:r w:rsidRPr="005B3A78">
        <w:rPr>
          <w:rFonts w:eastAsia="Times New Roman"/>
          <w:sz w:val="24"/>
          <w:szCs w:val="24"/>
        </w:rPr>
        <w:t xml:space="preserv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14:paraId="5BC10C5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14:paraId="1803FCB7"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14:paraId="6C02C368"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14:paraId="410F5F32" w14:textId="77777777"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14:paraId="05C3E918" w14:textId="77777777"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14:paraId="47D1EEB9" w14:textId="77777777" w:rsidR="005B3A78" w:rsidRDefault="005B3A78">
      <w:pPr>
        <w:rPr>
          <w:rFonts w:eastAsia="Times New Roman"/>
          <w:iCs/>
          <w:sz w:val="24"/>
          <w:szCs w:val="24"/>
        </w:rPr>
      </w:pPr>
      <w:r>
        <w:rPr>
          <w:rFonts w:eastAsia="Times New Roman"/>
          <w:iCs/>
          <w:sz w:val="24"/>
          <w:szCs w:val="24"/>
        </w:rPr>
        <w:br w:type="page"/>
      </w:r>
    </w:p>
    <w:p w14:paraId="5BC0011A" w14:textId="77777777" w:rsidR="005B3A78" w:rsidRPr="009E3DA4" w:rsidRDefault="005B3A78" w:rsidP="005B3A78">
      <w:pPr>
        <w:spacing w:after="240"/>
        <w:ind w:left="720" w:hanging="720"/>
        <w:rPr>
          <w:rFonts w:eastAsia="Times New Roman"/>
          <w:b/>
          <w:sz w:val="24"/>
          <w:szCs w:val="24"/>
        </w:rPr>
      </w:pPr>
      <w:bookmarkStart w:id="7" w:name="a3_7"/>
      <w:bookmarkEnd w:id="7"/>
      <w:r w:rsidRPr="005B3A78">
        <w:rPr>
          <w:rFonts w:eastAsia="Times New Roman"/>
          <w:b/>
          <w:sz w:val="24"/>
          <w:szCs w:val="24"/>
        </w:rPr>
        <w:lastRenderedPageBreak/>
        <w:t xml:space="preserve">3:7 </w:t>
      </w:r>
      <w:r w:rsidRPr="005B3A78">
        <w:rPr>
          <w:rFonts w:eastAsia="Times New Roman"/>
          <w:b/>
          <w:sz w:val="24"/>
          <w:szCs w:val="24"/>
        </w:rPr>
        <w:tab/>
        <w:t>CONSTRUCTIVE KNOWLEDGE BASED ON DUTY TO INQUIRE</w:t>
      </w:r>
    </w:p>
    <w:p w14:paraId="6FF730BD" w14:textId="77777777"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You must find that a person knew a fact, if (he) (she) had information that would have led a reasonable person to inquire further and that inquiry would have revealed that fact.</w:t>
      </w:r>
    </w:p>
    <w:p w14:paraId="7915AAE2" w14:textId="77777777" w:rsidR="005B3A78" w:rsidRDefault="005B3A78" w:rsidP="005B3A78">
      <w:pPr>
        <w:jc w:val="center"/>
        <w:rPr>
          <w:rFonts w:eastAsia="Times New Roman"/>
          <w:sz w:val="24"/>
          <w:szCs w:val="24"/>
        </w:rPr>
      </w:pPr>
    </w:p>
    <w:p w14:paraId="4F49936A" w14:textId="77777777"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14:paraId="54A9385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Sheffield Servs.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 xml:space="preserve">Weinstein v. Colborne </w:t>
      </w:r>
      <w:proofErr w:type="spellStart"/>
      <w:r w:rsidRPr="005B3A78">
        <w:rPr>
          <w:rFonts w:eastAsia="Times New Roman"/>
          <w:b/>
          <w:sz w:val="24"/>
          <w:szCs w:val="24"/>
        </w:rPr>
        <w:t>Foodbotics</w:t>
      </w:r>
      <w:proofErr w:type="spellEnd"/>
      <w:r w:rsidRPr="005B3A78">
        <w:rPr>
          <w:rFonts w:eastAsia="Times New Roman"/>
          <w:b/>
          <w:sz w:val="24"/>
          <w:szCs w:val="24"/>
        </w:rPr>
        <w:t>, LLC</w:t>
      </w:r>
      <w:r w:rsidRPr="005B3A78">
        <w:rPr>
          <w:rFonts w:eastAsia="Times New Roman"/>
          <w:sz w:val="24"/>
          <w:szCs w:val="24"/>
        </w:rPr>
        <w:t>, 2013 CO 33, 302 P.3d 263.</w:t>
      </w:r>
    </w:p>
    <w:p w14:paraId="7AE2BACA"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14:paraId="6724D42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14:paraId="0AEB2D31" w14:textId="77777777"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14:paraId="7B31688B" w14:textId="77777777"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14:paraId="3184A218" w14:textId="77777777" w:rsidR="00837F81" w:rsidRDefault="00837F81">
      <w:pPr>
        <w:rPr>
          <w:rFonts w:eastAsia="Times New Roman"/>
          <w:b/>
          <w:iCs/>
          <w:sz w:val="24"/>
          <w:szCs w:val="24"/>
        </w:rPr>
      </w:pPr>
      <w:r>
        <w:rPr>
          <w:rFonts w:eastAsia="Times New Roman"/>
          <w:b/>
          <w:iCs/>
          <w:sz w:val="24"/>
          <w:szCs w:val="24"/>
        </w:rPr>
        <w:br w:type="page"/>
      </w:r>
    </w:p>
    <w:p w14:paraId="484B4776" w14:textId="77777777" w:rsidR="00837F81" w:rsidRDefault="00837F81" w:rsidP="00837F81">
      <w:pPr>
        <w:spacing w:after="240"/>
        <w:jc w:val="center"/>
        <w:rPr>
          <w:rFonts w:eastAsia="Times New Roman"/>
          <w:b/>
          <w:sz w:val="24"/>
          <w:szCs w:val="24"/>
        </w:rPr>
      </w:pPr>
      <w:r w:rsidRPr="00837F81">
        <w:rPr>
          <w:rFonts w:eastAsia="Times New Roman"/>
          <w:b/>
          <w:sz w:val="24"/>
          <w:szCs w:val="24"/>
        </w:rPr>
        <w:lastRenderedPageBreak/>
        <w:t>C. WEIGHING OF EVIDENCE</w:t>
      </w:r>
    </w:p>
    <w:p w14:paraId="0B01646B" w14:textId="77777777" w:rsidR="00837F81" w:rsidRPr="009E3DA4" w:rsidRDefault="00837F81" w:rsidP="00837F81">
      <w:pPr>
        <w:spacing w:after="240"/>
        <w:ind w:left="720" w:hanging="720"/>
        <w:rPr>
          <w:rFonts w:eastAsia="Times New Roman"/>
          <w:b/>
          <w:sz w:val="24"/>
          <w:szCs w:val="24"/>
        </w:rPr>
      </w:pPr>
      <w:bookmarkStart w:id="8" w:name="a3_8"/>
      <w:bookmarkEnd w:id="8"/>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14:paraId="4F761B96"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14:paraId="010D249C" w14:textId="5FC8E3E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w:t>
      </w:r>
      <w:r w:rsidR="00DF4FED">
        <w:rPr>
          <w:rFonts w:eastAsia="Times New Roman"/>
          <w:b/>
          <w:sz w:val="24"/>
          <w:szCs w:val="24"/>
        </w:rPr>
        <w:t xml:space="preserve">he evidence received at trial. </w:t>
      </w:r>
      <w:r w:rsidRPr="00837F81">
        <w:rPr>
          <w:rFonts w:eastAsia="Times New Roman"/>
          <w:b/>
          <w:sz w:val="24"/>
          <w:szCs w:val="24"/>
        </w:rPr>
        <w:t xml:space="preserve">Evidence offered at the trial and rejected or stricken by the Court </w:t>
      </w:r>
      <w:r w:rsidR="00DF4FED">
        <w:rPr>
          <w:rFonts w:eastAsia="Times New Roman"/>
          <w:b/>
          <w:sz w:val="24"/>
          <w:szCs w:val="24"/>
        </w:rPr>
        <w:t xml:space="preserve">must not be considered by you. </w:t>
      </w:r>
      <w:r w:rsidRPr="00837F81">
        <w:rPr>
          <w:rFonts w:eastAsia="Times New Roman"/>
          <w:b/>
          <w:sz w:val="24"/>
          <w:szCs w:val="24"/>
        </w:rPr>
        <w:t>Statements, remarks, arguments, and objections by counsel and remarks of the Court not directed to you are not evidence.</w:t>
      </w:r>
    </w:p>
    <w:p w14:paraId="70422359" w14:textId="262ECD73"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w:t>
      </w:r>
      <w:r w:rsidR="00DF4FED">
        <w:rPr>
          <w:rFonts w:eastAsia="Times New Roman"/>
          <w:b/>
          <w:sz w:val="24"/>
          <w:szCs w:val="24"/>
        </w:rPr>
        <w:t xml:space="preserve">. </w:t>
      </w:r>
      <w:r w:rsidRPr="00837F81">
        <w:rPr>
          <w:rFonts w:eastAsia="Times New Roman"/>
          <w:b/>
          <w:sz w:val="24"/>
          <w:szCs w:val="24"/>
        </w:rPr>
        <w:t>An inference is a conclusion that follows, as a matter of reason and common sense, from the evidence.</w:t>
      </w:r>
    </w:p>
    <w:p w14:paraId="345313C1" w14:textId="77777777"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14:paraId="7229B33E"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14:paraId="44CE5373" w14:textId="77777777" w:rsidR="00837F81" w:rsidRDefault="00837F81" w:rsidP="00837F81">
      <w:pPr>
        <w:jc w:val="center"/>
        <w:rPr>
          <w:rFonts w:eastAsia="Times New Roman"/>
          <w:sz w:val="24"/>
          <w:szCs w:val="24"/>
        </w:rPr>
      </w:pPr>
    </w:p>
    <w:p w14:paraId="3A643B6B" w14:textId="77777777"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14:paraId="32484D24"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14:paraId="1AC42CAE"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14:paraId="72F2D770"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 xml:space="preserve">Krueger v. </w:t>
      </w:r>
      <w:proofErr w:type="spellStart"/>
      <w:r w:rsidRPr="00837F81">
        <w:rPr>
          <w:rFonts w:eastAsia="Times New Roman"/>
          <w:b/>
          <w:sz w:val="24"/>
          <w:szCs w:val="24"/>
        </w:rPr>
        <w:t>Ary</w:t>
      </w:r>
      <w:proofErr w:type="spellEnd"/>
      <w:r w:rsidRPr="00837F81">
        <w:rPr>
          <w:rFonts w:eastAsia="Times New Roman"/>
          <w:sz w:val="24"/>
          <w:szCs w:val="24"/>
        </w:rPr>
        <w:t xml:space="preserve">,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w:t>
      </w:r>
      <w:r w:rsidRPr="00310B6B">
        <w:rPr>
          <w:rFonts w:eastAsia="Times New Roman"/>
          <w:i/>
          <w:sz w:val="24"/>
          <w:szCs w:val="24"/>
        </w:rPr>
        <w:t>see, e.g.</w:t>
      </w:r>
      <w:r w:rsidRPr="00837F81">
        <w:rPr>
          <w:rFonts w:eastAsia="Times New Roman"/>
          <w:sz w:val="24"/>
          <w:szCs w:val="24"/>
        </w:rPr>
        <w:t>, Instructions 3:5 and 34:17.</w:t>
      </w:r>
    </w:p>
    <w:p w14:paraId="693FE7C9"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lastRenderedPageBreak/>
        <w:t xml:space="preserve">4. Courts may take judicial notice of the contents of a county attorney’s website where (1) the contents of the website on a specific date and time are not subject to reasonable dispute; (2) the party making the request complies with the requirements of CRE 201(d); (3) the website is self-authenticating as an official publication; and (4) the contents fall within an exception to the hearsay rule (such as that for public records and reports). </w:t>
      </w:r>
      <w:r w:rsidRPr="00837F81">
        <w:rPr>
          <w:rFonts w:eastAsia="Times New Roman"/>
          <w:b/>
          <w:sz w:val="24"/>
          <w:szCs w:val="24"/>
        </w:rPr>
        <w:t xml:space="preserve">Shook v. Pitkin </w:t>
      </w:r>
      <w:proofErr w:type="spellStart"/>
      <w:r w:rsidRPr="00837F81">
        <w:rPr>
          <w:rFonts w:eastAsia="Times New Roman"/>
          <w:b/>
          <w:sz w:val="24"/>
          <w:szCs w:val="24"/>
        </w:rPr>
        <w:t>Cty</w:t>
      </w:r>
      <w:proofErr w:type="spellEnd"/>
      <w:r w:rsidRPr="00837F81">
        <w:rPr>
          <w:rFonts w:eastAsia="Times New Roman"/>
          <w:b/>
          <w:sz w:val="24"/>
          <w:szCs w:val="24"/>
        </w:rPr>
        <w:t xml:space="preserve">. Bd. of </w:t>
      </w:r>
      <w:proofErr w:type="spellStart"/>
      <w:r w:rsidRPr="00837F81">
        <w:rPr>
          <w:rFonts w:eastAsia="Times New Roman"/>
          <w:b/>
          <w:sz w:val="24"/>
          <w:szCs w:val="24"/>
        </w:rPr>
        <w:t>Cty</w:t>
      </w:r>
      <w:proofErr w:type="spellEnd"/>
      <w:r w:rsidRPr="00837F81">
        <w:rPr>
          <w:rFonts w:eastAsia="Times New Roman"/>
          <w:b/>
          <w:sz w:val="24"/>
          <w:szCs w:val="24"/>
        </w:rPr>
        <w:t>. Comm’rs</w:t>
      </w:r>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14:paraId="53ABECD9" w14:textId="77777777"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14:paraId="05AA3114" w14:textId="77777777"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proofErr w:type="spellStart"/>
      <w:r w:rsidRPr="00837F81">
        <w:rPr>
          <w:rFonts w:eastAsia="Times New Roman"/>
          <w:b/>
          <w:iCs/>
          <w:sz w:val="24"/>
          <w:szCs w:val="24"/>
        </w:rPr>
        <w:t>Venetucci</w:t>
      </w:r>
      <w:proofErr w:type="spellEnd"/>
      <w:r w:rsidRPr="00837F81">
        <w:rPr>
          <w:rFonts w:eastAsia="Times New Roman"/>
          <w:b/>
          <w:iCs/>
          <w:sz w:val="24"/>
          <w:szCs w:val="24"/>
        </w:rPr>
        <w:t xml:space="preserve">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 xml:space="preserve">Independence Coffee &amp; Spice Co. v. </w:t>
      </w:r>
      <w:proofErr w:type="spellStart"/>
      <w:r w:rsidRPr="00837F81">
        <w:rPr>
          <w:rFonts w:eastAsia="Times New Roman"/>
          <w:b/>
          <w:iCs/>
          <w:sz w:val="24"/>
          <w:szCs w:val="24"/>
        </w:rPr>
        <w:t>Kalkman</w:t>
      </w:r>
      <w:proofErr w:type="spellEnd"/>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14:paraId="6D29837C" w14:textId="77777777"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CRE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14:paraId="6CA6273A" w14:textId="77777777" w:rsidR="0082168C" w:rsidRDefault="0082168C">
      <w:pPr>
        <w:rPr>
          <w:rFonts w:eastAsia="Times New Roman"/>
          <w:iCs/>
          <w:sz w:val="24"/>
          <w:szCs w:val="24"/>
        </w:rPr>
      </w:pPr>
      <w:r>
        <w:rPr>
          <w:rFonts w:eastAsia="Times New Roman"/>
          <w:iCs/>
          <w:sz w:val="24"/>
          <w:szCs w:val="24"/>
        </w:rPr>
        <w:br w:type="page"/>
      </w:r>
    </w:p>
    <w:p w14:paraId="3D3BCD96" w14:textId="77777777" w:rsidR="0082168C" w:rsidRPr="009E3DA4" w:rsidRDefault="0082168C" w:rsidP="0082168C">
      <w:pPr>
        <w:spacing w:after="240"/>
        <w:ind w:left="720" w:hanging="720"/>
        <w:rPr>
          <w:rFonts w:eastAsia="Times New Roman"/>
          <w:b/>
          <w:sz w:val="24"/>
          <w:szCs w:val="24"/>
        </w:rPr>
      </w:pPr>
      <w:bookmarkStart w:id="9" w:name="a3_9"/>
      <w:bookmarkEnd w:id="9"/>
      <w:r w:rsidRPr="0082168C">
        <w:rPr>
          <w:rFonts w:eastAsia="Times New Roman"/>
          <w:b/>
          <w:sz w:val="24"/>
          <w:szCs w:val="24"/>
        </w:rPr>
        <w:lastRenderedPageBreak/>
        <w:t xml:space="preserve">3:9 </w:t>
      </w:r>
      <w:r w:rsidRPr="0082168C">
        <w:rPr>
          <w:rFonts w:eastAsia="Times New Roman"/>
          <w:b/>
          <w:sz w:val="24"/>
          <w:szCs w:val="24"/>
        </w:rPr>
        <w:tab/>
        <w:t>DIRECT AND INDIRECT (CIRCUMSTANTIAL) EVIDENCE — DEFINED</w:t>
      </w:r>
    </w:p>
    <w:p w14:paraId="3A4AD486" w14:textId="77777777"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63C7FB22" w14:textId="77777777" w:rsidR="0082168C" w:rsidRDefault="0082168C" w:rsidP="0082168C">
      <w:pPr>
        <w:jc w:val="center"/>
        <w:rPr>
          <w:rFonts w:eastAsia="Times New Roman"/>
          <w:sz w:val="24"/>
          <w:szCs w:val="24"/>
        </w:rPr>
      </w:pPr>
    </w:p>
    <w:p w14:paraId="09FA3B1F" w14:textId="77777777"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14:paraId="5FBAB9B9" w14:textId="77777777"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14:paraId="1973E785" w14:textId="77777777"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14:paraId="0E858FB8" w14:textId="77777777"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 xml:space="preserve">Quintana v. </w:t>
      </w:r>
      <w:proofErr w:type="spellStart"/>
      <w:r w:rsidRPr="0082168C">
        <w:rPr>
          <w:rFonts w:eastAsia="Times New Roman"/>
          <w:b/>
          <w:iCs/>
          <w:sz w:val="24"/>
          <w:szCs w:val="24"/>
        </w:rPr>
        <w:t>Kudrna</w:t>
      </w:r>
      <w:proofErr w:type="spellEnd"/>
      <w:r w:rsidRPr="0082168C">
        <w:rPr>
          <w:rFonts w:eastAsia="Times New Roman"/>
          <w:iCs/>
          <w:sz w:val="24"/>
          <w:szCs w:val="24"/>
        </w:rPr>
        <w:t xml:space="preserve">, 157 Colo. 421, 402 P.2d 927 (1965); </w:t>
      </w:r>
      <w:r w:rsidRPr="0082168C">
        <w:rPr>
          <w:rFonts w:eastAsia="Times New Roman"/>
          <w:b/>
          <w:iCs/>
          <w:sz w:val="24"/>
          <w:szCs w:val="24"/>
        </w:rPr>
        <w:t>Miller v. Boma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14:paraId="34E73460" w14:textId="77777777" w:rsidR="00037111" w:rsidRDefault="00037111">
      <w:pPr>
        <w:rPr>
          <w:rFonts w:eastAsia="Times New Roman"/>
          <w:iCs/>
          <w:sz w:val="24"/>
          <w:szCs w:val="24"/>
        </w:rPr>
      </w:pPr>
      <w:r>
        <w:rPr>
          <w:rFonts w:eastAsia="Times New Roman"/>
          <w:iCs/>
          <w:sz w:val="24"/>
          <w:szCs w:val="24"/>
        </w:rPr>
        <w:br w:type="page"/>
      </w:r>
    </w:p>
    <w:p w14:paraId="24D11900" w14:textId="77777777" w:rsidR="00037111" w:rsidRPr="009E3DA4" w:rsidRDefault="00037111" w:rsidP="00037111">
      <w:pPr>
        <w:spacing w:after="240"/>
        <w:ind w:left="720" w:hanging="720"/>
        <w:rPr>
          <w:rFonts w:eastAsia="Times New Roman"/>
          <w:b/>
          <w:sz w:val="24"/>
          <w:szCs w:val="24"/>
        </w:rPr>
      </w:pPr>
      <w:bookmarkStart w:id="10" w:name="a3_10"/>
      <w:bookmarkEnd w:id="10"/>
      <w:r w:rsidRPr="00037111">
        <w:rPr>
          <w:rFonts w:eastAsia="Times New Roman"/>
          <w:b/>
          <w:sz w:val="24"/>
          <w:szCs w:val="24"/>
        </w:rPr>
        <w:lastRenderedPageBreak/>
        <w:t xml:space="preserve">3:10 </w:t>
      </w:r>
      <w:r w:rsidRPr="00037111">
        <w:rPr>
          <w:rFonts w:eastAsia="Times New Roman"/>
          <w:b/>
          <w:sz w:val="24"/>
          <w:szCs w:val="24"/>
        </w:rPr>
        <w:tab/>
        <w:t>DEPOSITIONS AS EVIDENCE</w:t>
      </w:r>
    </w:p>
    <w:p w14:paraId="04B8CB7A"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14:paraId="4062BCD2" w14:textId="77777777" w:rsidR="00037111" w:rsidRDefault="00037111" w:rsidP="00037111">
      <w:pPr>
        <w:jc w:val="center"/>
        <w:rPr>
          <w:rFonts w:eastAsia="Times New Roman"/>
          <w:sz w:val="24"/>
          <w:szCs w:val="24"/>
        </w:rPr>
      </w:pPr>
    </w:p>
    <w:p w14:paraId="26F2924B"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2E2FE18"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14:paraId="193AB710"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14:paraId="7C8D9A34"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3. This instruction should be given only if a deposition has been admitted as substantive evidence. It should not be given if a deposition has only been used for impeachment, for example, by showing a prior inconsistent statement. If one or more depositions have been used for impeachment purposes in a case in which one or more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14:paraId="5F61C256"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14:paraId="44694A6A" w14:textId="77777777"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14:paraId="165890F0" w14:textId="77777777"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14:paraId="5EBD0527"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147B8B54"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r w:rsidRPr="00037111">
        <w:rPr>
          <w:rFonts w:eastAsia="Times New Roman"/>
          <w:iCs/>
          <w:sz w:val="24"/>
          <w:szCs w:val="24"/>
        </w:rPr>
        <w:t>C.R.C.P. 32(a).</w:t>
      </w:r>
    </w:p>
    <w:p w14:paraId="629CC70B" w14:textId="77777777" w:rsidR="00037111" w:rsidRDefault="00037111">
      <w:pPr>
        <w:rPr>
          <w:rFonts w:eastAsia="Times New Roman"/>
          <w:iCs/>
          <w:sz w:val="24"/>
          <w:szCs w:val="24"/>
        </w:rPr>
      </w:pPr>
      <w:r>
        <w:rPr>
          <w:rFonts w:eastAsia="Times New Roman"/>
          <w:iCs/>
          <w:sz w:val="24"/>
          <w:szCs w:val="24"/>
        </w:rPr>
        <w:br w:type="page"/>
      </w:r>
    </w:p>
    <w:p w14:paraId="338CCD4F" w14:textId="77777777" w:rsidR="00037111" w:rsidRPr="009E3DA4" w:rsidRDefault="00037111" w:rsidP="00037111">
      <w:pPr>
        <w:spacing w:after="240"/>
        <w:ind w:left="720" w:hanging="720"/>
        <w:rPr>
          <w:rFonts w:eastAsia="Times New Roman"/>
          <w:b/>
          <w:sz w:val="24"/>
          <w:szCs w:val="24"/>
        </w:rPr>
      </w:pPr>
      <w:bookmarkStart w:id="11" w:name="a3_11"/>
      <w:bookmarkEnd w:id="11"/>
      <w:r w:rsidRPr="00037111">
        <w:rPr>
          <w:rFonts w:eastAsia="Times New Roman"/>
          <w:b/>
          <w:sz w:val="24"/>
          <w:szCs w:val="24"/>
        </w:rPr>
        <w:lastRenderedPageBreak/>
        <w:t xml:space="preserve">3:11 </w:t>
      </w:r>
      <w:r w:rsidRPr="00037111">
        <w:rPr>
          <w:rFonts w:eastAsia="Times New Roman"/>
          <w:b/>
          <w:sz w:val="24"/>
          <w:szCs w:val="24"/>
        </w:rPr>
        <w:tab/>
        <w:t>TESTIMONY READ FROM TRANSCRIPT</w:t>
      </w:r>
    </w:p>
    <w:p w14:paraId="3BAD2126"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14:paraId="7BDD7349" w14:textId="77777777" w:rsidR="00037111" w:rsidRDefault="00037111" w:rsidP="00037111">
      <w:pPr>
        <w:jc w:val="center"/>
        <w:rPr>
          <w:rFonts w:eastAsia="Times New Roman"/>
          <w:sz w:val="24"/>
          <w:szCs w:val="24"/>
        </w:rPr>
      </w:pPr>
    </w:p>
    <w:p w14:paraId="799CB878"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0C5DC4AA"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should be given immediately before or after the prior testimony has been properly admitted. As to when such prior testimony is admissible under the hearsay rule, see CRE 804(b)(1).</w:t>
      </w:r>
    </w:p>
    <w:p w14:paraId="044E64FC"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E84C600"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 C.R.C.P. 80(c) and 380(b).</w:t>
      </w:r>
    </w:p>
    <w:p w14:paraId="56ACDF84" w14:textId="77777777" w:rsidR="00037111" w:rsidRDefault="00037111">
      <w:pPr>
        <w:rPr>
          <w:rFonts w:eastAsia="Times New Roman"/>
          <w:iCs/>
          <w:sz w:val="24"/>
          <w:szCs w:val="24"/>
        </w:rPr>
      </w:pPr>
      <w:r>
        <w:rPr>
          <w:rFonts w:eastAsia="Times New Roman"/>
          <w:iCs/>
          <w:sz w:val="24"/>
          <w:szCs w:val="24"/>
        </w:rPr>
        <w:br w:type="page"/>
      </w:r>
    </w:p>
    <w:p w14:paraId="4107ABE9" w14:textId="77777777" w:rsidR="00037111" w:rsidRPr="009E3DA4" w:rsidRDefault="00037111" w:rsidP="00037111">
      <w:pPr>
        <w:spacing w:after="240"/>
        <w:ind w:left="720" w:hanging="720"/>
        <w:rPr>
          <w:rFonts w:eastAsia="Times New Roman"/>
          <w:b/>
          <w:sz w:val="24"/>
          <w:szCs w:val="24"/>
        </w:rPr>
      </w:pPr>
      <w:bookmarkStart w:id="12" w:name="a3_12"/>
      <w:bookmarkEnd w:id="12"/>
      <w:r w:rsidRPr="00037111">
        <w:rPr>
          <w:rFonts w:eastAsia="Times New Roman"/>
          <w:b/>
          <w:sz w:val="24"/>
          <w:szCs w:val="24"/>
        </w:rPr>
        <w:lastRenderedPageBreak/>
        <w:t xml:space="preserve">3:12 </w:t>
      </w:r>
      <w:r w:rsidRPr="00037111">
        <w:rPr>
          <w:rFonts w:eastAsia="Times New Roman"/>
          <w:b/>
          <w:sz w:val="24"/>
          <w:szCs w:val="24"/>
        </w:rPr>
        <w:tab/>
        <w:t>PREPONDERANCE NOT DETERMINED BY NUMBER OF WITNESSES</w:t>
      </w:r>
    </w:p>
    <w:p w14:paraId="5E5AE521"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14:paraId="60151ADF" w14:textId="77777777" w:rsidR="00037111" w:rsidRDefault="00037111" w:rsidP="00037111">
      <w:pPr>
        <w:jc w:val="center"/>
        <w:rPr>
          <w:rFonts w:eastAsia="Times New Roman"/>
          <w:sz w:val="24"/>
          <w:szCs w:val="24"/>
        </w:rPr>
      </w:pPr>
    </w:p>
    <w:p w14:paraId="24B4CED4"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76F717C"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14:paraId="19616D0E"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9A15EBE" w14:textId="77777777"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w:t>
      </w:r>
      <w:proofErr w:type="spellStart"/>
      <w:r w:rsidRPr="00037111">
        <w:rPr>
          <w:rFonts w:eastAsia="Times New Roman"/>
          <w:b/>
          <w:iCs/>
          <w:sz w:val="24"/>
          <w:szCs w:val="24"/>
        </w:rPr>
        <w:t>Swaim</w:t>
      </w:r>
      <w:proofErr w:type="spellEnd"/>
      <w:r w:rsidRPr="00037111">
        <w:rPr>
          <w:rFonts w:eastAsia="Times New Roman"/>
          <w:b/>
          <w:iCs/>
          <w:sz w:val="24"/>
          <w:szCs w:val="24"/>
        </w:rPr>
        <w:t xml:space="preserve">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 xml:space="preserve">Gonzalez v. </w:t>
      </w:r>
      <w:proofErr w:type="spellStart"/>
      <w:r w:rsidRPr="00037111">
        <w:rPr>
          <w:rFonts w:eastAsia="Times New Roman"/>
          <w:b/>
          <w:iCs/>
          <w:sz w:val="24"/>
          <w:szCs w:val="24"/>
        </w:rPr>
        <w:t>Windlan</w:t>
      </w:r>
      <w:proofErr w:type="spellEnd"/>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14:paraId="4EBC82C1" w14:textId="77777777" w:rsidR="009902F2" w:rsidRDefault="009902F2">
      <w:pPr>
        <w:rPr>
          <w:rFonts w:eastAsia="Times New Roman"/>
          <w:iCs/>
          <w:sz w:val="24"/>
          <w:szCs w:val="24"/>
        </w:rPr>
      </w:pPr>
      <w:r>
        <w:rPr>
          <w:rFonts w:eastAsia="Times New Roman"/>
          <w:iCs/>
          <w:sz w:val="24"/>
          <w:szCs w:val="24"/>
        </w:rPr>
        <w:br w:type="page"/>
      </w:r>
    </w:p>
    <w:p w14:paraId="30F0F6E3" w14:textId="2D721850" w:rsidR="009902F2" w:rsidRPr="009E3DA4" w:rsidRDefault="009902F2" w:rsidP="009902F2">
      <w:pPr>
        <w:spacing w:after="240"/>
        <w:ind w:left="720" w:hanging="720"/>
        <w:rPr>
          <w:rFonts w:eastAsia="Times New Roman"/>
          <w:b/>
          <w:sz w:val="24"/>
          <w:szCs w:val="24"/>
        </w:rPr>
      </w:pPr>
      <w:bookmarkStart w:id="13" w:name="a3_13"/>
      <w:bookmarkEnd w:id="13"/>
      <w:r w:rsidRPr="009902F2">
        <w:rPr>
          <w:rFonts w:eastAsia="Times New Roman"/>
          <w:b/>
          <w:sz w:val="24"/>
          <w:szCs w:val="24"/>
        </w:rPr>
        <w:lastRenderedPageBreak/>
        <w:t xml:space="preserve">3:13 </w:t>
      </w:r>
      <w:r w:rsidRPr="009902F2">
        <w:rPr>
          <w:rFonts w:eastAsia="Times New Roman"/>
          <w:b/>
          <w:sz w:val="24"/>
          <w:szCs w:val="24"/>
        </w:rPr>
        <w:tab/>
        <w:t>ADVERSE INFERENCE FROM THE LOSS OR DESTRUCTION OF EVIDENCE</w:t>
      </w:r>
    </w:p>
    <w:p w14:paraId="64ABBFD1" w14:textId="77B3702F" w:rsidR="00757718" w:rsidRDefault="00FA0293" w:rsidP="00757718">
      <w:pPr>
        <w:ind w:firstLine="720"/>
        <w:rPr>
          <w:rFonts w:eastAsia="Times New Roman"/>
          <w:sz w:val="24"/>
          <w:szCs w:val="24"/>
        </w:rPr>
      </w:pPr>
      <w:r>
        <w:rPr>
          <w:rFonts w:eastAsia="Times New Roman"/>
          <w:sz w:val="24"/>
          <w:szCs w:val="24"/>
        </w:rPr>
        <w:t>Instruction deleted.</w:t>
      </w:r>
    </w:p>
    <w:p w14:paraId="561B7DBC" w14:textId="77777777" w:rsidR="00FA0293" w:rsidRDefault="00FA0293" w:rsidP="00757718">
      <w:pPr>
        <w:ind w:firstLine="720"/>
        <w:rPr>
          <w:rFonts w:eastAsia="Times New Roman"/>
          <w:sz w:val="24"/>
          <w:szCs w:val="24"/>
        </w:rPr>
      </w:pPr>
    </w:p>
    <w:p w14:paraId="69E2F2D4" w14:textId="3CADDC3B"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w:t>
      </w:r>
    </w:p>
    <w:p w14:paraId="0736580E" w14:textId="30A23AC2" w:rsidR="00DE30F6" w:rsidRDefault="009902F2" w:rsidP="009902F2">
      <w:pPr>
        <w:spacing w:after="240"/>
        <w:ind w:firstLine="720"/>
        <w:rPr>
          <w:rFonts w:eastAsia="Times New Roman"/>
          <w:sz w:val="24"/>
          <w:szCs w:val="24"/>
        </w:rPr>
      </w:pPr>
      <w:r w:rsidRPr="009902F2">
        <w:rPr>
          <w:rFonts w:eastAsia="Times New Roman"/>
          <w:sz w:val="24"/>
          <w:szCs w:val="24"/>
        </w:rPr>
        <w:t xml:space="preserve">1. </w:t>
      </w:r>
      <w:r w:rsidR="00FA0293">
        <w:rPr>
          <w:rFonts w:eastAsia="Times New Roman"/>
          <w:bCs/>
          <w:sz w:val="24"/>
          <w:szCs w:val="24"/>
        </w:rPr>
        <w:t>Due to the range of circumstances surrounding the loss, destruction, or alteration of evidence and a trial court’s broad discretion in addressing those circumstances, the Committee has decided to withdraw the instruction that previously appeared here because it did not apply in all circumstances.</w:t>
      </w:r>
    </w:p>
    <w:p w14:paraId="497FBDEC" w14:textId="4B5DB86F" w:rsidR="00FA0293" w:rsidRPr="007A3970" w:rsidRDefault="00DE30F6" w:rsidP="00FA0293">
      <w:pPr>
        <w:spacing w:after="240"/>
        <w:ind w:firstLine="720"/>
        <w:rPr>
          <w:rFonts w:eastAsia="Times New Roman"/>
          <w:bCs/>
          <w:sz w:val="24"/>
          <w:szCs w:val="24"/>
        </w:rPr>
      </w:pPr>
      <w:r>
        <w:rPr>
          <w:rFonts w:eastAsia="Times New Roman"/>
          <w:sz w:val="24"/>
          <w:szCs w:val="24"/>
        </w:rPr>
        <w:t>2.</w:t>
      </w:r>
      <w:r w:rsidR="00FA0293" w:rsidRPr="00FA0293">
        <w:rPr>
          <w:rFonts w:eastAsia="Times New Roman"/>
          <w:sz w:val="24"/>
          <w:szCs w:val="24"/>
        </w:rPr>
        <w:t xml:space="preserve"> </w:t>
      </w:r>
      <w:r w:rsidR="00FA0293" w:rsidRPr="00DE30F6">
        <w:rPr>
          <w:rFonts w:eastAsia="Times New Roman"/>
          <w:sz w:val="24"/>
          <w:szCs w:val="24"/>
        </w:rPr>
        <w:t xml:space="preserve">Trial courts have broad discretion </w:t>
      </w:r>
      <w:r w:rsidR="00C31E3A">
        <w:rPr>
          <w:rFonts w:eastAsia="Times New Roman"/>
          <w:sz w:val="24"/>
          <w:szCs w:val="24"/>
        </w:rPr>
        <w:t>to</w:t>
      </w:r>
      <w:r w:rsidR="00FA0293" w:rsidRPr="00DE30F6">
        <w:rPr>
          <w:rFonts w:eastAsia="Times New Roman"/>
          <w:sz w:val="24"/>
          <w:szCs w:val="24"/>
        </w:rPr>
        <w:t xml:space="preserve"> determin</w:t>
      </w:r>
      <w:r w:rsidR="00C31E3A">
        <w:rPr>
          <w:rFonts w:eastAsia="Times New Roman"/>
          <w:sz w:val="24"/>
          <w:szCs w:val="24"/>
        </w:rPr>
        <w:t>e</w:t>
      </w:r>
      <w:r w:rsidR="00FA0293" w:rsidRPr="00DE30F6">
        <w:rPr>
          <w:rFonts w:eastAsia="Times New Roman"/>
          <w:sz w:val="24"/>
          <w:szCs w:val="24"/>
        </w:rPr>
        <w:t xml:space="preserve"> an appropriate sanction for spoliation. The sanction</w:t>
      </w:r>
      <w:r w:rsidR="00FA0293">
        <w:rPr>
          <w:rFonts w:eastAsia="Times New Roman"/>
          <w:sz w:val="24"/>
          <w:szCs w:val="24"/>
        </w:rPr>
        <w:t>, and any attendant instruction to the jury, depends on</w:t>
      </w:r>
      <w:r w:rsidR="00FA0293" w:rsidRPr="00DE30F6">
        <w:rPr>
          <w:rFonts w:eastAsia="Times New Roman"/>
          <w:sz w:val="24"/>
          <w:szCs w:val="24"/>
        </w:rPr>
        <w:t xml:space="preserve"> the nature of the spoliating party’s conduct</w:t>
      </w:r>
      <w:r w:rsidR="00FA0293">
        <w:rPr>
          <w:rFonts w:eastAsia="Times New Roman"/>
          <w:sz w:val="24"/>
          <w:szCs w:val="24"/>
        </w:rPr>
        <w:t>, including whether the spoliating party acted willfully or in bad faith, recklessly, or in a less egregious manner</w:t>
      </w:r>
      <w:r w:rsidR="00FA0293" w:rsidRPr="00DE30F6">
        <w:rPr>
          <w:rFonts w:eastAsia="Times New Roman"/>
          <w:sz w:val="24"/>
          <w:szCs w:val="24"/>
        </w:rPr>
        <w:t xml:space="preserve">. </w:t>
      </w:r>
      <w:r w:rsidR="00FA0293" w:rsidRPr="00DE30F6">
        <w:rPr>
          <w:rFonts w:eastAsia="Times New Roman"/>
          <w:i/>
          <w:sz w:val="24"/>
          <w:szCs w:val="24"/>
        </w:rPr>
        <w:t>See</w:t>
      </w:r>
      <w:r w:rsidR="00FA0293" w:rsidRPr="00DE30F6">
        <w:rPr>
          <w:rFonts w:eastAsia="Times New Roman"/>
          <w:sz w:val="24"/>
          <w:szCs w:val="24"/>
        </w:rPr>
        <w:t xml:space="preserve"> </w:t>
      </w:r>
      <w:proofErr w:type="spellStart"/>
      <w:r w:rsidR="00FA0293" w:rsidRPr="00A40260">
        <w:rPr>
          <w:rFonts w:eastAsia="Times New Roman"/>
          <w:b/>
          <w:sz w:val="24"/>
          <w:szCs w:val="24"/>
        </w:rPr>
        <w:t>Aloi</w:t>
      </w:r>
      <w:proofErr w:type="spellEnd"/>
      <w:r w:rsidR="00FA0293" w:rsidRPr="00A40260">
        <w:rPr>
          <w:rFonts w:eastAsia="Times New Roman"/>
          <w:b/>
          <w:sz w:val="24"/>
          <w:szCs w:val="24"/>
        </w:rPr>
        <w:t xml:space="preserve"> v. Union Pac. R.R.</w:t>
      </w:r>
      <w:r w:rsidR="00FA0293">
        <w:rPr>
          <w:rFonts w:eastAsia="Times New Roman"/>
          <w:sz w:val="24"/>
          <w:szCs w:val="24"/>
        </w:rPr>
        <w:t xml:space="preserve">, 129 P.3d 999 (Colo. 2006); </w:t>
      </w:r>
      <w:proofErr w:type="spellStart"/>
      <w:r w:rsidR="00FA0293" w:rsidRPr="00DE30F6">
        <w:rPr>
          <w:rFonts w:eastAsia="Times New Roman"/>
          <w:b/>
          <w:sz w:val="24"/>
          <w:szCs w:val="24"/>
        </w:rPr>
        <w:t>Warembourg</w:t>
      </w:r>
      <w:proofErr w:type="spellEnd"/>
      <w:r w:rsidR="00FA0293" w:rsidRPr="00DE30F6">
        <w:rPr>
          <w:rFonts w:eastAsia="Times New Roman"/>
          <w:b/>
          <w:sz w:val="24"/>
          <w:szCs w:val="24"/>
        </w:rPr>
        <w:t xml:space="preserve"> v. Excel Elec., Inc.</w:t>
      </w:r>
      <w:r w:rsidR="00FA0293" w:rsidRPr="00DE30F6">
        <w:rPr>
          <w:rFonts w:eastAsia="Times New Roman"/>
          <w:sz w:val="24"/>
          <w:szCs w:val="24"/>
        </w:rPr>
        <w:t xml:space="preserve">, </w:t>
      </w:r>
      <w:r w:rsidR="00FA0293">
        <w:rPr>
          <w:rFonts w:eastAsia="Times New Roman"/>
          <w:sz w:val="24"/>
          <w:szCs w:val="24"/>
        </w:rPr>
        <w:t>2020 COA 103, ¶¶ 53-57, 471 P.3d 1213</w:t>
      </w:r>
      <w:r w:rsidR="00FA0293" w:rsidRPr="00DE30F6">
        <w:rPr>
          <w:rFonts w:eastAsia="Times New Roman"/>
          <w:sz w:val="24"/>
          <w:szCs w:val="24"/>
        </w:rPr>
        <w:t>.</w:t>
      </w:r>
    </w:p>
    <w:p w14:paraId="428AA541" w14:textId="3438CAE1" w:rsidR="009902F2" w:rsidRPr="009902F2" w:rsidRDefault="00DE30F6" w:rsidP="009902F2">
      <w:pPr>
        <w:spacing w:after="240"/>
        <w:ind w:firstLine="720"/>
        <w:rPr>
          <w:rFonts w:eastAsia="Times New Roman"/>
          <w:sz w:val="24"/>
          <w:szCs w:val="24"/>
        </w:rPr>
      </w:pPr>
      <w:r>
        <w:rPr>
          <w:rFonts w:eastAsia="Times New Roman"/>
          <w:sz w:val="24"/>
          <w:szCs w:val="24"/>
        </w:rPr>
        <w:t xml:space="preserve"> </w:t>
      </w:r>
      <w:r w:rsidR="00FA0293">
        <w:rPr>
          <w:rFonts w:eastAsia="Times New Roman"/>
          <w:sz w:val="24"/>
          <w:szCs w:val="24"/>
        </w:rPr>
        <w:t xml:space="preserve">3. </w:t>
      </w:r>
      <w:r w:rsidR="009902F2" w:rsidRPr="009902F2">
        <w:rPr>
          <w:rFonts w:eastAsia="Times New Roman"/>
          <w:sz w:val="24"/>
          <w:szCs w:val="24"/>
        </w:rPr>
        <w:t xml:space="preserve">Before </w:t>
      </w:r>
      <w:r w:rsidR="004E5FFE">
        <w:rPr>
          <w:rFonts w:eastAsia="Times New Roman"/>
          <w:sz w:val="24"/>
          <w:szCs w:val="24"/>
        </w:rPr>
        <w:t>a</w:t>
      </w:r>
      <w:r w:rsidR="00FA0293">
        <w:rPr>
          <w:rFonts w:eastAsia="Times New Roman"/>
          <w:sz w:val="24"/>
          <w:szCs w:val="24"/>
        </w:rPr>
        <w:t>ny</w:t>
      </w:r>
      <w:r w:rsidR="004E5FFE">
        <w:rPr>
          <w:rFonts w:eastAsia="Times New Roman"/>
          <w:sz w:val="24"/>
          <w:szCs w:val="24"/>
        </w:rPr>
        <w:t xml:space="preserve"> spoliation</w:t>
      </w:r>
      <w:r w:rsidR="004E5FFE" w:rsidRPr="009902F2">
        <w:rPr>
          <w:rFonts w:eastAsia="Times New Roman"/>
          <w:sz w:val="24"/>
          <w:szCs w:val="24"/>
        </w:rPr>
        <w:t xml:space="preserve"> </w:t>
      </w:r>
      <w:r w:rsidR="009902F2" w:rsidRPr="009902F2">
        <w:rPr>
          <w:rFonts w:eastAsia="Times New Roman"/>
          <w:sz w:val="24"/>
          <w:szCs w:val="24"/>
        </w:rPr>
        <w:t xml:space="preserve">instruction is given, </w:t>
      </w:r>
      <w:r w:rsidR="004E5FFE">
        <w:rPr>
          <w:rFonts w:eastAsia="Times New Roman"/>
          <w:sz w:val="24"/>
          <w:szCs w:val="24"/>
        </w:rPr>
        <w:t>t</w:t>
      </w:r>
      <w:r w:rsidR="009902F2" w:rsidRPr="009902F2">
        <w:rPr>
          <w:rFonts w:eastAsia="Times New Roman"/>
          <w:sz w:val="24"/>
          <w:szCs w:val="24"/>
        </w:rPr>
        <w:t xml:space="preserve">he court must determine that the lost or destroyed evidence is relevant to the action and otherwise naturally would have been introduced into evidence. </w:t>
      </w:r>
      <w:proofErr w:type="spellStart"/>
      <w:r w:rsidR="009902F2" w:rsidRPr="009902F2">
        <w:rPr>
          <w:rFonts w:eastAsia="Times New Roman"/>
          <w:b/>
          <w:sz w:val="24"/>
          <w:szCs w:val="24"/>
        </w:rPr>
        <w:t>Aloi</w:t>
      </w:r>
      <w:proofErr w:type="spellEnd"/>
      <w:r w:rsidR="009902F2" w:rsidRPr="009902F2">
        <w:rPr>
          <w:rFonts w:eastAsia="Times New Roman"/>
          <w:sz w:val="24"/>
          <w:szCs w:val="24"/>
        </w:rPr>
        <w:t xml:space="preserve">, 129 P.3d </w:t>
      </w:r>
      <w:r w:rsidR="00FA0293">
        <w:rPr>
          <w:rFonts w:eastAsia="Times New Roman"/>
          <w:sz w:val="24"/>
          <w:szCs w:val="24"/>
        </w:rPr>
        <w:t>at 1004</w:t>
      </w:r>
      <w:r w:rsidR="009902F2" w:rsidRPr="009902F2">
        <w:rPr>
          <w:rFonts w:eastAsia="Times New Roman"/>
          <w:sz w:val="24"/>
          <w:szCs w:val="24"/>
        </w:rPr>
        <w:t xml:space="preserve">. </w:t>
      </w:r>
    </w:p>
    <w:p w14:paraId="5BF27A37" w14:textId="0715D469" w:rsidR="009902F2" w:rsidRPr="009902F2" w:rsidRDefault="00FA0293" w:rsidP="009902F2">
      <w:pPr>
        <w:spacing w:after="240"/>
        <w:ind w:firstLine="720"/>
        <w:rPr>
          <w:rFonts w:eastAsia="Times New Roman"/>
          <w:sz w:val="24"/>
          <w:szCs w:val="24"/>
        </w:rPr>
      </w:pPr>
      <w:r>
        <w:rPr>
          <w:rFonts w:eastAsia="Times New Roman"/>
          <w:sz w:val="24"/>
          <w:szCs w:val="24"/>
        </w:rPr>
        <w:t>4</w:t>
      </w:r>
      <w:r w:rsidR="009902F2" w:rsidRPr="009902F2">
        <w:rPr>
          <w:rFonts w:eastAsia="Times New Roman"/>
          <w:sz w:val="24"/>
          <w:szCs w:val="24"/>
        </w:rPr>
        <w:t xml:space="preserve">. </w:t>
      </w:r>
      <w:r>
        <w:rPr>
          <w:rFonts w:eastAsia="Times New Roman"/>
          <w:sz w:val="24"/>
          <w:szCs w:val="24"/>
        </w:rPr>
        <w:t>If an instruction uses the term “inference,”</w:t>
      </w:r>
      <w:r w:rsidR="009902F2" w:rsidRPr="009902F2">
        <w:rPr>
          <w:rFonts w:eastAsia="Times New Roman"/>
          <w:sz w:val="24"/>
          <w:szCs w:val="24"/>
        </w:rPr>
        <w:t xml:space="preserve"> also use Instruction 3:8 defining inference. </w:t>
      </w:r>
    </w:p>
    <w:p w14:paraId="035C97AF" w14:textId="77777777" w:rsidR="00531F87" w:rsidRDefault="00531F87">
      <w:pPr>
        <w:rPr>
          <w:rFonts w:eastAsia="Times New Roman"/>
          <w:iCs/>
          <w:sz w:val="24"/>
          <w:szCs w:val="24"/>
        </w:rPr>
      </w:pPr>
      <w:r>
        <w:rPr>
          <w:rFonts w:eastAsia="Times New Roman"/>
          <w:iCs/>
          <w:sz w:val="24"/>
          <w:szCs w:val="24"/>
        </w:rPr>
        <w:br w:type="page"/>
      </w:r>
    </w:p>
    <w:p w14:paraId="1233B758" w14:textId="77777777" w:rsidR="00531F87" w:rsidRPr="009E3DA4" w:rsidRDefault="00531F87" w:rsidP="00531F87">
      <w:pPr>
        <w:spacing w:after="240"/>
        <w:ind w:left="720" w:hanging="720"/>
        <w:rPr>
          <w:rFonts w:eastAsia="Times New Roman"/>
          <w:b/>
          <w:sz w:val="24"/>
          <w:szCs w:val="24"/>
        </w:rPr>
      </w:pPr>
      <w:bookmarkStart w:id="14" w:name="a3_14"/>
      <w:bookmarkEnd w:id="14"/>
      <w:r w:rsidRPr="00531F87">
        <w:rPr>
          <w:rFonts w:eastAsia="Times New Roman"/>
          <w:b/>
          <w:sz w:val="24"/>
          <w:szCs w:val="24"/>
        </w:rPr>
        <w:lastRenderedPageBreak/>
        <w:t xml:space="preserve">3:14 </w:t>
      </w:r>
      <w:r w:rsidRPr="00531F87">
        <w:rPr>
          <w:rFonts w:eastAsia="Times New Roman"/>
          <w:b/>
          <w:sz w:val="24"/>
          <w:szCs w:val="24"/>
        </w:rPr>
        <w:tab/>
        <w:t>SYMPATHY — PREJUDICE</w:t>
      </w:r>
    </w:p>
    <w:p w14:paraId="650D693B"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You must not be influenced by sympathy, bias, or prejudice for or against any party in this case.</w:t>
      </w:r>
    </w:p>
    <w:p w14:paraId="4E8AFA76" w14:textId="77777777" w:rsidR="00531F87" w:rsidRDefault="00531F87" w:rsidP="00531F87">
      <w:pPr>
        <w:jc w:val="center"/>
        <w:rPr>
          <w:rFonts w:eastAsia="Times New Roman"/>
          <w:sz w:val="24"/>
          <w:szCs w:val="24"/>
        </w:rPr>
      </w:pPr>
    </w:p>
    <w:p w14:paraId="44B76EA3"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4C1C4106" w14:textId="77777777" w:rsidR="00531F87"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14:paraId="72F76CE7" w14:textId="77777777" w:rsidR="00531F87" w:rsidRDefault="00531F87">
      <w:pPr>
        <w:rPr>
          <w:rFonts w:eastAsia="Times New Roman"/>
          <w:sz w:val="24"/>
          <w:szCs w:val="24"/>
        </w:rPr>
      </w:pPr>
      <w:r>
        <w:rPr>
          <w:rFonts w:eastAsia="Times New Roman"/>
          <w:sz w:val="24"/>
          <w:szCs w:val="24"/>
        </w:rPr>
        <w:br w:type="page"/>
      </w:r>
    </w:p>
    <w:p w14:paraId="1919BF13" w14:textId="77777777" w:rsidR="00531F87" w:rsidRPr="009E3DA4" w:rsidRDefault="00531F87" w:rsidP="00531F87">
      <w:pPr>
        <w:spacing w:after="240"/>
        <w:ind w:left="720" w:hanging="720"/>
        <w:rPr>
          <w:rFonts w:eastAsia="Times New Roman"/>
          <w:b/>
          <w:sz w:val="24"/>
          <w:szCs w:val="24"/>
        </w:rPr>
      </w:pPr>
      <w:bookmarkStart w:id="15" w:name="a3_15"/>
      <w:bookmarkEnd w:id="15"/>
      <w:r w:rsidRPr="00531F87">
        <w:rPr>
          <w:rFonts w:eastAsia="Times New Roman"/>
          <w:b/>
          <w:sz w:val="24"/>
          <w:szCs w:val="24"/>
        </w:rPr>
        <w:lastRenderedPageBreak/>
        <w:t xml:space="preserve">3:15 </w:t>
      </w:r>
      <w:r w:rsidRPr="00531F87">
        <w:rPr>
          <w:rFonts w:eastAsia="Times New Roman"/>
          <w:b/>
          <w:sz w:val="24"/>
          <w:szCs w:val="24"/>
        </w:rPr>
        <w:tab/>
        <w:t>EXPERT WITNESSES</w:t>
      </w:r>
    </w:p>
    <w:p w14:paraId="0BC3F7C6"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78051F6C" w14:textId="77777777" w:rsidR="00531F87" w:rsidRDefault="00531F87" w:rsidP="00531F87">
      <w:pPr>
        <w:jc w:val="center"/>
        <w:rPr>
          <w:rFonts w:eastAsia="Times New Roman"/>
          <w:sz w:val="24"/>
          <w:szCs w:val="24"/>
        </w:rPr>
      </w:pPr>
    </w:p>
    <w:p w14:paraId="779370C9"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6E5AC747"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14:paraId="2B9BDD2A"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14:paraId="15805D2A" w14:textId="77777777"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14:paraId="7882E3FA"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CRE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State">
        <w:smartTag w:uri="urn:schemas-microsoft-com:office:smarttags" w:element="place">
          <w:r w:rsidRPr="00531F87">
            <w:rPr>
              <w:rFonts w:eastAsia="Times New Roman"/>
              <w:iCs/>
              <w:sz w:val="24"/>
              <w:szCs w:val="24"/>
            </w:rPr>
            <w:t>Colo.</w:t>
          </w:r>
        </w:smartTag>
      </w:smartTag>
      <w:r w:rsidRPr="00531F87">
        <w:rPr>
          <w:rFonts w:eastAsia="Times New Roman"/>
          <w:iCs/>
          <w:sz w:val="24"/>
          <w:szCs w:val="24"/>
        </w:rPr>
        <w:t xml:space="preserve"> 225, 263 P. 728 (1928).</w:t>
      </w:r>
    </w:p>
    <w:p w14:paraId="5070F836"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14:paraId="18EF1C57"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CRE 702, see </w:t>
      </w:r>
      <w:proofErr w:type="spellStart"/>
      <w:r w:rsidRPr="00531F87">
        <w:rPr>
          <w:rFonts w:eastAsia="Times New Roman"/>
          <w:b/>
          <w:iCs/>
          <w:sz w:val="24"/>
          <w:szCs w:val="24"/>
        </w:rPr>
        <w:t>Huntoon</w:t>
      </w:r>
      <w:proofErr w:type="spellEnd"/>
      <w:r w:rsidRPr="00531F87">
        <w:rPr>
          <w:rFonts w:eastAsia="Times New Roman"/>
          <w:b/>
          <w:iCs/>
          <w:sz w:val="24"/>
          <w:szCs w:val="24"/>
        </w:rPr>
        <w:t xml:space="preserve"> v. TCI Cablevision of Colorado, Inc.</w:t>
      </w:r>
      <w:r w:rsidRPr="00531F87">
        <w:rPr>
          <w:rFonts w:eastAsia="Times New Roman"/>
          <w:iCs/>
          <w:sz w:val="24"/>
          <w:szCs w:val="24"/>
        </w:rPr>
        <w:t>, 969 P.2d 681 (Colo. 1998).</w:t>
      </w:r>
    </w:p>
    <w:p w14:paraId="281EFE96" w14:textId="77777777"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 xml:space="preserve">McWilliams v. </w:t>
      </w:r>
      <w:proofErr w:type="spellStart"/>
      <w:r w:rsidRPr="00531F87">
        <w:rPr>
          <w:rFonts w:eastAsia="Times New Roman"/>
          <w:b/>
          <w:iCs/>
          <w:sz w:val="24"/>
          <w:szCs w:val="24"/>
        </w:rPr>
        <w:t>Garstin</w:t>
      </w:r>
      <w:proofErr w:type="spellEnd"/>
      <w:r w:rsidRPr="00531F87">
        <w:rPr>
          <w:rFonts w:eastAsia="Times New Roman"/>
          <w:iCs/>
          <w:sz w:val="24"/>
          <w:szCs w:val="24"/>
        </w:rPr>
        <w:t>, 70 Colo. 59, 197 P. 246 (1921).</w:t>
      </w:r>
    </w:p>
    <w:p w14:paraId="4819972F" w14:textId="77777777" w:rsidR="00F32AA4" w:rsidRDefault="00F32AA4">
      <w:pPr>
        <w:rPr>
          <w:rFonts w:eastAsia="Times New Roman"/>
          <w:iCs/>
          <w:sz w:val="24"/>
          <w:szCs w:val="24"/>
        </w:rPr>
      </w:pPr>
      <w:r>
        <w:rPr>
          <w:rFonts w:eastAsia="Times New Roman"/>
          <w:iCs/>
          <w:sz w:val="24"/>
          <w:szCs w:val="24"/>
        </w:rPr>
        <w:br w:type="page"/>
      </w:r>
    </w:p>
    <w:p w14:paraId="18C9C5FC" w14:textId="77777777" w:rsidR="00F32AA4" w:rsidRPr="009E3DA4" w:rsidRDefault="00F32AA4" w:rsidP="00F32AA4">
      <w:pPr>
        <w:spacing w:after="240"/>
        <w:ind w:left="720" w:hanging="720"/>
        <w:rPr>
          <w:rFonts w:eastAsia="Times New Roman"/>
          <w:b/>
          <w:sz w:val="24"/>
          <w:szCs w:val="24"/>
        </w:rPr>
      </w:pPr>
      <w:bookmarkStart w:id="16" w:name="a3_16"/>
      <w:bookmarkEnd w:id="16"/>
      <w:r w:rsidRPr="00F32AA4">
        <w:rPr>
          <w:rFonts w:eastAsia="Times New Roman"/>
          <w:b/>
          <w:sz w:val="24"/>
          <w:szCs w:val="24"/>
        </w:rPr>
        <w:lastRenderedPageBreak/>
        <w:t xml:space="preserve">3:16 </w:t>
      </w:r>
      <w:r w:rsidRPr="00F32AA4">
        <w:rPr>
          <w:rFonts w:eastAsia="Times New Roman"/>
          <w:b/>
          <w:sz w:val="24"/>
          <w:szCs w:val="24"/>
        </w:rPr>
        <w:tab/>
        <w:t>DETERMINING CREDIBILITY OF WITNESSES</w:t>
      </w:r>
    </w:p>
    <w:p w14:paraId="0FBD1B35"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64C97EBE"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14:paraId="21102B99" w14:textId="77777777" w:rsidR="00F32AA4" w:rsidRDefault="00F32AA4" w:rsidP="00F32AA4">
      <w:pPr>
        <w:jc w:val="center"/>
        <w:rPr>
          <w:rFonts w:eastAsia="Times New Roman"/>
          <w:sz w:val="24"/>
          <w:szCs w:val="24"/>
        </w:rPr>
      </w:pPr>
    </w:p>
    <w:p w14:paraId="046547A1"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3C79A40F"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14:paraId="2197B29C"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53ABD85F"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14:paraId="02989C37"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14:paraId="33ADAC71" w14:textId="77777777"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proofErr w:type="spellStart"/>
      <w:r w:rsidRPr="00F32AA4">
        <w:rPr>
          <w:rFonts w:eastAsia="Times New Roman"/>
          <w:b/>
          <w:iCs/>
          <w:sz w:val="24"/>
          <w:szCs w:val="24"/>
        </w:rPr>
        <w:t>Huntoon</w:t>
      </w:r>
      <w:proofErr w:type="spellEnd"/>
      <w:r w:rsidRPr="00F32AA4">
        <w:rPr>
          <w:rFonts w:eastAsia="Times New Roman"/>
          <w:b/>
          <w:iCs/>
          <w:sz w:val="24"/>
          <w:szCs w:val="24"/>
        </w:rPr>
        <w:t xml:space="preserve">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proofErr w:type="spellStart"/>
      <w:r w:rsidRPr="00F32AA4">
        <w:rPr>
          <w:rFonts w:eastAsia="Times New Roman"/>
          <w:i/>
          <w:iCs/>
          <w:sz w:val="24"/>
          <w:szCs w:val="24"/>
        </w:rPr>
        <w:t>rev’d</w:t>
      </w:r>
      <w:proofErr w:type="spellEnd"/>
      <w:r w:rsidRPr="00F32AA4">
        <w:rPr>
          <w:rFonts w:eastAsia="Times New Roman"/>
          <w:i/>
          <w:iCs/>
          <w:sz w:val="24"/>
          <w:szCs w:val="24"/>
        </w:rPr>
        <w:t xml:space="preserve"> on other grounds</w:t>
      </w:r>
      <w:r w:rsidRPr="00F32AA4">
        <w:rPr>
          <w:rFonts w:eastAsia="Times New Roman"/>
          <w:iCs/>
          <w:sz w:val="24"/>
          <w:szCs w:val="24"/>
        </w:rPr>
        <w:t>, 969 P.2d 681 (Colo. 1998).</w:t>
      </w:r>
    </w:p>
    <w:p w14:paraId="28BD4951" w14:textId="77777777" w:rsidR="00F32AA4" w:rsidRDefault="00F32AA4">
      <w:pPr>
        <w:rPr>
          <w:rFonts w:eastAsia="Times New Roman"/>
          <w:iCs/>
          <w:sz w:val="24"/>
          <w:szCs w:val="24"/>
        </w:rPr>
      </w:pPr>
      <w:r>
        <w:rPr>
          <w:rFonts w:eastAsia="Times New Roman"/>
          <w:iCs/>
          <w:sz w:val="24"/>
          <w:szCs w:val="24"/>
        </w:rPr>
        <w:br w:type="page"/>
      </w:r>
    </w:p>
    <w:p w14:paraId="00B25FE0" w14:textId="77777777" w:rsidR="00F32AA4" w:rsidRPr="009E3DA4" w:rsidRDefault="00F32AA4" w:rsidP="00F32AA4">
      <w:pPr>
        <w:spacing w:after="240"/>
        <w:ind w:left="720" w:hanging="720"/>
        <w:rPr>
          <w:rFonts w:eastAsia="Times New Roman"/>
          <w:b/>
          <w:sz w:val="24"/>
          <w:szCs w:val="24"/>
        </w:rPr>
      </w:pPr>
      <w:bookmarkStart w:id="17" w:name="a3_17"/>
      <w:bookmarkEnd w:id="17"/>
      <w:r w:rsidRPr="00F32AA4">
        <w:rPr>
          <w:rFonts w:eastAsia="Times New Roman"/>
          <w:b/>
          <w:sz w:val="24"/>
          <w:szCs w:val="24"/>
        </w:rPr>
        <w:lastRenderedPageBreak/>
        <w:t xml:space="preserve">3:17 </w:t>
      </w:r>
      <w:r w:rsidRPr="00F32AA4">
        <w:rPr>
          <w:rFonts w:eastAsia="Times New Roman"/>
          <w:b/>
          <w:sz w:val="24"/>
          <w:szCs w:val="24"/>
        </w:rPr>
        <w:tab/>
        <w:t>HIGHLIGHTED EXHIBITS</w:t>
      </w:r>
    </w:p>
    <w:p w14:paraId="5614D7BC"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14:paraId="78A52C73" w14:textId="77777777" w:rsidR="00F32AA4" w:rsidRDefault="00F32AA4" w:rsidP="00F32AA4">
      <w:pPr>
        <w:jc w:val="center"/>
        <w:rPr>
          <w:rFonts w:eastAsia="Times New Roman"/>
          <w:sz w:val="24"/>
          <w:szCs w:val="24"/>
        </w:rPr>
      </w:pPr>
    </w:p>
    <w:p w14:paraId="73A72552"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6E4FAA34"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14:paraId="014190FE" w14:textId="77777777"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14:paraId="4B641CBD" w14:textId="77777777"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14:paraId="5AAF6EE7"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173E7CF8"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This instruction is supported by C.R.C.P. 16(f)(3)(VI)(B).</w:t>
      </w:r>
    </w:p>
    <w:sectPr w:rsidR="00F32AA4" w:rsidRPr="00F32AA4"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B93E" w14:textId="77777777" w:rsidR="00312ECB" w:rsidRDefault="00312ECB" w:rsidP="0054263B">
      <w:r>
        <w:separator/>
      </w:r>
    </w:p>
    <w:p w14:paraId="516B42CF" w14:textId="77777777" w:rsidR="00312ECB" w:rsidRDefault="00312ECB"/>
  </w:endnote>
  <w:endnote w:type="continuationSeparator" w:id="0">
    <w:p w14:paraId="58AFDECD" w14:textId="77777777" w:rsidR="00312ECB" w:rsidRDefault="00312ECB" w:rsidP="0054263B">
      <w:r>
        <w:continuationSeparator/>
      </w:r>
    </w:p>
    <w:p w14:paraId="6E035562" w14:textId="77777777" w:rsidR="00312ECB" w:rsidRDefault="00312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25A5EB8C" w14:textId="77777777" w:rsidR="00F41152" w:rsidRDefault="00F41152">
        <w:pPr>
          <w:pStyle w:val="Footer"/>
          <w:jc w:val="center"/>
        </w:pPr>
        <w:r>
          <w:fldChar w:fldCharType="begin"/>
        </w:r>
        <w:r>
          <w:instrText xml:space="preserve"> PAGE   \* MERGEFORMAT </w:instrText>
        </w:r>
        <w:r>
          <w:fldChar w:fldCharType="separate"/>
        </w:r>
        <w:r w:rsidR="00B150D4">
          <w:rPr>
            <w:noProof/>
          </w:rPr>
          <w:t>20</w:t>
        </w:r>
        <w:r>
          <w:rPr>
            <w:noProof/>
          </w:rPr>
          <w:fldChar w:fldCharType="end"/>
        </w:r>
      </w:p>
    </w:sdtContent>
  </w:sdt>
  <w:p w14:paraId="694A20D0" w14:textId="77777777" w:rsidR="00F41152" w:rsidRDefault="00F41152">
    <w:pPr>
      <w:pStyle w:val="Footer"/>
    </w:pPr>
  </w:p>
  <w:p w14:paraId="5BD9CC4A" w14:textId="77777777" w:rsidR="00F41152" w:rsidRDefault="00F41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A1E0" w14:textId="77777777" w:rsidR="00312ECB" w:rsidRDefault="00312ECB" w:rsidP="0054263B">
      <w:r>
        <w:separator/>
      </w:r>
    </w:p>
    <w:p w14:paraId="1F70F661" w14:textId="77777777" w:rsidR="00312ECB" w:rsidRDefault="00312ECB"/>
  </w:footnote>
  <w:footnote w:type="continuationSeparator" w:id="0">
    <w:p w14:paraId="1EF0A865" w14:textId="77777777" w:rsidR="00312ECB" w:rsidRDefault="00312ECB" w:rsidP="0054263B">
      <w:r>
        <w:continuationSeparator/>
      </w:r>
    </w:p>
    <w:p w14:paraId="1178F300" w14:textId="77777777" w:rsidR="00312ECB" w:rsidRDefault="00312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779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328A"/>
    <w:rsid w:val="00037111"/>
    <w:rsid w:val="00057725"/>
    <w:rsid w:val="00060E35"/>
    <w:rsid w:val="00075B87"/>
    <w:rsid w:val="00085495"/>
    <w:rsid w:val="000921F1"/>
    <w:rsid w:val="000C6F97"/>
    <w:rsid w:val="000D24FE"/>
    <w:rsid w:val="000D3EE4"/>
    <w:rsid w:val="001117D9"/>
    <w:rsid w:val="00112770"/>
    <w:rsid w:val="001267B6"/>
    <w:rsid w:val="00142B1D"/>
    <w:rsid w:val="001903CB"/>
    <w:rsid w:val="001A2648"/>
    <w:rsid w:val="001F401B"/>
    <w:rsid w:val="00200BA5"/>
    <w:rsid w:val="002065D8"/>
    <w:rsid w:val="0021368F"/>
    <w:rsid w:val="0022134E"/>
    <w:rsid w:val="00223286"/>
    <w:rsid w:val="00257B26"/>
    <w:rsid w:val="002A23B0"/>
    <w:rsid w:val="002A40A1"/>
    <w:rsid w:val="002B0E7D"/>
    <w:rsid w:val="002E0970"/>
    <w:rsid w:val="002F143E"/>
    <w:rsid w:val="00310B6B"/>
    <w:rsid w:val="00312ECB"/>
    <w:rsid w:val="00331011"/>
    <w:rsid w:val="00336CE4"/>
    <w:rsid w:val="00340E3D"/>
    <w:rsid w:val="00352111"/>
    <w:rsid w:val="0037178E"/>
    <w:rsid w:val="003937B8"/>
    <w:rsid w:val="003C675A"/>
    <w:rsid w:val="003C7DB9"/>
    <w:rsid w:val="003F108C"/>
    <w:rsid w:val="004066E2"/>
    <w:rsid w:val="00427068"/>
    <w:rsid w:val="00436771"/>
    <w:rsid w:val="004425AA"/>
    <w:rsid w:val="004530E2"/>
    <w:rsid w:val="00456038"/>
    <w:rsid w:val="00462445"/>
    <w:rsid w:val="00471618"/>
    <w:rsid w:val="00474D9F"/>
    <w:rsid w:val="00476E09"/>
    <w:rsid w:val="00482FF3"/>
    <w:rsid w:val="004C62F9"/>
    <w:rsid w:val="004E5FFE"/>
    <w:rsid w:val="004E7EF1"/>
    <w:rsid w:val="00531F87"/>
    <w:rsid w:val="0053375F"/>
    <w:rsid w:val="0054263B"/>
    <w:rsid w:val="0057193E"/>
    <w:rsid w:val="0059405E"/>
    <w:rsid w:val="005B3A78"/>
    <w:rsid w:val="006178B4"/>
    <w:rsid w:val="006204B2"/>
    <w:rsid w:val="006272FE"/>
    <w:rsid w:val="006311ED"/>
    <w:rsid w:val="006568CE"/>
    <w:rsid w:val="00661D05"/>
    <w:rsid w:val="00675252"/>
    <w:rsid w:val="006A74B6"/>
    <w:rsid w:val="006E0D06"/>
    <w:rsid w:val="006E3575"/>
    <w:rsid w:val="006E62F0"/>
    <w:rsid w:val="0070557F"/>
    <w:rsid w:val="007119D8"/>
    <w:rsid w:val="00711CA1"/>
    <w:rsid w:val="00721C85"/>
    <w:rsid w:val="007532AB"/>
    <w:rsid w:val="00757718"/>
    <w:rsid w:val="00760A2E"/>
    <w:rsid w:val="007924A1"/>
    <w:rsid w:val="007A612E"/>
    <w:rsid w:val="007A74B0"/>
    <w:rsid w:val="007E1675"/>
    <w:rsid w:val="007F7129"/>
    <w:rsid w:val="00815883"/>
    <w:rsid w:val="0082168C"/>
    <w:rsid w:val="00832DB4"/>
    <w:rsid w:val="00834CE7"/>
    <w:rsid w:val="00837F81"/>
    <w:rsid w:val="00853ECF"/>
    <w:rsid w:val="00873833"/>
    <w:rsid w:val="00875064"/>
    <w:rsid w:val="00897CF0"/>
    <w:rsid w:val="008A719A"/>
    <w:rsid w:val="008B1617"/>
    <w:rsid w:val="008E41F1"/>
    <w:rsid w:val="008E6E50"/>
    <w:rsid w:val="008E720F"/>
    <w:rsid w:val="008F4C42"/>
    <w:rsid w:val="00902A25"/>
    <w:rsid w:val="00914128"/>
    <w:rsid w:val="00935348"/>
    <w:rsid w:val="00935DA8"/>
    <w:rsid w:val="00943118"/>
    <w:rsid w:val="00955A99"/>
    <w:rsid w:val="0095709A"/>
    <w:rsid w:val="009902F2"/>
    <w:rsid w:val="009913C4"/>
    <w:rsid w:val="009A7406"/>
    <w:rsid w:val="009B2AE8"/>
    <w:rsid w:val="009B6746"/>
    <w:rsid w:val="009C00D9"/>
    <w:rsid w:val="009E20C7"/>
    <w:rsid w:val="009E3DA4"/>
    <w:rsid w:val="009F73FD"/>
    <w:rsid w:val="00A14D68"/>
    <w:rsid w:val="00A36457"/>
    <w:rsid w:val="00A5314C"/>
    <w:rsid w:val="00A67667"/>
    <w:rsid w:val="00A80C10"/>
    <w:rsid w:val="00AA100F"/>
    <w:rsid w:val="00AD51CD"/>
    <w:rsid w:val="00AE5A9C"/>
    <w:rsid w:val="00B150D4"/>
    <w:rsid w:val="00B37722"/>
    <w:rsid w:val="00B421C1"/>
    <w:rsid w:val="00B43DE7"/>
    <w:rsid w:val="00B567C1"/>
    <w:rsid w:val="00B579DF"/>
    <w:rsid w:val="00B70D68"/>
    <w:rsid w:val="00B72D6B"/>
    <w:rsid w:val="00B937E4"/>
    <w:rsid w:val="00BA1F23"/>
    <w:rsid w:val="00BC0E0F"/>
    <w:rsid w:val="00BE2B09"/>
    <w:rsid w:val="00BE654D"/>
    <w:rsid w:val="00BF781C"/>
    <w:rsid w:val="00C205BE"/>
    <w:rsid w:val="00C31E3A"/>
    <w:rsid w:val="00C40968"/>
    <w:rsid w:val="00C452F7"/>
    <w:rsid w:val="00C46C19"/>
    <w:rsid w:val="00C60E95"/>
    <w:rsid w:val="00C84E71"/>
    <w:rsid w:val="00CA41CC"/>
    <w:rsid w:val="00CC0502"/>
    <w:rsid w:val="00CC1AC8"/>
    <w:rsid w:val="00CC6A95"/>
    <w:rsid w:val="00CC7E17"/>
    <w:rsid w:val="00CD4A7D"/>
    <w:rsid w:val="00CE593D"/>
    <w:rsid w:val="00D06D8D"/>
    <w:rsid w:val="00D333AA"/>
    <w:rsid w:val="00D7096B"/>
    <w:rsid w:val="00DA3726"/>
    <w:rsid w:val="00DB2C90"/>
    <w:rsid w:val="00DB5EE0"/>
    <w:rsid w:val="00DC63A9"/>
    <w:rsid w:val="00DC66A6"/>
    <w:rsid w:val="00DE2930"/>
    <w:rsid w:val="00DE30F6"/>
    <w:rsid w:val="00DF3BF1"/>
    <w:rsid w:val="00DF4FED"/>
    <w:rsid w:val="00E058BA"/>
    <w:rsid w:val="00E25B9B"/>
    <w:rsid w:val="00E25C6F"/>
    <w:rsid w:val="00E31F38"/>
    <w:rsid w:val="00E7307E"/>
    <w:rsid w:val="00E75D5D"/>
    <w:rsid w:val="00E87C31"/>
    <w:rsid w:val="00E921A3"/>
    <w:rsid w:val="00E970B9"/>
    <w:rsid w:val="00EC17E3"/>
    <w:rsid w:val="00EC7C98"/>
    <w:rsid w:val="00ED06B1"/>
    <w:rsid w:val="00ED7176"/>
    <w:rsid w:val="00EF17C5"/>
    <w:rsid w:val="00F13404"/>
    <w:rsid w:val="00F32AA4"/>
    <w:rsid w:val="00F41152"/>
    <w:rsid w:val="00F764F4"/>
    <w:rsid w:val="00FA0293"/>
    <w:rsid w:val="00FA57E4"/>
    <w:rsid w:val="00FA7B76"/>
    <w:rsid w:val="00FC4361"/>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05694C"/>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74D9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47919899">
      <w:bodyDiv w:val="1"/>
      <w:marLeft w:val="0"/>
      <w:marRight w:val="0"/>
      <w:marTop w:val="0"/>
      <w:marBottom w:val="0"/>
      <w:divBdr>
        <w:top w:val="none" w:sz="0" w:space="0" w:color="auto"/>
        <w:left w:val="none" w:sz="0" w:space="0" w:color="auto"/>
        <w:bottom w:val="none" w:sz="0" w:space="0" w:color="auto"/>
        <w:right w:val="none" w:sz="0" w:space="0" w:color="auto"/>
      </w:divBdr>
      <w:divsChild>
        <w:div w:id="2108307861">
          <w:marLeft w:val="0"/>
          <w:marRight w:val="0"/>
          <w:marTop w:val="0"/>
          <w:marBottom w:val="0"/>
          <w:divBdr>
            <w:top w:val="none" w:sz="0" w:space="0" w:color="auto"/>
            <w:left w:val="none" w:sz="0" w:space="0" w:color="auto"/>
            <w:bottom w:val="none" w:sz="0" w:space="0" w:color="auto"/>
            <w:right w:val="none" w:sz="0" w:space="0" w:color="auto"/>
          </w:divBdr>
          <w:divsChild>
            <w:div w:id="1063678173">
              <w:marLeft w:val="0"/>
              <w:marRight w:val="0"/>
              <w:marTop w:val="0"/>
              <w:marBottom w:val="0"/>
              <w:divBdr>
                <w:top w:val="none" w:sz="0" w:space="0" w:color="auto"/>
                <w:left w:val="none" w:sz="0" w:space="0" w:color="auto"/>
                <w:bottom w:val="none" w:sz="0" w:space="0" w:color="auto"/>
                <w:right w:val="none" w:sz="0" w:space="0" w:color="auto"/>
              </w:divBdr>
              <w:divsChild>
                <w:div w:id="249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7832-F988-4CA7-B4F6-56EC4B73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5711</Words>
  <Characters>32558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2</cp:revision>
  <dcterms:created xsi:type="dcterms:W3CDTF">2023-03-07T16:51:00Z</dcterms:created>
  <dcterms:modified xsi:type="dcterms:W3CDTF">2023-03-07T16:51:00Z</dcterms:modified>
</cp:coreProperties>
</file>