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D3C" w:rsidRPr="00B14410" w:rsidRDefault="006B2C8C" w:rsidP="006F1D3C">
      <w:pPr>
        <w:spacing w:after="0" w:line="240" w:lineRule="auto"/>
        <w:jc w:val="center"/>
        <w:rPr>
          <w:rFonts w:ascii="Garamond" w:eastAsia="Times New Roman" w:hAnsi="Garamond" w:cs="Arial"/>
          <w:b/>
          <w:smallCaps/>
          <w:sz w:val="28"/>
          <w:szCs w:val="28"/>
          <w:lang w:val="en-CA"/>
        </w:rPr>
      </w:pPr>
      <w:r w:rsidRPr="00B14410">
        <w:rPr>
          <w:rFonts w:ascii="Garamond" w:eastAsia="Times New Roman" w:hAnsi="Garamond" w:cs="Arial"/>
          <w:b/>
          <w:smallCaps/>
          <w:sz w:val="28"/>
          <w:szCs w:val="28"/>
          <w:lang w:val="en-CA"/>
        </w:rPr>
        <w:t>Addeddum to Report on Rule 24(</w:t>
      </w:r>
      <w:r w:rsidR="00482019" w:rsidRPr="00B14410">
        <w:rPr>
          <w:rFonts w:ascii="Garamond" w:eastAsia="Times New Roman" w:hAnsi="Garamond" w:cs="Arial"/>
          <w:b/>
          <w:smallCaps/>
          <w:sz w:val="28"/>
          <w:szCs w:val="28"/>
          <w:lang w:val="en-CA"/>
        </w:rPr>
        <w:t>d</w:t>
      </w:r>
      <w:r w:rsidRPr="00B14410">
        <w:rPr>
          <w:rFonts w:ascii="Garamond" w:eastAsia="Times New Roman" w:hAnsi="Garamond" w:cs="Arial"/>
          <w:b/>
          <w:smallCaps/>
          <w:sz w:val="28"/>
          <w:szCs w:val="28"/>
          <w:lang w:val="en-CA"/>
        </w:rPr>
        <w:t>)</w:t>
      </w:r>
      <w:r w:rsidR="00482019" w:rsidRPr="00B14410">
        <w:rPr>
          <w:rFonts w:ascii="Garamond" w:eastAsia="Times New Roman" w:hAnsi="Garamond" w:cs="Arial"/>
          <w:b/>
          <w:smallCaps/>
          <w:sz w:val="28"/>
          <w:szCs w:val="28"/>
          <w:lang w:val="en-CA"/>
        </w:rPr>
        <w:t>(5)</w:t>
      </w:r>
      <w:r w:rsidR="006F1D3C" w:rsidRPr="00B14410">
        <w:rPr>
          <w:rFonts w:ascii="Garamond" w:eastAsia="Times New Roman" w:hAnsi="Garamond" w:cs="Arial"/>
          <w:b/>
          <w:smallCaps/>
          <w:sz w:val="28"/>
          <w:szCs w:val="28"/>
          <w:lang w:val="en-CA"/>
        </w:rPr>
        <w:fldChar w:fldCharType="begin"/>
      </w:r>
      <w:r w:rsidR="006F1D3C" w:rsidRPr="00B14410">
        <w:rPr>
          <w:rFonts w:ascii="Garamond" w:eastAsia="Times New Roman" w:hAnsi="Garamond" w:cs="Arial"/>
          <w:b/>
          <w:smallCaps/>
          <w:sz w:val="28"/>
          <w:szCs w:val="28"/>
          <w:lang w:val="en-CA"/>
        </w:rPr>
        <w:instrText xml:space="preserve"> SEQ CHAPTER \h \r 1</w:instrText>
      </w:r>
      <w:r w:rsidR="006F1D3C" w:rsidRPr="00B14410">
        <w:rPr>
          <w:rFonts w:ascii="Garamond" w:eastAsia="Times New Roman" w:hAnsi="Garamond" w:cs="Arial"/>
          <w:b/>
          <w:smallCaps/>
          <w:sz w:val="28"/>
          <w:szCs w:val="28"/>
          <w:lang w:val="en-CA"/>
        </w:rPr>
        <w:fldChar w:fldCharType="end"/>
      </w:r>
    </w:p>
    <w:p w:rsidR="006F1D3C" w:rsidRPr="00B14410" w:rsidRDefault="006F1D3C" w:rsidP="006F1D3C">
      <w:pPr>
        <w:spacing w:after="360" w:line="240" w:lineRule="auto"/>
        <w:jc w:val="center"/>
        <w:rPr>
          <w:rFonts w:ascii="Garamond" w:eastAsia="Times New Roman" w:hAnsi="Garamond" w:cs="Arial"/>
          <w:b/>
          <w:bCs/>
          <w:sz w:val="28"/>
          <w:szCs w:val="28"/>
        </w:rPr>
      </w:pPr>
      <w:r w:rsidRPr="00B14410">
        <w:rPr>
          <w:rFonts w:ascii="Garamond" w:eastAsia="Times New Roman" w:hAnsi="Garamond" w:cs="Arial"/>
          <w:b/>
          <w:bCs/>
          <w:sz w:val="28"/>
          <w:szCs w:val="28"/>
        </w:rPr>
        <w:t>____________________________</w:t>
      </w:r>
    </w:p>
    <w:p w:rsidR="006F1D3C" w:rsidRPr="00B14410" w:rsidRDefault="006F1D3C" w:rsidP="006F1D3C">
      <w:pPr>
        <w:spacing w:after="0" w:line="240" w:lineRule="auto"/>
        <w:jc w:val="center"/>
        <w:rPr>
          <w:rFonts w:ascii="Garamond" w:eastAsia="Times New Roman" w:hAnsi="Garamond" w:cs="Arial"/>
          <w:b/>
          <w:bCs/>
          <w:sz w:val="28"/>
          <w:szCs w:val="28"/>
        </w:rPr>
      </w:pPr>
    </w:p>
    <w:tbl>
      <w:tblPr>
        <w:tblStyle w:val="TableGrid"/>
        <w:tblpPr w:leftFromText="180" w:rightFromText="180" w:vertAnchor="text" w:horzAnchor="margin" w:tblpY="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7177"/>
      </w:tblGrid>
      <w:tr w:rsidR="00492965" w:rsidRPr="00B14410" w:rsidTr="00EF09EC">
        <w:tc>
          <w:tcPr>
            <w:tcW w:w="1008" w:type="dxa"/>
          </w:tcPr>
          <w:p w:rsidR="00492965" w:rsidRPr="00B14410" w:rsidRDefault="00492965" w:rsidP="00114882">
            <w:pPr>
              <w:pStyle w:val="bDouble-spaced"/>
              <w:spacing w:line="240" w:lineRule="auto"/>
              <w:rPr>
                <w:rFonts w:ascii="Garamond" w:hAnsi="Garamond"/>
                <w:sz w:val="28"/>
                <w:szCs w:val="28"/>
              </w:rPr>
            </w:pPr>
            <w:r w:rsidRPr="00B14410">
              <w:rPr>
                <w:rFonts w:ascii="Garamond" w:hAnsi="Garamond"/>
                <w:sz w:val="28"/>
                <w:szCs w:val="28"/>
              </w:rPr>
              <w:t>To:</w:t>
            </w:r>
          </w:p>
          <w:p w:rsidR="00492965" w:rsidRPr="00B14410" w:rsidRDefault="00492965" w:rsidP="00114882">
            <w:pPr>
              <w:pStyle w:val="bDouble-spaced"/>
              <w:spacing w:line="240" w:lineRule="auto"/>
              <w:rPr>
                <w:rFonts w:ascii="Garamond" w:hAnsi="Garamond"/>
                <w:sz w:val="28"/>
                <w:szCs w:val="28"/>
              </w:rPr>
            </w:pPr>
            <w:r w:rsidRPr="00B14410">
              <w:rPr>
                <w:rFonts w:ascii="Garamond" w:hAnsi="Garamond"/>
                <w:sz w:val="28"/>
                <w:szCs w:val="28"/>
              </w:rPr>
              <w:t>From:</w:t>
            </w:r>
          </w:p>
          <w:p w:rsidR="00492965" w:rsidRPr="00B14410" w:rsidRDefault="00492965" w:rsidP="00114882">
            <w:pPr>
              <w:pStyle w:val="bDouble-spaced"/>
              <w:spacing w:line="240" w:lineRule="auto"/>
              <w:rPr>
                <w:rFonts w:ascii="Garamond" w:hAnsi="Garamond"/>
                <w:sz w:val="28"/>
                <w:szCs w:val="28"/>
              </w:rPr>
            </w:pPr>
            <w:r w:rsidRPr="00B14410">
              <w:rPr>
                <w:rFonts w:ascii="Garamond" w:hAnsi="Garamond"/>
                <w:sz w:val="28"/>
                <w:szCs w:val="28"/>
              </w:rPr>
              <w:t>Date:</w:t>
            </w:r>
          </w:p>
          <w:p w:rsidR="00492965" w:rsidRPr="00B14410" w:rsidRDefault="00492965" w:rsidP="00114882">
            <w:pPr>
              <w:pStyle w:val="bDouble-spaced"/>
              <w:spacing w:line="240" w:lineRule="auto"/>
              <w:rPr>
                <w:rFonts w:ascii="Garamond" w:hAnsi="Garamond"/>
                <w:sz w:val="28"/>
                <w:szCs w:val="28"/>
              </w:rPr>
            </w:pPr>
          </w:p>
        </w:tc>
        <w:tc>
          <w:tcPr>
            <w:tcW w:w="7992" w:type="dxa"/>
          </w:tcPr>
          <w:p w:rsidR="00492965" w:rsidRPr="00B14410" w:rsidRDefault="006B2C8C" w:rsidP="00114882">
            <w:pPr>
              <w:pStyle w:val="bDouble-spaced"/>
              <w:spacing w:line="240" w:lineRule="auto"/>
              <w:rPr>
                <w:rFonts w:ascii="Garamond" w:hAnsi="Garamond"/>
                <w:sz w:val="28"/>
                <w:szCs w:val="28"/>
              </w:rPr>
            </w:pPr>
            <w:r w:rsidRPr="00B14410">
              <w:rPr>
                <w:rFonts w:ascii="Garamond" w:hAnsi="Garamond"/>
                <w:sz w:val="28"/>
                <w:szCs w:val="28"/>
              </w:rPr>
              <w:t>Criminal Rules Committee</w:t>
            </w:r>
          </w:p>
          <w:p w:rsidR="00492965" w:rsidRPr="00B14410" w:rsidRDefault="00492965" w:rsidP="00114882">
            <w:pPr>
              <w:pStyle w:val="bDouble-spaced"/>
              <w:spacing w:line="240" w:lineRule="auto"/>
              <w:rPr>
                <w:rFonts w:ascii="Garamond" w:hAnsi="Garamond"/>
                <w:sz w:val="28"/>
                <w:szCs w:val="28"/>
              </w:rPr>
            </w:pPr>
            <w:r w:rsidRPr="00B14410">
              <w:rPr>
                <w:rFonts w:ascii="Garamond" w:hAnsi="Garamond"/>
                <w:sz w:val="28"/>
                <w:szCs w:val="28"/>
              </w:rPr>
              <w:t>Robert M. Russel</w:t>
            </w:r>
          </w:p>
          <w:p w:rsidR="00492965" w:rsidRPr="00B14410" w:rsidRDefault="006B2C8C" w:rsidP="00114882">
            <w:pPr>
              <w:pStyle w:val="bDouble-spaced"/>
              <w:spacing w:line="240" w:lineRule="auto"/>
              <w:rPr>
                <w:rFonts w:ascii="Garamond" w:hAnsi="Garamond"/>
                <w:sz w:val="28"/>
                <w:szCs w:val="28"/>
              </w:rPr>
            </w:pPr>
            <w:r w:rsidRPr="00B14410">
              <w:rPr>
                <w:rFonts w:ascii="Garamond" w:hAnsi="Garamond"/>
                <w:sz w:val="28"/>
                <w:szCs w:val="28"/>
              </w:rPr>
              <w:t>1/15/21</w:t>
            </w:r>
          </w:p>
        </w:tc>
      </w:tr>
    </w:tbl>
    <w:p w:rsidR="00B11F5A" w:rsidRPr="00B14410" w:rsidRDefault="00482019" w:rsidP="00B11F5A">
      <w:pPr>
        <w:pStyle w:val="aSingle-space"/>
        <w:rPr>
          <w:rFonts w:ascii="Garamond" w:hAnsi="Garamond"/>
          <w:sz w:val="28"/>
          <w:szCs w:val="28"/>
        </w:rPr>
      </w:pPr>
      <w:r w:rsidRPr="00B14410">
        <w:rPr>
          <w:rFonts w:ascii="Garamond" w:hAnsi="Garamond"/>
          <w:sz w:val="28"/>
          <w:szCs w:val="28"/>
        </w:rPr>
        <w:t xml:space="preserve">I </w:t>
      </w:r>
      <w:r w:rsidR="00B03E3B" w:rsidRPr="00B14410">
        <w:rPr>
          <w:rFonts w:ascii="Garamond" w:hAnsi="Garamond"/>
          <w:sz w:val="28"/>
          <w:szCs w:val="28"/>
        </w:rPr>
        <w:t xml:space="preserve">add this memo </w:t>
      </w:r>
      <w:r w:rsidRPr="00B14410">
        <w:rPr>
          <w:rFonts w:ascii="Garamond" w:hAnsi="Garamond"/>
          <w:sz w:val="28"/>
          <w:szCs w:val="28"/>
        </w:rPr>
        <w:t>to the report that Kevin McGreevy submitted on behalf of the subcommittee on the proposed Rule 24(d)(5).</w:t>
      </w:r>
      <w:r w:rsidR="00B11F5A" w:rsidRPr="00B14410">
        <w:rPr>
          <w:rFonts w:ascii="Garamond" w:hAnsi="Garamond"/>
          <w:sz w:val="28"/>
          <w:szCs w:val="28"/>
        </w:rPr>
        <w:t xml:space="preserve">  </w:t>
      </w:r>
      <w:r w:rsidRPr="00B14410">
        <w:rPr>
          <w:rFonts w:ascii="Garamond" w:hAnsi="Garamond"/>
          <w:sz w:val="28"/>
          <w:szCs w:val="28"/>
        </w:rPr>
        <w:t xml:space="preserve">Mine was the lone vote against adoption.  I came to this view after consulting with prosecutors from </w:t>
      </w:r>
      <w:r w:rsidR="00D26F65" w:rsidRPr="00B14410">
        <w:rPr>
          <w:rFonts w:ascii="Garamond" w:hAnsi="Garamond"/>
          <w:sz w:val="28"/>
          <w:szCs w:val="28"/>
        </w:rPr>
        <w:t xml:space="preserve">both </w:t>
      </w:r>
      <w:r w:rsidRPr="00B14410">
        <w:rPr>
          <w:rFonts w:ascii="Garamond" w:hAnsi="Garamond"/>
          <w:sz w:val="28"/>
          <w:szCs w:val="28"/>
        </w:rPr>
        <w:t>the 2</w:t>
      </w:r>
      <w:r w:rsidRPr="00B14410">
        <w:rPr>
          <w:rFonts w:ascii="Garamond" w:hAnsi="Garamond"/>
          <w:sz w:val="28"/>
          <w:szCs w:val="28"/>
          <w:vertAlign w:val="superscript"/>
        </w:rPr>
        <w:t>nd</w:t>
      </w:r>
      <w:r w:rsidRPr="00B14410">
        <w:rPr>
          <w:rFonts w:ascii="Garamond" w:hAnsi="Garamond"/>
          <w:sz w:val="28"/>
          <w:szCs w:val="28"/>
        </w:rPr>
        <w:t xml:space="preserve"> and 18</w:t>
      </w:r>
      <w:r w:rsidRPr="00B14410">
        <w:rPr>
          <w:rFonts w:ascii="Garamond" w:hAnsi="Garamond"/>
          <w:sz w:val="28"/>
          <w:szCs w:val="28"/>
          <w:vertAlign w:val="superscript"/>
        </w:rPr>
        <w:t>th</w:t>
      </w:r>
      <w:r w:rsidRPr="00B14410">
        <w:rPr>
          <w:rFonts w:ascii="Garamond" w:hAnsi="Garamond"/>
          <w:sz w:val="28"/>
          <w:szCs w:val="28"/>
        </w:rPr>
        <w:t xml:space="preserve"> </w:t>
      </w:r>
      <w:r w:rsidR="00D26F65" w:rsidRPr="00B14410">
        <w:rPr>
          <w:rFonts w:ascii="Garamond" w:hAnsi="Garamond"/>
          <w:sz w:val="28"/>
          <w:szCs w:val="28"/>
        </w:rPr>
        <w:t>J</w:t>
      </w:r>
      <w:r w:rsidRPr="00B14410">
        <w:rPr>
          <w:rFonts w:ascii="Garamond" w:hAnsi="Garamond"/>
          <w:sz w:val="28"/>
          <w:szCs w:val="28"/>
        </w:rPr>
        <w:t xml:space="preserve">udicial </w:t>
      </w:r>
      <w:r w:rsidR="00D26F65" w:rsidRPr="00B14410">
        <w:rPr>
          <w:rFonts w:ascii="Garamond" w:hAnsi="Garamond"/>
          <w:sz w:val="28"/>
          <w:szCs w:val="28"/>
        </w:rPr>
        <w:t>D</w:t>
      </w:r>
      <w:r w:rsidRPr="00B14410">
        <w:rPr>
          <w:rFonts w:ascii="Garamond" w:hAnsi="Garamond"/>
          <w:sz w:val="28"/>
          <w:szCs w:val="28"/>
        </w:rPr>
        <w:t>istrict</w:t>
      </w:r>
      <w:r w:rsidR="00D26F65" w:rsidRPr="00B14410">
        <w:rPr>
          <w:rFonts w:ascii="Garamond" w:hAnsi="Garamond"/>
          <w:sz w:val="28"/>
          <w:szCs w:val="28"/>
        </w:rPr>
        <w:t>s</w:t>
      </w:r>
      <w:r w:rsidRPr="00B14410">
        <w:rPr>
          <w:rFonts w:ascii="Garamond" w:hAnsi="Garamond"/>
          <w:sz w:val="28"/>
          <w:szCs w:val="28"/>
        </w:rPr>
        <w:t>.</w:t>
      </w:r>
      <w:r w:rsidR="00D26F65" w:rsidRPr="00B14410">
        <w:rPr>
          <w:rFonts w:ascii="Garamond" w:hAnsi="Garamond"/>
          <w:sz w:val="28"/>
          <w:szCs w:val="28"/>
        </w:rPr>
        <w:t xml:space="preserve">  </w:t>
      </w:r>
    </w:p>
    <w:p w:rsidR="00B11F5A" w:rsidRPr="00B14410" w:rsidRDefault="00B11F5A" w:rsidP="00B11F5A">
      <w:pPr>
        <w:pStyle w:val="aSingle-space"/>
        <w:rPr>
          <w:rFonts w:ascii="Garamond" w:hAnsi="Garamond"/>
          <w:sz w:val="28"/>
          <w:szCs w:val="28"/>
        </w:rPr>
      </w:pPr>
      <w:r w:rsidRPr="00B14410">
        <w:rPr>
          <w:rFonts w:ascii="Garamond" w:hAnsi="Garamond"/>
          <w:sz w:val="28"/>
          <w:szCs w:val="28"/>
        </w:rPr>
        <w:t xml:space="preserve">The </w:t>
      </w:r>
      <w:r w:rsidR="00D26F65" w:rsidRPr="00B14410">
        <w:rPr>
          <w:rFonts w:ascii="Garamond" w:hAnsi="Garamond"/>
          <w:sz w:val="28"/>
          <w:szCs w:val="28"/>
        </w:rPr>
        <w:t xml:space="preserve">prosecutors agreed that the proposed rule </w:t>
      </w:r>
      <w:r w:rsidR="00D61A3C" w:rsidRPr="00B14410">
        <w:rPr>
          <w:rFonts w:ascii="Garamond" w:hAnsi="Garamond"/>
          <w:sz w:val="28"/>
          <w:szCs w:val="28"/>
        </w:rPr>
        <w:t xml:space="preserve">would </w:t>
      </w:r>
      <w:r w:rsidR="00D26F65" w:rsidRPr="00B14410">
        <w:rPr>
          <w:rFonts w:ascii="Garamond" w:hAnsi="Garamond"/>
          <w:sz w:val="28"/>
          <w:szCs w:val="28"/>
        </w:rPr>
        <w:t xml:space="preserve">serve a laudable aim.  </w:t>
      </w:r>
      <w:r w:rsidRPr="00B14410">
        <w:rPr>
          <w:rFonts w:ascii="Garamond" w:hAnsi="Garamond"/>
          <w:sz w:val="28"/>
          <w:szCs w:val="28"/>
        </w:rPr>
        <w:t xml:space="preserve">They also </w:t>
      </w:r>
      <w:r w:rsidR="00D26F65" w:rsidRPr="00B14410">
        <w:rPr>
          <w:rFonts w:ascii="Garamond" w:hAnsi="Garamond"/>
          <w:sz w:val="28"/>
          <w:szCs w:val="28"/>
        </w:rPr>
        <w:t xml:space="preserve">agreed that the proposed rule would </w:t>
      </w:r>
      <w:r w:rsidRPr="00B14410">
        <w:rPr>
          <w:rFonts w:ascii="Garamond" w:hAnsi="Garamond"/>
          <w:sz w:val="28"/>
          <w:szCs w:val="28"/>
        </w:rPr>
        <w:t xml:space="preserve">trigger more </w:t>
      </w:r>
      <w:r w:rsidRPr="00B14410">
        <w:rPr>
          <w:rFonts w:ascii="Garamond" w:hAnsi="Garamond"/>
          <w:sz w:val="28"/>
          <w:szCs w:val="28"/>
        </w:rPr>
        <w:t xml:space="preserve">irrational acquittals and </w:t>
      </w:r>
      <w:r w:rsidRPr="00B14410">
        <w:rPr>
          <w:rFonts w:ascii="Garamond" w:hAnsi="Garamond"/>
          <w:sz w:val="28"/>
          <w:szCs w:val="28"/>
        </w:rPr>
        <w:t>11-1 verdicts because j</w:t>
      </w:r>
      <w:r w:rsidR="00D26F65" w:rsidRPr="00B14410">
        <w:rPr>
          <w:rFonts w:ascii="Garamond" w:hAnsi="Garamond"/>
          <w:sz w:val="28"/>
          <w:szCs w:val="28"/>
        </w:rPr>
        <w:t xml:space="preserve">uries would contain more people who </w:t>
      </w:r>
      <w:r w:rsidR="00B03E3B" w:rsidRPr="00B14410">
        <w:rPr>
          <w:rFonts w:ascii="Garamond" w:hAnsi="Garamond"/>
          <w:sz w:val="28"/>
          <w:szCs w:val="28"/>
        </w:rPr>
        <w:t>are biased against police witnesses</w:t>
      </w:r>
      <w:r w:rsidRPr="00B14410">
        <w:rPr>
          <w:rFonts w:ascii="Garamond" w:hAnsi="Garamond"/>
          <w:sz w:val="28"/>
          <w:szCs w:val="28"/>
        </w:rPr>
        <w:t>.  However, the p</w:t>
      </w:r>
      <w:r w:rsidR="00D26F65" w:rsidRPr="00B14410">
        <w:rPr>
          <w:rFonts w:ascii="Garamond" w:hAnsi="Garamond"/>
          <w:sz w:val="28"/>
          <w:szCs w:val="28"/>
        </w:rPr>
        <w:t xml:space="preserve">rosecutors </w:t>
      </w:r>
      <w:r w:rsidRPr="00B14410">
        <w:rPr>
          <w:rFonts w:ascii="Garamond" w:hAnsi="Garamond"/>
          <w:sz w:val="28"/>
          <w:szCs w:val="28"/>
        </w:rPr>
        <w:t xml:space="preserve">did not unanimously agree </w:t>
      </w:r>
      <w:r w:rsidR="00D26F65" w:rsidRPr="00B14410">
        <w:rPr>
          <w:rFonts w:ascii="Garamond" w:hAnsi="Garamond"/>
          <w:sz w:val="28"/>
          <w:szCs w:val="28"/>
        </w:rPr>
        <w:t>about whether the rule</w:t>
      </w:r>
      <w:r w:rsidR="00B03E3B" w:rsidRPr="00B14410">
        <w:rPr>
          <w:rFonts w:ascii="Garamond" w:hAnsi="Garamond"/>
          <w:sz w:val="28"/>
          <w:szCs w:val="28"/>
        </w:rPr>
        <w:t xml:space="preserve">’s costs </w:t>
      </w:r>
      <w:r w:rsidR="00D26F65" w:rsidRPr="00B14410">
        <w:rPr>
          <w:rFonts w:ascii="Garamond" w:hAnsi="Garamond"/>
          <w:sz w:val="28"/>
          <w:szCs w:val="28"/>
        </w:rPr>
        <w:t xml:space="preserve">would outweigh its </w:t>
      </w:r>
      <w:r w:rsidR="00B03E3B" w:rsidRPr="00B14410">
        <w:rPr>
          <w:rFonts w:ascii="Garamond" w:hAnsi="Garamond"/>
          <w:sz w:val="28"/>
          <w:szCs w:val="28"/>
        </w:rPr>
        <w:t>benefits</w:t>
      </w:r>
      <w:r w:rsidR="00D26F65" w:rsidRPr="00B14410">
        <w:rPr>
          <w:rFonts w:ascii="Garamond" w:hAnsi="Garamond"/>
          <w:sz w:val="28"/>
          <w:szCs w:val="28"/>
        </w:rPr>
        <w:t xml:space="preserve">.  </w:t>
      </w:r>
      <w:r w:rsidRPr="00B14410">
        <w:rPr>
          <w:rFonts w:ascii="Garamond" w:hAnsi="Garamond"/>
          <w:sz w:val="28"/>
          <w:szCs w:val="28"/>
        </w:rPr>
        <w:t>M</w:t>
      </w:r>
      <w:r w:rsidR="00D26F65" w:rsidRPr="00B14410">
        <w:rPr>
          <w:rFonts w:ascii="Garamond" w:hAnsi="Garamond"/>
          <w:sz w:val="28"/>
          <w:szCs w:val="28"/>
        </w:rPr>
        <w:t xml:space="preserve">ost prosecutors </w:t>
      </w:r>
      <w:r w:rsidRPr="00B14410">
        <w:rPr>
          <w:rFonts w:ascii="Garamond" w:hAnsi="Garamond"/>
          <w:sz w:val="28"/>
          <w:szCs w:val="28"/>
        </w:rPr>
        <w:t>believe</w:t>
      </w:r>
      <w:r w:rsidR="00D26F65" w:rsidRPr="00B14410">
        <w:rPr>
          <w:rFonts w:ascii="Garamond" w:hAnsi="Garamond"/>
          <w:sz w:val="28"/>
          <w:szCs w:val="28"/>
        </w:rPr>
        <w:t xml:space="preserve"> that </w:t>
      </w:r>
      <w:r w:rsidR="00B03E3B" w:rsidRPr="00B14410">
        <w:rPr>
          <w:rFonts w:ascii="Garamond" w:hAnsi="Garamond"/>
          <w:sz w:val="28"/>
          <w:szCs w:val="28"/>
        </w:rPr>
        <w:t xml:space="preserve">the answer is yes, </w:t>
      </w:r>
      <w:r w:rsidRPr="00B14410">
        <w:rPr>
          <w:rFonts w:ascii="Garamond" w:hAnsi="Garamond"/>
          <w:sz w:val="28"/>
          <w:szCs w:val="28"/>
        </w:rPr>
        <w:t>but the contrary view was ably expressed.</w:t>
      </w:r>
    </w:p>
    <w:p w:rsidR="00B11F5A" w:rsidRPr="00B14410" w:rsidRDefault="00B11F5A" w:rsidP="00B11F5A">
      <w:pPr>
        <w:pStyle w:val="aSingle-space"/>
        <w:rPr>
          <w:rFonts w:ascii="Garamond" w:hAnsi="Garamond"/>
          <w:sz w:val="28"/>
          <w:szCs w:val="28"/>
        </w:rPr>
      </w:pPr>
      <w:r w:rsidRPr="00B14410">
        <w:rPr>
          <w:rFonts w:ascii="Garamond" w:hAnsi="Garamond"/>
          <w:sz w:val="28"/>
          <w:szCs w:val="28"/>
        </w:rPr>
        <w:t xml:space="preserve">The prosecutors </w:t>
      </w:r>
      <w:r w:rsidR="00B03E3B" w:rsidRPr="00B14410">
        <w:rPr>
          <w:rFonts w:ascii="Garamond" w:hAnsi="Garamond"/>
          <w:sz w:val="28"/>
          <w:szCs w:val="28"/>
        </w:rPr>
        <w:t xml:space="preserve">generally </w:t>
      </w:r>
      <w:r w:rsidRPr="00B14410">
        <w:rPr>
          <w:rFonts w:ascii="Garamond" w:hAnsi="Garamond"/>
          <w:sz w:val="28"/>
          <w:szCs w:val="28"/>
        </w:rPr>
        <w:t>believe that the proposed rule could be improved:</w:t>
      </w:r>
    </w:p>
    <w:p w:rsidR="009C7F7C" w:rsidRPr="00B14410" w:rsidRDefault="00B11F5A" w:rsidP="00F81598">
      <w:pPr>
        <w:pStyle w:val="aSingle-space"/>
        <w:numPr>
          <w:ilvl w:val="0"/>
          <w:numId w:val="6"/>
        </w:numPr>
        <w:rPr>
          <w:rFonts w:ascii="Garamond" w:hAnsi="Garamond"/>
          <w:sz w:val="28"/>
          <w:szCs w:val="28"/>
        </w:rPr>
      </w:pPr>
      <w:r w:rsidRPr="00B14410">
        <w:rPr>
          <w:rFonts w:ascii="Garamond" w:hAnsi="Garamond"/>
          <w:sz w:val="28"/>
          <w:szCs w:val="28"/>
        </w:rPr>
        <w:t xml:space="preserve">The rule’s benefits are derived largely from parts </w:t>
      </w:r>
      <w:r w:rsidR="00D61A3C" w:rsidRPr="00B14410">
        <w:rPr>
          <w:rFonts w:ascii="Garamond" w:hAnsi="Garamond"/>
          <w:sz w:val="28"/>
          <w:szCs w:val="28"/>
        </w:rPr>
        <w:t>(</w:t>
      </w:r>
      <w:r w:rsidRPr="00B14410">
        <w:rPr>
          <w:rFonts w:ascii="Garamond" w:hAnsi="Garamond"/>
          <w:sz w:val="28"/>
          <w:szCs w:val="28"/>
        </w:rPr>
        <w:t>A</w:t>
      </w:r>
      <w:r w:rsidR="00D61A3C" w:rsidRPr="00B14410">
        <w:rPr>
          <w:rFonts w:ascii="Garamond" w:hAnsi="Garamond"/>
          <w:sz w:val="28"/>
          <w:szCs w:val="28"/>
        </w:rPr>
        <w:t>)</w:t>
      </w:r>
      <w:r w:rsidRPr="00B14410">
        <w:rPr>
          <w:rFonts w:ascii="Garamond" w:hAnsi="Garamond"/>
          <w:sz w:val="28"/>
          <w:szCs w:val="28"/>
        </w:rPr>
        <w:t xml:space="preserve">, </w:t>
      </w:r>
      <w:r w:rsidR="00D61A3C" w:rsidRPr="00B14410">
        <w:rPr>
          <w:rFonts w:ascii="Garamond" w:hAnsi="Garamond"/>
          <w:sz w:val="28"/>
          <w:szCs w:val="28"/>
        </w:rPr>
        <w:t>(</w:t>
      </w:r>
      <w:r w:rsidRPr="00B14410">
        <w:rPr>
          <w:rFonts w:ascii="Garamond" w:hAnsi="Garamond"/>
          <w:sz w:val="28"/>
          <w:szCs w:val="28"/>
        </w:rPr>
        <w:t>B</w:t>
      </w:r>
      <w:r w:rsidR="00D61A3C" w:rsidRPr="00B14410">
        <w:rPr>
          <w:rFonts w:ascii="Garamond" w:hAnsi="Garamond"/>
          <w:sz w:val="28"/>
          <w:szCs w:val="28"/>
        </w:rPr>
        <w:t>)</w:t>
      </w:r>
      <w:r w:rsidRPr="00B14410">
        <w:rPr>
          <w:rFonts w:ascii="Garamond" w:hAnsi="Garamond"/>
          <w:sz w:val="28"/>
          <w:szCs w:val="28"/>
        </w:rPr>
        <w:t xml:space="preserve">, and </w:t>
      </w:r>
      <w:r w:rsidR="00D61A3C" w:rsidRPr="00B14410">
        <w:rPr>
          <w:rFonts w:ascii="Garamond" w:hAnsi="Garamond"/>
          <w:sz w:val="28"/>
          <w:szCs w:val="28"/>
        </w:rPr>
        <w:t>(</w:t>
      </w:r>
      <w:r w:rsidRPr="00B14410">
        <w:rPr>
          <w:rFonts w:ascii="Garamond" w:hAnsi="Garamond"/>
          <w:sz w:val="28"/>
          <w:szCs w:val="28"/>
        </w:rPr>
        <w:t>C</w:t>
      </w:r>
      <w:r w:rsidR="00D61A3C" w:rsidRPr="00B14410">
        <w:rPr>
          <w:rFonts w:ascii="Garamond" w:hAnsi="Garamond"/>
          <w:sz w:val="28"/>
          <w:szCs w:val="28"/>
        </w:rPr>
        <w:t>)</w:t>
      </w:r>
      <w:r w:rsidRPr="00B14410">
        <w:rPr>
          <w:rFonts w:ascii="Garamond" w:hAnsi="Garamond"/>
          <w:sz w:val="28"/>
          <w:szCs w:val="28"/>
        </w:rPr>
        <w:t xml:space="preserve">.  Those provisions replace the </w:t>
      </w:r>
      <w:r w:rsidRPr="00B14410">
        <w:rPr>
          <w:rFonts w:ascii="Garamond" w:hAnsi="Garamond"/>
          <w:i/>
          <w:iCs/>
          <w:sz w:val="28"/>
          <w:szCs w:val="28"/>
        </w:rPr>
        <w:t>Batson</w:t>
      </w:r>
      <w:r w:rsidRPr="00B14410">
        <w:rPr>
          <w:rFonts w:ascii="Garamond" w:hAnsi="Garamond"/>
          <w:sz w:val="28"/>
          <w:szCs w:val="28"/>
        </w:rPr>
        <w:t xml:space="preserve"> framework — which is designed solely to combat conscious racial bias — with a framework that enables the trial court to </w:t>
      </w:r>
      <w:r w:rsidR="009C7F7C" w:rsidRPr="00B14410">
        <w:rPr>
          <w:rFonts w:ascii="Garamond" w:hAnsi="Garamond"/>
          <w:sz w:val="28"/>
          <w:szCs w:val="28"/>
        </w:rPr>
        <w:t xml:space="preserve">remedy unconscious or implicit bias.  </w:t>
      </w:r>
      <w:r w:rsidR="00B03E3B" w:rsidRPr="00B14410">
        <w:rPr>
          <w:rFonts w:ascii="Garamond" w:hAnsi="Garamond"/>
          <w:sz w:val="28"/>
          <w:szCs w:val="28"/>
        </w:rPr>
        <w:t>But t</w:t>
      </w:r>
      <w:r w:rsidR="009C7F7C" w:rsidRPr="00B14410">
        <w:rPr>
          <w:rFonts w:ascii="Garamond" w:hAnsi="Garamond"/>
          <w:sz w:val="28"/>
          <w:szCs w:val="28"/>
        </w:rPr>
        <w:t>here is significant concern about the test that the trial court is required to apply</w:t>
      </w:r>
      <w:r w:rsidR="00D61A3C" w:rsidRPr="00B14410">
        <w:rPr>
          <w:rFonts w:ascii="Garamond" w:hAnsi="Garamond"/>
          <w:sz w:val="28"/>
          <w:szCs w:val="28"/>
        </w:rPr>
        <w:t xml:space="preserve"> in </w:t>
      </w:r>
      <w:r w:rsidR="00D61A3C" w:rsidRPr="00B14410">
        <w:rPr>
          <w:rFonts w:ascii="Garamond" w:hAnsi="Garamond"/>
          <w:b/>
          <w:bCs/>
          <w:sz w:val="28"/>
          <w:szCs w:val="28"/>
        </w:rPr>
        <w:t>part (C)</w:t>
      </w:r>
      <w:r w:rsidR="009C7F7C" w:rsidRPr="00B14410">
        <w:rPr>
          <w:rFonts w:ascii="Garamond" w:hAnsi="Garamond"/>
          <w:sz w:val="28"/>
          <w:szCs w:val="28"/>
        </w:rPr>
        <w:t xml:space="preserve">.  </w:t>
      </w:r>
      <w:r w:rsidR="00D61A3C" w:rsidRPr="00B14410">
        <w:rPr>
          <w:rFonts w:ascii="Garamond" w:hAnsi="Garamond"/>
          <w:sz w:val="28"/>
          <w:szCs w:val="28"/>
        </w:rPr>
        <w:t xml:space="preserve">It seems that virtually every </w:t>
      </w:r>
      <w:r w:rsidR="009C7F7C" w:rsidRPr="00B14410">
        <w:rPr>
          <w:rFonts w:ascii="Garamond" w:hAnsi="Garamond"/>
          <w:sz w:val="28"/>
          <w:szCs w:val="28"/>
        </w:rPr>
        <w:t xml:space="preserve">peremptory challenge — by the prosecution or defense, against a racial minority or not — could be rejected on the ground that “an objective observer </w:t>
      </w:r>
      <w:r w:rsidR="009C7F7C" w:rsidRPr="00B14410">
        <w:rPr>
          <w:rFonts w:ascii="Garamond" w:hAnsi="Garamond"/>
          <w:i/>
          <w:iCs/>
          <w:sz w:val="28"/>
          <w:szCs w:val="28"/>
        </w:rPr>
        <w:t>could</w:t>
      </w:r>
      <w:r w:rsidR="009C7F7C" w:rsidRPr="00B14410">
        <w:rPr>
          <w:rFonts w:ascii="Garamond" w:hAnsi="Garamond"/>
          <w:sz w:val="28"/>
          <w:szCs w:val="28"/>
        </w:rPr>
        <w:t xml:space="preserve"> view race or ethnicity as </w:t>
      </w:r>
      <w:r w:rsidR="009C7F7C" w:rsidRPr="00B14410">
        <w:rPr>
          <w:rFonts w:ascii="Garamond" w:hAnsi="Garamond"/>
          <w:i/>
          <w:iCs/>
          <w:sz w:val="28"/>
          <w:szCs w:val="28"/>
        </w:rPr>
        <w:t>a factor</w:t>
      </w:r>
      <w:r w:rsidR="009C7F7C" w:rsidRPr="00B14410">
        <w:rPr>
          <w:rFonts w:ascii="Garamond" w:hAnsi="Garamond"/>
          <w:sz w:val="28"/>
          <w:szCs w:val="28"/>
        </w:rPr>
        <w:t xml:space="preserve">.”  The rule would better serve its intended purpose if, in part (C), the word “could” were </w:t>
      </w:r>
      <w:r w:rsidR="00B03E3B" w:rsidRPr="00B14410">
        <w:rPr>
          <w:rFonts w:ascii="Garamond" w:hAnsi="Garamond"/>
          <w:sz w:val="28"/>
          <w:szCs w:val="28"/>
        </w:rPr>
        <w:t>r</w:t>
      </w:r>
      <w:r w:rsidR="009C7F7C" w:rsidRPr="00B14410">
        <w:rPr>
          <w:rFonts w:ascii="Garamond" w:hAnsi="Garamond"/>
          <w:sz w:val="28"/>
          <w:szCs w:val="28"/>
        </w:rPr>
        <w:t xml:space="preserve">eplaced by “would.”  As it stands, the </w:t>
      </w:r>
      <w:r w:rsidR="00CE60FF" w:rsidRPr="00B14410">
        <w:rPr>
          <w:rFonts w:ascii="Garamond" w:hAnsi="Garamond"/>
          <w:sz w:val="28"/>
          <w:szCs w:val="28"/>
        </w:rPr>
        <w:t>existing “objective” test will admit of vastly inconsistent applications, depending on the judge.</w:t>
      </w:r>
    </w:p>
    <w:p w:rsidR="00CE60FF" w:rsidRPr="00B14410" w:rsidRDefault="00CE60FF" w:rsidP="00D26F65">
      <w:pPr>
        <w:pStyle w:val="aSingle-space"/>
        <w:numPr>
          <w:ilvl w:val="0"/>
          <w:numId w:val="6"/>
        </w:numPr>
        <w:rPr>
          <w:rFonts w:ascii="Garamond" w:hAnsi="Garamond"/>
          <w:sz w:val="28"/>
          <w:szCs w:val="28"/>
        </w:rPr>
      </w:pPr>
      <w:r w:rsidRPr="00B14410">
        <w:rPr>
          <w:rFonts w:ascii="Garamond" w:hAnsi="Garamond"/>
          <w:b/>
          <w:bCs/>
          <w:sz w:val="28"/>
          <w:szCs w:val="28"/>
        </w:rPr>
        <w:lastRenderedPageBreak/>
        <w:t>Part</w:t>
      </w:r>
      <w:r w:rsidR="009C7F7C" w:rsidRPr="00B14410">
        <w:rPr>
          <w:rFonts w:ascii="Garamond" w:hAnsi="Garamond"/>
          <w:b/>
          <w:bCs/>
          <w:sz w:val="28"/>
          <w:szCs w:val="28"/>
        </w:rPr>
        <w:t xml:space="preserve"> D</w:t>
      </w:r>
      <w:r w:rsidR="009C7F7C" w:rsidRPr="00B14410">
        <w:rPr>
          <w:rFonts w:ascii="Garamond" w:hAnsi="Garamond"/>
          <w:sz w:val="28"/>
          <w:szCs w:val="28"/>
        </w:rPr>
        <w:t xml:space="preserve"> sets forth the totality of circumstances test that trial court</w:t>
      </w:r>
      <w:r w:rsidR="00D61A3C" w:rsidRPr="00B14410">
        <w:rPr>
          <w:rFonts w:ascii="Garamond" w:hAnsi="Garamond"/>
          <w:sz w:val="28"/>
          <w:szCs w:val="28"/>
        </w:rPr>
        <w:t>s</w:t>
      </w:r>
      <w:r w:rsidR="009C7F7C" w:rsidRPr="00B14410">
        <w:rPr>
          <w:rFonts w:ascii="Garamond" w:hAnsi="Garamond"/>
          <w:sz w:val="28"/>
          <w:szCs w:val="28"/>
        </w:rPr>
        <w:t xml:space="preserve"> </w:t>
      </w:r>
      <w:r w:rsidRPr="00B14410">
        <w:rPr>
          <w:rFonts w:ascii="Garamond" w:hAnsi="Garamond"/>
          <w:sz w:val="28"/>
          <w:szCs w:val="28"/>
        </w:rPr>
        <w:t xml:space="preserve">must </w:t>
      </w:r>
      <w:r w:rsidR="009C7F7C" w:rsidRPr="00B14410">
        <w:rPr>
          <w:rFonts w:ascii="Garamond" w:hAnsi="Garamond"/>
          <w:sz w:val="28"/>
          <w:szCs w:val="28"/>
        </w:rPr>
        <w:t xml:space="preserve">employ in making </w:t>
      </w:r>
      <w:r w:rsidR="00D61A3C" w:rsidRPr="00B14410">
        <w:rPr>
          <w:rFonts w:ascii="Garamond" w:hAnsi="Garamond"/>
          <w:sz w:val="28"/>
          <w:szCs w:val="28"/>
        </w:rPr>
        <w:t xml:space="preserve">their </w:t>
      </w:r>
      <w:r w:rsidRPr="00B14410">
        <w:rPr>
          <w:rFonts w:ascii="Garamond" w:hAnsi="Garamond"/>
          <w:sz w:val="28"/>
          <w:szCs w:val="28"/>
        </w:rPr>
        <w:t>“</w:t>
      </w:r>
      <w:r w:rsidR="009C7F7C" w:rsidRPr="00B14410">
        <w:rPr>
          <w:rFonts w:ascii="Garamond" w:hAnsi="Garamond"/>
          <w:sz w:val="28"/>
          <w:szCs w:val="28"/>
        </w:rPr>
        <w:t>objective” determination</w:t>
      </w:r>
      <w:r w:rsidR="00D61A3C" w:rsidRPr="00B14410">
        <w:rPr>
          <w:rFonts w:ascii="Garamond" w:hAnsi="Garamond"/>
          <w:sz w:val="28"/>
          <w:szCs w:val="28"/>
        </w:rPr>
        <w:t>s</w:t>
      </w:r>
      <w:r w:rsidRPr="00B14410">
        <w:rPr>
          <w:rFonts w:ascii="Garamond" w:hAnsi="Garamond"/>
          <w:sz w:val="28"/>
          <w:szCs w:val="28"/>
        </w:rPr>
        <w:t>.  Most prosecutors believe that this section will significantly increase the length of voir dire</w:t>
      </w:r>
      <w:r w:rsidR="0096335D" w:rsidRPr="00B14410">
        <w:rPr>
          <w:rFonts w:ascii="Garamond" w:hAnsi="Garamond"/>
          <w:sz w:val="28"/>
          <w:szCs w:val="28"/>
        </w:rPr>
        <w:t>, both</w:t>
      </w:r>
      <w:r w:rsidRPr="00B14410">
        <w:rPr>
          <w:rFonts w:ascii="Garamond" w:hAnsi="Garamond"/>
          <w:sz w:val="28"/>
          <w:szCs w:val="28"/>
        </w:rPr>
        <w:t xml:space="preserve"> because the parties will want to ensure that they are asking the same questions of all jurors, and because </w:t>
      </w:r>
      <w:r w:rsidR="0096335D" w:rsidRPr="00B14410">
        <w:rPr>
          <w:rFonts w:ascii="Garamond" w:hAnsi="Garamond"/>
          <w:sz w:val="28"/>
          <w:szCs w:val="28"/>
        </w:rPr>
        <w:t xml:space="preserve">the </w:t>
      </w:r>
      <w:r w:rsidRPr="00B14410">
        <w:rPr>
          <w:rFonts w:ascii="Garamond" w:hAnsi="Garamond"/>
          <w:sz w:val="28"/>
          <w:szCs w:val="28"/>
        </w:rPr>
        <w:t>court will have to address a prescribed list of factors in making its determination.  Additionally, there is some doubt about the wisdom of factor (</w:t>
      </w:r>
      <w:r w:rsidR="00B03E3B" w:rsidRPr="00B14410">
        <w:rPr>
          <w:rFonts w:ascii="Garamond" w:hAnsi="Garamond"/>
          <w:sz w:val="28"/>
          <w:szCs w:val="28"/>
        </w:rPr>
        <w:t>D</w:t>
      </w:r>
      <w:r w:rsidRPr="00B14410">
        <w:rPr>
          <w:rFonts w:ascii="Garamond" w:hAnsi="Garamond"/>
          <w:sz w:val="28"/>
          <w:szCs w:val="28"/>
        </w:rPr>
        <w:t>)(v)</w:t>
      </w:r>
      <w:r w:rsidR="0096335D" w:rsidRPr="00B14410">
        <w:rPr>
          <w:rFonts w:ascii="Garamond" w:hAnsi="Garamond"/>
          <w:sz w:val="28"/>
          <w:szCs w:val="28"/>
        </w:rPr>
        <w:t xml:space="preserve">, which seems likely to generate collateral skirmishes.  </w:t>
      </w:r>
      <w:r w:rsidRPr="00B14410">
        <w:rPr>
          <w:rFonts w:ascii="Garamond" w:hAnsi="Garamond"/>
          <w:sz w:val="28"/>
          <w:szCs w:val="28"/>
        </w:rPr>
        <w:t>The proposed rule would be improved by replacing part (D) with a generic “totality of the circumstances” test.</w:t>
      </w:r>
    </w:p>
    <w:p w:rsidR="00CE60FF" w:rsidRPr="00B14410" w:rsidRDefault="00CE60FF" w:rsidP="00D26F65">
      <w:pPr>
        <w:pStyle w:val="aSingle-space"/>
        <w:numPr>
          <w:ilvl w:val="0"/>
          <w:numId w:val="6"/>
        </w:numPr>
        <w:rPr>
          <w:rFonts w:ascii="Garamond" w:hAnsi="Garamond"/>
          <w:sz w:val="28"/>
          <w:szCs w:val="28"/>
        </w:rPr>
      </w:pPr>
      <w:r w:rsidRPr="00B14410">
        <w:rPr>
          <w:rFonts w:ascii="Garamond" w:hAnsi="Garamond"/>
          <w:b/>
          <w:bCs/>
          <w:sz w:val="28"/>
          <w:szCs w:val="28"/>
        </w:rPr>
        <w:t>Part (E)</w:t>
      </w:r>
      <w:r w:rsidR="00A84903" w:rsidRPr="00B14410">
        <w:rPr>
          <w:rFonts w:ascii="Garamond" w:hAnsi="Garamond"/>
          <w:b/>
          <w:bCs/>
          <w:sz w:val="28"/>
          <w:szCs w:val="28"/>
        </w:rPr>
        <w:t>(ii)</w:t>
      </w:r>
      <w:r w:rsidRPr="00B14410">
        <w:rPr>
          <w:rFonts w:ascii="Garamond" w:hAnsi="Garamond"/>
          <w:sz w:val="28"/>
          <w:szCs w:val="28"/>
        </w:rPr>
        <w:t xml:space="preserve"> generated the most </w:t>
      </w:r>
      <w:r w:rsidR="00B03E3B" w:rsidRPr="00B14410">
        <w:rPr>
          <w:rFonts w:ascii="Garamond" w:hAnsi="Garamond"/>
          <w:sz w:val="28"/>
          <w:szCs w:val="28"/>
        </w:rPr>
        <w:t>attention</w:t>
      </w:r>
      <w:r w:rsidRPr="00B14410">
        <w:rPr>
          <w:rFonts w:ascii="Garamond" w:hAnsi="Garamond"/>
          <w:sz w:val="28"/>
          <w:szCs w:val="28"/>
        </w:rPr>
        <w:t xml:space="preserve">.  </w:t>
      </w:r>
      <w:r w:rsidR="00A84903" w:rsidRPr="00B14410">
        <w:rPr>
          <w:rFonts w:ascii="Garamond" w:hAnsi="Garamond"/>
          <w:sz w:val="28"/>
          <w:szCs w:val="28"/>
        </w:rPr>
        <w:t>The following comment accurately reflects the general consensus:</w:t>
      </w:r>
    </w:p>
    <w:p w:rsidR="00A84903" w:rsidRPr="00B14410" w:rsidRDefault="00A84903" w:rsidP="00A84903">
      <w:pPr>
        <w:pStyle w:val="aSingle-space"/>
        <w:ind w:left="1440"/>
        <w:rPr>
          <w:rFonts w:ascii="Garamond" w:hAnsi="Garamond"/>
          <w:sz w:val="28"/>
          <w:szCs w:val="28"/>
        </w:rPr>
      </w:pPr>
      <w:r w:rsidRPr="00B14410">
        <w:rPr>
          <w:rFonts w:ascii="Garamond" w:hAnsi="Garamond"/>
          <w:sz w:val="28"/>
          <w:szCs w:val="28"/>
        </w:rPr>
        <w:t>I think many of us are struggling with the basic underlying philosophical fault line about whether distrust of the criminal justice system is a valid race-neutral reason for a peremptory challenge.  I think it is very hard for prosecutors to get our heads around the possibility that we need to disregard distrust of the system entirely in voir dire and that we cannot separate distrust of the system from race.  Many of our standard voir dire strategies are designed to get at this very issue to find people who are likely to be biased against the prosecution from the outset.  One common way to do this, given the time pressures in voir dire</w:t>
      </w:r>
      <w:r w:rsidRPr="00B14410">
        <w:rPr>
          <w:rFonts w:ascii="Garamond" w:hAnsi="Garamond"/>
          <w:sz w:val="28"/>
          <w:szCs w:val="28"/>
        </w:rPr>
        <w:t>, i</w:t>
      </w:r>
      <w:r w:rsidRPr="00B14410">
        <w:rPr>
          <w:rFonts w:ascii="Garamond" w:hAnsi="Garamond"/>
          <w:sz w:val="28"/>
          <w:szCs w:val="28"/>
        </w:rPr>
        <w:t xml:space="preserve">s to ask jurors to rate the criminal justice system on a number scale.  Then in the absence of other information, we might use a peremptory to excuse those jurors who give the lowest ratings.  It is discombobulating to try come to terms with the idea that this is a racially discriminatory practice.  </w:t>
      </w:r>
    </w:p>
    <w:p w:rsidR="00B11F5A" w:rsidRPr="00B14410" w:rsidRDefault="00A84903" w:rsidP="00A84903">
      <w:pPr>
        <w:pStyle w:val="aSingle-space"/>
        <w:ind w:left="720"/>
        <w:rPr>
          <w:rFonts w:ascii="Garamond" w:hAnsi="Garamond"/>
          <w:sz w:val="28"/>
          <w:szCs w:val="28"/>
        </w:rPr>
      </w:pPr>
      <w:r w:rsidRPr="00B14410">
        <w:rPr>
          <w:rFonts w:ascii="Garamond" w:hAnsi="Garamond"/>
          <w:sz w:val="28"/>
          <w:szCs w:val="28"/>
        </w:rPr>
        <w:t>Prosecutors’ opposition to the proposed rule would soften considerably if factor (E)(ii) were removed from the list of “reasons presumptively invalid.</w:t>
      </w:r>
      <w:r w:rsidR="0096335D" w:rsidRPr="00B14410">
        <w:rPr>
          <w:rFonts w:ascii="Garamond" w:hAnsi="Garamond"/>
          <w:sz w:val="28"/>
          <w:szCs w:val="28"/>
        </w:rPr>
        <w:t>”</w:t>
      </w:r>
      <w:r w:rsidR="009C7F7C" w:rsidRPr="00B14410">
        <w:rPr>
          <w:rFonts w:ascii="Garamond" w:hAnsi="Garamond"/>
          <w:sz w:val="28"/>
          <w:szCs w:val="28"/>
        </w:rPr>
        <w:t xml:space="preserve">  </w:t>
      </w:r>
    </w:p>
    <w:p w:rsidR="00D61A3C" w:rsidRPr="00B14410" w:rsidRDefault="00A84903" w:rsidP="00D26F65">
      <w:pPr>
        <w:pStyle w:val="aSingle-space"/>
        <w:numPr>
          <w:ilvl w:val="0"/>
          <w:numId w:val="6"/>
        </w:numPr>
        <w:rPr>
          <w:rFonts w:ascii="Garamond" w:hAnsi="Garamond"/>
          <w:sz w:val="28"/>
          <w:szCs w:val="28"/>
        </w:rPr>
      </w:pPr>
      <w:r w:rsidRPr="00B14410">
        <w:rPr>
          <w:rFonts w:ascii="Garamond" w:hAnsi="Garamond"/>
          <w:sz w:val="28"/>
          <w:szCs w:val="28"/>
        </w:rPr>
        <w:lastRenderedPageBreak/>
        <w:t xml:space="preserve">If part (D) doesn’t sufficiently guarantee longer voir dire, then </w:t>
      </w:r>
      <w:r w:rsidRPr="00B14410">
        <w:rPr>
          <w:rFonts w:ascii="Garamond" w:hAnsi="Garamond"/>
          <w:b/>
          <w:bCs/>
          <w:sz w:val="28"/>
          <w:szCs w:val="28"/>
        </w:rPr>
        <w:t>part (F)</w:t>
      </w:r>
      <w:r w:rsidRPr="00B14410">
        <w:rPr>
          <w:rFonts w:ascii="Garamond" w:hAnsi="Garamond"/>
          <w:sz w:val="28"/>
          <w:szCs w:val="28"/>
        </w:rPr>
        <w:t xml:space="preserve"> </w:t>
      </w:r>
      <w:r w:rsidR="00B03E3B" w:rsidRPr="00B14410">
        <w:rPr>
          <w:rFonts w:ascii="Garamond" w:hAnsi="Garamond"/>
          <w:sz w:val="28"/>
          <w:szCs w:val="28"/>
        </w:rPr>
        <w:t xml:space="preserve">should </w:t>
      </w:r>
      <w:r w:rsidRPr="00B14410">
        <w:rPr>
          <w:rFonts w:ascii="Garamond" w:hAnsi="Garamond"/>
          <w:sz w:val="28"/>
          <w:szCs w:val="28"/>
        </w:rPr>
        <w:t xml:space="preserve">do the trick.  </w:t>
      </w:r>
      <w:r w:rsidR="00D61A3C" w:rsidRPr="00B14410">
        <w:rPr>
          <w:rFonts w:ascii="Garamond" w:hAnsi="Garamond"/>
          <w:sz w:val="28"/>
          <w:szCs w:val="28"/>
        </w:rPr>
        <w:t xml:space="preserve">No party will, in open court, call the court’s attention to </w:t>
      </w:r>
      <w:r w:rsidR="00B03E3B" w:rsidRPr="00B14410">
        <w:rPr>
          <w:rFonts w:ascii="Garamond" w:hAnsi="Garamond"/>
          <w:sz w:val="28"/>
          <w:szCs w:val="28"/>
        </w:rPr>
        <w:t xml:space="preserve">jurors’ </w:t>
      </w:r>
      <w:r w:rsidR="00D61A3C" w:rsidRPr="00B14410">
        <w:rPr>
          <w:rFonts w:ascii="Garamond" w:hAnsi="Garamond"/>
          <w:sz w:val="28"/>
          <w:szCs w:val="28"/>
        </w:rPr>
        <w:t xml:space="preserve">odd conduct.  That will have to be done in a </w:t>
      </w:r>
      <w:r w:rsidR="00B03E3B" w:rsidRPr="00B14410">
        <w:rPr>
          <w:rFonts w:ascii="Garamond" w:hAnsi="Garamond"/>
          <w:sz w:val="28"/>
          <w:szCs w:val="28"/>
        </w:rPr>
        <w:t xml:space="preserve">series of </w:t>
      </w:r>
      <w:r w:rsidR="00D61A3C" w:rsidRPr="00B14410">
        <w:rPr>
          <w:rFonts w:ascii="Garamond" w:hAnsi="Garamond"/>
          <w:sz w:val="28"/>
          <w:szCs w:val="28"/>
        </w:rPr>
        <w:t>bench conference</w:t>
      </w:r>
      <w:r w:rsidR="00B03E3B" w:rsidRPr="00B14410">
        <w:rPr>
          <w:rFonts w:ascii="Garamond" w:hAnsi="Garamond"/>
          <w:sz w:val="28"/>
          <w:szCs w:val="28"/>
        </w:rPr>
        <w:t>s</w:t>
      </w:r>
      <w:r w:rsidR="00D61A3C" w:rsidRPr="00B14410">
        <w:rPr>
          <w:rFonts w:ascii="Garamond" w:hAnsi="Garamond"/>
          <w:sz w:val="28"/>
          <w:szCs w:val="28"/>
        </w:rPr>
        <w:t xml:space="preserve">.  </w:t>
      </w:r>
    </w:p>
    <w:p w:rsidR="00775A74" w:rsidRPr="00B14410" w:rsidRDefault="00775A74" w:rsidP="0096335D">
      <w:pPr>
        <w:pStyle w:val="aSingle-space"/>
        <w:rPr>
          <w:rFonts w:ascii="Garamond" w:hAnsi="Garamond"/>
          <w:sz w:val="28"/>
          <w:szCs w:val="28"/>
        </w:rPr>
      </w:pPr>
      <w:r w:rsidRPr="00B14410">
        <w:rPr>
          <w:rFonts w:ascii="Garamond" w:hAnsi="Garamond"/>
          <w:sz w:val="28"/>
          <w:szCs w:val="28"/>
        </w:rPr>
        <w:t>Ultimately, I urge caution in recommending this rule.  In stating that that GR 37 has achieved its desired effect in Washington, the subcommittee</w:t>
      </w:r>
      <w:r w:rsidR="00B03E3B" w:rsidRPr="00B14410">
        <w:rPr>
          <w:rFonts w:ascii="Garamond" w:hAnsi="Garamond"/>
          <w:sz w:val="28"/>
          <w:szCs w:val="28"/>
        </w:rPr>
        <w:t>’s</w:t>
      </w:r>
      <w:r w:rsidRPr="00B14410">
        <w:rPr>
          <w:rFonts w:ascii="Garamond" w:hAnsi="Garamond"/>
          <w:sz w:val="28"/>
          <w:szCs w:val="28"/>
        </w:rPr>
        <w:t xml:space="preserve"> majority is relying on the anecdotal opinions of three judges and one prosecutor.  In the absence of data about minority participation before and after the rule</w:t>
      </w:r>
      <w:r w:rsidR="00B03E3B" w:rsidRPr="00B14410">
        <w:rPr>
          <w:rFonts w:ascii="Garamond" w:hAnsi="Garamond"/>
          <w:sz w:val="28"/>
          <w:szCs w:val="28"/>
        </w:rPr>
        <w:t>’s adoption</w:t>
      </w:r>
      <w:r w:rsidRPr="00B14410">
        <w:rPr>
          <w:rFonts w:ascii="Garamond" w:hAnsi="Garamond"/>
          <w:sz w:val="28"/>
          <w:szCs w:val="28"/>
        </w:rPr>
        <w:t>, I remain skeptical about</w:t>
      </w:r>
      <w:r w:rsidR="00B03E3B" w:rsidRPr="00B14410">
        <w:rPr>
          <w:rFonts w:ascii="Garamond" w:hAnsi="Garamond"/>
          <w:sz w:val="28"/>
          <w:szCs w:val="28"/>
        </w:rPr>
        <w:t xml:space="preserve"> its</w:t>
      </w:r>
      <w:r w:rsidRPr="00B14410">
        <w:rPr>
          <w:rFonts w:ascii="Garamond" w:hAnsi="Garamond"/>
          <w:sz w:val="28"/>
          <w:szCs w:val="28"/>
        </w:rPr>
        <w:t xml:space="preserve"> efficacy.</w:t>
      </w:r>
    </w:p>
    <w:p w:rsidR="00B03E3B" w:rsidRPr="00B14410" w:rsidRDefault="00775A74" w:rsidP="0096335D">
      <w:pPr>
        <w:pStyle w:val="aSingle-space"/>
        <w:rPr>
          <w:rFonts w:ascii="Garamond" w:hAnsi="Garamond"/>
          <w:sz w:val="28"/>
          <w:szCs w:val="28"/>
        </w:rPr>
      </w:pPr>
      <w:r w:rsidRPr="00B14410">
        <w:rPr>
          <w:rFonts w:ascii="Garamond" w:hAnsi="Garamond"/>
          <w:sz w:val="28"/>
          <w:szCs w:val="28"/>
        </w:rPr>
        <w:t>And I note that Washington has not yet ironed out all the potential kinks.  What will happen if a trial judge errs in applying GR 37?  Will the Washington Supreme Court elevate its prophylactic rule</w:t>
      </w:r>
      <w:r w:rsidRPr="00B14410">
        <w:rPr>
          <w:rStyle w:val="FootnoteReference"/>
          <w:rFonts w:ascii="Garamond" w:hAnsi="Garamond"/>
          <w:sz w:val="28"/>
          <w:szCs w:val="28"/>
        </w:rPr>
        <w:footnoteReference w:id="1"/>
      </w:r>
      <w:r w:rsidRPr="00B14410">
        <w:rPr>
          <w:rFonts w:ascii="Garamond" w:hAnsi="Garamond"/>
          <w:sz w:val="28"/>
          <w:szCs w:val="28"/>
        </w:rPr>
        <w:t xml:space="preserve"> to the status of structural error and automatically reverse?</w:t>
      </w:r>
      <w:r w:rsidR="00B03E3B" w:rsidRPr="00B14410">
        <w:rPr>
          <w:rFonts w:ascii="Garamond" w:hAnsi="Garamond"/>
          <w:sz w:val="28"/>
          <w:szCs w:val="28"/>
        </w:rPr>
        <w:t xml:space="preserve">  Or will it require the complaining party to show prejudice (and, if so, how)?  At this point, the Washington Supreme Court doesn’t know the answer.</w:t>
      </w:r>
    </w:p>
    <w:p w:rsidR="00482019" w:rsidRPr="00B14410" w:rsidRDefault="00482019" w:rsidP="00114882">
      <w:pPr>
        <w:pStyle w:val="aSingle-space"/>
        <w:rPr>
          <w:rFonts w:ascii="Garamond" w:hAnsi="Garamond"/>
          <w:sz w:val="28"/>
          <w:szCs w:val="28"/>
        </w:rPr>
      </w:pPr>
    </w:p>
    <w:sectPr w:rsidR="00482019" w:rsidRPr="00B14410" w:rsidSect="00073EA5">
      <w:footerReference w:type="default" r:id="rId7"/>
      <w:pgSz w:w="12240" w:h="15840"/>
      <w:pgMar w:top="2160" w:right="1728" w:bottom="1728"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A10" w:rsidRDefault="00951A10" w:rsidP="00073EA5">
      <w:pPr>
        <w:spacing w:line="240" w:lineRule="auto"/>
      </w:pPr>
      <w:r>
        <w:separator/>
      </w:r>
    </w:p>
  </w:endnote>
  <w:endnote w:type="continuationSeparator" w:id="0">
    <w:p w:rsidR="00951A10" w:rsidRDefault="00951A10" w:rsidP="00073E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quity Text B">
    <w:panose1 w:val="00000000000000000000"/>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4675415"/>
      <w:docPartObj>
        <w:docPartGallery w:val="Page Numbers (Bottom of Page)"/>
        <w:docPartUnique/>
      </w:docPartObj>
    </w:sdtPr>
    <w:sdtEndPr>
      <w:rPr>
        <w:rFonts w:ascii="Equity Text B" w:hAnsi="Equity Text B"/>
        <w:noProof/>
        <w:sz w:val="24"/>
        <w:szCs w:val="24"/>
      </w:rPr>
    </w:sdtEndPr>
    <w:sdtContent>
      <w:p w:rsidR="00D62C83" w:rsidRPr="005D6C05" w:rsidRDefault="00D62C83">
        <w:pPr>
          <w:pStyle w:val="Footer"/>
          <w:jc w:val="center"/>
          <w:rPr>
            <w:rFonts w:ascii="Equity Text B" w:hAnsi="Equity Text B"/>
            <w:sz w:val="24"/>
            <w:szCs w:val="24"/>
          </w:rPr>
        </w:pPr>
        <w:r w:rsidRPr="005D6C05">
          <w:rPr>
            <w:rFonts w:ascii="Equity Text B" w:hAnsi="Equity Text B"/>
            <w:sz w:val="24"/>
            <w:szCs w:val="24"/>
          </w:rPr>
          <w:fldChar w:fldCharType="begin"/>
        </w:r>
        <w:r w:rsidRPr="005D6C05">
          <w:rPr>
            <w:rFonts w:ascii="Equity Text B" w:hAnsi="Equity Text B"/>
            <w:sz w:val="24"/>
            <w:szCs w:val="24"/>
          </w:rPr>
          <w:instrText xml:space="preserve"> PAGE   \* MERGEFORMAT </w:instrText>
        </w:r>
        <w:r w:rsidRPr="005D6C05">
          <w:rPr>
            <w:rFonts w:ascii="Equity Text B" w:hAnsi="Equity Text B"/>
            <w:sz w:val="24"/>
            <w:szCs w:val="24"/>
          </w:rPr>
          <w:fldChar w:fldCharType="separate"/>
        </w:r>
        <w:r w:rsidR="003741FB">
          <w:rPr>
            <w:rFonts w:ascii="Equity Text B" w:hAnsi="Equity Text B"/>
            <w:noProof/>
            <w:sz w:val="24"/>
            <w:szCs w:val="24"/>
          </w:rPr>
          <w:t>1</w:t>
        </w:r>
        <w:r w:rsidRPr="005D6C05">
          <w:rPr>
            <w:rFonts w:ascii="Equity Text B" w:hAnsi="Equity Text B"/>
            <w:noProof/>
            <w:sz w:val="24"/>
            <w:szCs w:val="24"/>
          </w:rPr>
          <w:fldChar w:fldCharType="end"/>
        </w:r>
      </w:p>
    </w:sdtContent>
  </w:sdt>
  <w:p w:rsidR="00D62C83" w:rsidRDefault="00D62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A10" w:rsidRDefault="00951A10" w:rsidP="00073EA5">
      <w:pPr>
        <w:spacing w:line="240" w:lineRule="auto"/>
      </w:pPr>
      <w:r>
        <w:separator/>
      </w:r>
    </w:p>
  </w:footnote>
  <w:footnote w:type="continuationSeparator" w:id="0">
    <w:p w:rsidR="00951A10" w:rsidRDefault="00951A10" w:rsidP="00073EA5">
      <w:pPr>
        <w:spacing w:line="240" w:lineRule="auto"/>
      </w:pPr>
      <w:r>
        <w:continuationSeparator/>
      </w:r>
    </w:p>
  </w:footnote>
  <w:footnote w:id="1">
    <w:p w:rsidR="00775A74" w:rsidRPr="00775A74" w:rsidRDefault="00775A74">
      <w:pPr>
        <w:pStyle w:val="FootnoteText"/>
        <w:rPr>
          <w:rFonts w:ascii="Garamond" w:hAnsi="Garamond"/>
          <w:sz w:val="28"/>
          <w:szCs w:val="28"/>
        </w:rPr>
      </w:pPr>
      <w:r w:rsidRPr="00775A74">
        <w:rPr>
          <w:rStyle w:val="FootnoteReference"/>
          <w:rFonts w:ascii="Garamond" w:hAnsi="Garamond"/>
          <w:sz w:val="28"/>
          <w:szCs w:val="28"/>
        </w:rPr>
        <w:footnoteRef/>
      </w:r>
      <w:r w:rsidRPr="00775A74">
        <w:rPr>
          <w:rFonts w:ascii="Garamond" w:hAnsi="Garamond"/>
          <w:sz w:val="28"/>
          <w:szCs w:val="28"/>
        </w:rPr>
        <w:t xml:space="preserve"> I</w:t>
      </w:r>
      <w:r>
        <w:rPr>
          <w:rFonts w:ascii="Garamond" w:hAnsi="Garamond"/>
          <w:sz w:val="28"/>
          <w:szCs w:val="28"/>
        </w:rPr>
        <w:t xml:space="preserve"> use the term “prophylactic rule,” recognizing that there may be a better </w:t>
      </w:r>
      <w:r w:rsidR="00B03E3B">
        <w:rPr>
          <w:rFonts w:ascii="Garamond" w:hAnsi="Garamond"/>
          <w:sz w:val="28"/>
          <w:szCs w:val="28"/>
        </w:rPr>
        <w:t xml:space="preserve">way </w:t>
      </w:r>
      <w:r w:rsidR="00B14410">
        <w:rPr>
          <w:rFonts w:ascii="Garamond" w:hAnsi="Garamond"/>
          <w:sz w:val="28"/>
          <w:szCs w:val="28"/>
        </w:rPr>
        <w:t xml:space="preserve">to characterize </w:t>
      </w:r>
      <w:r w:rsidR="00B03E3B">
        <w:rPr>
          <w:rFonts w:ascii="Garamond" w:hAnsi="Garamond"/>
          <w:sz w:val="28"/>
          <w:szCs w:val="28"/>
        </w:rPr>
        <w:t xml:space="preserve">a rule that is designed </w:t>
      </w:r>
      <w:r w:rsidR="00B14410">
        <w:rPr>
          <w:rFonts w:ascii="Garamond" w:hAnsi="Garamond"/>
          <w:sz w:val="28"/>
          <w:szCs w:val="28"/>
        </w:rPr>
        <w:t xml:space="preserve">neither </w:t>
      </w:r>
      <w:r w:rsidR="00B03E3B">
        <w:rPr>
          <w:rFonts w:ascii="Garamond" w:hAnsi="Garamond"/>
          <w:sz w:val="28"/>
          <w:szCs w:val="28"/>
        </w:rPr>
        <w:t xml:space="preserve">to protect the defendant’s rights </w:t>
      </w:r>
      <w:r w:rsidR="00B14410">
        <w:rPr>
          <w:rFonts w:ascii="Garamond" w:hAnsi="Garamond"/>
          <w:sz w:val="28"/>
          <w:szCs w:val="28"/>
        </w:rPr>
        <w:t>n</w:t>
      </w:r>
      <w:bookmarkStart w:id="0" w:name="_GoBack"/>
      <w:bookmarkEnd w:id="0"/>
      <w:r w:rsidR="00B03E3B">
        <w:rPr>
          <w:rFonts w:ascii="Garamond" w:hAnsi="Garamond"/>
          <w:sz w:val="28"/>
          <w:szCs w:val="28"/>
        </w:rPr>
        <w:t xml:space="preserve">or to enhance the accuracy or reliability of criminal verdicts.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77188"/>
    <w:multiLevelType w:val="hybridMultilevel"/>
    <w:tmpl w:val="EF0A06A4"/>
    <w:lvl w:ilvl="0" w:tplc="2C145B16">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C471D1B"/>
    <w:multiLevelType w:val="hybridMultilevel"/>
    <w:tmpl w:val="140A1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3090C"/>
    <w:multiLevelType w:val="hybridMultilevel"/>
    <w:tmpl w:val="A4D647A2"/>
    <w:lvl w:ilvl="0" w:tplc="8CB445B6">
      <w:start w:val="1"/>
      <w:numFmt w:val="decimal"/>
      <w:pStyle w:val="hNumberHea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383854"/>
    <w:multiLevelType w:val="hybridMultilevel"/>
    <w:tmpl w:val="5B2ADB62"/>
    <w:lvl w:ilvl="0" w:tplc="253E10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793887"/>
    <w:multiLevelType w:val="hybridMultilevel"/>
    <w:tmpl w:val="CEA89D0E"/>
    <w:lvl w:ilvl="0" w:tplc="B27006F6">
      <w:start w:val="1"/>
      <w:numFmt w:val="upperRoman"/>
      <w:pStyle w:val="fRomanHead"/>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961460"/>
    <w:multiLevelType w:val="hybridMultilevel"/>
    <w:tmpl w:val="816815C6"/>
    <w:lvl w:ilvl="0" w:tplc="8C46F7A4">
      <w:start w:val="1"/>
      <w:numFmt w:val="upperLetter"/>
      <w:pStyle w:val="gLetterHead"/>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A10"/>
    <w:rsid w:val="00073EA5"/>
    <w:rsid w:val="000B06C5"/>
    <w:rsid w:val="00114882"/>
    <w:rsid w:val="00120638"/>
    <w:rsid w:val="00181B6A"/>
    <w:rsid w:val="001D1386"/>
    <w:rsid w:val="002108CC"/>
    <w:rsid w:val="0021623C"/>
    <w:rsid w:val="002D03F1"/>
    <w:rsid w:val="003741FB"/>
    <w:rsid w:val="00482019"/>
    <w:rsid w:val="004859B8"/>
    <w:rsid w:val="00492965"/>
    <w:rsid w:val="004A2205"/>
    <w:rsid w:val="004C7DD5"/>
    <w:rsid w:val="004D2E4D"/>
    <w:rsid w:val="005A1959"/>
    <w:rsid w:val="005D6C05"/>
    <w:rsid w:val="0060297F"/>
    <w:rsid w:val="006446E6"/>
    <w:rsid w:val="006B2C8C"/>
    <w:rsid w:val="006D1021"/>
    <w:rsid w:val="006F1D3C"/>
    <w:rsid w:val="007005AA"/>
    <w:rsid w:val="00775A74"/>
    <w:rsid w:val="007C318F"/>
    <w:rsid w:val="0089190A"/>
    <w:rsid w:val="008E1881"/>
    <w:rsid w:val="00951A10"/>
    <w:rsid w:val="0096335D"/>
    <w:rsid w:val="00972601"/>
    <w:rsid w:val="009C7F7C"/>
    <w:rsid w:val="00A25DB9"/>
    <w:rsid w:val="00A64F5D"/>
    <w:rsid w:val="00A72C77"/>
    <w:rsid w:val="00A84903"/>
    <w:rsid w:val="00A9618A"/>
    <w:rsid w:val="00AB3BF5"/>
    <w:rsid w:val="00B03E3B"/>
    <w:rsid w:val="00B11F5A"/>
    <w:rsid w:val="00B14410"/>
    <w:rsid w:val="00B27A9D"/>
    <w:rsid w:val="00B54225"/>
    <w:rsid w:val="00B94310"/>
    <w:rsid w:val="00B979EE"/>
    <w:rsid w:val="00C063BB"/>
    <w:rsid w:val="00C16BFC"/>
    <w:rsid w:val="00C21073"/>
    <w:rsid w:val="00CD445E"/>
    <w:rsid w:val="00CE57F7"/>
    <w:rsid w:val="00CE60FF"/>
    <w:rsid w:val="00CE6575"/>
    <w:rsid w:val="00D26F65"/>
    <w:rsid w:val="00D61A3C"/>
    <w:rsid w:val="00D62C83"/>
    <w:rsid w:val="00D63C2B"/>
    <w:rsid w:val="00D77B26"/>
    <w:rsid w:val="00DF1D50"/>
    <w:rsid w:val="00DF2BE9"/>
    <w:rsid w:val="00E24F4B"/>
    <w:rsid w:val="00E3235D"/>
    <w:rsid w:val="00E907D1"/>
    <w:rsid w:val="00F42D11"/>
    <w:rsid w:val="00F755AB"/>
    <w:rsid w:val="00FA6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A5038"/>
  <w15:docId w15:val="{0BB49043-925E-40B6-99FF-7F14DDAC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1B6A"/>
  </w:style>
  <w:style w:type="paragraph" w:styleId="Heading1">
    <w:name w:val="heading 1"/>
    <w:basedOn w:val="Normal"/>
    <w:next w:val="Normal"/>
    <w:link w:val="Heading1Char"/>
    <w:uiPriority w:val="9"/>
    <w:rsid w:val="004A22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EA5"/>
    <w:pPr>
      <w:tabs>
        <w:tab w:val="center" w:pos="4680"/>
        <w:tab w:val="right" w:pos="9360"/>
      </w:tabs>
      <w:spacing w:line="240" w:lineRule="auto"/>
    </w:pPr>
  </w:style>
  <w:style w:type="character" w:customStyle="1" w:styleId="HeaderChar">
    <w:name w:val="Header Char"/>
    <w:basedOn w:val="DefaultParagraphFont"/>
    <w:link w:val="Header"/>
    <w:uiPriority w:val="99"/>
    <w:rsid w:val="00073EA5"/>
    <w:rPr>
      <w:rFonts w:ascii="Times New Roman" w:hAnsi="Times New Roman"/>
    </w:rPr>
  </w:style>
  <w:style w:type="paragraph" w:styleId="Footer">
    <w:name w:val="footer"/>
    <w:basedOn w:val="Normal"/>
    <w:link w:val="FooterChar"/>
    <w:uiPriority w:val="99"/>
    <w:unhideWhenUsed/>
    <w:rsid w:val="00073EA5"/>
    <w:pPr>
      <w:tabs>
        <w:tab w:val="center" w:pos="4680"/>
        <w:tab w:val="right" w:pos="9360"/>
      </w:tabs>
      <w:spacing w:line="240" w:lineRule="auto"/>
    </w:pPr>
  </w:style>
  <w:style w:type="character" w:customStyle="1" w:styleId="FooterChar">
    <w:name w:val="Footer Char"/>
    <w:basedOn w:val="DefaultParagraphFont"/>
    <w:link w:val="Footer"/>
    <w:uiPriority w:val="99"/>
    <w:rsid w:val="00073EA5"/>
    <w:rPr>
      <w:rFonts w:ascii="Times New Roman" w:hAnsi="Times New Roman"/>
    </w:rPr>
  </w:style>
  <w:style w:type="paragraph" w:customStyle="1" w:styleId="aSingle-space">
    <w:name w:val="a. Single-space"/>
    <w:basedOn w:val="Normal"/>
    <w:link w:val="aSingle-spaceChar"/>
    <w:qFormat/>
    <w:rsid w:val="00114882"/>
    <w:rPr>
      <w:rFonts w:ascii="Equity Text B" w:hAnsi="Equity Text B"/>
      <w:sz w:val="26"/>
      <w:szCs w:val="26"/>
    </w:rPr>
  </w:style>
  <w:style w:type="paragraph" w:customStyle="1" w:styleId="bDouble-spaced">
    <w:name w:val="b. Double-spaced"/>
    <w:basedOn w:val="Normal"/>
    <w:link w:val="bDouble-spacedChar"/>
    <w:qFormat/>
    <w:rsid w:val="00114882"/>
    <w:pPr>
      <w:spacing w:line="480" w:lineRule="auto"/>
      <w:ind w:firstLine="720"/>
    </w:pPr>
    <w:rPr>
      <w:rFonts w:ascii="Equity Text B" w:eastAsia="Calibri" w:hAnsi="Equity Text B" w:cs="Times New Roman"/>
      <w:sz w:val="26"/>
      <w:szCs w:val="26"/>
    </w:rPr>
  </w:style>
  <w:style w:type="character" w:customStyle="1" w:styleId="aSingle-spaceChar">
    <w:name w:val="a. Single-space Char"/>
    <w:basedOn w:val="DefaultParagraphFont"/>
    <w:link w:val="aSingle-space"/>
    <w:rsid w:val="00114882"/>
    <w:rPr>
      <w:rFonts w:ascii="Equity Text B" w:hAnsi="Equity Text B"/>
      <w:sz w:val="26"/>
      <w:szCs w:val="26"/>
    </w:rPr>
  </w:style>
  <w:style w:type="character" w:customStyle="1" w:styleId="bDouble-spacedChar">
    <w:name w:val="b. Double-spaced Char"/>
    <w:basedOn w:val="DefaultParagraphFont"/>
    <w:link w:val="bDouble-spaced"/>
    <w:rsid w:val="00114882"/>
    <w:rPr>
      <w:rFonts w:ascii="Equity Text B" w:eastAsia="Calibri" w:hAnsi="Equity Text B" w:cs="Times New Roman"/>
      <w:sz w:val="26"/>
      <w:szCs w:val="26"/>
    </w:rPr>
  </w:style>
  <w:style w:type="paragraph" w:customStyle="1" w:styleId="eTopHead">
    <w:name w:val="e. Top Head"/>
    <w:basedOn w:val="Heading1"/>
    <w:link w:val="eTopHeadChar"/>
    <w:qFormat/>
    <w:rsid w:val="00114882"/>
    <w:pPr>
      <w:keepLines w:val="0"/>
      <w:spacing w:before="240" w:after="240" w:line="480" w:lineRule="auto"/>
      <w:jc w:val="center"/>
    </w:pPr>
    <w:rPr>
      <w:rFonts w:ascii="Equity Text B" w:hAnsi="Equity Text B"/>
      <w:smallCaps/>
      <w:color w:val="auto"/>
      <w:kern w:val="32"/>
    </w:rPr>
  </w:style>
  <w:style w:type="character" w:customStyle="1" w:styleId="eTopHeadChar">
    <w:name w:val="e. Top Head Char"/>
    <w:basedOn w:val="Heading1Char"/>
    <w:link w:val="eTopHead"/>
    <w:rsid w:val="00114882"/>
    <w:rPr>
      <w:rFonts w:ascii="Equity Text B" w:eastAsiaTheme="majorEastAsia" w:hAnsi="Equity Text B" w:cstheme="majorBidi"/>
      <w:b/>
      <w:bCs/>
      <w:smallCaps/>
      <w:color w:val="365F91" w:themeColor="accent1" w:themeShade="BF"/>
      <w:kern w:val="32"/>
      <w:sz w:val="28"/>
      <w:szCs w:val="28"/>
    </w:rPr>
  </w:style>
  <w:style w:type="character" w:customStyle="1" w:styleId="Heading1Char">
    <w:name w:val="Heading 1 Char"/>
    <w:basedOn w:val="DefaultParagraphFont"/>
    <w:link w:val="Heading1"/>
    <w:uiPriority w:val="9"/>
    <w:rsid w:val="004A2205"/>
    <w:rPr>
      <w:rFonts w:asciiTheme="majorHAnsi" w:eastAsiaTheme="majorEastAsia" w:hAnsiTheme="majorHAnsi" w:cstheme="majorBidi"/>
      <w:b/>
      <w:bCs/>
      <w:color w:val="365F91" w:themeColor="accent1" w:themeShade="BF"/>
      <w:sz w:val="28"/>
      <w:szCs w:val="28"/>
    </w:rPr>
  </w:style>
  <w:style w:type="paragraph" w:customStyle="1" w:styleId="gLetterHead">
    <w:name w:val="g. Letter Head"/>
    <w:basedOn w:val="Normal"/>
    <w:link w:val="gLetterHeadChar"/>
    <w:qFormat/>
    <w:rsid w:val="00114882"/>
    <w:pPr>
      <w:numPr>
        <w:numId w:val="3"/>
      </w:numPr>
      <w:spacing w:before="240" w:after="120" w:line="480" w:lineRule="auto"/>
      <w:ind w:right="864"/>
      <w:outlineLvl w:val="1"/>
    </w:pPr>
    <w:rPr>
      <w:rFonts w:ascii="Equity Text B" w:eastAsia="Calibri" w:hAnsi="Equity Text B" w:cs="Times New Roman"/>
      <w:b/>
      <w:sz w:val="26"/>
      <w:szCs w:val="26"/>
    </w:rPr>
  </w:style>
  <w:style w:type="character" w:customStyle="1" w:styleId="gLetterHeadChar">
    <w:name w:val="g. Letter Head Char"/>
    <w:basedOn w:val="DefaultParagraphFont"/>
    <w:link w:val="gLetterHead"/>
    <w:rsid w:val="00114882"/>
    <w:rPr>
      <w:rFonts w:ascii="Equity Text B" w:eastAsia="Calibri" w:hAnsi="Equity Text B" w:cs="Times New Roman"/>
      <w:b/>
      <w:sz w:val="26"/>
      <w:szCs w:val="26"/>
    </w:rPr>
  </w:style>
  <w:style w:type="paragraph" w:styleId="ListParagraph">
    <w:name w:val="List Paragraph"/>
    <w:basedOn w:val="Normal"/>
    <w:link w:val="ListParagraphChar"/>
    <w:uiPriority w:val="34"/>
    <w:rsid w:val="00AB3BF5"/>
    <w:pPr>
      <w:ind w:left="720"/>
      <w:contextualSpacing/>
    </w:pPr>
  </w:style>
  <w:style w:type="paragraph" w:customStyle="1" w:styleId="hNumberHead">
    <w:name w:val="h.  Number Head"/>
    <w:basedOn w:val="ListParagraph"/>
    <w:link w:val="hNumberHeadChar"/>
    <w:qFormat/>
    <w:rsid w:val="00114882"/>
    <w:pPr>
      <w:numPr>
        <w:numId w:val="2"/>
      </w:numPr>
      <w:spacing w:line="480" w:lineRule="auto"/>
    </w:pPr>
    <w:rPr>
      <w:rFonts w:ascii="Equity Text B" w:eastAsia="Calibri" w:hAnsi="Equity Text B" w:cs="Times New Roman"/>
      <w:sz w:val="26"/>
      <w:szCs w:val="26"/>
    </w:rPr>
  </w:style>
  <w:style w:type="paragraph" w:customStyle="1" w:styleId="cBlock-indent">
    <w:name w:val="c. Block-indent"/>
    <w:basedOn w:val="Normal"/>
    <w:link w:val="cBlock-indentChar"/>
    <w:qFormat/>
    <w:rsid w:val="00114882"/>
    <w:pPr>
      <w:spacing w:after="120" w:line="240" w:lineRule="auto"/>
      <w:ind w:left="1080" w:right="864"/>
    </w:pPr>
    <w:rPr>
      <w:rFonts w:ascii="Equity Text B" w:eastAsia="Calibri" w:hAnsi="Equity Text B" w:cs="Times New Roman"/>
      <w:iCs/>
      <w:color w:val="000000" w:themeColor="text1"/>
      <w:sz w:val="26"/>
      <w:szCs w:val="26"/>
    </w:rPr>
  </w:style>
  <w:style w:type="character" w:customStyle="1" w:styleId="ListParagraphChar">
    <w:name w:val="List Paragraph Char"/>
    <w:basedOn w:val="DefaultParagraphFont"/>
    <w:link w:val="ListParagraph"/>
    <w:uiPriority w:val="34"/>
    <w:rsid w:val="00AB3BF5"/>
    <w:rPr>
      <w:rFonts w:ascii="Times New Roman" w:hAnsi="Times New Roman"/>
    </w:rPr>
  </w:style>
  <w:style w:type="character" w:customStyle="1" w:styleId="hNumberHeadChar">
    <w:name w:val="h.  Number Head Char"/>
    <w:basedOn w:val="ListParagraphChar"/>
    <w:link w:val="hNumberHead"/>
    <w:rsid w:val="00114882"/>
    <w:rPr>
      <w:rFonts w:ascii="Equity Text B" w:eastAsia="Calibri" w:hAnsi="Equity Text B" w:cs="Times New Roman"/>
      <w:sz w:val="26"/>
      <w:szCs w:val="26"/>
    </w:rPr>
  </w:style>
  <w:style w:type="paragraph" w:styleId="FootnoteText">
    <w:name w:val="footnote text"/>
    <w:basedOn w:val="Normal"/>
    <w:link w:val="FootnoteTextChar"/>
    <w:uiPriority w:val="99"/>
    <w:semiHidden/>
    <w:unhideWhenUsed/>
    <w:rsid w:val="00AB3BF5"/>
    <w:pPr>
      <w:spacing w:line="240" w:lineRule="auto"/>
    </w:pPr>
    <w:rPr>
      <w:sz w:val="20"/>
      <w:szCs w:val="20"/>
    </w:rPr>
  </w:style>
  <w:style w:type="character" w:customStyle="1" w:styleId="cBlock-indentChar">
    <w:name w:val="c. Block-indent Char"/>
    <w:basedOn w:val="DefaultParagraphFont"/>
    <w:link w:val="cBlock-indent"/>
    <w:rsid w:val="00114882"/>
    <w:rPr>
      <w:rFonts w:ascii="Equity Text B" w:eastAsia="Calibri" w:hAnsi="Equity Text B" w:cs="Times New Roman"/>
      <w:iCs/>
      <w:color w:val="000000" w:themeColor="text1"/>
      <w:sz w:val="26"/>
      <w:szCs w:val="26"/>
    </w:rPr>
  </w:style>
  <w:style w:type="character" w:customStyle="1" w:styleId="FootnoteTextChar">
    <w:name w:val="Footnote Text Char"/>
    <w:basedOn w:val="DefaultParagraphFont"/>
    <w:link w:val="FootnoteText"/>
    <w:uiPriority w:val="99"/>
    <w:semiHidden/>
    <w:rsid w:val="00AB3BF5"/>
    <w:rPr>
      <w:rFonts w:ascii="Times New Roman" w:hAnsi="Times New Roman"/>
      <w:sz w:val="20"/>
      <w:szCs w:val="20"/>
    </w:rPr>
  </w:style>
  <w:style w:type="character" w:styleId="FootnoteReference">
    <w:name w:val="footnote reference"/>
    <w:basedOn w:val="DefaultParagraphFont"/>
    <w:uiPriority w:val="99"/>
    <w:semiHidden/>
    <w:unhideWhenUsed/>
    <w:rsid w:val="00AB3BF5"/>
    <w:rPr>
      <w:vertAlign w:val="superscript"/>
    </w:rPr>
  </w:style>
  <w:style w:type="paragraph" w:customStyle="1" w:styleId="dFootnote">
    <w:name w:val="d. Footnote"/>
    <w:basedOn w:val="FootnoteText"/>
    <w:link w:val="dFootnoteChar"/>
    <w:qFormat/>
    <w:rsid w:val="003741FB"/>
    <w:rPr>
      <w:rFonts w:ascii="Equity Text B" w:hAnsi="Equity Text B"/>
      <w:sz w:val="26"/>
      <w:szCs w:val="26"/>
    </w:rPr>
  </w:style>
  <w:style w:type="character" w:customStyle="1" w:styleId="dFootnoteChar">
    <w:name w:val="d. Footnote Char"/>
    <w:basedOn w:val="FootnoteTextChar"/>
    <w:link w:val="dFootnote"/>
    <w:rsid w:val="003741FB"/>
    <w:rPr>
      <w:rFonts w:ascii="Equity Text B" w:hAnsi="Equity Text B"/>
      <w:sz w:val="26"/>
      <w:szCs w:val="26"/>
    </w:rPr>
  </w:style>
  <w:style w:type="table" w:styleId="TableGrid">
    <w:name w:val="Table Grid"/>
    <w:basedOn w:val="TableNormal"/>
    <w:uiPriority w:val="59"/>
    <w:rsid w:val="00B54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manHead">
    <w:name w:val="f.  Roman Head"/>
    <w:basedOn w:val="aSingle-space"/>
    <w:link w:val="fRomanHeadChar"/>
    <w:qFormat/>
    <w:rsid w:val="00114882"/>
    <w:pPr>
      <w:numPr>
        <w:numId w:val="4"/>
      </w:numPr>
      <w:spacing w:before="240" w:after="240"/>
      <w:ind w:left="273" w:hanging="187"/>
      <w:jc w:val="center"/>
    </w:pPr>
    <w:rPr>
      <w:b/>
    </w:rPr>
  </w:style>
  <w:style w:type="paragraph" w:customStyle="1" w:styleId="TagHead">
    <w:name w:val="Tag Head"/>
    <w:basedOn w:val="aSingle-space"/>
    <w:link w:val="TagHeadChar"/>
    <w:qFormat/>
    <w:rsid w:val="00114882"/>
    <w:pPr>
      <w:spacing w:before="120" w:after="120"/>
    </w:pPr>
    <w:rPr>
      <w:i/>
    </w:rPr>
  </w:style>
  <w:style w:type="character" w:customStyle="1" w:styleId="fRomanHeadChar">
    <w:name w:val="f.  Roman Head Char"/>
    <w:basedOn w:val="aSingle-spaceChar"/>
    <w:link w:val="fRomanHead"/>
    <w:rsid w:val="00114882"/>
    <w:rPr>
      <w:rFonts w:ascii="Equity Text B" w:hAnsi="Equity Text B"/>
      <w:b/>
      <w:sz w:val="26"/>
      <w:szCs w:val="26"/>
    </w:rPr>
  </w:style>
  <w:style w:type="character" w:customStyle="1" w:styleId="TagHeadChar">
    <w:name w:val="Tag Head Char"/>
    <w:basedOn w:val="aSingle-spaceChar"/>
    <w:link w:val="TagHead"/>
    <w:rsid w:val="00114882"/>
    <w:rPr>
      <w:rFonts w:ascii="Equity Text B" w:hAnsi="Equity Text B"/>
      <w:i/>
      <w:sz w:val="26"/>
      <w:szCs w:val="26"/>
    </w:rPr>
  </w:style>
  <w:style w:type="paragraph" w:styleId="BalloonText">
    <w:name w:val="Balloon Text"/>
    <w:basedOn w:val="Normal"/>
    <w:link w:val="BalloonTextChar"/>
    <w:uiPriority w:val="99"/>
    <w:semiHidden/>
    <w:unhideWhenUsed/>
    <w:rsid w:val="004929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9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40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filer\home%20drives\Bob.Russel\Mem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 (Template)</Template>
  <TotalTime>99</TotalTime>
  <Pages>3</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Attorneys Office</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Russel</dc:creator>
  <cp:lastModifiedBy>Robert Russel</cp:lastModifiedBy>
  <cp:revision>3</cp:revision>
  <dcterms:created xsi:type="dcterms:W3CDTF">2021-01-15T17:16:00Z</dcterms:created>
  <dcterms:modified xsi:type="dcterms:W3CDTF">2021-01-15T19:18:00Z</dcterms:modified>
</cp:coreProperties>
</file>