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0173F" w14:textId="67B0C00A" w:rsidR="00A46912" w:rsidRPr="00F82261" w:rsidRDefault="00B26487" w:rsidP="00F82261">
      <w:pPr>
        <w:jc w:val="center"/>
        <w:rPr>
          <w:rFonts w:ascii="Book Antiqua" w:hAnsi="Book Antiqua"/>
          <w:b/>
          <w:sz w:val="26"/>
          <w:szCs w:val="26"/>
        </w:rPr>
      </w:pPr>
      <w:r w:rsidRPr="00F82261">
        <w:rPr>
          <w:rFonts w:ascii="Book Antiqua" w:hAnsi="Book Antiqua"/>
          <w:b/>
          <w:sz w:val="26"/>
          <w:szCs w:val="26"/>
        </w:rPr>
        <w:t>Crim. P. 24</w:t>
      </w:r>
      <w:r w:rsidR="001F75E6" w:rsidRPr="00F82261">
        <w:rPr>
          <w:rFonts w:ascii="Book Antiqua" w:hAnsi="Book Antiqua"/>
          <w:b/>
          <w:sz w:val="26"/>
          <w:szCs w:val="26"/>
        </w:rPr>
        <w:t>(d)(5)</w:t>
      </w:r>
      <w:r w:rsidRPr="00F82261">
        <w:rPr>
          <w:rFonts w:ascii="Book Antiqua" w:hAnsi="Book Antiqua"/>
          <w:b/>
          <w:sz w:val="26"/>
          <w:szCs w:val="26"/>
        </w:rPr>
        <w:t xml:space="preserve"> </w:t>
      </w:r>
      <w:r w:rsidR="00F82261" w:rsidRPr="00F82261">
        <w:rPr>
          <w:rFonts w:ascii="Book Antiqua" w:hAnsi="Book Antiqua"/>
          <w:b/>
          <w:sz w:val="26"/>
          <w:szCs w:val="26"/>
        </w:rPr>
        <w:t>P</w:t>
      </w:r>
      <w:r w:rsidRPr="00F82261">
        <w:rPr>
          <w:rFonts w:ascii="Book Antiqua" w:hAnsi="Book Antiqua"/>
          <w:b/>
          <w:sz w:val="26"/>
          <w:szCs w:val="26"/>
        </w:rPr>
        <w:t>roposal</w:t>
      </w:r>
    </w:p>
    <w:p w14:paraId="4120B15D" w14:textId="11C23DA3" w:rsidR="00B26487" w:rsidRPr="00DE6B70" w:rsidRDefault="00B26487">
      <w:pPr>
        <w:rPr>
          <w:rFonts w:ascii="Book Antiqua" w:hAnsi="Book Antiqua"/>
          <w:b/>
          <w:i/>
          <w:sz w:val="26"/>
          <w:szCs w:val="26"/>
        </w:rPr>
      </w:pPr>
      <w:r w:rsidRPr="00DE6B70">
        <w:rPr>
          <w:rFonts w:ascii="Book Antiqua" w:hAnsi="Book Antiqua"/>
          <w:b/>
          <w:i/>
          <w:sz w:val="26"/>
          <w:szCs w:val="26"/>
        </w:rPr>
        <w:t xml:space="preserve">General </w:t>
      </w:r>
      <w:r w:rsidR="00C07922">
        <w:rPr>
          <w:rFonts w:ascii="Book Antiqua" w:hAnsi="Book Antiqua"/>
          <w:b/>
          <w:i/>
          <w:sz w:val="26"/>
          <w:szCs w:val="26"/>
        </w:rPr>
        <w:t>T</w:t>
      </w:r>
      <w:r w:rsidRPr="00DE6B70">
        <w:rPr>
          <w:rFonts w:ascii="Book Antiqua" w:hAnsi="Book Antiqua"/>
          <w:b/>
          <w:i/>
          <w:sz w:val="26"/>
          <w:szCs w:val="26"/>
        </w:rPr>
        <w:t>houghts</w:t>
      </w:r>
    </w:p>
    <w:p w14:paraId="484BE8EF" w14:textId="56098074" w:rsidR="00B26487" w:rsidRDefault="008C534C">
      <w:pPr>
        <w:pStyle w:val="ListParagraph"/>
        <w:numPr>
          <w:ilvl w:val="0"/>
          <w:numId w:val="1"/>
        </w:numPr>
        <w:jc w:val="both"/>
        <w:rPr>
          <w:rFonts w:ascii="Book Antiqua" w:hAnsi="Book Antiqua"/>
          <w:sz w:val="26"/>
          <w:szCs w:val="26"/>
        </w:rPr>
      </w:pPr>
      <w:r>
        <w:rPr>
          <w:rFonts w:ascii="Book Antiqua" w:hAnsi="Book Antiqua"/>
          <w:sz w:val="26"/>
          <w:szCs w:val="26"/>
        </w:rPr>
        <w:t>Thank you for your hard work in crafting th</w:t>
      </w:r>
      <w:r w:rsidR="00F82261">
        <w:rPr>
          <w:rFonts w:ascii="Book Antiqua" w:hAnsi="Book Antiqua"/>
          <w:sz w:val="26"/>
          <w:szCs w:val="26"/>
        </w:rPr>
        <w:t>is</w:t>
      </w:r>
      <w:r>
        <w:rPr>
          <w:rFonts w:ascii="Book Antiqua" w:hAnsi="Book Antiqua"/>
          <w:sz w:val="26"/>
          <w:szCs w:val="26"/>
        </w:rPr>
        <w:t xml:space="preserve"> propos</w:t>
      </w:r>
      <w:r w:rsidR="00F82261">
        <w:rPr>
          <w:rFonts w:ascii="Book Antiqua" w:hAnsi="Book Antiqua"/>
          <w:sz w:val="26"/>
          <w:szCs w:val="26"/>
        </w:rPr>
        <w:t>al</w:t>
      </w:r>
      <w:r>
        <w:rPr>
          <w:rFonts w:ascii="Book Antiqua" w:hAnsi="Book Antiqua"/>
          <w:sz w:val="26"/>
          <w:szCs w:val="26"/>
        </w:rPr>
        <w:t xml:space="preserve">.  </w:t>
      </w:r>
      <w:r w:rsidR="001F75E6">
        <w:rPr>
          <w:rFonts w:ascii="Book Antiqua" w:hAnsi="Book Antiqua"/>
          <w:sz w:val="26"/>
          <w:szCs w:val="26"/>
        </w:rPr>
        <w:t>The Co</w:t>
      </w:r>
      <w:r w:rsidR="00B26487">
        <w:rPr>
          <w:rFonts w:ascii="Book Antiqua" w:hAnsi="Book Antiqua"/>
          <w:sz w:val="26"/>
          <w:szCs w:val="26"/>
        </w:rPr>
        <w:t xml:space="preserve">urt </w:t>
      </w:r>
      <w:r w:rsidR="00F82261">
        <w:rPr>
          <w:rFonts w:ascii="Book Antiqua" w:hAnsi="Book Antiqua"/>
          <w:sz w:val="26"/>
          <w:szCs w:val="26"/>
        </w:rPr>
        <w:t xml:space="preserve">recognizes this is a difficult issue and </w:t>
      </w:r>
      <w:r w:rsidR="001F75E6">
        <w:rPr>
          <w:rFonts w:ascii="Book Antiqua" w:hAnsi="Book Antiqua"/>
          <w:sz w:val="26"/>
          <w:szCs w:val="26"/>
        </w:rPr>
        <w:t xml:space="preserve">is </w:t>
      </w:r>
      <w:r w:rsidR="00B26487">
        <w:rPr>
          <w:rFonts w:ascii="Book Antiqua" w:hAnsi="Book Antiqua"/>
          <w:sz w:val="26"/>
          <w:szCs w:val="26"/>
        </w:rPr>
        <w:t>looking for greater consensus from the rules committee</w:t>
      </w:r>
      <w:r w:rsidR="00F82261">
        <w:rPr>
          <w:rFonts w:ascii="Book Antiqua" w:hAnsi="Book Antiqua"/>
          <w:sz w:val="26"/>
          <w:szCs w:val="26"/>
        </w:rPr>
        <w:t xml:space="preserve"> before moving forward</w:t>
      </w:r>
      <w:r w:rsidR="00B26487">
        <w:rPr>
          <w:rFonts w:ascii="Book Antiqua" w:hAnsi="Book Antiqua"/>
          <w:sz w:val="26"/>
          <w:szCs w:val="26"/>
        </w:rPr>
        <w:t>.</w:t>
      </w:r>
    </w:p>
    <w:p w14:paraId="6736FAE4" w14:textId="3C6FCBBE" w:rsidR="0045538B" w:rsidRPr="0045538B" w:rsidRDefault="0045538B" w:rsidP="0045538B">
      <w:pPr>
        <w:pStyle w:val="ListParagraph"/>
        <w:numPr>
          <w:ilvl w:val="0"/>
          <w:numId w:val="1"/>
        </w:numPr>
        <w:jc w:val="both"/>
        <w:rPr>
          <w:rFonts w:ascii="Book Antiqua" w:hAnsi="Book Antiqua"/>
          <w:sz w:val="26"/>
          <w:szCs w:val="26"/>
        </w:rPr>
      </w:pPr>
      <w:r w:rsidRPr="0045538B">
        <w:rPr>
          <w:rFonts w:ascii="Book Antiqua" w:hAnsi="Book Antiqua"/>
          <w:sz w:val="26"/>
          <w:szCs w:val="26"/>
        </w:rPr>
        <w:t>In sharing the following questions with you, we do not necessarily expect an itemized response.  Our goal is simply to provide you with food for thought as you seek greater consensus.</w:t>
      </w:r>
      <w:r>
        <w:rPr>
          <w:rFonts w:ascii="Book Antiqua" w:hAnsi="Book Antiqua"/>
          <w:sz w:val="26"/>
          <w:szCs w:val="26"/>
        </w:rPr>
        <w:t xml:space="preserve"> </w:t>
      </w:r>
    </w:p>
    <w:p w14:paraId="4A72E70A" w14:textId="14940305" w:rsidR="00B26487" w:rsidRPr="00DE6B70" w:rsidRDefault="00375FEE" w:rsidP="00B26487">
      <w:pPr>
        <w:rPr>
          <w:rFonts w:ascii="Book Antiqua" w:hAnsi="Book Antiqua"/>
          <w:b/>
          <w:i/>
          <w:sz w:val="26"/>
          <w:szCs w:val="26"/>
        </w:rPr>
      </w:pPr>
      <w:r w:rsidRPr="00DE6B70">
        <w:rPr>
          <w:rFonts w:ascii="Book Antiqua" w:hAnsi="Book Antiqua"/>
          <w:b/>
          <w:i/>
          <w:sz w:val="26"/>
          <w:szCs w:val="26"/>
        </w:rPr>
        <w:t>Questions</w:t>
      </w:r>
    </w:p>
    <w:p w14:paraId="6BB9AB71" w14:textId="4DF5465E" w:rsidR="006D417A" w:rsidRDefault="006D417A" w:rsidP="006D417A">
      <w:pPr>
        <w:pStyle w:val="ListParagraph"/>
        <w:numPr>
          <w:ilvl w:val="0"/>
          <w:numId w:val="1"/>
        </w:numPr>
        <w:jc w:val="both"/>
        <w:rPr>
          <w:rFonts w:ascii="Book Antiqua" w:hAnsi="Book Antiqua"/>
          <w:sz w:val="26"/>
          <w:szCs w:val="26"/>
        </w:rPr>
      </w:pPr>
      <w:r>
        <w:rPr>
          <w:rFonts w:ascii="Book Antiqua" w:hAnsi="Book Antiqua"/>
          <w:sz w:val="26"/>
          <w:szCs w:val="26"/>
        </w:rPr>
        <w:t xml:space="preserve">Did the committee consider broadening the rule to include gender?  Did the committee focus on race/ethnicity because there is a more immediate concern about that form of discrimination in jury selection (and an expectation that case law like </w:t>
      </w:r>
      <w:r>
        <w:rPr>
          <w:rFonts w:ascii="Book Antiqua" w:hAnsi="Book Antiqua"/>
          <w:i/>
          <w:iCs/>
          <w:sz w:val="26"/>
          <w:szCs w:val="26"/>
        </w:rPr>
        <w:t>J.E.B.</w:t>
      </w:r>
      <w:r>
        <w:rPr>
          <w:rFonts w:ascii="Book Antiqua" w:hAnsi="Book Antiqua"/>
          <w:sz w:val="26"/>
          <w:szCs w:val="26"/>
        </w:rPr>
        <w:t xml:space="preserve"> would continue to govern as to gender discrimination), or because expanding the rule to include gender would make the rule unwieldy? </w:t>
      </w:r>
      <w:r w:rsidR="00F82261">
        <w:rPr>
          <w:rFonts w:ascii="Book Antiqua" w:hAnsi="Book Antiqua"/>
          <w:sz w:val="26"/>
          <w:szCs w:val="26"/>
        </w:rPr>
        <w:t xml:space="preserve"> </w:t>
      </w:r>
      <w:r>
        <w:rPr>
          <w:rFonts w:ascii="Book Antiqua" w:hAnsi="Book Antiqua"/>
          <w:sz w:val="26"/>
          <w:szCs w:val="26"/>
        </w:rPr>
        <w:t xml:space="preserve">Should there be a discussion about the perception the proposal could create if it omits gender discrimination or if gender discrimination is subject to a different analysis than race/ethnicity discrimination?  </w:t>
      </w:r>
    </w:p>
    <w:p w14:paraId="65472F42" w14:textId="0D880DDA" w:rsidR="00B26487" w:rsidRDefault="00B26487" w:rsidP="00F82261">
      <w:pPr>
        <w:pStyle w:val="ListParagraph"/>
        <w:numPr>
          <w:ilvl w:val="0"/>
          <w:numId w:val="1"/>
        </w:numPr>
        <w:jc w:val="both"/>
        <w:rPr>
          <w:rFonts w:ascii="Book Antiqua" w:hAnsi="Book Antiqua"/>
          <w:sz w:val="26"/>
          <w:szCs w:val="26"/>
        </w:rPr>
      </w:pPr>
      <w:r>
        <w:rPr>
          <w:rFonts w:ascii="Book Antiqua" w:hAnsi="Book Antiqua"/>
          <w:sz w:val="26"/>
          <w:szCs w:val="26"/>
        </w:rPr>
        <w:t xml:space="preserve">(5)(C):  The committee appears very divided on the standard.  The proposal uses “objective observer </w:t>
      </w:r>
      <w:r>
        <w:rPr>
          <w:rFonts w:ascii="Book Antiqua" w:hAnsi="Book Antiqua"/>
          <w:i/>
          <w:iCs/>
          <w:sz w:val="26"/>
          <w:szCs w:val="26"/>
        </w:rPr>
        <w:t>could</w:t>
      </w:r>
      <w:r>
        <w:rPr>
          <w:rFonts w:ascii="Book Antiqua" w:hAnsi="Book Antiqua"/>
          <w:sz w:val="26"/>
          <w:szCs w:val="26"/>
        </w:rPr>
        <w:t xml:space="preserve"> view race or ethnicity as a factor”; the minority report suggests “</w:t>
      </w:r>
      <w:r w:rsidRPr="00B26487">
        <w:rPr>
          <w:rFonts w:ascii="Book Antiqua" w:hAnsi="Book Antiqua"/>
          <w:i/>
          <w:iCs/>
          <w:sz w:val="26"/>
          <w:szCs w:val="26"/>
        </w:rPr>
        <w:t>was</w:t>
      </w:r>
      <w:r>
        <w:rPr>
          <w:rFonts w:ascii="Book Antiqua" w:hAnsi="Book Antiqua"/>
          <w:sz w:val="26"/>
          <w:szCs w:val="26"/>
        </w:rPr>
        <w:t xml:space="preserve"> a </w:t>
      </w:r>
      <w:r w:rsidRPr="00B26487">
        <w:rPr>
          <w:rFonts w:ascii="Book Antiqua" w:hAnsi="Book Antiqua"/>
          <w:i/>
          <w:iCs/>
          <w:sz w:val="26"/>
          <w:szCs w:val="26"/>
        </w:rPr>
        <w:t>significant</w:t>
      </w:r>
      <w:r>
        <w:rPr>
          <w:rFonts w:ascii="Book Antiqua" w:hAnsi="Book Antiqua"/>
          <w:sz w:val="26"/>
          <w:szCs w:val="26"/>
        </w:rPr>
        <w:t xml:space="preserve"> factor.”  Is it possible to bridge this divide?  </w:t>
      </w:r>
      <w:r w:rsidR="001F75E6">
        <w:rPr>
          <w:rFonts w:ascii="Book Antiqua" w:hAnsi="Book Antiqua"/>
          <w:sz w:val="26"/>
          <w:szCs w:val="26"/>
        </w:rPr>
        <w:t xml:space="preserve">Has the full committee discussed the minority report alternate proposal? </w:t>
      </w:r>
      <w:r w:rsidR="00F82261">
        <w:rPr>
          <w:rFonts w:ascii="Book Antiqua" w:hAnsi="Book Antiqua"/>
          <w:sz w:val="26"/>
          <w:szCs w:val="26"/>
        </w:rPr>
        <w:t xml:space="preserve"> </w:t>
      </w:r>
      <w:r>
        <w:rPr>
          <w:rFonts w:ascii="Book Antiqua" w:hAnsi="Book Antiqua"/>
          <w:sz w:val="26"/>
          <w:szCs w:val="26"/>
        </w:rPr>
        <w:t xml:space="preserve">Would there </w:t>
      </w:r>
      <w:r w:rsidR="001F75E6">
        <w:rPr>
          <w:rFonts w:ascii="Book Antiqua" w:hAnsi="Book Antiqua"/>
          <w:sz w:val="26"/>
          <w:szCs w:val="26"/>
        </w:rPr>
        <w:t>possibly</w:t>
      </w:r>
      <w:r w:rsidR="00F82261">
        <w:rPr>
          <w:rFonts w:ascii="Book Antiqua" w:hAnsi="Book Antiqua"/>
          <w:sz w:val="26"/>
          <w:szCs w:val="26"/>
        </w:rPr>
        <w:t xml:space="preserve"> be</w:t>
      </w:r>
      <w:r w:rsidR="001F75E6">
        <w:rPr>
          <w:rFonts w:ascii="Book Antiqua" w:hAnsi="Book Antiqua"/>
          <w:sz w:val="26"/>
          <w:szCs w:val="26"/>
        </w:rPr>
        <w:t xml:space="preserve"> </w:t>
      </w:r>
      <w:r>
        <w:rPr>
          <w:rFonts w:ascii="Book Antiqua" w:hAnsi="Book Antiqua"/>
          <w:sz w:val="26"/>
          <w:szCs w:val="26"/>
        </w:rPr>
        <w:t xml:space="preserve">greater consensus around </w:t>
      </w:r>
      <w:r w:rsidR="00375FEE">
        <w:rPr>
          <w:rFonts w:ascii="Book Antiqua" w:hAnsi="Book Antiqua"/>
          <w:sz w:val="26"/>
          <w:szCs w:val="26"/>
        </w:rPr>
        <w:t>some kind of compromise</w:t>
      </w:r>
      <w:r w:rsidR="006D417A">
        <w:rPr>
          <w:rFonts w:ascii="Book Antiqua" w:hAnsi="Book Antiqua"/>
          <w:sz w:val="26"/>
          <w:szCs w:val="26"/>
        </w:rPr>
        <w:t xml:space="preserve"> or different language?</w:t>
      </w:r>
      <w:r>
        <w:rPr>
          <w:rFonts w:ascii="Book Antiqua" w:hAnsi="Book Antiqua"/>
          <w:sz w:val="26"/>
          <w:szCs w:val="26"/>
        </w:rPr>
        <w:t xml:space="preserve"> </w:t>
      </w:r>
    </w:p>
    <w:p w14:paraId="44A88DE7" w14:textId="45148A62" w:rsidR="00B26487" w:rsidRDefault="001F75E6" w:rsidP="00F82261">
      <w:pPr>
        <w:pStyle w:val="ListParagraph"/>
        <w:numPr>
          <w:ilvl w:val="0"/>
          <w:numId w:val="1"/>
        </w:numPr>
        <w:jc w:val="both"/>
        <w:rPr>
          <w:rFonts w:ascii="Book Antiqua" w:hAnsi="Book Antiqua"/>
          <w:sz w:val="26"/>
          <w:szCs w:val="26"/>
        </w:rPr>
      </w:pPr>
      <w:r>
        <w:rPr>
          <w:rFonts w:ascii="Book Antiqua" w:hAnsi="Book Antiqua"/>
          <w:sz w:val="26"/>
          <w:szCs w:val="26"/>
        </w:rPr>
        <w:t xml:space="preserve">(5)(D)(v): The proposal refers to “whether the party has used peremptory challenges disproportionately against a given race or ethnicity . . . </w:t>
      </w:r>
      <w:r w:rsidRPr="001F75E6">
        <w:rPr>
          <w:rFonts w:ascii="Book Antiqua" w:hAnsi="Book Antiqua"/>
          <w:i/>
          <w:iCs/>
          <w:sz w:val="26"/>
          <w:szCs w:val="26"/>
        </w:rPr>
        <w:t>in past cases</w:t>
      </w:r>
      <w:r>
        <w:rPr>
          <w:rFonts w:ascii="Book Antiqua" w:hAnsi="Book Antiqua"/>
          <w:sz w:val="26"/>
          <w:szCs w:val="26"/>
        </w:rPr>
        <w:t>.”  How does the committee envision this type of evidence would be presented?</w:t>
      </w:r>
    </w:p>
    <w:p w14:paraId="400DA2C0" w14:textId="1BC9A145" w:rsidR="001F75E6" w:rsidRDefault="001F75E6" w:rsidP="00F82261">
      <w:pPr>
        <w:pStyle w:val="ListParagraph"/>
        <w:numPr>
          <w:ilvl w:val="0"/>
          <w:numId w:val="1"/>
        </w:numPr>
        <w:jc w:val="both"/>
        <w:rPr>
          <w:rFonts w:ascii="Book Antiqua" w:hAnsi="Book Antiqua"/>
          <w:sz w:val="26"/>
          <w:szCs w:val="26"/>
        </w:rPr>
      </w:pPr>
      <w:r>
        <w:rPr>
          <w:rFonts w:ascii="Book Antiqua" w:hAnsi="Book Antiqua"/>
          <w:sz w:val="26"/>
          <w:szCs w:val="26"/>
        </w:rPr>
        <w:t xml:space="preserve">(5)(E):  </w:t>
      </w:r>
      <w:r w:rsidR="00375FEE">
        <w:rPr>
          <w:rFonts w:ascii="Book Antiqua" w:hAnsi="Book Antiqua"/>
          <w:sz w:val="26"/>
          <w:szCs w:val="26"/>
        </w:rPr>
        <w:t xml:space="preserve">Is the introductory phrase “Because historically the following reasons for peremptory challenges have been associated with improper discrimination in jury selection” backed by case law?  Is it necessary in the text of the rule?  </w:t>
      </w:r>
    </w:p>
    <w:p w14:paraId="192DB800" w14:textId="09D88117" w:rsidR="00375FEE" w:rsidRPr="00375FEE" w:rsidRDefault="00375FEE" w:rsidP="00F82261">
      <w:pPr>
        <w:pStyle w:val="ListParagraph"/>
        <w:numPr>
          <w:ilvl w:val="0"/>
          <w:numId w:val="1"/>
        </w:numPr>
        <w:jc w:val="both"/>
        <w:rPr>
          <w:rFonts w:ascii="Book Antiqua" w:hAnsi="Book Antiqua"/>
          <w:sz w:val="26"/>
          <w:szCs w:val="26"/>
        </w:rPr>
      </w:pPr>
      <w:r>
        <w:rPr>
          <w:rFonts w:ascii="Book Antiqua" w:hAnsi="Book Antiqua"/>
          <w:sz w:val="26"/>
          <w:szCs w:val="26"/>
        </w:rPr>
        <w:lastRenderedPageBreak/>
        <w:t xml:space="preserve">(5)(E):  The majority report emphasizes that the listed reasons are only presumptively invalid, “and the party making the peremptory challenge is entitled to establish any additional reason to support the challenge once an objection is made.”  (Majority Report page 7.)  The text of the proposed rule </w:t>
      </w:r>
      <w:r w:rsidR="00996DF6">
        <w:rPr>
          <w:rFonts w:ascii="Book Antiqua" w:hAnsi="Book Antiqua"/>
          <w:sz w:val="26"/>
          <w:szCs w:val="26"/>
        </w:rPr>
        <w:t>makes no reference to overcoming the presumption</w:t>
      </w:r>
      <w:r>
        <w:rPr>
          <w:rFonts w:ascii="Book Antiqua" w:hAnsi="Book Antiqua"/>
          <w:sz w:val="26"/>
          <w:szCs w:val="26"/>
        </w:rPr>
        <w:t>.  Should it?</w:t>
      </w:r>
      <w:r w:rsidR="00AE3D1C">
        <w:rPr>
          <w:rFonts w:ascii="Book Antiqua" w:hAnsi="Book Antiqua"/>
          <w:sz w:val="26"/>
          <w:szCs w:val="26"/>
        </w:rPr>
        <w:t xml:space="preserve">  If so, should it include details on how the presumption may be overcome?</w:t>
      </w:r>
    </w:p>
    <w:p w14:paraId="6602A70E" w14:textId="41967660" w:rsidR="00305110" w:rsidRDefault="00305110" w:rsidP="00F82261">
      <w:pPr>
        <w:pStyle w:val="ListParagraph"/>
        <w:numPr>
          <w:ilvl w:val="0"/>
          <w:numId w:val="1"/>
        </w:numPr>
        <w:jc w:val="both"/>
        <w:rPr>
          <w:rFonts w:ascii="Book Antiqua" w:hAnsi="Book Antiqua"/>
          <w:sz w:val="26"/>
          <w:szCs w:val="26"/>
        </w:rPr>
      </w:pPr>
      <w:r>
        <w:rPr>
          <w:rFonts w:ascii="Book Antiqua" w:hAnsi="Book Antiqua"/>
          <w:sz w:val="26"/>
          <w:szCs w:val="26"/>
        </w:rPr>
        <w:t xml:space="preserve">(5)(E)(ii):  The minority report </w:t>
      </w:r>
      <w:r w:rsidR="00375FEE">
        <w:rPr>
          <w:rFonts w:ascii="Book Antiqua" w:hAnsi="Book Antiqua"/>
          <w:sz w:val="26"/>
          <w:szCs w:val="26"/>
        </w:rPr>
        <w:t xml:space="preserve">expresses concern about </w:t>
      </w:r>
      <w:r w:rsidR="00F7050D">
        <w:rPr>
          <w:rFonts w:ascii="Book Antiqua" w:hAnsi="Book Antiqua"/>
          <w:sz w:val="26"/>
          <w:szCs w:val="26"/>
        </w:rPr>
        <w:t>this provision</w:t>
      </w:r>
      <w:r w:rsidR="00375FEE">
        <w:rPr>
          <w:rFonts w:ascii="Book Antiqua" w:hAnsi="Book Antiqua"/>
          <w:sz w:val="26"/>
          <w:szCs w:val="26"/>
        </w:rPr>
        <w:t xml:space="preserve"> because it </w:t>
      </w:r>
      <w:r w:rsidR="00F7050D">
        <w:rPr>
          <w:rFonts w:ascii="Book Antiqua" w:hAnsi="Book Antiqua"/>
          <w:sz w:val="26"/>
          <w:szCs w:val="26"/>
        </w:rPr>
        <w:t>indicates possible actual</w:t>
      </w:r>
      <w:r w:rsidR="00375FEE">
        <w:rPr>
          <w:rFonts w:ascii="Book Antiqua" w:hAnsi="Book Antiqua"/>
          <w:sz w:val="26"/>
          <w:szCs w:val="26"/>
        </w:rPr>
        <w:t xml:space="preserve"> bias.  This provision does appear to be different than (E)(i), (iii)-(vii) in that these other circumstances do not indicate bias</w:t>
      </w:r>
      <w:r w:rsidR="00400911">
        <w:rPr>
          <w:rFonts w:ascii="Book Antiqua" w:hAnsi="Book Antiqua"/>
          <w:sz w:val="26"/>
          <w:szCs w:val="26"/>
        </w:rPr>
        <w:t xml:space="preserve"> </w:t>
      </w:r>
      <w:r w:rsidR="00CF054F">
        <w:rPr>
          <w:rFonts w:ascii="Book Antiqua" w:hAnsi="Book Antiqua"/>
          <w:sz w:val="26"/>
          <w:szCs w:val="26"/>
        </w:rPr>
        <w:t xml:space="preserve">(although some of them </w:t>
      </w:r>
      <w:r w:rsidR="00375FEE">
        <w:rPr>
          <w:rFonts w:ascii="Book Antiqua" w:hAnsi="Book Antiqua"/>
          <w:sz w:val="26"/>
          <w:szCs w:val="26"/>
        </w:rPr>
        <w:t xml:space="preserve">may be used </w:t>
      </w:r>
      <w:r w:rsidR="00CF054F">
        <w:rPr>
          <w:rFonts w:ascii="Book Antiqua" w:hAnsi="Book Antiqua"/>
          <w:sz w:val="26"/>
          <w:szCs w:val="26"/>
        </w:rPr>
        <w:t xml:space="preserve">improperly </w:t>
      </w:r>
      <w:r w:rsidR="00375FEE">
        <w:rPr>
          <w:rFonts w:ascii="Book Antiqua" w:hAnsi="Book Antiqua"/>
          <w:sz w:val="26"/>
          <w:szCs w:val="26"/>
        </w:rPr>
        <w:t xml:space="preserve">as </w:t>
      </w:r>
      <w:r w:rsidR="00375FEE" w:rsidRPr="00CF054F">
        <w:rPr>
          <w:rFonts w:ascii="Book Antiqua" w:hAnsi="Book Antiqua"/>
          <w:sz w:val="26"/>
          <w:szCs w:val="26"/>
        </w:rPr>
        <w:t>proxies</w:t>
      </w:r>
      <w:r w:rsidR="00375FEE">
        <w:rPr>
          <w:rFonts w:ascii="Book Antiqua" w:hAnsi="Book Antiqua"/>
          <w:sz w:val="26"/>
          <w:szCs w:val="26"/>
        </w:rPr>
        <w:t xml:space="preserve"> for </w:t>
      </w:r>
      <w:r w:rsidR="00F7050D">
        <w:rPr>
          <w:rFonts w:ascii="Book Antiqua" w:hAnsi="Book Antiqua"/>
          <w:sz w:val="26"/>
          <w:szCs w:val="26"/>
        </w:rPr>
        <w:t>assumed</w:t>
      </w:r>
      <w:r w:rsidR="00375FEE">
        <w:rPr>
          <w:rFonts w:ascii="Book Antiqua" w:hAnsi="Book Antiqua"/>
          <w:sz w:val="26"/>
          <w:szCs w:val="26"/>
        </w:rPr>
        <w:t xml:space="preserve"> bias</w:t>
      </w:r>
      <w:r w:rsidR="00CF054F">
        <w:rPr>
          <w:rFonts w:ascii="Book Antiqua" w:hAnsi="Book Antiqua"/>
          <w:sz w:val="26"/>
          <w:szCs w:val="26"/>
        </w:rPr>
        <w:t>)</w:t>
      </w:r>
      <w:r w:rsidR="00375FEE">
        <w:rPr>
          <w:rFonts w:ascii="Book Antiqua" w:hAnsi="Book Antiqua"/>
          <w:sz w:val="26"/>
          <w:szCs w:val="26"/>
        </w:rPr>
        <w:t>.</w:t>
      </w:r>
      <w:r w:rsidR="00400911">
        <w:rPr>
          <w:rFonts w:ascii="Book Antiqua" w:hAnsi="Book Antiqua"/>
          <w:sz w:val="26"/>
          <w:szCs w:val="26"/>
        </w:rPr>
        <w:t xml:space="preserve">  Is (E)(ii) necessary? </w:t>
      </w:r>
      <w:r w:rsidR="00F82261">
        <w:rPr>
          <w:rFonts w:ascii="Book Antiqua" w:hAnsi="Book Antiqua"/>
          <w:sz w:val="26"/>
          <w:szCs w:val="26"/>
        </w:rPr>
        <w:t xml:space="preserve"> </w:t>
      </w:r>
      <w:r w:rsidR="00400911">
        <w:rPr>
          <w:rFonts w:ascii="Book Antiqua" w:hAnsi="Book Antiqua"/>
          <w:sz w:val="26"/>
          <w:szCs w:val="26"/>
        </w:rPr>
        <w:t>Put differently, are the overarching goals of</w:t>
      </w:r>
      <w:r w:rsidR="00AE3D1C">
        <w:rPr>
          <w:rFonts w:ascii="Book Antiqua" w:hAnsi="Book Antiqua"/>
          <w:sz w:val="26"/>
          <w:szCs w:val="26"/>
        </w:rPr>
        <w:t xml:space="preserve"> the</w:t>
      </w:r>
      <w:r w:rsidR="00400911">
        <w:rPr>
          <w:rFonts w:ascii="Book Antiqua" w:hAnsi="Book Antiqua"/>
          <w:sz w:val="26"/>
          <w:szCs w:val="26"/>
        </w:rPr>
        <w:t xml:space="preserve"> proposed rule change accomplished without (E)(ii)?</w:t>
      </w:r>
      <w:r w:rsidR="00375FEE">
        <w:rPr>
          <w:rFonts w:ascii="Book Antiqua" w:hAnsi="Book Antiqua"/>
          <w:sz w:val="26"/>
          <w:szCs w:val="26"/>
        </w:rPr>
        <w:t xml:space="preserve">  </w:t>
      </w:r>
    </w:p>
    <w:p w14:paraId="42ECB562" w14:textId="0263CF42" w:rsidR="00400911" w:rsidRDefault="00400911" w:rsidP="00F82261">
      <w:pPr>
        <w:pStyle w:val="ListParagraph"/>
        <w:numPr>
          <w:ilvl w:val="0"/>
          <w:numId w:val="1"/>
        </w:numPr>
        <w:jc w:val="both"/>
        <w:rPr>
          <w:rFonts w:ascii="Book Antiqua" w:hAnsi="Book Antiqua"/>
          <w:sz w:val="26"/>
          <w:szCs w:val="26"/>
        </w:rPr>
      </w:pPr>
      <w:r>
        <w:rPr>
          <w:rFonts w:ascii="Book Antiqua" w:hAnsi="Book Antiqua"/>
          <w:sz w:val="26"/>
          <w:szCs w:val="26"/>
        </w:rPr>
        <w:t xml:space="preserve">(5)(E)(v): </w:t>
      </w:r>
      <w:r w:rsidR="00F82261">
        <w:rPr>
          <w:rFonts w:ascii="Book Antiqua" w:hAnsi="Book Antiqua"/>
          <w:sz w:val="26"/>
          <w:szCs w:val="26"/>
        </w:rPr>
        <w:t>T</w:t>
      </w:r>
      <w:r>
        <w:rPr>
          <w:rFonts w:ascii="Book Antiqua" w:hAnsi="Book Antiqua"/>
          <w:sz w:val="26"/>
          <w:szCs w:val="26"/>
        </w:rPr>
        <w:t xml:space="preserve">his provision refers to a juror’s receipt of “state benefits.”  Was it the committee’s intent to limit this provision to state benefits and not </w:t>
      </w:r>
      <w:r w:rsidR="00CF054F">
        <w:rPr>
          <w:rFonts w:ascii="Book Antiqua" w:hAnsi="Book Antiqua"/>
          <w:sz w:val="26"/>
          <w:szCs w:val="26"/>
        </w:rPr>
        <w:t>include</w:t>
      </w:r>
      <w:r>
        <w:rPr>
          <w:rFonts w:ascii="Book Antiqua" w:hAnsi="Book Antiqua"/>
          <w:sz w:val="26"/>
          <w:szCs w:val="26"/>
        </w:rPr>
        <w:t xml:space="preserve"> federal benefits?</w:t>
      </w:r>
    </w:p>
    <w:p w14:paraId="5D0C1FA1" w14:textId="40500C22" w:rsidR="00CF054F" w:rsidRDefault="00CF054F" w:rsidP="00F82261">
      <w:pPr>
        <w:pStyle w:val="ListParagraph"/>
        <w:numPr>
          <w:ilvl w:val="0"/>
          <w:numId w:val="1"/>
        </w:numPr>
        <w:jc w:val="both"/>
        <w:rPr>
          <w:rFonts w:ascii="Book Antiqua" w:hAnsi="Book Antiqua"/>
          <w:sz w:val="26"/>
          <w:szCs w:val="26"/>
        </w:rPr>
      </w:pPr>
      <w:r>
        <w:rPr>
          <w:rFonts w:ascii="Book Antiqua" w:hAnsi="Book Antiqua"/>
          <w:sz w:val="26"/>
          <w:szCs w:val="26"/>
        </w:rPr>
        <w:t xml:space="preserve">(5)(F): As with (5)(E), is the introductory phrase “The following reasons for peremptory challenges have also historically been associated with improper discrimination in jury selection” backed by case law?  Is it necessary in the text of the rule?  </w:t>
      </w:r>
    </w:p>
    <w:p w14:paraId="59EE595B" w14:textId="4A12C0A4" w:rsidR="00CF054F" w:rsidRDefault="00CF054F" w:rsidP="00F82261">
      <w:pPr>
        <w:pStyle w:val="ListParagraph"/>
        <w:numPr>
          <w:ilvl w:val="0"/>
          <w:numId w:val="1"/>
        </w:numPr>
        <w:jc w:val="both"/>
        <w:rPr>
          <w:rFonts w:ascii="Book Antiqua" w:hAnsi="Book Antiqua"/>
          <w:sz w:val="26"/>
          <w:szCs w:val="26"/>
        </w:rPr>
      </w:pPr>
      <w:r>
        <w:rPr>
          <w:rFonts w:ascii="Book Antiqua" w:hAnsi="Book Antiqua"/>
          <w:sz w:val="26"/>
          <w:szCs w:val="26"/>
        </w:rPr>
        <w:t xml:space="preserve">(5)(F):  How does the committee envision </w:t>
      </w:r>
      <w:r w:rsidR="00F82261">
        <w:rPr>
          <w:rFonts w:ascii="Book Antiqua" w:hAnsi="Book Antiqua"/>
          <w:sz w:val="26"/>
          <w:szCs w:val="26"/>
        </w:rPr>
        <w:t xml:space="preserve">that </w:t>
      </w:r>
      <w:r>
        <w:rPr>
          <w:rFonts w:ascii="Book Antiqua" w:hAnsi="Book Antiqua"/>
          <w:sz w:val="26"/>
          <w:szCs w:val="26"/>
        </w:rPr>
        <w:t xml:space="preserve">the notice during voir dire will play out? </w:t>
      </w:r>
      <w:r w:rsidR="00F82261">
        <w:rPr>
          <w:rFonts w:ascii="Book Antiqua" w:hAnsi="Book Antiqua"/>
          <w:sz w:val="26"/>
          <w:szCs w:val="26"/>
        </w:rPr>
        <w:t xml:space="preserve"> </w:t>
      </w:r>
      <w:r w:rsidR="0050141A">
        <w:rPr>
          <w:rFonts w:ascii="Book Antiqua" w:hAnsi="Book Antiqua"/>
          <w:sz w:val="26"/>
          <w:szCs w:val="26"/>
        </w:rPr>
        <w:t>Will this process require frequent bench conferences?</w:t>
      </w:r>
    </w:p>
    <w:p w14:paraId="392E6A7E" w14:textId="29E4F118" w:rsidR="0050141A" w:rsidRDefault="00CF054F" w:rsidP="00F82261">
      <w:pPr>
        <w:pStyle w:val="ListParagraph"/>
        <w:numPr>
          <w:ilvl w:val="0"/>
          <w:numId w:val="1"/>
        </w:numPr>
        <w:jc w:val="both"/>
        <w:rPr>
          <w:rFonts w:ascii="Book Antiqua" w:hAnsi="Book Antiqua"/>
          <w:sz w:val="26"/>
          <w:szCs w:val="26"/>
        </w:rPr>
      </w:pPr>
      <w:r>
        <w:rPr>
          <w:rFonts w:ascii="Book Antiqua" w:hAnsi="Book Antiqua"/>
          <w:sz w:val="26"/>
          <w:szCs w:val="26"/>
        </w:rPr>
        <w:t xml:space="preserve">(5)(F):  The majority report notes that “this section . . . requires corroboration of the prospective juror’s alleged demeanor by either the trial court or opposing counsel to sustain the peremptory challenge” on the basis of a juror’s demeanor.  (Majority Report page 7.)  However, the language of the rule does not phrase it in terms of requiring corroboration </w:t>
      </w:r>
      <w:r w:rsidR="0050141A">
        <w:rPr>
          <w:rFonts w:ascii="Book Antiqua" w:hAnsi="Book Antiqua"/>
          <w:sz w:val="26"/>
          <w:szCs w:val="26"/>
        </w:rPr>
        <w:t xml:space="preserve">either </w:t>
      </w:r>
      <w:r>
        <w:rPr>
          <w:rFonts w:ascii="Book Antiqua" w:hAnsi="Book Antiqua"/>
          <w:sz w:val="26"/>
          <w:szCs w:val="26"/>
        </w:rPr>
        <w:t>by the court or opposing counse</w:t>
      </w:r>
      <w:r w:rsidR="0050141A">
        <w:rPr>
          <w:rFonts w:ascii="Book Antiqua" w:hAnsi="Book Antiqua"/>
          <w:sz w:val="26"/>
          <w:szCs w:val="26"/>
        </w:rPr>
        <w:t>l.  In</w:t>
      </w:r>
      <w:r>
        <w:rPr>
          <w:rFonts w:ascii="Book Antiqua" w:hAnsi="Book Antiqua"/>
          <w:sz w:val="26"/>
          <w:szCs w:val="26"/>
        </w:rPr>
        <w:t xml:space="preserve">stead, </w:t>
      </w:r>
      <w:r w:rsidR="0050141A">
        <w:rPr>
          <w:rFonts w:ascii="Book Antiqua" w:hAnsi="Book Antiqua"/>
          <w:sz w:val="26"/>
          <w:szCs w:val="26"/>
        </w:rPr>
        <w:t xml:space="preserve">the rule </w:t>
      </w:r>
      <w:r w:rsidR="00996DF6">
        <w:rPr>
          <w:rFonts w:ascii="Book Antiqua" w:hAnsi="Book Antiqua"/>
          <w:sz w:val="26"/>
          <w:szCs w:val="26"/>
        </w:rPr>
        <w:t xml:space="preserve">says, “A lack of corroboration by the judge or opposing counsel verifying the behavior shall invalidate the given reason for the peremptory challenge.”  </w:t>
      </w:r>
      <w:r w:rsidR="0050141A">
        <w:rPr>
          <w:rFonts w:ascii="Book Antiqua" w:hAnsi="Book Antiqua"/>
          <w:sz w:val="26"/>
          <w:szCs w:val="26"/>
        </w:rPr>
        <w:t xml:space="preserve">The </w:t>
      </w:r>
      <w:r w:rsidR="00996DF6">
        <w:rPr>
          <w:rFonts w:ascii="Book Antiqua" w:hAnsi="Book Antiqua"/>
          <w:sz w:val="26"/>
          <w:szCs w:val="26"/>
        </w:rPr>
        <w:t>phrasing</w:t>
      </w:r>
      <w:r w:rsidR="0050141A">
        <w:rPr>
          <w:rFonts w:ascii="Book Antiqua" w:hAnsi="Book Antiqua"/>
          <w:sz w:val="26"/>
          <w:szCs w:val="26"/>
        </w:rPr>
        <w:t xml:space="preserve"> in the rule</w:t>
      </w:r>
      <w:r w:rsidR="00996DF6">
        <w:rPr>
          <w:rFonts w:ascii="Book Antiqua" w:hAnsi="Book Antiqua"/>
          <w:sz w:val="26"/>
          <w:szCs w:val="26"/>
        </w:rPr>
        <w:t xml:space="preserve"> suggests that opposing counsel’s failure to corroborate the behavior will require the challenge to be denied</w:t>
      </w:r>
      <w:r w:rsidR="0050141A">
        <w:rPr>
          <w:rFonts w:ascii="Book Antiqua" w:hAnsi="Book Antiqua"/>
          <w:sz w:val="26"/>
          <w:szCs w:val="26"/>
        </w:rPr>
        <w:t xml:space="preserve"> (essentially allowing opposing counsel to veto the challenge)</w:t>
      </w:r>
      <w:r w:rsidR="00996DF6">
        <w:rPr>
          <w:rFonts w:ascii="Book Antiqua" w:hAnsi="Book Antiqua"/>
          <w:sz w:val="26"/>
          <w:szCs w:val="26"/>
        </w:rPr>
        <w:t>.  Was this the committee’s intent?</w:t>
      </w:r>
      <w:r w:rsidR="00B71B35">
        <w:rPr>
          <w:rFonts w:ascii="Book Antiqua" w:hAnsi="Book Antiqua"/>
          <w:sz w:val="26"/>
          <w:szCs w:val="26"/>
        </w:rPr>
        <w:t xml:space="preserve">  And</w:t>
      </w:r>
      <w:r w:rsidR="00F82261">
        <w:rPr>
          <w:rFonts w:ascii="Book Antiqua" w:hAnsi="Book Antiqua"/>
          <w:sz w:val="26"/>
          <w:szCs w:val="26"/>
        </w:rPr>
        <w:t>, regardless,</w:t>
      </w:r>
      <w:r w:rsidR="00B71B35">
        <w:rPr>
          <w:rFonts w:ascii="Book Antiqua" w:hAnsi="Book Antiqua"/>
          <w:sz w:val="26"/>
          <w:szCs w:val="26"/>
        </w:rPr>
        <w:t xml:space="preserve"> are there concerns with requiring corroboration by</w:t>
      </w:r>
      <w:r w:rsidR="00F82261">
        <w:rPr>
          <w:rFonts w:ascii="Book Antiqua" w:hAnsi="Book Antiqua"/>
          <w:sz w:val="26"/>
          <w:szCs w:val="26"/>
        </w:rPr>
        <w:t xml:space="preserve"> either</w:t>
      </w:r>
      <w:r w:rsidR="00B71B35">
        <w:rPr>
          <w:rFonts w:ascii="Book Antiqua" w:hAnsi="Book Antiqua"/>
          <w:sz w:val="26"/>
          <w:szCs w:val="26"/>
        </w:rPr>
        <w:t xml:space="preserve"> the court or opposing counsel?  </w:t>
      </w:r>
    </w:p>
    <w:p w14:paraId="2249992A" w14:textId="4BD0D125" w:rsidR="00B26487" w:rsidRPr="0050141A" w:rsidRDefault="00225A85" w:rsidP="00F82261">
      <w:pPr>
        <w:pStyle w:val="ListParagraph"/>
        <w:numPr>
          <w:ilvl w:val="0"/>
          <w:numId w:val="1"/>
        </w:numPr>
        <w:jc w:val="both"/>
        <w:rPr>
          <w:rFonts w:ascii="Book Antiqua" w:hAnsi="Book Antiqua"/>
          <w:sz w:val="26"/>
          <w:szCs w:val="26"/>
        </w:rPr>
      </w:pPr>
      <w:r w:rsidRPr="0050141A">
        <w:rPr>
          <w:rFonts w:ascii="Book Antiqua" w:hAnsi="Book Antiqua"/>
          <w:sz w:val="26"/>
          <w:szCs w:val="26"/>
        </w:rPr>
        <w:t xml:space="preserve">(5)(F):  </w:t>
      </w:r>
      <w:r w:rsidR="008C534C" w:rsidRPr="0050141A">
        <w:rPr>
          <w:rFonts w:ascii="Book Antiqua" w:hAnsi="Book Antiqua"/>
          <w:sz w:val="26"/>
          <w:szCs w:val="26"/>
        </w:rPr>
        <w:t xml:space="preserve">The phrase </w:t>
      </w:r>
      <w:r w:rsidRPr="0050141A">
        <w:rPr>
          <w:rFonts w:ascii="Book Antiqua" w:hAnsi="Book Antiqua"/>
          <w:sz w:val="26"/>
          <w:szCs w:val="26"/>
        </w:rPr>
        <w:t xml:space="preserve">“provided unintelligent or confused answers” </w:t>
      </w:r>
      <w:r w:rsidR="0050141A">
        <w:rPr>
          <w:rFonts w:ascii="Book Antiqua" w:hAnsi="Book Antiqua"/>
          <w:sz w:val="26"/>
          <w:szCs w:val="26"/>
        </w:rPr>
        <w:t>seems</w:t>
      </w:r>
      <w:r w:rsidRPr="0050141A">
        <w:rPr>
          <w:rFonts w:ascii="Book Antiqua" w:hAnsi="Book Antiqua"/>
          <w:sz w:val="26"/>
          <w:szCs w:val="26"/>
        </w:rPr>
        <w:t xml:space="preserve"> </w:t>
      </w:r>
      <w:r w:rsidR="008C534C" w:rsidRPr="0050141A">
        <w:rPr>
          <w:rFonts w:ascii="Book Antiqua" w:hAnsi="Book Antiqua"/>
          <w:sz w:val="26"/>
          <w:szCs w:val="26"/>
        </w:rPr>
        <w:t xml:space="preserve">nebulous and </w:t>
      </w:r>
      <w:r w:rsidR="0050141A">
        <w:rPr>
          <w:rFonts w:ascii="Book Antiqua" w:hAnsi="Book Antiqua"/>
          <w:sz w:val="26"/>
          <w:szCs w:val="26"/>
        </w:rPr>
        <w:t>might</w:t>
      </w:r>
      <w:r w:rsidR="008C534C" w:rsidRPr="0050141A">
        <w:rPr>
          <w:rFonts w:ascii="Book Antiqua" w:hAnsi="Book Antiqua"/>
          <w:sz w:val="26"/>
          <w:szCs w:val="26"/>
        </w:rPr>
        <w:t xml:space="preserve"> invite </w:t>
      </w:r>
      <w:r w:rsidR="0050141A">
        <w:rPr>
          <w:rFonts w:ascii="Book Antiqua" w:hAnsi="Book Antiqua"/>
          <w:sz w:val="26"/>
          <w:szCs w:val="26"/>
        </w:rPr>
        <w:t>frequent</w:t>
      </w:r>
      <w:r w:rsidR="008C534C" w:rsidRPr="0050141A">
        <w:rPr>
          <w:rFonts w:ascii="Book Antiqua" w:hAnsi="Book Antiqua"/>
          <w:sz w:val="26"/>
          <w:szCs w:val="26"/>
        </w:rPr>
        <w:t xml:space="preserve"> debate about what </w:t>
      </w:r>
      <w:r w:rsidR="00F82261">
        <w:rPr>
          <w:rFonts w:ascii="Book Antiqua" w:hAnsi="Book Antiqua"/>
          <w:sz w:val="26"/>
          <w:szCs w:val="26"/>
        </w:rPr>
        <w:t>would</w:t>
      </w:r>
      <w:r w:rsidR="008C534C" w:rsidRPr="0050141A">
        <w:rPr>
          <w:rFonts w:ascii="Book Antiqua" w:hAnsi="Book Antiqua"/>
          <w:sz w:val="26"/>
          <w:szCs w:val="26"/>
        </w:rPr>
        <w:t xml:space="preserve"> qualify; given the resultant potential for wide variation regarding the implementation of this phrase, </w:t>
      </w:r>
      <w:r w:rsidR="00B71B35">
        <w:rPr>
          <w:rFonts w:ascii="Book Antiqua" w:hAnsi="Book Antiqua"/>
          <w:sz w:val="26"/>
          <w:szCs w:val="26"/>
        </w:rPr>
        <w:t xml:space="preserve">did the committee consider </w:t>
      </w:r>
      <w:r w:rsidR="008C534C" w:rsidRPr="0050141A">
        <w:rPr>
          <w:rFonts w:ascii="Book Antiqua" w:hAnsi="Book Antiqua"/>
          <w:sz w:val="26"/>
          <w:szCs w:val="26"/>
        </w:rPr>
        <w:t>confin</w:t>
      </w:r>
      <w:r w:rsidR="00B71B35">
        <w:rPr>
          <w:rFonts w:ascii="Book Antiqua" w:hAnsi="Book Antiqua"/>
          <w:sz w:val="26"/>
          <w:szCs w:val="26"/>
        </w:rPr>
        <w:t>ing</w:t>
      </w:r>
      <w:r w:rsidR="008C534C" w:rsidRPr="0050141A">
        <w:rPr>
          <w:rFonts w:ascii="Book Antiqua" w:hAnsi="Book Antiqua"/>
          <w:sz w:val="26"/>
          <w:szCs w:val="26"/>
        </w:rPr>
        <w:t xml:space="preserve"> (5)(F) to demeanor?</w:t>
      </w:r>
      <w:r w:rsidR="008C534C" w:rsidRPr="0050141A" w:rsidDel="008C534C">
        <w:rPr>
          <w:rFonts w:ascii="Book Antiqua" w:hAnsi="Book Antiqua"/>
          <w:sz w:val="26"/>
          <w:szCs w:val="26"/>
        </w:rPr>
        <w:t xml:space="preserve"> </w:t>
      </w:r>
    </w:p>
    <w:sectPr w:rsidR="00B26487" w:rsidRPr="0050141A" w:rsidSect="00A469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7921" w16cex:dateUtc="2021-03-26T21:1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31FDA"/>
    <w:multiLevelType w:val="hybridMultilevel"/>
    <w:tmpl w:val="1192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87"/>
    <w:rsid w:val="00072010"/>
    <w:rsid w:val="00084AB9"/>
    <w:rsid w:val="001F75E6"/>
    <w:rsid w:val="00225A85"/>
    <w:rsid w:val="00305110"/>
    <w:rsid w:val="003377AE"/>
    <w:rsid w:val="00375FEE"/>
    <w:rsid w:val="00385D7D"/>
    <w:rsid w:val="00400911"/>
    <w:rsid w:val="0045538B"/>
    <w:rsid w:val="0050141A"/>
    <w:rsid w:val="005D08B6"/>
    <w:rsid w:val="006D417A"/>
    <w:rsid w:val="008C534C"/>
    <w:rsid w:val="0094773B"/>
    <w:rsid w:val="00996DF6"/>
    <w:rsid w:val="009B1A92"/>
    <w:rsid w:val="00A46912"/>
    <w:rsid w:val="00AE3D1C"/>
    <w:rsid w:val="00B26487"/>
    <w:rsid w:val="00B27DCA"/>
    <w:rsid w:val="00B71A80"/>
    <w:rsid w:val="00B71B35"/>
    <w:rsid w:val="00C07922"/>
    <w:rsid w:val="00CF054F"/>
    <w:rsid w:val="00CF3C0B"/>
    <w:rsid w:val="00DE6B70"/>
    <w:rsid w:val="00EB7DFE"/>
    <w:rsid w:val="00F7050D"/>
    <w:rsid w:val="00F8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B70C"/>
  <w15:chartTrackingRefBased/>
  <w15:docId w15:val="{8F8889BC-0AC0-4746-A843-D7C77E54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9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487"/>
    <w:pPr>
      <w:ind w:left="720"/>
      <w:contextualSpacing/>
    </w:pPr>
  </w:style>
  <w:style w:type="paragraph" w:styleId="BalloonText">
    <w:name w:val="Balloon Text"/>
    <w:basedOn w:val="Normal"/>
    <w:link w:val="BalloonTextChar"/>
    <w:uiPriority w:val="99"/>
    <w:semiHidden/>
    <w:unhideWhenUsed/>
    <w:rsid w:val="008C5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34C"/>
    <w:rPr>
      <w:rFonts w:ascii="Segoe UI" w:hAnsi="Segoe UI" w:cs="Segoe UI"/>
      <w:sz w:val="18"/>
      <w:szCs w:val="18"/>
    </w:rPr>
  </w:style>
  <w:style w:type="character" w:styleId="CommentReference">
    <w:name w:val="annotation reference"/>
    <w:basedOn w:val="DefaultParagraphFont"/>
    <w:uiPriority w:val="99"/>
    <w:semiHidden/>
    <w:unhideWhenUsed/>
    <w:rsid w:val="009B1A92"/>
    <w:rPr>
      <w:sz w:val="16"/>
      <w:szCs w:val="16"/>
    </w:rPr>
  </w:style>
  <w:style w:type="paragraph" w:styleId="CommentText">
    <w:name w:val="annotation text"/>
    <w:basedOn w:val="Normal"/>
    <w:link w:val="CommentTextChar"/>
    <w:uiPriority w:val="99"/>
    <w:semiHidden/>
    <w:unhideWhenUsed/>
    <w:rsid w:val="009B1A92"/>
    <w:pPr>
      <w:spacing w:line="240" w:lineRule="auto"/>
    </w:pPr>
    <w:rPr>
      <w:sz w:val="20"/>
      <w:szCs w:val="20"/>
    </w:rPr>
  </w:style>
  <w:style w:type="character" w:customStyle="1" w:styleId="CommentTextChar">
    <w:name w:val="Comment Text Char"/>
    <w:basedOn w:val="DefaultParagraphFont"/>
    <w:link w:val="CommentText"/>
    <w:uiPriority w:val="99"/>
    <w:semiHidden/>
    <w:rsid w:val="009B1A92"/>
    <w:rPr>
      <w:sz w:val="20"/>
      <w:szCs w:val="20"/>
    </w:rPr>
  </w:style>
  <w:style w:type="paragraph" w:styleId="CommentSubject">
    <w:name w:val="annotation subject"/>
    <w:basedOn w:val="CommentText"/>
    <w:next w:val="CommentText"/>
    <w:link w:val="CommentSubjectChar"/>
    <w:uiPriority w:val="99"/>
    <w:semiHidden/>
    <w:unhideWhenUsed/>
    <w:rsid w:val="009B1A92"/>
    <w:rPr>
      <w:b/>
      <w:bCs/>
    </w:rPr>
  </w:style>
  <w:style w:type="character" w:customStyle="1" w:styleId="CommentSubjectChar">
    <w:name w:val="Comment Subject Char"/>
    <w:basedOn w:val="CommentTextChar"/>
    <w:link w:val="CommentSubject"/>
    <w:uiPriority w:val="99"/>
    <w:semiHidden/>
    <w:rsid w:val="009B1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42D52BC81AE4DAE9D0BFF6C9F612D" ma:contentTypeVersion="7" ma:contentTypeDescription="Create a new document." ma:contentTypeScope="" ma:versionID="fb2a30af1c25dc9f3c7fb7dcb9b7bf81">
  <xsd:schema xmlns:xsd="http://www.w3.org/2001/XMLSchema" xmlns:xs="http://www.w3.org/2001/XMLSchema" xmlns:p="http://schemas.microsoft.com/office/2006/metadata/properties" xmlns:ns3="e0aabb31-843e-4b20-97d4-262512983ec3" targetNamespace="http://schemas.microsoft.com/office/2006/metadata/properties" ma:root="true" ma:fieldsID="fea807f09184a0ade69676844244a881" ns3:_="">
    <xsd:import namespace="e0aabb31-843e-4b20-97d4-262512983e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abb31-843e-4b20-97d4-262512983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CBED-BAE4-47E6-98C6-C685F0B95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abb31-843e-4b20-97d4-262512983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6970D-51D6-41D2-8BAC-8F521FE22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838B9C-BF8C-480C-8ECF-E5DE8476E3D9}">
  <ds:schemaRefs>
    <ds:schemaRef ds:uri="http://schemas.microsoft.com/sharepoint/v3/contenttype/forms"/>
  </ds:schemaRefs>
</ds:datastoreItem>
</file>

<file path=customXml/itemProps4.xml><?xml version="1.0" encoding="utf-8"?>
<ds:datastoreItem xmlns:ds="http://schemas.openxmlformats.org/officeDocument/2006/customXml" ds:itemID="{E1067A5C-0DF0-4084-BFE4-29AA2395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márquez, monica</dc:creator>
  <cp:keywords/>
  <dc:description/>
  <cp:lastModifiedBy>samour, carlos</cp:lastModifiedBy>
  <cp:revision>3</cp:revision>
  <cp:lastPrinted>2021-03-29T21:08:00Z</cp:lastPrinted>
  <dcterms:created xsi:type="dcterms:W3CDTF">2021-03-29T21:11:00Z</dcterms:created>
  <dcterms:modified xsi:type="dcterms:W3CDTF">2021-03-29T21:11:00Z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0x010100A5F42D52BC81AE4DAE9D0BFF6C9F612D</vt:lpwstr>
  </property>
</Properties>
</file>